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67" w:type="pct"/>
        <w:tblCellMar>
          <w:left w:w="0" w:type="dxa"/>
          <w:right w:w="0" w:type="dxa"/>
        </w:tblCellMar>
        <w:tblLook w:val="04A0" w:firstRow="1" w:lastRow="0" w:firstColumn="1" w:lastColumn="0" w:noHBand="0" w:noVBand="1"/>
      </w:tblPr>
      <w:tblGrid>
        <w:gridCol w:w="1146"/>
        <w:gridCol w:w="5074"/>
        <w:gridCol w:w="915"/>
        <w:gridCol w:w="2496"/>
      </w:tblGrid>
      <w:tr w:rsidR="00E120A4" w:rsidTr="00E120A4">
        <w:tc>
          <w:tcPr>
            <w:tcW w:w="595" w:type="pct"/>
            <w:tcBorders>
              <w:top w:val="single" w:sz="8" w:space="0" w:color="auto"/>
              <w:left w:val="single" w:sz="8" w:space="0" w:color="auto"/>
              <w:bottom w:val="single" w:sz="4" w:space="0" w:color="auto"/>
              <w:right w:val="single" w:sz="8" w:space="0" w:color="auto"/>
            </w:tcBorders>
            <w:shd w:val="clear" w:color="auto" w:fill="366092"/>
            <w:tcMar>
              <w:top w:w="0" w:type="dxa"/>
              <w:left w:w="108" w:type="dxa"/>
              <w:bottom w:w="0" w:type="dxa"/>
              <w:right w:w="108" w:type="dxa"/>
            </w:tcMar>
            <w:hideMark/>
          </w:tcPr>
          <w:p w:rsidR="00E120A4" w:rsidRDefault="00E120A4">
            <w:pPr>
              <w:rPr>
                <w:b/>
                <w:bCs/>
                <w:color w:val="FFFFFF"/>
                <w:sz w:val="20"/>
                <w:szCs w:val="20"/>
              </w:rPr>
            </w:pPr>
            <w:r>
              <w:rPr>
                <w:b/>
                <w:bCs/>
                <w:color w:val="FFFFFF"/>
                <w:sz w:val="20"/>
                <w:szCs w:val="20"/>
              </w:rPr>
              <w:t>REV REQ NO.</w:t>
            </w:r>
          </w:p>
        </w:tc>
        <w:tc>
          <w:tcPr>
            <w:tcW w:w="2634"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E120A4" w:rsidRDefault="00E120A4">
            <w:pPr>
              <w:rPr>
                <w:b/>
                <w:bCs/>
                <w:color w:val="FFFFFF"/>
                <w:sz w:val="20"/>
                <w:szCs w:val="20"/>
              </w:rPr>
            </w:pPr>
            <w:r>
              <w:rPr>
                <w:b/>
                <w:bCs/>
                <w:color w:val="FFFFFF"/>
                <w:sz w:val="20"/>
                <w:szCs w:val="20"/>
              </w:rPr>
              <w:t>DESCRIPTION</w:t>
            </w:r>
          </w:p>
        </w:tc>
        <w:tc>
          <w:tcPr>
            <w:tcW w:w="475"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E120A4" w:rsidRDefault="00E120A4">
            <w:pPr>
              <w:jc w:val="center"/>
              <w:rPr>
                <w:b/>
                <w:bCs/>
                <w:color w:val="FFFFFF"/>
                <w:sz w:val="20"/>
                <w:szCs w:val="20"/>
              </w:rPr>
            </w:pPr>
            <w:r>
              <w:rPr>
                <w:b/>
                <w:bCs/>
                <w:color w:val="FFFFFF"/>
                <w:sz w:val="20"/>
                <w:szCs w:val="20"/>
              </w:rPr>
              <w:t>URGENT</w:t>
            </w:r>
          </w:p>
        </w:tc>
        <w:tc>
          <w:tcPr>
            <w:tcW w:w="1296"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E120A4" w:rsidRDefault="00E120A4">
            <w:pPr>
              <w:rPr>
                <w:b/>
                <w:bCs/>
                <w:color w:val="FFFFFF"/>
                <w:sz w:val="20"/>
                <w:szCs w:val="20"/>
              </w:rPr>
            </w:pPr>
            <w:r>
              <w:rPr>
                <w:b/>
                <w:bCs/>
                <w:color w:val="FFFFFF"/>
                <w:sz w:val="20"/>
                <w:szCs w:val="20"/>
              </w:rPr>
              <w:t>ERCOT Opinion</w:t>
            </w:r>
          </w:p>
        </w:tc>
      </w:tr>
      <w:tr w:rsidR="00E120A4" w:rsidTr="00E120A4">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928NPRR</w:t>
            </w:r>
          </w:p>
        </w:tc>
        <w:tc>
          <w:tcPr>
            <w:tcW w:w="2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 xml:space="preserve">Cybersecurity Incident Notification. </w:t>
            </w:r>
            <w:r>
              <w:rPr>
                <w:color w:val="000000"/>
                <w:sz w:val="20"/>
                <w:szCs w:val="20"/>
              </w:rPr>
              <w:t> This Nodal Protocol Revision Request (NPRR) establishes Market Participant notification responsibilities with respect to Cybersecurity Incidents.  [ERCOT]</w:t>
            </w: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jc w:val="center"/>
              <w:rPr>
                <w:color w:val="000000"/>
                <w:sz w:val="20"/>
                <w:szCs w:val="20"/>
              </w:rPr>
            </w:pPr>
            <w:r>
              <w:rPr>
                <w:color w:val="000000"/>
                <w:sz w:val="20"/>
                <w:szCs w:val="20"/>
              </w:rPr>
              <w:t>N</w:t>
            </w:r>
          </w:p>
        </w:tc>
        <w:tc>
          <w:tcPr>
            <w:tcW w:w="1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sz w:val="20"/>
                <w:szCs w:val="20"/>
              </w:rPr>
            </w:pPr>
            <w:r>
              <w:rPr>
                <w:sz w:val="20"/>
                <w:szCs w:val="20"/>
              </w:rPr>
              <w:t>ERCOT supports approval of NPRR928</w:t>
            </w:r>
          </w:p>
        </w:tc>
      </w:tr>
      <w:tr w:rsidR="00E120A4" w:rsidTr="00E120A4">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941NPRR</w:t>
            </w:r>
          </w:p>
        </w:tc>
        <w:tc>
          <w:tcPr>
            <w:tcW w:w="2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 xml:space="preserve">Create a Lower Rio Grande Valley Hub.  </w:t>
            </w:r>
            <w:r>
              <w:rPr>
                <w:color w:val="000000"/>
                <w:sz w:val="20"/>
                <w:szCs w:val="20"/>
              </w:rPr>
              <w:t>This Nodal Protocol Revision Request (NPRR) creates a trading Hub “Lower Rio Grande Valley 138/345 kV Hub (LRGV 138/345)” in the ERCOT lower Rio Grande Valley.  The NPRR also excludes this new Hub from the existing ERCOT-wide Hub average and Bus average calculations in Sections 3.5.2.6 and 3.5.2.7.  [DC Energy]</w:t>
            </w: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jc w:val="center"/>
              <w:rPr>
                <w:sz w:val="20"/>
                <w:szCs w:val="20"/>
              </w:rPr>
            </w:pPr>
            <w:r>
              <w:rPr>
                <w:sz w:val="20"/>
                <w:szCs w:val="20"/>
              </w:rPr>
              <w:t>N</w:t>
            </w:r>
          </w:p>
        </w:tc>
        <w:tc>
          <w:tcPr>
            <w:tcW w:w="1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sz w:val="20"/>
                <w:szCs w:val="20"/>
              </w:rPr>
            </w:pPr>
            <w:r>
              <w:rPr>
                <w:sz w:val="20"/>
                <w:szCs w:val="20"/>
              </w:rPr>
              <w:t>ERCOT supports approval of NPRR941</w:t>
            </w:r>
          </w:p>
        </w:tc>
      </w:tr>
      <w:tr w:rsidR="00E120A4" w:rsidTr="00E120A4">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972NPRR</w:t>
            </w:r>
          </w:p>
        </w:tc>
        <w:tc>
          <w:tcPr>
            <w:tcW w:w="2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 xml:space="preserve">Enhancing Existing CRR Transaction Limit Process.  </w:t>
            </w:r>
            <w:r>
              <w:rPr>
                <w:color w:val="000000"/>
                <w:sz w:val="20"/>
                <w:szCs w:val="20"/>
              </w:rPr>
              <w:t>This Nodal Protocol Revision Request (NPRR) provides ERCOT with authority to not open a transaction adjustment period for a CRR Auction, even if the total number of transactions submitted exceeds the transaction limit announced prior to the auction, as long as the total number of transactions submitted does not exceed the number of transactions that can be processed by ERCOT’s systems.  [ERCOT]</w:t>
            </w: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jc w:val="center"/>
              <w:rPr>
                <w:color w:val="000000"/>
                <w:sz w:val="20"/>
                <w:szCs w:val="20"/>
              </w:rPr>
            </w:pPr>
            <w:r>
              <w:rPr>
                <w:color w:val="000000"/>
                <w:sz w:val="20"/>
                <w:szCs w:val="20"/>
              </w:rPr>
              <w:t>N</w:t>
            </w:r>
          </w:p>
        </w:tc>
        <w:tc>
          <w:tcPr>
            <w:tcW w:w="1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sz w:val="20"/>
                <w:szCs w:val="20"/>
              </w:rPr>
            </w:pPr>
            <w:r>
              <w:rPr>
                <w:sz w:val="20"/>
                <w:szCs w:val="20"/>
              </w:rPr>
              <w:t>ERCOT supports approval of NPRR972</w:t>
            </w:r>
            <w:bookmarkStart w:id="0" w:name="_GoBack"/>
            <w:bookmarkEnd w:id="0"/>
          </w:p>
        </w:tc>
      </w:tr>
      <w:tr w:rsidR="00E120A4" w:rsidTr="00E120A4">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957NPRR</w:t>
            </w:r>
          </w:p>
        </w:tc>
        <w:tc>
          <w:tcPr>
            <w:tcW w:w="2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sidRPr="00E120A4">
              <w:rPr>
                <w:b/>
                <w:bCs/>
                <w:color w:val="000000"/>
                <w:sz w:val="20"/>
                <w:szCs w:val="20"/>
              </w:rPr>
              <w:t xml:space="preserve">RTF-4 Definition of Energy Storage Resource and Related Registration and Telemetry Requirements.  </w:t>
            </w:r>
            <w:r w:rsidRPr="00E120A4">
              <w:rPr>
                <w:bCs/>
                <w:color w:val="000000"/>
                <w:sz w:val="20"/>
                <w:szCs w:val="20"/>
              </w:rPr>
              <w:t>This NPRR establishes the terms “Energy Storage System” (ESS) and “Energy Storage Resource” (ESR) along with clarifications to telemetry and registration requirements for ESRs.  [Boston Energy Trading and Marketing]</w:t>
            </w: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jc w:val="center"/>
              <w:rPr>
                <w:color w:val="000000"/>
                <w:sz w:val="20"/>
                <w:szCs w:val="20"/>
              </w:rPr>
            </w:pPr>
            <w:r>
              <w:rPr>
                <w:color w:val="000000"/>
                <w:sz w:val="20"/>
                <w:szCs w:val="20"/>
              </w:rPr>
              <w:t>N</w:t>
            </w:r>
          </w:p>
        </w:tc>
        <w:tc>
          <w:tcPr>
            <w:tcW w:w="1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sz w:val="20"/>
                <w:szCs w:val="20"/>
              </w:rPr>
            </w:pPr>
            <w:r>
              <w:rPr>
                <w:sz w:val="20"/>
                <w:szCs w:val="20"/>
              </w:rPr>
              <w:t>ER</w:t>
            </w:r>
            <w:r>
              <w:rPr>
                <w:sz w:val="20"/>
                <w:szCs w:val="20"/>
              </w:rPr>
              <w:t>COT supports approval of NPRR957</w:t>
            </w:r>
          </w:p>
        </w:tc>
      </w:tr>
      <w:tr w:rsidR="00E120A4" w:rsidTr="00E120A4">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025VCMRR</w:t>
            </w:r>
          </w:p>
        </w:tc>
        <w:tc>
          <w:tcPr>
            <w:tcW w:w="2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 xml:space="preserve">Related to NPRR957, RTF-4 Definition of Energy Storage Resource and Related Registration and Telemetry Requirements.  </w:t>
            </w:r>
            <w:r>
              <w:rPr>
                <w:color w:val="000000"/>
                <w:sz w:val="20"/>
                <w:szCs w:val="20"/>
              </w:rPr>
              <w:t>This Verifiable Cost Manual Revision Request (VCMRR) removes language that defines “Energy Storage Resources” and requires these Resources to register under the Resource Category “Other,” and aligns the Verifiable Cost Manual with Protocol changes proposed by NPRR957. This VCMRR also revises the Mitigated Offer Cap calculation for Energy Storage Resources to comport with Protocols Section 4.4.9.4.1, Mitigated Offer Cap.  [ERCOT]</w:t>
            </w: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jc w:val="center"/>
              <w:rPr>
                <w:color w:val="000000"/>
                <w:sz w:val="20"/>
                <w:szCs w:val="20"/>
              </w:rPr>
            </w:pPr>
            <w:r>
              <w:rPr>
                <w:color w:val="000000"/>
                <w:sz w:val="20"/>
                <w:szCs w:val="20"/>
              </w:rPr>
              <w:t>N</w:t>
            </w:r>
          </w:p>
        </w:tc>
        <w:tc>
          <w:tcPr>
            <w:tcW w:w="1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sz w:val="20"/>
                <w:szCs w:val="20"/>
              </w:rPr>
            </w:pPr>
            <w:r>
              <w:rPr>
                <w:sz w:val="20"/>
                <w:szCs w:val="20"/>
              </w:rPr>
              <w:t>ERCOT supports approval of VCMRR025</w:t>
            </w:r>
          </w:p>
        </w:tc>
      </w:tr>
      <w:tr w:rsidR="00E120A4" w:rsidTr="00E120A4">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071PGRR</w:t>
            </w:r>
          </w:p>
        </w:tc>
        <w:tc>
          <w:tcPr>
            <w:tcW w:w="2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b/>
                <w:bCs/>
                <w:color w:val="000000"/>
                <w:sz w:val="20"/>
                <w:szCs w:val="20"/>
              </w:rPr>
            </w:pPr>
            <w:r>
              <w:rPr>
                <w:b/>
                <w:bCs/>
                <w:color w:val="000000"/>
                <w:sz w:val="20"/>
                <w:szCs w:val="20"/>
              </w:rPr>
              <w:t xml:space="preserve">Update Interconnection Process Timetables to Align with NPRR926.  </w:t>
            </w:r>
            <w:r>
              <w:rPr>
                <w:color w:val="000000"/>
                <w:sz w:val="20"/>
                <w:szCs w:val="20"/>
              </w:rPr>
              <w:t>This Planning Guide Revision Request (PGRR) updates information in Section 5.7.5 to align with Nodal Protocol Revision Request (NPRR) 926, Removal of 90-Day Period Between SSR Study Approval and Synchronization, which was approved by the ERCOT Board on June 11, 2019. [ERCOT]</w:t>
            </w: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jc w:val="center"/>
              <w:rPr>
                <w:color w:val="000000"/>
                <w:sz w:val="20"/>
                <w:szCs w:val="20"/>
              </w:rPr>
            </w:pPr>
            <w:r>
              <w:rPr>
                <w:color w:val="000000"/>
                <w:sz w:val="20"/>
                <w:szCs w:val="20"/>
              </w:rPr>
              <w:t>N</w:t>
            </w:r>
          </w:p>
        </w:tc>
        <w:tc>
          <w:tcPr>
            <w:tcW w:w="1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A4" w:rsidRDefault="00E120A4" w:rsidP="00981A1E">
            <w:pPr>
              <w:rPr>
                <w:sz w:val="20"/>
                <w:szCs w:val="20"/>
              </w:rPr>
            </w:pPr>
            <w:r>
              <w:rPr>
                <w:sz w:val="20"/>
                <w:szCs w:val="20"/>
              </w:rPr>
              <w:t>ERCOT supports approval of PGRR071</w:t>
            </w:r>
          </w:p>
        </w:tc>
      </w:tr>
    </w:tbl>
    <w:p w:rsidR="00E60BF8" w:rsidRPr="00C174FF" w:rsidRDefault="00C174FF" w:rsidP="00C174FF">
      <w:pPr>
        <w:tabs>
          <w:tab w:val="left" w:pos="6900"/>
        </w:tabs>
      </w:pPr>
      <w:r>
        <w:tab/>
      </w:r>
    </w:p>
    <w:sectPr w:rsidR="00E60BF8" w:rsidRPr="00C174FF"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74D" w:rsidRDefault="009B474D" w:rsidP="00985FF4">
      <w:r>
        <w:separator/>
      </w:r>
    </w:p>
  </w:endnote>
  <w:endnote w:type="continuationSeparator" w:id="0">
    <w:p w:rsidR="009B474D" w:rsidRDefault="009B474D"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74D" w:rsidRDefault="009B474D" w:rsidP="00985FF4">
      <w:r>
        <w:separator/>
      </w:r>
    </w:p>
  </w:footnote>
  <w:footnote w:type="continuationSeparator" w:id="0">
    <w:p w:rsidR="009B474D" w:rsidRDefault="009B474D"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981A1E">
      <w:t>11/20</w:t>
    </w:r>
    <w:r w:rsidR="004447B8">
      <w:t>/</w:t>
    </w:r>
    <w:r>
      <w:t>19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101E68"/>
    <w:rsid w:val="00131AD8"/>
    <w:rsid w:val="001F4319"/>
    <w:rsid w:val="002378E5"/>
    <w:rsid w:val="00320D47"/>
    <w:rsid w:val="003504F7"/>
    <w:rsid w:val="003F25EE"/>
    <w:rsid w:val="0044443B"/>
    <w:rsid w:val="004447B8"/>
    <w:rsid w:val="00502C7D"/>
    <w:rsid w:val="005A278D"/>
    <w:rsid w:val="005E147E"/>
    <w:rsid w:val="006256A5"/>
    <w:rsid w:val="006F1E45"/>
    <w:rsid w:val="00715A89"/>
    <w:rsid w:val="00825E43"/>
    <w:rsid w:val="008874B6"/>
    <w:rsid w:val="008F1FF2"/>
    <w:rsid w:val="0096024F"/>
    <w:rsid w:val="00981A1E"/>
    <w:rsid w:val="00985FF4"/>
    <w:rsid w:val="00993006"/>
    <w:rsid w:val="009B27B4"/>
    <w:rsid w:val="009B474D"/>
    <w:rsid w:val="009C5427"/>
    <w:rsid w:val="00A94986"/>
    <w:rsid w:val="00AC0725"/>
    <w:rsid w:val="00AD50EB"/>
    <w:rsid w:val="00B87C79"/>
    <w:rsid w:val="00BD6400"/>
    <w:rsid w:val="00C174FF"/>
    <w:rsid w:val="00E120A4"/>
    <w:rsid w:val="00E60BF8"/>
    <w:rsid w:val="00E666FF"/>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A. Boren</cp:lastModifiedBy>
  <cp:revision>2</cp:revision>
  <dcterms:created xsi:type="dcterms:W3CDTF">2019-11-19T17:00:00Z</dcterms:created>
  <dcterms:modified xsi:type="dcterms:W3CDTF">2019-11-19T17:00:00Z</dcterms:modified>
</cp:coreProperties>
</file>