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442" w:type="pct"/>
        <w:tblCellMar>
          <w:left w:w="0" w:type="dxa"/>
          <w:right w:w="0" w:type="dxa"/>
        </w:tblCellMar>
        <w:tblLook w:val="04A0" w:firstRow="1" w:lastRow="0" w:firstColumn="1" w:lastColumn="0" w:noHBand="0" w:noVBand="1"/>
      </w:tblPr>
      <w:tblGrid>
        <w:gridCol w:w="1143"/>
        <w:gridCol w:w="5074"/>
        <w:gridCol w:w="916"/>
        <w:gridCol w:w="2444"/>
      </w:tblGrid>
      <w:tr w:rsidR="00507C1F" w:rsidTr="00507C1F">
        <w:tc>
          <w:tcPr>
            <w:tcW w:w="597" w:type="pct"/>
            <w:tcBorders>
              <w:top w:val="single" w:sz="8" w:space="0" w:color="auto"/>
              <w:left w:val="single" w:sz="8" w:space="0" w:color="auto"/>
              <w:bottom w:val="single" w:sz="4" w:space="0" w:color="auto"/>
              <w:right w:val="single" w:sz="8" w:space="0" w:color="auto"/>
            </w:tcBorders>
            <w:shd w:val="clear" w:color="auto" w:fill="366092"/>
            <w:tcMar>
              <w:top w:w="0" w:type="dxa"/>
              <w:left w:w="108" w:type="dxa"/>
              <w:bottom w:w="0" w:type="dxa"/>
              <w:right w:w="108" w:type="dxa"/>
            </w:tcMar>
            <w:hideMark/>
          </w:tcPr>
          <w:p w:rsidR="00507C1F" w:rsidRDefault="00507C1F">
            <w:pPr>
              <w:rPr>
                <w:b/>
                <w:bCs/>
                <w:color w:val="FFFFFF"/>
                <w:sz w:val="20"/>
                <w:szCs w:val="20"/>
              </w:rPr>
            </w:pPr>
            <w:r>
              <w:rPr>
                <w:b/>
                <w:bCs/>
                <w:color w:val="FFFFFF"/>
                <w:sz w:val="20"/>
                <w:szCs w:val="20"/>
              </w:rPr>
              <w:t>REV REQ NO.</w:t>
            </w:r>
          </w:p>
        </w:tc>
        <w:tc>
          <w:tcPr>
            <w:tcW w:w="2649" w:type="pct"/>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507C1F" w:rsidRDefault="00507C1F">
            <w:pPr>
              <w:rPr>
                <w:b/>
                <w:bCs/>
                <w:color w:val="FFFFFF"/>
                <w:sz w:val="20"/>
                <w:szCs w:val="20"/>
              </w:rPr>
            </w:pPr>
            <w:r>
              <w:rPr>
                <w:b/>
                <w:bCs/>
                <w:color w:val="FFFFFF"/>
                <w:sz w:val="20"/>
                <w:szCs w:val="20"/>
              </w:rPr>
              <w:t>DESCRIPTION</w:t>
            </w:r>
          </w:p>
        </w:tc>
        <w:tc>
          <w:tcPr>
            <w:tcW w:w="478" w:type="pct"/>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507C1F" w:rsidRDefault="00507C1F">
            <w:pPr>
              <w:jc w:val="center"/>
              <w:rPr>
                <w:b/>
                <w:bCs/>
                <w:color w:val="FFFFFF"/>
                <w:sz w:val="20"/>
                <w:szCs w:val="20"/>
              </w:rPr>
            </w:pPr>
            <w:r>
              <w:rPr>
                <w:b/>
                <w:bCs/>
                <w:color w:val="FFFFFF"/>
                <w:sz w:val="20"/>
                <w:szCs w:val="20"/>
              </w:rPr>
              <w:t>URGENT</w:t>
            </w:r>
          </w:p>
        </w:tc>
        <w:tc>
          <w:tcPr>
            <w:tcW w:w="1276" w:type="pct"/>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507C1F" w:rsidRDefault="00507C1F">
            <w:pPr>
              <w:rPr>
                <w:b/>
                <w:bCs/>
                <w:color w:val="FFFFFF"/>
                <w:sz w:val="20"/>
                <w:szCs w:val="20"/>
              </w:rPr>
            </w:pPr>
            <w:r>
              <w:rPr>
                <w:b/>
                <w:bCs/>
                <w:color w:val="FFFFFF"/>
                <w:sz w:val="20"/>
                <w:szCs w:val="20"/>
              </w:rPr>
              <w:t>ERCOT Opinion</w:t>
            </w:r>
          </w:p>
        </w:tc>
      </w:tr>
      <w:tr w:rsidR="00507C1F" w:rsidTr="00507C1F">
        <w:tc>
          <w:tcPr>
            <w:tcW w:w="5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507C1F" w:rsidP="00566AFF">
            <w:pPr>
              <w:rPr>
                <w:rFonts w:cs="Calibri"/>
                <w:b/>
                <w:bCs/>
                <w:color w:val="000000"/>
                <w:sz w:val="20"/>
                <w:szCs w:val="20"/>
              </w:rPr>
            </w:pPr>
            <w:r>
              <w:rPr>
                <w:rFonts w:cs="Calibri"/>
                <w:b/>
                <w:bCs/>
                <w:color w:val="000000"/>
                <w:sz w:val="20"/>
                <w:szCs w:val="20"/>
              </w:rPr>
              <w:t>953NPRR</w:t>
            </w:r>
          </w:p>
        </w:tc>
        <w:tc>
          <w:tcPr>
            <w:tcW w:w="26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507C1F" w:rsidP="00566AFF">
            <w:pPr>
              <w:rPr>
                <w:rFonts w:cs="Calibri"/>
                <w:b/>
                <w:bCs/>
                <w:color w:val="000000"/>
                <w:sz w:val="20"/>
                <w:szCs w:val="20"/>
              </w:rPr>
            </w:pPr>
            <w:r>
              <w:rPr>
                <w:rFonts w:cs="Calibri"/>
                <w:b/>
                <w:bCs/>
                <w:color w:val="000000"/>
                <w:sz w:val="20"/>
                <w:szCs w:val="20"/>
              </w:rPr>
              <w:t xml:space="preserve">Addition of Relay </w:t>
            </w:r>
            <w:proofErr w:type="spellStart"/>
            <w:r>
              <w:rPr>
                <w:rFonts w:cs="Calibri"/>
                <w:b/>
                <w:bCs/>
                <w:color w:val="000000"/>
                <w:sz w:val="20"/>
                <w:szCs w:val="20"/>
              </w:rPr>
              <w:t>Loadability</w:t>
            </w:r>
            <w:proofErr w:type="spellEnd"/>
            <w:r>
              <w:rPr>
                <w:rFonts w:cs="Calibri"/>
                <w:b/>
                <w:bCs/>
                <w:color w:val="000000"/>
                <w:sz w:val="20"/>
                <w:szCs w:val="20"/>
              </w:rPr>
              <w:t xml:space="preserve"> Rating Definition.  </w:t>
            </w:r>
            <w:r>
              <w:rPr>
                <w:rFonts w:cs="Calibri"/>
                <w:color w:val="000000"/>
                <w:sz w:val="20"/>
                <w:szCs w:val="20"/>
              </w:rPr>
              <w:t xml:space="preserve">This Nodal Protocol Revision Request (NPRR) adds the Relay </w:t>
            </w:r>
            <w:proofErr w:type="spellStart"/>
            <w:r>
              <w:rPr>
                <w:rFonts w:cs="Calibri"/>
                <w:color w:val="000000"/>
                <w:sz w:val="20"/>
                <w:szCs w:val="20"/>
              </w:rPr>
              <w:t>Loadability</w:t>
            </w:r>
            <w:proofErr w:type="spellEnd"/>
            <w:r>
              <w:rPr>
                <w:rFonts w:cs="Calibri"/>
                <w:color w:val="000000"/>
                <w:sz w:val="20"/>
                <w:szCs w:val="20"/>
              </w:rPr>
              <w:t xml:space="preserve"> Rating definition in order to address the North American Electric Reliability Corporation (NERC) definition changes for Operational Planning Analysis and Real Time Assessments which adds a requirement to include protection system limitations.  These changes also support ERCOT housing and monitoring the Relay </w:t>
            </w:r>
            <w:proofErr w:type="spellStart"/>
            <w:r>
              <w:rPr>
                <w:rFonts w:cs="Calibri"/>
                <w:color w:val="000000"/>
                <w:sz w:val="20"/>
                <w:szCs w:val="20"/>
              </w:rPr>
              <w:t>Loadability</w:t>
            </w:r>
            <w:proofErr w:type="spellEnd"/>
            <w:r>
              <w:rPr>
                <w:rFonts w:cs="Calibri"/>
                <w:color w:val="000000"/>
                <w:sz w:val="20"/>
                <w:szCs w:val="20"/>
              </w:rPr>
              <w:t xml:space="preserve"> Rating in Energy Management System (EMS) applications.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507C1F" w:rsidP="00566AFF">
            <w:pPr>
              <w:jc w:val="center"/>
              <w:rPr>
                <w:rFonts w:cs="Calibri"/>
                <w:color w:val="000000"/>
                <w:sz w:val="20"/>
                <w:szCs w:val="20"/>
              </w:rPr>
            </w:pPr>
            <w:r>
              <w:rPr>
                <w:rFonts w:cs="Calibri"/>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507C1F" w:rsidP="00566AFF">
            <w:pPr>
              <w:rPr>
                <w:sz w:val="20"/>
                <w:szCs w:val="20"/>
              </w:rPr>
            </w:pPr>
            <w:r>
              <w:rPr>
                <w:sz w:val="20"/>
                <w:szCs w:val="20"/>
              </w:rPr>
              <w:t>ERCOT supports approval of NPRR953</w:t>
            </w:r>
          </w:p>
        </w:tc>
      </w:tr>
      <w:tr w:rsidR="00507C1F" w:rsidTr="00507C1F">
        <w:tc>
          <w:tcPr>
            <w:tcW w:w="5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507C1F" w:rsidP="00566AFF">
            <w:pPr>
              <w:rPr>
                <w:rFonts w:cs="Calibri"/>
                <w:b/>
                <w:bCs/>
                <w:color w:val="000000"/>
                <w:sz w:val="20"/>
                <w:szCs w:val="20"/>
              </w:rPr>
            </w:pPr>
            <w:r>
              <w:rPr>
                <w:rFonts w:cs="Calibri"/>
                <w:b/>
                <w:bCs/>
                <w:color w:val="000000"/>
                <w:sz w:val="20"/>
                <w:szCs w:val="20"/>
              </w:rPr>
              <w:t>997NPRR</w:t>
            </w:r>
          </w:p>
        </w:tc>
        <w:tc>
          <w:tcPr>
            <w:tcW w:w="26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3D4953" w:rsidP="00566AFF">
            <w:pPr>
              <w:rPr>
                <w:rFonts w:cs="Calibri"/>
                <w:b/>
                <w:bCs/>
                <w:color w:val="000000"/>
                <w:sz w:val="20"/>
                <w:szCs w:val="20"/>
              </w:rPr>
            </w:pPr>
            <w:r w:rsidRPr="003D4953">
              <w:rPr>
                <w:rFonts w:cs="Calibri"/>
                <w:b/>
                <w:bCs/>
                <w:color w:val="000000"/>
                <w:sz w:val="20"/>
                <w:szCs w:val="20"/>
              </w:rPr>
              <w:t>Natural Gas Pipeline Coordination Requirements for Resource Entities with Natural Gas Generation Resources</w:t>
            </w:r>
            <w:r w:rsidR="00507C1F">
              <w:rPr>
                <w:rFonts w:cs="Calibri"/>
                <w:b/>
                <w:bCs/>
                <w:color w:val="000000"/>
                <w:sz w:val="20"/>
                <w:szCs w:val="20"/>
              </w:rPr>
              <w:t xml:space="preserve">.  </w:t>
            </w:r>
            <w:r w:rsidR="00507C1F">
              <w:rPr>
                <w:rFonts w:cs="Calibri"/>
                <w:color w:val="000000"/>
                <w:sz w:val="20"/>
                <w:szCs w:val="20"/>
              </w:rPr>
              <w:t>This NPRR requires a Resource Entity that controls a Generation Resource that relies on natural gas as its primary fuel source to submit a declaration contained</w:t>
            </w:r>
            <w:bookmarkStart w:id="0" w:name="_GoBack"/>
            <w:bookmarkEnd w:id="0"/>
            <w:r w:rsidR="00507C1F">
              <w:rPr>
                <w:rFonts w:cs="Calibri"/>
                <w:color w:val="000000"/>
                <w:sz w:val="20"/>
                <w:szCs w:val="20"/>
              </w:rPr>
              <w:t xml:space="preserve"> in the summer weather preparedness form to ERCOT stating that the Resource Entity or the Resource Entity’s Qualified Scheduling Entity (QSE) has made a written effort to communicate with the operator of each natural gas pipeline that is directly connected to the Resource Entity’s Generation Resource to coordinate any planned pipeline outages to maximize the Generation Resource’s availability during the summer Peak Load Season of that year.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507C1F" w:rsidP="00566AFF">
            <w:pPr>
              <w:jc w:val="center"/>
              <w:rPr>
                <w:rFonts w:cs="Calibri"/>
                <w:color w:val="000000"/>
                <w:sz w:val="20"/>
                <w:szCs w:val="20"/>
              </w:rPr>
            </w:pPr>
            <w:r>
              <w:rPr>
                <w:rFonts w:cs="Calibri"/>
                <w:color w:val="000000"/>
                <w:sz w:val="20"/>
                <w:szCs w:val="20"/>
              </w:rPr>
              <w:t>Y</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507C1F" w:rsidP="00566AFF">
            <w:pPr>
              <w:rPr>
                <w:sz w:val="20"/>
                <w:szCs w:val="20"/>
              </w:rPr>
            </w:pPr>
            <w:r>
              <w:rPr>
                <w:sz w:val="20"/>
                <w:szCs w:val="20"/>
              </w:rPr>
              <w:t>ERCOT supports approval of NPRR997</w:t>
            </w:r>
          </w:p>
        </w:tc>
      </w:tr>
      <w:tr w:rsidR="00507C1F" w:rsidTr="00507C1F">
        <w:tc>
          <w:tcPr>
            <w:tcW w:w="5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507C1F" w:rsidP="00566AFF">
            <w:pPr>
              <w:rPr>
                <w:rFonts w:cs="Calibri"/>
                <w:b/>
                <w:bCs/>
                <w:color w:val="000000"/>
                <w:sz w:val="20"/>
                <w:szCs w:val="20"/>
              </w:rPr>
            </w:pPr>
            <w:r>
              <w:rPr>
                <w:rFonts w:cs="Calibri"/>
                <w:b/>
                <w:bCs/>
                <w:color w:val="000000"/>
                <w:sz w:val="20"/>
                <w:szCs w:val="20"/>
              </w:rPr>
              <w:t>998NPRR</w:t>
            </w:r>
          </w:p>
        </w:tc>
        <w:tc>
          <w:tcPr>
            <w:tcW w:w="26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C1F" w:rsidRDefault="00507C1F" w:rsidP="00566AFF">
            <w:pPr>
              <w:rPr>
                <w:rFonts w:cs="Calibri"/>
                <w:b/>
                <w:bCs/>
                <w:color w:val="000000"/>
                <w:sz w:val="20"/>
                <w:szCs w:val="20"/>
              </w:rPr>
            </w:pPr>
            <w:r>
              <w:rPr>
                <w:rFonts w:cs="Calibri"/>
                <w:b/>
                <w:bCs/>
                <w:color w:val="000000"/>
                <w:sz w:val="20"/>
                <w:szCs w:val="20"/>
              </w:rPr>
              <w:t xml:space="preserve">ERS Deployment and Recall Messages.  </w:t>
            </w:r>
            <w:r>
              <w:rPr>
                <w:rFonts w:cs="Calibri"/>
                <w:color w:val="000000"/>
                <w:sz w:val="20"/>
                <w:szCs w:val="20"/>
              </w:rPr>
              <w:t>This Nodal Protocol Revision Request (NPRR) establishes a requirement for ERCOT to post a message to the Market Information System (MIS) Public Area every time ERS is deployed or recalled.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507C1F" w:rsidP="00566AFF">
            <w:pPr>
              <w:jc w:val="center"/>
              <w:rPr>
                <w:rFonts w:cs="Calibri"/>
                <w:color w:val="000000"/>
                <w:sz w:val="20"/>
                <w:szCs w:val="20"/>
              </w:rPr>
            </w:pPr>
            <w:r>
              <w:rPr>
                <w:rFonts w:cs="Calibri"/>
                <w:color w:val="000000"/>
                <w:sz w:val="20"/>
                <w:szCs w:val="20"/>
              </w:rPr>
              <w:t>Y</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507C1F" w:rsidP="00566AFF">
            <w:pPr>
              <w:rPr>
                <w:sz w:val="20"/>
                <w:szCs w:val="20"/>
              </w:rPr>
            </w:pPr>
            <w:r>
              <w:rPr>
                <w:sz w:val="20"/>
                <w:szCs w:val="20"/>
              </w:rPr>
              <w:t>ERCOT supports approval of NPRR998</w:t>
            </w:r>
          </w:p>
        </w:tc>
      </w:tr>
      <w:tr w:rsidR="00507C1F" w:rsidTr="00507C1F">
        <w:tc>
          <w:tcPr>
            <w:tcW w:w="59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507C1F" w:rsidP="00566AFF">
            <w:pPr>
              <w:rPr>
                <w:rFonts w:cs="Calibri"/>
                <w:b/>
                <w:bCs/>
                <w:color w:val="000000"/>
                <w:sz w:val="20"/>
                <w:szCs w:val="20"/>
              </w:rPr>
            </w:pPr>
            <w:r>
              <w:rPr>
                <w:rFonts w:cs="Calibri"/>
                <w:b/>
                <w:bCs/>
                <w:color w:val="000000"/>
                <w:sz w:val="20"/>
                <w:szCs w:val="20"/>
              </w:rPr>
              <w:t>075PGRR</w:t>
            </w:r>
          </w:p>
        </w:tc>
        <w:tc>
          <w:tcPr>
            <w:tcW w:w="26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C1F" w:rsidRDefault="00507C1F" w:rsidP="00566AFF">
            <w:pPr>
              <w:rPr>
                <w:rFonts w:cs="Calibri"/>
                <w:color w:val="000000"/>
                <w:sz w:val="20"/>
                <w:szCs w:val="20"/>
              </w:rPr>
            </w:pPr>
            <w:r>
              <w:rPr>
                <w:rFonts w:cs="Calibri"/>
                <w:b/>
                <w:bCs/>
                <w:color w:val="000000"/>
                <w:sz w:val="20"/>
                <w:szCs w:val="20"/>
              </w:rPr>
              <w:t>Dynamic Model Quality Requirement.</w:t>
            </w:r>
            <w:r>
              <w:rPr>
                <w:rFonts w:cs="Calibri"/>
                <w:color w:val="000000"/>
                <w:sz w:val="20"/>
                <w:szCs w:val="20"/>
              </w:rPr>
              <w:t xml:space="preserve">  This Planning Guide Revision Request (PGRR) adds a requirement for Resource Entities and Interconnecting Entities (IEs) to provide model quality test results that demonstrate appropriate performance for submitted dynamic models.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507C1F" w:rsidP="00566AFF">
            <w:pPr>
              <w:jc w:val="center"/>
              <w:rPr>
                <w:rFonts w:cs="Calibri"/>
                <w:color w:val="000000"/>
                <w:sz w:val="20"/>
                <w:szCs w:val="20"/>
              </w:rPr>
            </w:pPr>
            <w:r>
              <w:rPr>
                <w:rFonts w:cs="Calibri"/>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07C1F" w:rsidRDefault="00507C1F" w:rsidP="00566AFF">
            <w:pPr>
              <w:rPr>
                <w:sz w:val="20"/>
                <w:szCs w:val="20"/>
              </w:rPr>
            </w:pPr>
            <w:r>
              <w:rPr>
                <w:sz w:val="20"/>
                <w:szCs w:val="20"/>
              </w:rPr>
              <w:t>ERCOT supports approval of PGRR075</w:t>
            </w:r>
          </w:p>
        </w:tc>
      </w:tr>
    </w:tbl>
    <w:p w:rsidR="00E60BF8" w:rsidRPr="00C174FF" w:rsidRDefault="00E60BF8" w:rsidP="00C174FF">
      <w:pPr>
        <w:tabs>
          <w:tab w:val="left" w:pos="6900"/>
        </w:tabs>
      </w:pPr>
    </w:p>
    <w:sectPr w:rsidR="00E60BF8" w:rsidRPr="00C174FF"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86" w:rsidRDefault="00805A86" w:rsidP="00985FF4">
      <w:r>
        <w:separator/>
      </w:r>
    </w:p>
  </w:endnote>
  <w:endnote w:type="continuationSeparator" w:id="0">
    <w:p w:rsidR="00805A86" w:rsidRDefault="00805A86"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86" w:rsidRDefault="00805A86" w:rsidP="00985FF4">
      <w:r>
        <w:separator/>
      </w:r>
    </w:p>
  </w:footnote>
  <w:footnote w:type="continuationSeparator" w:id="0">
    <w:p w:rsidR="00805A86" w:rsidRDefault="00805A86"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 xml:space="preserve">ERCOT Opinions for the </w:t>
    </w:r>
    <w:r w:rsidR="00566AFF">
      <w:t>04/01</w:t>
    </w:r>
    <w:r w:rsidR="00124255">
      <w:t>/20</w:t>
    </w:r>
    <w:r w:rsidR="00566AFF">
      <w:t xml:space="preserve"> TAC Information Session (Email vote likely to follow)</w:t>
    </w:r>
  </w:p>
  <w:p w:rsidR="00985FF4" w:rsidRDefault="00985FF4"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101E68"/>
    <w:rsid w:val="00124255"/>
    <w:rsid w:val="00131AD8"/>
    <w:rsid w:val="001F4319"/>
    <w:rsid w:val="00231C14"/>
    <w:rsid w:val="002378E5"/>
    <w:rsid w:val="00320D47"/>
    <w:rsid w:val="003504F7"/>
    <w:rsid w:val="003D4953"/>
    <w:rsid w:val="003F25EE"/>
    <w:rsid w:val="0044443B"/>
    <w:rsid w:val="004447B8"/>
    <w:rsid w:val="004E1095"/>
    <w:rsid w:val="00502C7D"/>
    <w:rsid w:val="00507C1F"/>
    <w:rsid w:val="00566AFF"/>
    <w:rsid w:val="005A278D"/>
    <w:rsid w:val="005E147E"/>
    <w:rsid w:val="006256A5"/>
    <w:rsid w:val="006F1E45"/>
    <w:rsid w:val="00715A89"/>
    <w:rsid w:val="00805A86"/>
    <w:rsid w:val="00825E43"/>
    <w:rsid w:val="008874B6"/>
    <w:rsid w:val="008F1FF2"/>
    <w:rsid w:val="0096024F"/>
    <w:rsid w:val="00981A1E"/>
    <w:rsid w:val="00985FF4"/>
    <w:rsid w:val="00993006"/>
    <w:rsid w:val="009B27B4"/>
    <w:rsid w:val="009B474D"/>
    <w:rsid w:val="009C5427"/>
    <w:rsid w:val="00A94986"/>
    <w:rsid w:val="00AC0725"/>
    <w:rsid w:val="00AD50EB"/>
    <w:rsid w:val="00B87C79"/>
    <w:rsid w:val="00BD6400"/>
    <w:rsid w:val="00BE7782"/>
    <w:rsid w:val="00C174FF"/>
    <w:rsid w:val="00D807DF"/>
    <w:rsid w:val="00E60BF8"/>
    <w:rsid w:val="00E666FF"/>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ERCOT</cp:lastModifiedBy>
  <cp:revision>2</cp:revision>
  <dcterms:created xsi:type="dcterms:W3CDTF">2020-03-31T16:49:00Z</dcterms:created>
  <dcterms:modified xsi:type="dcterms:W3CDTF">2020-03-31T16:49:00Z</dcterms:modified>
</cp:coreProperties>
</file>