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5E4BBC" w14:textId="77777777" w:rsidR="002F5868" w:rsidRDefault="00DD1AC6">
      <w:pPr>
        <w:spacing w:before="2400"/>
        <w:jc w:val="center"/>
        <w:rPr>
          <w:b/>
          <w:sz w:val="36"/>
          <w:szCs w:val="36"/>
        </w:rPr>
      </w:pPr>
      <w:r>
        <w:rPr>
          <w:b/>
          <w:sz w:val="36"/>
          <w:szCs w:val="36"/>
        </w:rPr>
        <w:t>ERCOT Nodal Protocols</w:t>
      </w:r>
    </w:p>
    <w:p w14:paraId="0F8C6762" w14:textId="77777777" w:rsidR="002F5868" w:rsidRDefault="002F5868">
      <w:pPr>
        <w:jc w:val="center"/>
        <w:rPr>
          <w:b/>
          <w:sz w:val="36"/>
          <w:szCs w:val="36"/>
        </w:rPr>
      </w:pPr>
    </w:p>
    <w:p w14:paraId="1866C64A" w14:textId="77777777" w:rsidR="002F5868" w:rsidRDefault="00DD1AC6" w:rsidP="00DD3F92">
      <w:pPr>
        <w:spacing w:after="240"/>
        <w:jc w:val="center"/>
        <w:rPr>
          <w:b/>
          <w:sz w:val="36"/>
          <w:szCs w:val="36"/>
        </w:rPr>
      </w:pPr>
      <w:r>
        <w:rPr>
          <w:b/>
          <w:sz w:val="36"/>
          <w:szCs w:val="36"/>
        </w:rPr>
        <w:t>Section 9:  Settlement and Billing</w:t>
      </w:r>
    </w:p>
    <w:p w14:paraId="39D1B463" w14:textId="77777777" w:rsidR="002F5868" w:rsidRDefault="002F5868" w:rsidP="00A927C1">
      <w:pPr>
        <w:jc w:val="center"/>
        <w:rPr>
          <w:b/>
          <w:sz w:val="22"/>
          <w:szCs w:val="22"/>
        </w:rPr>
      </w:pPr>
    </w:p>
    <w:p w14:paraId="3D0219F3" w14:textId="2D7A6378" w:rsidR="002F5868" w:rsidRDefault="003E3547" w:rsidP="00A927C1">
      <w:pPr>
        <w:spacing w:before="360"/>
        <w:jc w:val="center"/>
        <w:rPr>
          <w:b/>
          <w:szCs w:val="24"/>
        </w:rPr>
      </w:pPr>
      <w:r>
        <w:rPr>
          <w:b/>
          <w:szCs w:val="24"/>
        </w:rPr>
        <w:t>October</w:t>
      </w:r>
      <w:r w:rsidR="0064455F">
        <w:rPr>
          <w:b/>
          <w:szCs w:val="24"/>
        </w:rPr>
        <w:t xml:space="preserve"> </w:t>
      </w:r>
      <w:r w:rsidR="003026B4">
        <w:rPr>
          <w:b/>
          <w:szCs w:val="24"/>
        </w:rPr>
        <w:t>1</w:t>
      </w:r>
      <w:r w:rsidR="001349D5">
        <w:rPr>
          <w:b/>
          <w:szCs w:val="24"/>
        </w:rPr>
        <w:t>, 20</w:t>
      </w:r>
      <w:r w:rsidR="006D4C93">
        <w:rPr>
          <w:b/>
          <w:szCs w:val="24"/>
        </w:rPr>
        <w:t>2</w:t>
      </w:r>
      <w:r w:rsidR="003E0FF7">
        <w:rPr>
          <w:b/>
          <w:szCs w:val="24"/>
        </w:rPr>
        <w:t>4</w:t>
      </w:r>
    </w:p>
    <w:p w14:paraId="14AA4CE8" w14:textId="77777777" w:rsidR="002F5868" w:rsidRDefault="002F5868" w:rsidP="00A927C1">
      <w:pPr>
        <w:spacing w:before="360"/>
        <w:jc w:val="center"/>
        <w:rPr>
          <w:b/>
        </w:rPr>
      </w:pPr>
    </w:p>
    <w:p w14:paraId="64551AA6" w14:textId="77777777" w:rsidR="002F5868" w:rsidRDefault="002F5868">
      <w:pPr>
        <w:pBdr>
          <w:top w:val="single" w:sz="4" w:space="1" w:color="auto"/>
        </w:pBdr>
        <w:rPr>
          <w:b/>
          <w:sz w:val="20"/>
        </w:rPr>
      </w:pPr>
    </w:p>
    <w:p w14:paraId="2FEC3F40" w14:textId="77777777" w:rsidR="002F5868" w:rsidRDefault="002F5868" w:rsidP="002E5F2C">
      <w:pPr>
        <w:pStyle w:val="TOC1"/>
      </w:pPr>
    </w:p>
    <w:p w14:paraId="15435823" w14:textId="77777777" w:rsidR="002F5868" w:rsidRDefault="002F5868" w:rsidP="002E5F2C">
      <w:pPr>
        <w:pStyle w:val="TOC1"/>
        <w:sectPr w:rsidR="002F5868">
          <w:headerReference w:type="default" r:id="rId8"/>
          <w:footerReference w:type="default" r:id="rId9"/>
          <w:headerReference w:type="first" r:id="rId10"/>
          <w:footerReference w:type="first" r:id="rId11"/>
          <w:pgSz w:w="12240" w:h="15840" w:code="1"/>
          <w:pgMar w:top="1440" w:right="1440" w:bottom="1440" w:left="1440" w:header="720" w:footer="720" w:gutter="0"/>
          <w:pgNumType w:start="1" w:chapStyle="1"/>
          <w:cols w:space="720"/>
          <w:titlePg/>
        </w:sectPr>
      </w:pPr>
    </w:p>
    <w:p w14:paraId="6E892EEE" w14:textId="142290E7" w:rsidR="008F5C1F" w:rsidRDefault="00B10807">
      <w:pPr>
        <w:pStyle w:val="TOC1"/>
        <w:rPr>
          <w:rFonts w:asciiTheme="minorHAnsi" w:eastAsiaTheme="minorEastAsia" w:hAnsiTheme="minorHAnsi" w:cstheme="minorBidi"/>
          <w:b w:val="0"/>
          <w:bCs w:val="0"/>
          <w:sz w:val="22"/>
          <w:szCs w:val="22"/>
        </w:rPr>
      </w:pPr>
      <w:r w:rsidRPr="002E5F2C">
        <w:rPr>
          <w:iCs/>
        </w:rPr>
        <w:lastRenderedPageBreak/>
        <w:fldChar w:fldCharType="begin"/>
      </w:r>
      <w:r w:rsidR="005E554F" w:rsidRPr="002E5F2C">
        <w:rPr>
          <w:iCs/>
        </w:rPr>
        <w:instrText xml:space="preserve"> TOC \o "1-5" \h \z \u </w:instrText>
      </w:r>
      <w:r w:rsidRPr="002E5F2C">
        <w:rPr>
          <w:iCs/>
        </w:rPr>
        <w:fldChar w:fldCharType="separate"/>
      </w:r>
      <w:hyperlink w:anchor="_Toc80175234" w:history="1">
        <w:r w:rsidR="008F5C1F" w:rsidRPr="008A69B1">
          <w:rPr>
            <w:rStyle w:val="Hyperlink"/>
          </w:rPr>
          <w:t>9</w:t>
        </w:r>
        <w:r w:rsidR="008F5C1F">
          <w:rPr>
            <w:rFonts w:asciiTheme="minorHAnsi" w:eastAsiaTheme="minorEastAsia" w:hAnsiTheme="minorHAnsi" w:cstheme="minorBidi"/>
            <w:b w:val="0"/>
            <w:bCs w:val="0"/>
            <w:sz w:val="22"/>
            <w:szCs w:val="22"/>
          </w:rPr>
          <w:tab/>
        </w:r>
        <w:r w:rsidR="008F5C1F" w:rsidRPr="008A69B1">
          <w:rPr>
            <w:rStyle w:val="Hyperlink"/>
          </w:rPr>
          <w:t>SETTLEMENT AND BILLING</w:t>
        </w:r>
        <w:r w:rsidR="008F5C1F">
          <w:rPr>
            <w:webHidden/>
          </w:rPr>
          <w:tab/>
        </w:r>
        <w:r w:rsidR="008F5C1F">
          <w:rPr>
            <w:webHidden/>
          </w:rPr>
          <w:fldChar w:fldCharType="begin"/>
        </w:r>
        <w:r w:rsidR="008F5C1F">
          <w:rPr>
            <w:webHidden/>
          </w:rPr>
          <w:instrText xml:space="preserve"> PAGEREF _Toc80175234 \h </w:instrText>
        </w:r>
        <w:r w:rsidR="008F5C1F">
          <w:rPr>
            <w:webHidden/>
          </w:rPr>
        </w:r>
        <w:r w:rsidR="008F5C1F">
          <w:rPr>
            <w:webHidden/>
          </w:rPr>
          <w:fldChar w:fldCharType="separate"/>
        </w:r>
        <w:r w:rsidR="00ED3BE3">
          <w:rPr>
            <w:webHidden/>
          </w:rPr>
          <w:t>9-1</w:t>
        </w:r>
        <w:r w:rsidR="008F5C1F">
          <w:rPr>
            <w:webHidden/>
          </w:rPr>
          <w:fldChar w:fldCharType="end"/>
        </w:r>
      </w:hyperlink>
    </w:p>
    <w:p w14:paraId="1FDA568D" w14:textId="3B49B58F" w:rsidR="008F5C1F" w:rsidRPr="002A739E" w:rsidRDefault="00ED3BE3">
      <w:pPr>
        <w:pStyle w:val="TOC2"/>
        <w:rPr>
          <w:rFonts w:eastAsiaTheme="minorEastAsia"/>
          <w:noProof/>
        </w:rPr>
      </w:pPr>
      <w:hyperlink w:anchor="_Toc80175235" w:history="1">
        <w:r w:rsidR="008F5C1F" w:rsidRPr="002A739E">
          <w:rPr>
            <w:rStyle w:val="Hyperlink"/>
            <w:noProof/>
          </w:rPr>
          <w:t>9.1</w:t>
        </w:r>
        <w:r w:rsidR="008F5C1F" w:rsidRPr="002A739E">
          <w:rPr>
            <w:rFonts w:eastAsiaTheme="minorEastAsia"/>
            <w:noProof/>
          </w:rPr>
          <w:tab/>
        </w:r>
        <w:r w:rsidR="008F5C1F" w:rsidRPr="002A739E">
          <w:rPr>
            <w:rStyle w:val="Hyperlink"/>
            <w:noProof/>
          </w:rPr>
          <w:t>General</w:t>
        </w:r>
        <w:r w:rsidR="008F5C1F" w:rsidRPr="002A739E">
          <w:rPr>
            <w:noProof/>
            <w:webHidden/>
          </w:rPr>
          <w:tab/>
        </w:r>
        <w:r w:rsidR="008F5C1F" w:rsidRPr="002A739E">
          <w:rPr>
            <w:noProof/>
            <w:webHidden/>
          </w:rPr>
          <w:fldChar w:fldCharType="begin"/>
        </w:r>
        <w:r w:rsidR="008F5C1F" w:rsidRPr="002A739E">
          <w:rPr>
            <w:noProof/>
            <w:webHidden/>
          </w:rPr>
          <w:instrText xml:space="preserve"> PAGEREF _Toc80175235 \h </w:instrText>
        </w:r>
        <w:r w:rsidR="008F5C1F" w:rsidRPr="002A739E">
          <w:rPr>
            <w:noProof/>
            <w:webHidden/>
          </w:rPr>
        </w:r>
        <w:r w:rsidR="008F5C1F" w:rsidRPr="002A739E">
          <w:rPr>
            <w:noProof/>
            <w:webHidden/>
          </w:rPr>
          <w:fldChar w:fldCharType="separate"/>
        </w:r>
        <w:r>
          <w:rPr>
            <w:noProof/>
            <w:webHidden/>
          </w:rPr>
          <w:t>9-1</w:t>
        </w:r>
        <w:r w:rsidR="008F5C1F" w:rsidRPr="002A739E">
          <w:rPr>
            <w:noProof/>
            <w:webHidden/>
          </w:rPr>
          <w:fldChar w:fldCharType="end"/>
        </w:r>
      </w:hyperlink>
    </w:p>
    <w:p w14:paraId="16371CE4" w14:textId="1AA7C964" w:rsidR="008F5C1F" w:rsidRPr="002A739E" w:rsidRDefault="00ED3BE3">
      <w:pPr>
        <w:pStyle w:val="TOC3"/>
        <w:rPr>
          <w:rFonts w:eastAsiaTheme="minorEastAsia"/>
          <w:i w:val="0"/>
          <w:iCs w:val="0"/>
          <w:noProof/>
        </w:rPr>
      </w:pPr>
      <w:hyperlink w:anchor="_Toc80175236" w:history="1">
        <w:r w:rsidR="008F5C1F" w:rsidRPr="002A739E">
          <w:rPr>
            <w:rStyle w:val="Hyperlink"/>
            <w:i w:val="0"/>
            <w:iCs w:val="0"/>
            <w:noProof/>
          </w:rPr>
          <w:t>9.1.1</w:t>
        </w:r>
        <w:r w:rsidR="008F5C1F" w:rsidRPr="002A739E">
          <w:rPr>
            <w:rFonts w:eastAsiaTheme="minorEastAsia"/>
            <w:i w:val="0"/>
            <w:iCs w:val="0"/>
            <w:noProof/>
          </w:rPr>
          <w:tab/>
        </w:r>
        <w:r w:rsidR="008F5C1F" w:rsidRPr="002A739E">
          <w:rPr>
            <w:rStyle w:val="Hyperlink"/>
            <w:i w:val="0"/>
            <w:iCs w:val="0"/>
            <w:noProof/>
          </w:rPr>
          <w:t>Settlement and Billing Process Overview</w:t>
        </w:r>
        <w:r w:rsidR="008F5C1F" w:rsidRPr="002A739E">
          <w:rPr>
            <w:i w:val="0"/>
            <w:iCs w:val="0"/>
            <w:noProof/>
            <w:webHidden/>
          </w:rPr>
          <w:tab/>
        </w:r>
        <w:r w:rsidR="008F5C1F" w:rsidRPr="002A739E">
          <w:rPr>
            <w:i w:val="0"/>
            <w:iCs w:val="0"/>
            <w:noProof/>
            <w:webHidden/>
          </w:rPr>
          <w:fldChar w:fldCharType="begin"/>
        </w:r>
        <w:r w:rsidR="008F5C1F" w:rsidRPr="002A739E">
          <w:rPr>
            <w:i w:val="0"/>
            <w:iCs w:val="0"/>
            <w:noProof/>
            <w:webHidden/>
          </w:rPr>
          <w:instrText xml:space="preserve"> PAGEREF _Toc80175236 \h </w:instrText>
        </w:r>
        <w:r w:rsidR="008F5C1F" w:rsidRPr="002A739E">
          <w:rPr>
            <w:i w:val="0"/>
            <w:iCs w:val="0"/>
            <w:noProof/>
            <w:webHidden/>
          </w:rPr>
        </w:r>
        <w:r w:rsidR="008F5C1F" w:rsidRPr="002A739E">
          <w:rPr>
            <w:i w:val="0"/>
            <w:iCs w:val="0"/>
            <w:noProof/>
            <w:webHidden/>
          </w:rPr>
          <w:fldChar w:fldCharType="separate"/>
        </w:r>
        <w:r>
          <w:rPr>
            <w:i w:val="0"/>
            <w:iCs w:val="0"/>
            <w:noProof/>
            <w:webHidden/>
          </w:rPr>
          <w:t>9-1</w:t>
        </w:r>
        <w:r w:rsidR="008F5C1F" w:rsidRPr="002A739E">
          <w:rPr>
            <w:i w:val="0"/>
            <w:iCs w:val="0"/>
            <w:noProof/>
            <w:webHidden/>
          </w:rPr>
          <w:fldChar w:fldCharType="end"/>
        </w:r>
      </w:hyperlink>
    </w:p>
    <w:p w14:paraId="5B5C1D1C" w14:textId="1B5DAD36" w:rsidR="008F5C1F" w:rsidRPr="002A739E" w:rsidRDefault="00ED3BE3">
      <w:pPr>
        <w:pStyle w:val="TOC3"/>
        <w:rPr>
          <w:rFonts w:eastAsiaTheme="minorEastAsia"/>
          <w:i w:val="0"/>
          <w:iCs w:val="0"/>
          <w:noProof/>
        </w:rPr>
      </w:pPr>
      <w:hyperlink w:anchor="_Toc80175237" w:history="1">
        <w:r w:rsidR="008F5C1F" w:rsidRPr="002A739E">
          <w:rPr>
            <w:rStyle w:val="Hyperlink"/>
            <w:i w:val="0"/>
            <w:iCs w:val="0"/>
            <w:noProof/>
          </w:rPr>
          <w:t>9.1.2</w:t>
        </w:r>
        <w:r w:rsidR="008F5C1F" w:rsidRPr="002A739E">
          <w:rPr>
            <w:rFonts w:eastAsiaTheme="minorEastAsia"/>
            <w:i w:val="0"/>
            <w:iCs w:val="0"/>
            <w:noProof/>
          </w:rPr>
          <w:tab/>
        </w:r>
        <w:r w:rsidR="008F5C1F" w:rsidRPr="002A739E">
          <w:rPr>
            <w:rStyle w:val="Hyperlink"/>
            <w:i w:val="0"/>
            <w:iCs w:val="0"/>
            <w:noProof/>
          </w:rPr>
          <w:t>Settlement Calendar</w:t>
        </w:r>
        <w:r w:rsidR="008F5C1F" w:rsidRPr="002A739E">
          <w:rPr>
            <w:i w:val="0"/>
            <w:iCs w:val="0"/>
            <w:noProof/>
            <w:webHidden/>
          </w:rPr>
          <w:tab/>
        </w:r>
        <w:r w:rsidR="008F5C1F" w:rsidRPr="002A739E">
          <w:rPr>
            <w:i w:val="0"/>
            <w:iCs w:val="0"/>
            <w:noProof/>
            <w:webHidden/>
          </w:rPr>
          <w:fldChar w:fldCharType="begin"/>
        </w:r>
        <w:r w:rsidR="008F5C1F" w:rsidRPr="002A739E">
          <w:rPr>
            <w:i w:val="0"/>
            <w:iCs w:val="0"/>
            <w:noProof/>
            <w:webHidden/>
          </w:rPr>
          <w:instrText xml:space="preserve"> PAGEREF _Toc80175237 \h </w:instrText>
        </w:r>
        <w:r w:rsidR="008F5C1F" w:rsidRPr="002A739E">
          <w:rPr>
            <w:i w:val="0"/>
            <w:iCs w:val="0"/>
            <w:noProof/>
            <w:webHidden/>
          </w:rPr>
        </w:r>
        <w:r w:rsidR="008F5C1F" w:rsidRPr="002A739E">
          <w:rPr>
            <w:i w:val="0"/>
            <w:iCs w:val="0"/>
            <w:noProof/>
            <w:webHidden/>
          </w:rPr>
          <w:fldChar w:fldCharType="separate"/>
        </w:r>
        <w:r>
          <w:rPr>
            <w:i w:val="0"/>
            <w:iCs w:val="0"/>
            <w:noProof/>
            <w:webHidden/>
          </w:rPr>
          <w:t>9-1</w:t>
        </w:r>
        <w:r w:rsidR="008F5C1F" w:rsidRPr="002A739E">
          <w:rPr>
            <w:i w:val="0"/>
            <w:iCs w:val="0"/>
            <w:noProof/>
            <w:webHidden/>
          </w:rPr>
          <w:fldChar w:fldCharType="end"/>
        </w:r>
      </w:hyperlink>
    </w:p>
    <w:p w14:paraId="77D5A38B" w14:textId="7EFD2A34" w:rsidR="008F5C1F" w:rsidRPr="002A739E" w:rsidRDefault="00ED3BE3">
      <w:pPr>
        <w:pStyle w:val="TOC3"/>
        <w:rPr>
          <w:rFonts w:eastAsiaTheme="minorEastAsia"/>
          <w:i w:val="0"/>
          <w:iCs w:val="0"/>
          <w:noProof/>
        </w:rPr>
      </w:pPr>
      <w:hyperlink w:anchor="_Toc80175238" w:history="1">
        <w:r w:rsidR="008F5C1F" w:rsidRPr="002A739E">
          <w:rPr>
            <w:rStyle w:val="Hyperlink"/>
            <w:i w:val="0"/>
            <w:iCs w:val="0"/>
            <w:noProof/>
          </w:rPr>
          <w:t>9.1.3</w:t>
        </w:r>
        <w:r w:rsidR="008F5C1F" w:rsidRPr="002A739E">
          <w:rPr>
            <w:rFonts w:eastAsiaTheme="minorEastAsia"/>
            <w:i w:val="0"/>
            <w:iCs w:val="0"/>
            <w:noProof/>
          </w:rPr>
          <w:tab/>
        </w:r>
        <w:r w:rsidR="008F5C1F" w:rsidRPr="002A739E">
          <w:rPr>
            <w:rStyle w:val="Hyperlink"/>
            <w:i w:val="0"/>
            <w:iCs w:val="0"/>
            <w:noProof/>
          </w:rPr>
          <w:t>Settlement Statement and Invoice Access</w:t>
        </w:r>
        <w:r w:rsidR="008F5C1F" w:rsidRPr="002A739E">
          <w:rPr>
            <w:i w:val="0"/>
            <w:iCs w:val="0"/>
            <w:noProof/>
            <w:webHidden/>
          </w:rPr>
          <w:tab/>
        </w:r>
        <w:r w:rsidR="008F5C1F" w:rsidRPr="002A739E">
          <w:rPr>
            <w:i w:val="0"/>
            <w:iCs w:val="0"/>
            <w:noProof/>
            <w:webHidden/>
          </w:rPr>
          <w:fldChar w:fldCharType="begin"/>
        </w:r>
        <w:r w:rsidR="008F5C1F" w:rsidRPr="002A739E">
          <w:rPr>
            <w:i w:val="0"/>
            <w:iCs w:val="0"/>
            <w:noProof/>
            <w:webHidden/>
          </w:rPr>
          <w:instrText xml:space="preserve"> PAGEREF _Toc80175238 \h </w:instrText>
        </w:r>
        <w:r w:rsidR="008F5C1F" w:rsidRPr="002A739E">
          <w:rPr>
            <w:i w:val="0"/>
            <w:iCs w:val="0"/>
            <w:noProof/>
            <w:webHidden/>
          </w:rPr>
        </w:r>
        <w:r w:rsidR="008F5C1F" w:rsidRPr="002A739E">
          <w:rPr>
            <w:i w:val="0"/>
            <w:iCs w:val="0"/>
            <w:noProof/>
            <w:webHidden/>
          </w:rPr>
          <w:fldChar w:fldCharType="separate"/>
        </w:r>
        <w:r>
          <w:rPr>
            <w:i w:val="0"/>
            <w:iCs w:val="0"/>
            <w:noProof/>
            <w:webHidden/>
          </w:rPr>
          <w:t>9-2</w:t>
        </w:r>
        <w:r w:rsidR="008F5C1F" w:rsidRPr="002A739E">
          <w:rPr>
            <w:i w:val="0"/>
            <w:iCs w:val="0"/>
            <w:noProof/>
            <w:webHidden/>
          </w:rPr>
          <w:fldChar w:fldCharType="end"/>
        </w:r>
      </w:hyperlink>
    </w:p>
    <w:p w14:paraId="59F00CAC" w14:textId="36E884EF" w:rsidR="008F5C1F" w:rsidRPr="002A739E" w:rsidRDefault="00ED3BE3">
      <w:pPr>
        <w:pStyle w:val="TOC3"/>
        <w:rPr>
          <w:rFonts w:eastAsiaTheme="minorEastAsia"/>
          <w:i w:val="0"/>
          <w:iCs w:val="0"/>
          <w:noProof/>
        </w:rPr>
      </w:pPr>
      <w:hyperlink w:anchor="_Toc80175239" w:history="1">
        <w:r w:rsidR="008F5C1F" w:rsidRPr="002A739E">
          <w:rPr>
            <w:rStyle w:val="Hyperlink"/>
            <w:i w:val="0"/>
            <w:iCs w:val="0"/>
            <w:noProof/>
          </w:rPr>
          <w:t>9.1.4</w:t>
        </w:r>
        <w:r w:rsidR="008F5C1F" w:rsidRPr="002A739E">
          <w:rPr>
            <w:rFonts w:eastAsiaTheme="minorEastAsia"/>
            <w:i w:val="0"/>
            <w:iCs w:val="0"/>
            <w:noProof/>
          </w:rPr>
          <w:tab/>
        </w:r>
        <w:r w:rsidR="008F5C1F" w:rsidRPr="002A739E">
          <w:rPr>
            <w:rStyle w:val="Hyperlink"/>
            <w:i w:val="0"/>
            <w:iCs w:val="0"/>
            <w:noProof/>
          </w:rPr>
          <w:t>Settlement Statement and Invoice Timing</w:t>
        </w:r>
        <w:r w:rsidR="008F5C1F" w:rsidRPr="002A739E">
          <w:rPr>
            <w:i w:val="0"/>
            <w:iCs w:val="0"/>
            <w:noProof/>
            <w:webHidden/>
          </w:rPr>
          <w:tab/>
        </w:r>
        <w:r w:rsidR="008F5C1F" w:rsidRPr="002A739E">
          <w:rPr>
            <w:i w:val="0"/>
            <w:iCs w:val="0"/>
            <w:noProof/>
            <w:webHidden/>
          </w:rPr>
          <w:fldChar w:fldCharType="begin"/>
        </w:r>
        <w:r w:rsidR="008F5C1F" w:rsidRPr="002A739E">
          <w:rPr>
            <w:i w:val="0"/>
            <w:iCs w:val="0"/>
            <w:noProof/>
            <w:webHidden/>
          </w:rPr>
          <w:instrText xml:space="preserve"> PAGEREF _Toc80175239 \h </w:instrText>
        </w:r>
        <w:r w:rsidR="008F5C1F" w:rsidRPr="002A739E">
          <w:rPr>
            <w:i w:val="0"/>
            <w:iCs w:val="0"/>
            <w:noProof/>
            <w:webHidden/>
          </w:rPr>
        </w:r>
        <w:r w:rsidR="008F5C1F" w:rsidRPr="002A739E">
          <w:rPr>
            <w:i w:val="0"/>
            <w:iCs w:val="0"/>
            <w:noProof/>
            <w:webHidden/>
          </w:rPr>
          <w:fldChar w:fldCharType="separate"/>
        </w:r>
        <w:r>
          <w:rPr>
            <w:i w:val="0"/>
            <w:iCs w:val="0"/>
            <w:noProof/>
            <w:webHidden/>
          </w:rPr>
          <w:t>9-3</w:t>
        </w:r>
        <w:r w:rsidR="008F5C1F" w:rsidRPr="002A739E">
          <w:rPr>
            <w:i w:val="0"/>
            <w:iCs w:val="0"/>
            <w:noProof/>
            <w:webHidden/>
          </w:rPr>
          <w:fldChar w:fldCharType="end"/>
        </w:r>
      </w:hyperlink>
    </w:p>
    <w:p w14:paraId="69230204" w14:textId="0070A74D" w:rsidR="008F5C1F" w:rsidRPr="002A739E" w:rsidRDefault="00ED3BE3">
      <w:pPr>
        <w:pStyle w:val="TOC3"/>
        <w:rPr>
          <w:rFonts w:eastAsiaTheme="minorEastAsia"/>
          <w:i w:val="0"/>
          <w:iCs w:val="0"/>
          <w:noProof/>
        </w:rPr>
      </w:pPr>
      <w:hyperlink w:anchor="_Toc80175240" w:history="1">
        <w:r w:rsidR="008F5C1F" w:rsidRPr="002A739E">
          <w:rPr>
            <w:rStyle w:val="Hyperlink"/>
            <w:i w:val="0"/>
            <w:iCs w:val="0"/>
            <w:noProof/>
          </w:rPr>
          <w:t>9.1.5</w:t>
        </w:r>
        <w:r w:rsidR="008F5C1F" w:rsidRPr="002A739E">
          <w:rPr>
            <w:rFonts w:eastAsiaTheme="minorEastAsia"/>
            <w:i w:val="0"/>
            <w:iCs w:val="0"/>
            <w:noProof/>
          </w:rPr>
          <w:tab/>
        </w:r>
        <w:r w:rsidR="008F5C1F" w:rsidRPr="002A739E">
          <w:rPr>
            <w:rStyle w:val="Hyperlink"/>
            <w:i w:val="0"/>
            <w:iCs w:val="0"/>
            <w:noProof/>
          </w:rPr>
          <w:t>Settlement Payment Convention</w:t>
        </w:r>
        <w:r w:rsidR="008F5C1F" w:rsidRPr="002A739E">
          <w:rPr>
            <w:i w:val="0"/>
            <w:iCs w:val="0"/>
            <w:noProof/>
            <w:webHidden/>
          </w:rPr>
          <w:tab/>
        </w:r>
        <w:r w:rsidR="008F5C1F" w:rsidRPr="002A739E">
          <w:rPr>
            <w:i w:val="0"/>
            <w:iCs w:val="0"/>
            <w:noProof/>
            <w:webHidden/>
          </w:rPr>
          <w:fldChar w:fldCharType="begin"/>
        </w:r>
        <w:r w:rsidR="008F5C1F" w:rsidRPr="002A739E">
          <w:rPr>
            <w:i w:val="0"/>
            <w:iCs w:val="0"/>
            <w:noProof/>
            <w:webHidden/>
          </w:rPr>
          <w:instrText xml:space="preserve"> PAGEREF _Toc80175240 \h </w:instrText>
        </w:r>
        <w:r w:rsidR="008F5C1F" w:rsidRPr="002A739E">
          <w:rPr>
            <w:i w:val="0"/>
            <w:iCs w:val="0"/>
            <w:noProof/>
            <w:webHidden/>
          </w:rPr>
        </w:r>
        <w:r w:rsidR="008F5C1F" w:rsidRPr="002A739E">
          <w:rPr>
            <w:i w:val="0"/>
            <w:iCs w:val="0"/>
            <w:noProof/>
            <w:webHidden/>
          </w:rPr>
          <w:fldChar w:fldCharType="separate"/>
        </w:r>
        <w:r>
          <w:rPr>
            <w:i w:val="0"/>
            <w:iCs w:val="0"/>
            <w:noProof/>
            <w:webHidden/>
          </w:rPr>
          <w:t>9-3</w:t>
        </w:r>
        <w:r w:rsidR="008F5C1F" w:rsidRPr="002A739E">
          <w:rPr>
            <w:i w:val="0"/>
            <w:iCs w:val="0"/>
            <w:noProof/>
            <w:webHidden/>
          </w:rPr>
          <w:fldChar w:fldCharType="end"/>
        </w:r>
      </w:hyperlink>
    </w:p>
    <w:p w14:paraId="7F1143FE" w14:textId="4D2A379B" w:rsidR="008F5C1F" w:rsidRPr="002A739E" w:rsidRDefault="00ED3BE3">
      <w:pPr>
        <w:pStyle w:val="TOC2"/>
        <w:rPr>
          <w:rFonts w:eastAsiaTheme="minorEastAsia"/>
          <w:noProof/>
        </w:rPr>
      </w:pPr>
      <w:hyperlink w:anchor="_Toc80175241" w:history="1">
        <w:r w:rsidR="008F5C1F" w:rsidRPr="002A739E">
          <w:rPr>
            <w:rStyle w:val="Hyperlink"/>
            <w:noProof/>
          </w:rPr>
          <w:t>9.2</w:t>
        </w:r>
        <w:r w:rsidR="008F5C1F" w:rsidRPr="002A739E">
          <w:rPr>
            <w:rFonts w:eastAsiaTheme="minorEastAsia"/>
            <w:noProof/>
          </w:rPr>
          <w:tab/>
        </w:r>
        <w:r w:rsidR="008F5C1F" w:rsidRPr="002A739E">
          <w:rPr>
            <w:rStyle w:val="Hyperlink"/>
            <w:noProof/>
          </w:rPr>
          <w:t>Settlement Statements for the Day-Ahead Market</w:t>
        </w:r>
        <w:r w:rsidR="008F5C1F" w:rsidRPr="002A739E">
          <w:rPr>
            <w:noProof/>
            <w:webHidden/>
          </w:rPr>
          <w:tab/>
        </w:r>
        <w:r w:rsidR="008F5C1F" w:rsidRPr="002A739E">
          <w:rPr>
            <w:noProof/>
            <w:webHidden/>
          </w:rPr>
          <w:fldChar w:fldCharType="begin"/>
        </w:r>
        <w:r w:rsidR="008F5C1F" w:rsidRPr="002A739E">
          <w:rPr>
            <w:noProof/>
            <w:webHidden/>
          </w:rPr>
          <w:instrText xml:space="preserve"> PAGEREF _Toc80175241 \h </w:instrText>
        </w:r>
        <w:r w:rsidR="008F5C1F" w:rsidRPr="002A739E">
          <w:rPr>
            <w:noProof/>
            <w:webHidden/>
          </w:rPr>
        </w:r>
        <w:r w:rsidR="008F5C1F" w:rsidRPr="002A739E">
          <w:rPr>
            <w:noProof/>
            <w:webHidden/>
          </w:rPr>
          <w:fldChar w:fldCharType="separate"/>
        </w:r>
        <w:r>
          <w:rPr>
            <w:noProof/>
            <w:webHidden/>
          </w:rPr>
          <w:t>9-3</w:t>
        </w:r>
        <w:r w:rsidR="008F5C1F" w:rsidRPr="002A739E">
          <w:rPr>
            <w:noProof/>
            <w:webHidden/>
          </w:rPr>
          <w:fldChar w:fldCharType="end"/>
        </w:r>
      </w:hyperlink>
    </w:p>
    <w:p w14:paraId="546A60BB" w14:textId="050F8A0A" w:rsidR="008F5C1F" w:rsidRPr="002A739E" w:rsidRDefault="00ED3BE3">
      <w:pPr>
        <w:pStyle w:val="TOC3"/>
        <w:rPr>
          <w:rFonts w:eastAsiaTheme="minorEastAsia"/>
          <w:i w:val="0"/>
          <w:iCs w:val="0"/>
          <w:noProof/>
        </w:rPr>
      </w:pPr>
      <w:hyperlink w:anchor="_Toc80175242" w:history="1">
        <w:r w:rsidR="008F5C1F" w:rsidRPr="002A739E">
          <w:rPr>
            <w:rStyle w:val="Hyperlink"/>
            <w:i w:val="0"/>
            <w:iCs w:val="0"/>
            <w:noProof/>
          </w:rPr>
          <w:t>9.2.1</w:t>
        </w:r>
        <w:r w:rsidR="008F5C1F" w:rsidRPr="002A739E">
          <w:rPr>
            <w:rFonts w:eastAsiaTheme="minorEastAsia"/>
            <w:i w:val="0"/>
            <w:iCs w:val="0"/>
            <w:noProof/>
          </w:rPr>
          <w:tab/>
        </w:r>
        <w:r w:rsidR="008F5C1F" w:rsidRPr="002A739E">
          <w:rPr>
            <w:rStyle w:val="Hyperlink"/>
            <w:i w:val="0"/>
            <w:iCs w:val="0"/>
            <w:noProof/>
          </w:rPr>
          <w:t>Settlement Statement Process for the DAM</w:t>
        </w:r>
        <w:r w:rsidR="008F5C1F" w:rsidRPr="002A739E">
          <w:rPr>
            <w:i w:val="0"/>
            <w:iCs w:val="0"/>
            <w:noProof/>
            <w:webHidden/>
          </w:rPr>
          <w:tab/>
        </w:r>
        <w:r w:rsidR="008F5C1F" w:rsidRPr="002A739E">
          <w:rPr>
            <w:i w:val="0"/>
            <w:iCs w:val="0"/>
            <w:noProof/>
            <w:webHidden/>
          </w:rPr>
          <w:fldChar w:fldCharType="begin"/>
        </w:r>
        <w:r w:rsidR="008F5C1F" w:rsidRPr="002A739E">
          <w:rPr>
            <w:i w:val="0"/>
            <w:iCs w:val="0"/>
            <w:noProof/>
            <w:webHidden/>
          </w:rPr>
          <w:instrText xml:space="preserve"> PAGEREF _Toc80175242 \h </w:instrText>
        </w:r>
        <w:r w:rsidR="008F5C1F" w:rsidRPr="002A739E">
          <w:rPr>
            <w:i w:val="0"/>
            <w:iCs w:val="0"/>
            <w:noProof/>
            <w:webHidden/>
          </w:rPr>
        </w:r>
        <w:r w:rsidR="008F5C1F" w:rsidRPr="002A739E">
          <w:rPr>
            <w:i w:val="0"/>
            <w:iCs w:val="0"/>
            <w:noProof/>
            <w:webHidden/>
          </w:rPr>
          <w:fldChar w:fldCharType="separate"/>
        </w:r>
        <w:r>
          <w:rPr>
            <w:i w:val="0"/>
            <w:iCs w:val="0"/>
            <w:noProof/>
            <w:webHidden/>
          </w:rPr>
          <w:t>9-3</w:t>
        </w:r>
        <w:r w:rsidR="008F5C1F" w:rsidRPr="002A739E">
          <w:rPr>
            <w:i w:val="0"/>
            <w:iCs w:val="0"/>
            <w:noProof/>
            <w:webHidden/>
          </w:rPr>
          <w:fldChar w:fldCharType="end"/>
        </w:r>
      </w:hyperlink>
    </w:p>
    <w:p w14:paraId="100DD0B6" w14:textId="7161045F" w:rsidR="008F5C1F" w:rsidRPr="002A739E" w:rsidRDefault="00ED3BE3">
      <w:pPr>
        <w:pStyle w:val="TOC3"/>
        <w:rPr>
          <w:rFonts w:eastAsiaTheme="minorEastAsia"/>
          <w:i w:val="0"/>
          <w:iCs w:val="0"/>
          <w:noProof/>
        </w:rPr>
      </w:pPr>
      <w:hyperlink w:anchor="_Toc80175243" w:history="1">
        <w:r w:rsidR="008F5C1F" w:rsidRPr="002A739E">
          <w:rPr>
            <w:rStyle w:val="Hyperlink"/>
            <w:i w:val="0"/>
            <w:iCs w:val="0"/>
            <w:noProof/>
          </w:rPr>
          <w:t>9.2.2</w:t>
        </w:r>
        <w:r w:rsidR="008F5C1F" w:rsidRPr="002A739E">
          <w:rPr>
            <w:rFonts w:eastAsiaTheme="minorEastAsia"/>
            <w:i w:val="0"/>
            <w:iCs w:val="0"/>
            <w:noProof/>
          </w:rPr>
          <w:tab/>
        </w:r>
        <w:r w:rsidR="008F5C1F" w:rsidRPr="002A739E">
          <w:rPr>
            <w:rStyle w:val="Hyperlink"/>
            <w:i w:val="0"/>
            <w:iCs w:val="0"/>
            <w:noProof/>
          </w:rPr>
          <w:t xml:space="preserve"> Settlement Statements for the DAM</w:t>
        </w:r>
        <w:r w:rsidR="008F5C1F" w:rsidRPr="002A739E">
          <w:rPr>
            <w:i w:val="0"/>
            <w:iCs w:val="0"/>
            <w:noProof/>
            <w:webHidden/>
          </w:rPr>
          <w:tab/>
        </w:r>
        <w:r w:rsidR="008F5C1F" w:rsidRPr="002A739E">
          <w:rPr>
            <w:i w:val="0"/>
            <w:iCs w:val="0"/>
            <w:noProof/>
            <w:webHidden/>
          </w:rPr>
          <w:fldChar w:fldCharType="begin"/>
        </w:r>
        <w:r w:rsidR="008F5C1F" w:rsidRPr="002A739E">
          <w:rPr>
            <w:i w:val="0"/>
            <w:iCs w:val="0"/>
            <w:noProof/>
            <w:webHidden/>
          </w:rPr>
          <w:instrText xml:space="preserve"> PAGEREF _Toc80175243 \h </w:instrText>
        </w:r>
        <w:r w:rsidR="008F5C1F" w:rsidRPr="002A739E">
          <w:rPr>
            <w:i w:val="0"/>
            <w:iCs w:val="0"/>
            <w:noProof/>
            <w:webHidden/>
          </w:rPr>
        </w:r>
        <w:r w:rsidR="008F5C1F" w:rsidRPr="002A739E">
          <w:rPr>
            <w:i w:val="0"/>
            <w:iCs w:val="0"/>
            <w:noProof/>
            <w:webHidden/>
          </w:rPr>
          <w:fldChar w:fldCharType="separate"/>
        </w:r>
        <w:r>
          <w:rPr>
            <w:i w:val="0"/>
            <w:iCs w:val="0"/>
            <w:noProof/>
            <w:webHidden/>
          </w:rPr>
          <w:t>9-3</w:t>
        </w:r>
        <w:r w:rsidR="008F5C1F" w:rsidRPr="002A739E">
          <w:rPr>
            <w:i w:val="0"/>
            <w:iCs w:val="0"/>
            <w:noProof/>
            <w:webHidden/>
          </w:rPr>
          <w:fldChar w:fldCharType="end"/>
        </w:r>
      </w:hyperlink>
    </w:p>
    <w:p w14:paraId="7D0C835F" w14:textId="3B5DF09F" w:rsidR="008F5C1F" w:rsidRPr="002A739E" w:rsidRDefault="00ED3BE3">
      <w:pPr>
        <w:pStyle w:val="TOC3"/>
        <w:rPr>
          <w:rFonts w:eastAsiaTheme="minorEastAsia"/>
          <w:i w:val="0"/>
          <w:iCs w:val="0"/>
          <w:noProof/>
        </w:rPr>
      </w:pPr>
      <w:hyperlink w:anchor="_Toc80175244" w:history="1">
        <w:r w:rsidR="008F5C1F" w:rsidRPr="002A739E">
          <w:rPr>
            <w:rStyle w:val="Hyperlink"/>
            <w:i w:val="0"/>
            <w:iCs w:val="0"/>
            <w:noProof/>
          </w:rPr>
          <w:t>9.2.3</w:t>
        </w:r>
        <w:r w:rsidR="008F5C1F" w:rsidRPr="002A739E">
          <w:rPr>
            <w:rFonts w:eastAsiaTheme="minorEastAsia"/>
            <w:i w:val="0"/>
            <w:iCs w:val="0"/>
            <w:noProof/>
          </w:rPr>
          <w:tab/>
        </w:r>
        <w:r w:rsidR="008F5C1F" w:rsidRPr="002A739E">
          <w:rPr>
            <w:rStyle w:val="Hyperlink"/>
            <w:i w:val="0"/>
            <w:iCs w:val="0"/>
            <w:noProof/>
          </w:rPr>
          <w:t>DAM Settlement Charge Types</w:t>
        </w:r>
        <w:r w:rsidR="008F5C1F" w:rsidRPr="002A739E">
          <w:rPr>
            <w:i w:val="0"/>
            <w:iCs w:val="0"/>
            <w:noProof/>
            <w:webHidden/>
          </w:rPr>
          <w:tab/>
        </w:r>
        <w:r w:rsidR="008F5C1F" w:rsidRPr="002A739E">
          <w:rPr>
            <w:i w:val="0"/>
            <w:iCs w:val="0"/>
            <w:noProof/>
            <w:webHidden/>
          </w:rPr>
          <w:fldChar w:fldCharType="begin"/>
        </w:r>
        <w:r w:rsidR="008F5C1F" w:rsidRPr="002A739E">
          <w:rPr>
            <w:i w:val="0"/>
            <w:iCs w:val="0"/>
            <w:noProof/>
            <w:webHidden/>
          </w:rPr>
          <w:instrText xml:space="preserve"> PAGEREF _Toc80175244 \h </w:instrText>
        </w:r>
        <w:r w:rsidR="008F5C1F" w:rsidRPr="002A739E">
          <w:rPr>
            <w:i w:val="0"/>
            <w:iCs w:val="0"/>
            <w:noProof/>
            <w:webHidden/>
          </w:rPr>
        </w:r>
        <w:r w:rsidR="008F5C1F" w:rsidRPr="002A739E">
          <w:rPr>
            <w:i w:val="0"/>
            <w:iCs w:val="0"/>
            <w:noProof/>
            <w:webHidden/>
          </w:rPr>
          <w:fldChar w:fldCharType="separate"/>
        </w:r>
        <w:r>
          <w:rPr>
            <w:i w:val="0"/>
            <w:iCs w:val="0"/>
            <w:noProof/>
            <w:webHidden/>
          </w:rPr>
          <w:t>9-4</w:t>
        </w:r>
        <w:r w:rsidR="008F5C1F" w:rsidRPr="002A739E">
          <w:rPr>
            <w:i w:val="0"/>
            <w:iCs w:val="0"/>
            <w:noProof/>
            <w:webHidden/>
          </w:rPr>
          <w:fldChar w:fldCharType="end"/>
        </w:r>
      </w:hyperlink>
    </w:p>
    <w:p w14:paraId="6418C89F" w14:textId="47612227" w:rsidR="008F5C1F" w:rsidRPr="002A739E" w:rsidRDefault="00ED3BE3">
      <w:pPr>
        <w:pStyle w:val="TOC3"/>
        <w:rPr>
          <w:rFonts w:eastAsiaTheme="minorEastAsia"/>
          <w:i w:val="0"/>
          <w:iCs w:val="0"/>
          <w:noProof/>
        </w:rPr>
      </w:pPr>
      <w:hyperlink w:anchor="_Toc80175245" w:history="1">
        <w:r w:rsidR="008F5C1F" w:rsidRPr="002A739E">
          <w:rPr>
            <w:rStyle w:val="Hyperlink"/>
            <w:i w:val="0"/>
            <w:iCs w:val="0"/>
            <w:noProof/>
          </w:rPr>
          <w:t>9.2.4</w:t>
        </w:r>
        <w:r w:rsidR="008F5C1F" w:rsidRPr="002A739E">
          <w:rPr>
            <w:rFonts w:eastAsiaTheme="minorEastAsia"/>
            <w:i w:val="0"/>
            <w:iCs w:val="0"/>
            <w:noProof/>
          </w:rPr>
          <w:tab/>
        </w:r>
        <w:r w:rsidR="008F5C1F" w:rsidRPr="002A739E">
          <w:rPr>
            <w:rStyle w:val="Hyperlink"/>
            <w:i w:val="0"/>
            <w:iCs w:val="0"/>
            <w:noProof/>
          </w:rPr>
          <w:t>DAM Statement</w:t>
        </w:r>
        <w:r w:rsidR="008F5C1F" w:rsidRPr="002A739E">
          <w:rPr>
            <w:i w:val="0"/>
            <w:iCs w:val="0"/>
            <w:noProof/>
            <w:webHidden/>
          </w:rPr>
          <w:tab/>
        </w:r>
        <w:r w:rsidR="008F5C1F" w:rsidRPr="002A739E">
          <w:rPr>
            <w:i w:val="0"/>
            <w:iCs w:val="0"/>
            <w:noProof/>
            <w:webHidden/>
          </w:rPr>
          <w:fldChar w:fldCharType="begin"/>
        </w:r>
        <w:r w:rsidR="008F5C1F" w:rsidRPr="002A739E">
          <w:rPr>
            <w:i w:val="0"/>
            <w:iCs w:val="0"/>
            <w:noProof/>
            <w:webHidden/>
          </w:rPr>
          <w:instrText xml:space="preserve"> PAGEREF _Toc80175245 \h </w:instrText>
        </w:r>
        <w:r w:rsidR="008F5C1F" w:rsidRPr="002A739E">
          <w:rPr>
            <w:i w:val="0"/>
            <w:iCs w:val="0"/>
            <w:noProof/>
            <w:webHidden/>
          </w:rPr>
        </w:r>
        <w:r w:rsidR="008F5C1F" w:rsidRPr="002A739E">
          <w:rPr>
            <w:i w:val="0"/>
            <w:iCs w:val="0"/>
            <w:noProof/>
            <w:webHidden/>
          </w:rPr>
          <w:fldChar w:fldCharType="separate"/>
        </w:r>
        <w:r>
          <w:rPr>
            <w:i w:val="0"/>
            <w:iCs w:val="0"/>
            <w:noProof/>
            <w:webHidden/>
          </w:rPr>
          <w:t>9-5</w:t>
        </w:r>
        <w:r w:rsidR="008F5C1F" w:rsidRPr="002A739E">
          <w:rPr>
            <w:i w:val="0"/>
            <w:iCs w:val="0"/>
            <w:noProof/>
            <w:webHidden/>
          </w:rPr>
          <w:fldChar w:fldCharType="end"/>
        </w:r>
      </w:hyperlink>
    </w:p>
    <w:p w14:paraId="25D5785F" w14:textId="44256D35" w:rsidR="008F5C1F" w:rsidRPr="002A739E" w:rsidRDefault="00ED3BE3">
      <w:pPr>
        <w:pStyle w:val="TOC3"/>
        <w:rPr>
          <w:rFonts w:eastAsiaTheme="minorEastAsia"/>
          <w:i w:val="0"/>
          <w:iCs w:val="0"/>
          <w:noProof/>
        </w:rPr>
      </w:pPr>
      <w:hyperlink w:anchor="_Toc80175246" w:history="1">
        <w:r w:rsidR="008F5C1F" w:rsidRPr="002A739E">
          <w:rPr>
            <w:rStyle w:val="Hyperlink"/>
            <w:i w:val="0"/>
            <w:iCs w:val="0"/>
            <w:noProof/>
          </w:rPr>
          <w:t>9.2.5</w:t>
        </w:r>
        <w:r w:rsidR="008F5C1F" w:rsidRPr="002A739E">
          <w:rPr>
            <w:rFonts w:eastAsiaTheme="minorEastAsia"/>
            <w:i w:val="0"/>
            <w:iCs w:val="0"/>
            <w:noProof/>
          </w:rPr>
          <w:tab/>
        </w:r>
        <w:r w:rsidR="008F5C1F" w:rsidRPr="002A739E">
          <w:rPr>
            <w:rStyle w:val="Hyperlink"/>
            <w:i w:val="0"/>
            <w:iCs w:val="0"/>
            <w:noProof/>
          </w:rPr>
          <w:t>DAM Resettlement Statement</w:t>
        </w:r>
        <w:r w:rsidR="008F5C1F" w:rsidRPr="002A739E">
          <w:rPr>
            <w:i w:val="0"/>
            <w:iCs w:val="0"/>
            <w:noProof/>
            <w:webHidden/>
          </w:rPr>
          <w:tab/>
        </w:r>
        <w:r w:rsidR="008F5C1F" w:rsidRPr="002A739E">
          <w:rPr>
            <w:i w:val="0"/>
            <w:iCs w:val="0"/>
            <w:noProof/>
            <w:webHidden/>
          </w:rPr>
          <w:fldChar w:fldCharType="begin"/>
        </w:r>
        <w:r w:rsidR="008F5C1F" w:rsidRPr="002A739E">
          <w:rPr>
            <w:i w:val="0"/>
            <w:iCs w:val="0"/>
            <w:noProof/>
            <w:webHidden/>
          </w:rPr>
          <w:instrText xml:space="preserve"> PAGEREF _Toc80175246 \h </w:instrText>
        </w:r>
        <w:r w:rsidR="008F5C1F" w:rsidRPr="002A739E">
          <w:rPr>
            <w:i w:val="0"/>
            <w:iCs w:val="0"/>
            <w:noProof/>
            <w:webHidden/>
          </w:rPr>
        </w:r>
        <w:r w:rsidR="008F5C1F" w:rsidRPr="002A739E">
          <w:rPr>
            <w:i w:val="0"/>
            <w:iCs w:val="0"/>
            <w:noProof/>
            <w:webHidden/>
          </w:rPr>
          <w:fldChar w:fldCharType="separate"/>
        </w:r>
        <w:r>
          <w:rPr>
            <w:i w:val="0"/>
            <w:iCs w:val="0"/>
            <w:noProof/>
            <w:webHidden/>
          </w:rPr>
          <w:t>9-5</w:t>
        </w:r>
        <w:r w:rsidR="008F5C1F" w:rsidRPr="002A739E">
          <w:rPr>
            <w:i w:val="0"/>
            <w:iCs w:val="0"/>
            <w:noProof/>
            <w:webHidden/>
          </w:rPr>
          <w:fldChar w:fldCharType="end"/>
        </w:r>
      </w:hyperlink>
    </w:p>
    <w:p w14:paraId="09778A9D" w14:textId="7D271110" w:rsidR="008F5C1F" w:rsidRPr="002A739E" w:rsidRDefault="00ED3BE3">
      <w:pPr>
        <w:pStyle w:val="TOC3"/>
        <w:rPr>
          <w:rFonts w:eastAsiaTheme="minorEastAsia"/>
          <w:i w:val="0"/>
          <w:iCs w:val="0"/>
          <w:noProof/>
        </w:rPr>
      </w:pPr>
      <w:hyperlink w:anchor="_Toc80175247" w:history="1">
        <w:r w:rsidR="008F5C1F" w:rsidRPr="002A739E">
          <w:rPr>
            <w:rStyle w:val="Hyperlink"/>
            <w:i w:val="0"/>
            <w:iCs w:val="0"/>
            <w:noProof/>
          </w:rPr>
          <w:t>9.2.6</w:t>
        </w:r>
        <w:r w:rsidR="008F5C1F" w:rsidRPr="002A739E">
          <w:rPr>
            <w:rFonts w:eastAsiaTheme="minorEastAsia"/>
            <w:i w:val="0"/>
            <w:iCs w:val="0"/>
            <w:noProof/>
          </w:rPr>
          <w:tab/>
        </w:r>
        <w:r w:rsidR="008F5C1F" w:rsidRPr="002A739E">
          <w:rPr>
            <w:rStyle w:val="Hyperlink"/>
            <w:i w:val="0"/>
            <w:iCs w:val="0"/>
            <w:noProof/>
          </w:rPr>
          <w:t>Notice of Resettlement for the DAM</w:t>
        </w:r>
        <w:r w:rsidR="008F5C1F" w:rsidRPr="002A739E">
          <w:rPr>
            <w:i w:val="0"/>
            <w:iCs w:val="0"/>
            <w:noProof/>
            <w:webHidden/>
          </w:rPr>
          <w:tab/>
        </w:r>
        <w:r w:rsidR="008F5C1F" w:rsidRPr="002A739E">
          <w:rPr>
            <w:i w:val="0"/>
            <w:iCs w:val="0"/>
            <w:noProof/>
            <w:webHidden/>
          </w:rPr>
          <w:fldChar w:fldCharType="begin"/>
        </w:r>
        <w:r w:rsidR="008F5C1F" w:rsidRPr="002A739E">
          <w:rPr>
            <w:i w:val="0"/>
            <w:iCs w:val="0"/>
            <w:noProof/>
            <w:webHidden/>
          </w:rPr>
          <w:instrText xml:space="preserve"> PAGEREF _Toc80175247 \h </w:instrText>
        </w:r>
        <w:r w:rsidR="008F5C1F" w:rsidRPr="002A739E">
          <w:rPr>
            <w:i w:val="0"/>
            <w:iCs w:val="0"/>
            <w:noProof/>
            <w:webHidden/>
          </w:rPr>
        </w:r>
        <w:r w:rsidR="008F5C1F" w:rsidRPr="002A739E">
          <w:rPr>
            <w:i w:val="0"/>
            <w:iCs w:val="0"/>
            <w:noProof/>
            <w:webHidden/>
          </w:rPr>
          <w:fldChar w:fldCharType="separate"/>
        </w:r>
        <w:r>
          <w:rPr>
            <w:i w:val="0"/>
            <w:iCs w:val="0"/>
            <w:noProof/>
            <w:webHidden/>
          </w:rPr>
          <w:t>9-6</w:t>
        </w:r>
        <w:r w:rsidR="008F5C1F" w:rsidRPr="002A739E">
          <w:rPr>
            <w:i w:val="0"/>
            <w:iCs w:val="0"/>
            <w:noProof/>
            <w:webHidden/>
          </w:rPr>
          <w:fldChar w:fldCharType="end"/>
        </w:r>
      </w:hyperlink>
    </w:p>
    <w:p w14:paraId="4A0D620E" w14:textId="187E5008" w:rsidR="008F5C1F" w:rsidRPr="002A739E" w:rsidRDefault="00ED3BE3">
      <w:pPr>
        <w:pStyle w:val="TOC3"/>
        <w:rPr>
          <w:rFonts w:eastAsiaTheme="minorEastAsia"/>
          <w:i w:val="0"/>
          <w:iCs w:val="0"/>
          <w:noProof/>
        </w:rPr>
      </w:pPr>
      <w:hyperlink w:anchor="_Toc80175248" w:history="1">
        <w:r w:rsidR="008F5C1F" w:rsidRPr="002A739E">
          <w:rPr>
            <w:rStyle w:val="Hyperlink"/>
            <w:i w:val="0"/>
            <w:iCs w:val="0"/>
            <w:noProof/>
          </w:rPr>
          <w:t>9.2.7</w:t>
        </w:r>
        <w:r w:rsidR="008F5C1F" w:rsidRPr="002A739E">
          <w:rPr>
            <w:rFonts w:eastAsiaTheme="minorEastAsia"/>
            <w:i w:val="0"/>
            <w:iCs w:val="0"/>
            <w:noProof/>
          </w:rPr>
          <w:tab/>
        </w:r>
        <w:r w:rsidR="008F5C1F" w:rsidRPr="002A739E">
          <w:rPr>
            <w:rStyle w:val="Hyperlink"/>
            <w:i w:val="0"/>
            <w:iCs w:val="0"/>
            <w:noProof/>
          </w:rPr>
          <w:t>Confirmation of Statement for the DAM</w:t>
        </w:r>
        <w:r w:rsidR="008F5C1F" w:rsidRPr="002A739E">
          <w:rPr>
            <w:i w:val="0"/>
            <w:iCs w:val="0"/>
            <w:noProof/>
            <w:webHidden/>
          </w:rPr>
          <w:tab/>
        </w:r>
        <w:r w:rsidR="008F5C1F" w:rsidRPr="002A739E">
          <w:rPr>
            <w:i w:val="0"/>
            <w:iCs w:val="0"/>
            <w:noProof/>
            <w:webHidden/>
          </w:rPr>
          <w:fldChar w:fldCharType="begin"/>
        </w:r>
        <w:r w:rsidR="008F5C1F" w:rsidRPr="002A739E">
          <w:rPr>
            <w:i w:val="0"/>
            <w:iCs w:val="0"/>
            <w:noProof/>
            <w:webHidden/>
          </w:rPr>
          <w:instrText xml:space="preserve"> PAGEREF _Toc80175248 \h </w:instrText>
        </w:r>
        <w:r w:rsidR="008F5C1F" w:rsidRPr="002A739E">
          <w:rPr>
            <w:i w:val="0"/>
            <w:iCs w:val="0"/>
            <w:noProof/>
            <w:webHidden/>
          </w:rPr>
        </w:r>
        <w:r w:rsidR="008F5C1F" w:rsidRPr="002A739E">
          <w:rPr>
            <w:i w:val="0"/>
            <w:iCs w:val="0"/>
            <w:noProof/>
            <w:webHidden/>
          </w:rPr>
          <w:fldChar w:fldCharType="separate"/>
        </w:r>
        <w:r>
          <w:rPr>
            <w:i w:val="0"/>
            <w:iCs w:val="0"/>
            <w:noProof/>
            <w:webHidden/>
          </w:rPr>
          <w:t>9-6</w:t>
        </w:r>
        <w:r w:rsidR="008F5C1F" w:rsidRPr="002A739E">
          <w:rPr>
            <w:i w:val="0"/>
            <w:iCs w:val="0"/>
            <w:noProof/>
            <w:webHidden/>
          </w:rPr>
          <w:fldChar w:fldCharType="end"/>
        </w:r>
      </w:hyperlink>
    </w:p>
    <w:p w14:paraId="7E7795B0" w14:textId="5DF0D914" w:rsidR="008F5C1F" w:rsidRPr="002A739E" w:rsidRDefault="00ED3BE3">
      <w:pPr>
        <w:pStyle w:val="TOC3"/>
        <w:rPr>
          <w:rFonts w:eastAsiaTheme="minorEastAsia"/>
          <w:i w:val="0"/>
          <w:iCs w:val="0"/>
          <w:noProof/>
        </w:rPr>
      </w:pPr>
      <w:hyperlink w:anchor="_Toc80175249" w:history="1">
        <w:r w:rsidR="008F5C1F" w:rsidRPr="002A739E">
          <w:rPr>
            <w:rStyle w:val="Hyperlink"/>
            <w:i w:val="0"/>
            <w:iCs w:val="0"/>
            <w:noProof/>
          </w:rPr>
          <w:t>9.2.8</w:t>
        </w:r>
        <w:r w:rsidR="008F5C1F" w:rsidRPr="002A739E">
          <w:rPr>
            <w:rFonts w:eastAsiaTheme="minorEastAsia"/>
            <w:i w:val="0"/>
            <w:iCs w:val="0"/>
            <w:noProof/>
          </w:rPr>
          <w:tab/>
        </w:r>
        <w:r w:rsidR="008F5C1F" w:rsidRPr="002A739E">
          <w:rPr>
            <w:rStyle w:val="Hyperlink"/>
            <w:i w:val="0"/>
            <w:iCs w:val="0"/>
            <w:noProof/>
          </w:rPr>
          <w:t>Validation of the Settlement Statement for the DAM</w:t>
        </w:r>
        <w:r w:rsidR="008F5C1F" w:rsidRPr="002A739E">
          <w:rPr>
            <w:i w:val="0"/>
            <w:iCs w:val="0"/>
            <w:noProof/>
            <w:webHidden/>
          </w:rPr>
          <w:tab/>
        </w:r>
        <w:r w:rsidR="008F5C1F" w:rsidRPr="002A739E">
          <w:rPr>
            <w:i w:val="0"/>
            <w:iCs w:val="0"/>
            <w:noProof/>
            <w:webHidden/>
          </w:rPr>
          <w:fldChar w:fldCharType="begin"/>
        </w:r>
        <w:r w:rsidR="008F5C1F" w:rsidRPr="002A739E">
          <w:rPr>
            <w:i w:val="0"/>
            <w:iCs w:val="0"/>
            <w:noProof/>
            <w:webHidden/>
          </w:rPr>
          <w:instrText xml:space="preserve"> PAGEREF _Toc80175249 \h </w:instrText>
        </w:r>
        <w:r w:rsidR="008F5C1F" w:rsidRPr="002A739E">
          <w:rPr>
            <w:i w:val="0"/>
            <w:iCs w:val="0"/>
            <w:noProof/>
            <w:webHidden/>
          </w:rPr>
        </w:r>
        <w:r w:rsidR="008F5C1F" w:rsidRPr="002A739E">
          <w:rPr>
            <w:i w:val="0"/>
            <w:iCs w:val="0"/>
            <w:noProof/>
            <w:webHidden/>
          </w:rPr>
          <w:fldChar w:fldCharType="separate"/>
        </w:r>
        <w:r>
          <w:rPr>
            <w:i w:val="0"/>
            <w:iCs w:val="0"/>
            <w:noProof/>
            <w:webHidden/>
          </w:rPr>
          <w:t>9-7</w:t>
        </w:r>
        <w:r w:rsidR="008F5C1F" w:rsidRPr="002A739E">
          <w:rPr>
            <w:i w:val="0"/>
            <w:iCs w:val="0"/>
            <w:noProof/>
            <w:webHidden/>
          </w:rPr>
          <w:fldChar w:fldCharType="end"/>
        </w:r>
      </w:hyperlink>
    </w:p>
    <w:p w14:paraId="4CB682A3" w14:textId="0566461D" w:rsidR="008F5C1F" w:rsidRPr="002A739E" w:rsidRDefault="00ED3BE3">
      <w:pPr>
        <w:pStyle w:val="TOC3"/>
        <w:rPr>
          <w:rFonts w:eastAsiaTheme="minorEastAsia"/>
          <w:i w:val="0"/>
          <w:iCs w:val="0"/>
          <w:noProof/>
        </w:rPr>
      </w:pPr>
      <w:hyperlink w:anchor="_Toc80175250" w:history="1">
        <w:r w:rsidR="008F5C1F" w:rsidRPr="002A739E">
          <w:rPr>
            <w:rStyle w:val="Hyperlink"/>
            <w:i w:val="0"/>
            <w:iCs w:val="0"/>
            <w:noProof/>
          </w:rPr>
          <w:t>9.2.9</w:t>
        </w:r>
        <w:r w:rsidR="008F5C1F" w:rsidRPr="002A739E">
          <w:rPr>
            <w:rFonts w:eastAsiaTheme="minorEastAsia"/>
            <w:i w:val="0"/>
            <w:iCs w:val="0"/>
            <w:noProof/>
          </w:rPr>
          <w:tab/>
        </w:r>
        <w:r w:rsidR="008F5C1F" w:rsidRPr="002A739E">
          <w:rPr>
            <w:rStyle w:val="Hyperlink"/>
            <w:i w:val="0"/>
            <w:iCs w:val="0"/>
            <w:noProof/>
          </w:rPr>
          <w:t>Suspension of Issuing Settlement Statements for the DAM</w:t>
        </w:r>
        <w:r w:rsidR="008F5C1F" w:rsidRPr="002A739E">
          <w:rPr>
            <w:i w:val="0"/>
            <w:iCs w:val="0"/>
            <w:noProof/>
            <w:webHidden/>
          </w:rPr>
          <w:tab/>
        </w:r>
        <w:r w:rsidR="008F5C1F" w:rsidRPr="002A739E">
          <w:rPr>
            <w:i w:val="0"/>
            <w:iCs w:val="0"/>
            <w:noProof/>
            <w:webHidden/>
          </w:rPr>
          <w:fldChar w:fldCharType="begin"/>
        </w:r>
        <w:r w:rsidR="008F5C1F" w:rsidRPr="002A739E">
          <w:rPr>
            <w:i w:val="0"/>
            <w:iCs w:val="0"/>
            <w:noProof/>
            <w:webHidden/>
          </w:rPr>
          <w:instrText xml:space="preserve"> PAGEREF _Toc80175250 \h </w:instrText>
        </w:r>
        <w:r w:rsidR="008F5C1F" w:rsidRPr="002A739E">
          <w:rPr>
            <w:i w:val="0"/>
            <w:iCs w:val="0"/>
            <w:noProof/>
            <w:webHidden/>
          </w:rPr>
        </w:r>
        <w:r w:rsidR="008F5C1F" w:rsidRPr="002A739E">
          <w:rPr>
            <w:i w:val="0"/>
            <w:iCs w:val="0"/>
            <w:noProof/>
            <w:webHidden/>
          </w:rPr>
          <w:fldChar w:fldCharType="separate"/>
        </w:r>
        <w:r>
          <w:rPr>
            <w:i w:val="0"/>
            <w:iCs w:val="0"/>
            <w:noProof/>
            <w:webHidden/>
          </w:rPr>
          <w:t>9-7</w:t>
        </w:r>
        <w:r w:rsidR="008F5C1F" w:rsidRPr="002A739E">
          <w:rPr>
            <w:i w:val="0"/>
            <w:iCs w:val="0"/>
            <w:noProof/>
            <w:webHidden/>
          </w:rPr>
          <w:fldChar w:fldCharType="end"/>
        </w:r>
      </w:hyperlink>
    </w:p>
    <w:p w14:paraId="10BE913E" w14:textId="631F4B98" w:rsidR="008F5C1F" w:rsidRPr="002A739E" w:rsidRDefault="00ED3BE3">
      <w:pPr>
        <w:pStyle w:val="TOC2"/>
        <w:rPr>
          <w:rFonts w:eastAsiaTheme="minorEastAsia"/>
          <w:noProof/>
        </w:rPr>
      </w:pPr>
      <w:hyperlink w:anchor="_Toc80175251" w:history="1">
        <w:r w:rsidR="008F5C1F" w:rsidRPr="002A739E">
          <w:rPr>
            <w:rStyle w:val="Hyperlink"/>
            <w:noProof/>
          </w:rPr>
          <w:t>9.3</w:t>
        </w:r>
        <w:r w:rsidR="008F5C1F" w:rsidRPr="002A739E">
          <w:rPr>
            <w:rFonts w:eastAsiaTheme="minorEastAsia"/>
            <w:noProof/>
          </w:rPr>
          <w:tab/>
        </w:r>
        <w:r w:rsidR="008F5C1F" w:rsidRPr="002A739E">
          <w:rPr>
            <w:rStyle w:val="Hyperlink"/>
            <w:noProof/>
          </w:rPr>
          <w:t>[RESERVED]</w:t>
        </w:r>
        <w:r w:rsidR="008F5C1F" w:rsidRPr="002A739E">
          <w:rPr>
            <w:noProof/>
            <w:webHidden/>
          </w:rPr>
          <w:tab/>
        </w:r>
        <w:r w:rsidR="008F5C1F" w:rsidRPr="002A739E">
          <w:rPr>
            <w:noProof/>
            <w:webHidden/>
          </w:rPr>
          <w:fldChar w:fldCharType="begin"/>
        </w:r>
        <w:r w:rsidR="008F5C1F" w:rsidRPr="002A739E">
          <w:rPr>
            <w:noProof/>
            <w:webHidden/>
          </w:rPr>
          <w:instrText xml:space="preserve"> PAGEREF _Toc80175251 \h </w:instrText>
        </w:r>
        <w:r w:rsidR="008F5C1F" w:rsidRPr="002A739E">
          <w:rPr>
            <w:noProof/>
            <w:webHidden/>
          </w:rPr>
        </w:r>
        <w:r w:rsidR="008F5C1F" w:rsidRPr="002A739E">
          <w:rPr>
            <w:noProof/>
            <w:webHidden/>
          </w:rPr>
          <w:fldChar w:fldCharType="separate"/>
        </w:r>
        <w:r>
          <w:rPr>
            <w:noProof/>
            <w:webHidden/>
          </w:rPr>
          <w:t>9-7</w:t>
        </w:r>
        <w:r w:rsidR="008F5C1F" w:rsidRPr="002A739E">
          <w:rPr>
            <w:noProof/>
            <w:webHidden/>
          </w:rPr>
          <w:fldChar w:fldCharType="end"/>
        </w:r>
      </w:hyperlink>
    </w:p>
    <w:p w14:paraId="79D6ABD2" w14:textId="357E2DDE" w:rsidR="008F5C1F" w:rsidRPr="002A739E" w:rsidRDefault="00ED3BE3">
      <w:pPr>
        <w:pStyle w:val="TOC2"/>
        <w:rPr>
          <w:rFonts w:eastAsiaTheme="minorEastAsia"/>
          <w:noProof/>
        </w:rPr>
      </w:pPr>
      <w:hyperlink w:anchor="_Toc80175252" w:history="1">
        <w:r w:rsidR="008F5C1F" w:rsidRPr="002A739E">
          <w:rPr>
            <w:rStyle w:val="Hyperlink"/>
            <w:noProof/>
          </w:rPr>
          <w:t>9.4</w:t>
        </w:r>
        <w:r w:rsidR="008F5C1F" w:rsidRPr="002A739E">
          <w:rPr>
            <w:rFonts w:eastAsiaTheme="minorEastAsia"/>
            <w:noProof/>
          </w:rPr>
          <w:tab/>
        </w:r>
        <w:r w:rsidR="008F5C1F" w:rsidRPr="002A739E">
          <w:rPr>
            <w:rStyle w:val="Hyperlink"/>
            <w:noProof/>
          </w:rPr>
          <w:t>[RESERVED]</w:t>
        </w:r>
        <w:r w:rsidR="008F5C1F" w:rsidRPr="002A739E">
          <w:rPr>
            <w:noProof/>
            <w:webHidden/>
          </w:rPr>
          <w:tab/>
        </w:r>
        <w:r w:rsidR="008F5C1F" w:rsidRPr="002A739E">
          <w:rPr>
            <w:noProof/>
            <w:webHidden/>
          </w:rPr>
          <w:fldChar w:fldCharType="begin"/>
        </w:r>
        <w:r w:rsidR="008F5C1F" w:rsidRPr="002A739E">
          <w:rPr>
            <w:noProof/>
            <w:webHidden/>
          </w:rPr>
          <w:instrText xml:space="preserve"> PAGEREF _Toc80175252 \h </w:instrText>
        </w:r>
        <w:r w:rsidR="008F5C1F" w:rsidRPr="002A739E">
          <w:rPr>
            <w:noProof/>
            <w:webHidden/>
          </w:rPr>
        </w:r>
        <w:r w:rsidR="008F5C1F" w:rsidRPr="002A739E">
          <w:rPr>
            <w:noProof/>
            <w:webHidden/>
          </w:rPr>
          <w:fldChar w:fldCharType="separate"/>
        </w:r>
        <w:r>
          <w:rPr>
            <w:noProof/>
            <w:webHidden/>
          </w:rPr>
          <w:t>9-7</w:t>
        </w:r>
        <w:r w:rsidR="008F5C1F" w:rsidRPr="002A739E">
          <w:rPr>
            <w:noProof/>
            <w:webHidden/>
          </w:rPr>
          <w:fldChar w:fldCharType="end"/>
        </w:r>
      </w:hyperlink>
    </w:p>
    <w:p w14:paraId="3B8A8F40" w14:textId="03B302B9" w:rsidR="008F5C1F" w:rsidRPr="002A739E" w:rsidRDefault="00ED3BE3">
      <w:pPr>
        <w:pStyle w:val="TOC2"/>
        <w:rPr>
          <w:rFonts w:eastAsiaTheme="minorEastAsia"/>
          <w:noProof/>
        </w:rPr>
      </w:pPr>
      <w:hyperlink w:anchor="_Toc80175253" w:history="1">
        <w:r w:rsidR="008F5C1F" w:rsidRPr="002A739E">
          <w:rPr>
            <w:rStyle w:val="Hyperlink"/>
            <w:noProof/>
          </w:rPr>
          <w:t>9.5</w:t>
        </w:r>
        <w:r w:rsidR="008F5C1F" w:rsidRPr="002A739E">
          <w:rPr>
            <w:rFonts w:eastAsiaTheme="minorEastAsia"/>
            <w:noProof/>
          </w:rPr>
          <w:tab/>
        </w:r>
        <w:r w:rsidR="008F5C1F" w:rsidRPr="002A739E">
          <w:rPr>
            <w:rStyle w:val="Hyperlink"/>
            <w:noProof/>
          </w:rPr>
          <w:t>Settlement Statements for Real-Time Market</w:t>
        </w:r>
        <w:r w:rsidR="008F5C1F" w:rsidRPr="002A739E">
          <w:rPr>
            <w:noProof/>
            <w:webHidden/>
          </w:rPr>
          <w:tab/>
        </w:r>
        <w:r w:rsidR="008F5C1F" w:rsidRPr="002A739E">
          <w:rPr>
            <w:noProof/>
            <w:webHidden/>
          </w:rPr>
          <w:fldChar w:fldCharType="begin"/>
        </w:r>
        <w:r w:rsidR="008F5C1F" w:rsidRPr="002A739E">
          <w:rPr>
            <w:noProof/>
            <w:webHidden/>
          </w:rPr>
          <w:instrText xml:space="preserve"> PAGEREF _Toc80175253 \h </w:instrText>
        </w:r>
        <w:r w:rsidR="008F5C1F" w:rsidRPr="002A739E">
          <w:rPr>
            <w:noProof/>
            <w:webHidden/>
          </w:rPr>
        </w:r>
        <w:r w:rsidR="008F5C1F" w:rsidRPr="002A739E">
          <w:rPr>
            <w:noProof/>
            <w:webHidden/>
          </w:rPr>
          <w:fldChar w:fldCharType="separate"/>
        </w:r>
        <w:r>
          <w:rPr>
            <w:noProof/>
            <w:webHidden/>
          </w:rPr>
          <w:t>9-7</w:t>
        </w:r>
        <w:r w:rsidR="008F5C1F" w:rsidRPr="002A739E">
          <w:rPr>
            <w:noProof/>
            <w:webHidden/>
          </w:rPr>
          <w:fldChar w:fldCharType="end"/>
        </w:r>
      </w:hyperlink>
    </w:p>
    <w:p w14:paraId="4DA65CBF" w14:textId="6860E331" w:rsidR="008F5C1F" w:rsidRPr="002A739E" w:rsidRDefault="00ED3BE3">
      <w:pPr>
        <w:pStyle w:val="TOC3"/>
        <w:rPr>
          <w:rFonts w:eastAsiaTheme="minorEastAsia"/>
          <w:i w:val="0"/>
          <w:iCs w:val="0"/>
          <w:noProof/>
        </w:rPr>
      </w:pPr>
      <w:hyperlink w:anchor="_Toc80175254" w:history="1">
        <w:r w:rsidR="008F5C1F" w:rsidRPr="002A739E">
          <w:rPr>
            <w:rStyle w:val="Hyperlink"/>
            <w:i w:val="0"/>
            <w:iCs w:val="0"/>
            <w:noProof/>
          </w:rPr>
          <w:t>9.5.1</w:t>
        </w:r>
        <w:r w:rsidR="008F5C1F" w:rsidRPr="002A739E">
          <w:rPr>
            <w:rFonts w:eastAsiaTheme="minorEastAsia"/>
            <w:i w:val="0"/>
            <w:iCs w:val="0"/>
            <w:noProof/>
          </w:rPr>
          <w:tab/>
        </w:r>
        <w:r w:rsidR="008F5C1F" w:rsidRPr="002A739E">
          <w:rPr>
            <w:rStyle w:val="Hyperlink"/>
            <w:i w:val="0"/>
            <w:iCs w:val="0"/>
            <w:noProof/>
          </w:rPr>
          <w:t>Settlement Statement Process for the Real-Time Market</w:t>
        </w:r>
        <w:r w:rsidR="008F5C1F" w:rsidRPr="002A739E">
          <w:rPr>
            <w:i w:val="0"/>
            <w:iCs w:val="0"/>
            <w:noProof/>
            <w:webHidden/>
          </w:rPr>
          <w:tab/>
        </w:r>
        <w:r w:rsidR="008F5C1F" w:rsidRPr="002A739E">
          <w:rPr>
            <w:i w:val="0"/>
            <w:iCs w:val="0"/>
            <w:noProof/>
            <w:webHidden/>
          </w:rPr>
          <w:fldChar w:fldCharType="begin"/>
        </w:r>
        <w:r w:rsidR="008F5C1F" w:rsidRPr="002A739E">
          <w:rPr>
            <w:i w:val="0"/>
            <w:iCs w:val="0"/>
            <w:noProof/>
            <w:webHidden/>
          </w:rPr>
          <w:instrText xml:space="preserve"> PAGEREF _Toc80175254 \h </w:instrText>
        </w:r>
        <w:r w:rsidR="008F5C1F" w:rsidRPr="002A739E">
          <w:rPr>
            <w:i w:val="0"/>
            <w:iCs w:val="0"/>
            <w:noProof/>
            <w:webHidden/>
          </w:rPr>
        </w:r>
        <w:r w:rsidR="008F5C1F" w:rsidRPr="002A739E">
          <w:rPr>
            <w:i w:val="0"/>
            <w:iCs w:val="0"/>
            <w:noProof/>
            <w:webHidden/>
          </w:rPr>
          <w:fldChar w:fldCharType="separate"/>
        </w:r>
        <w:r>
          <w:rPr>
            <w:i w:val="0"/>
            <w:iCs w:val="0"/>
            <w:noProof/>
            <w:webHidden/>
          </w:rPr>
          <w:t>9-7</w:t>
        </w:r>
        <w:r w:rsidR="008F5C1F" w:rsidRPr="002A739E">
          <w:rPr>
            <w:i w:val="0"/>
            <w:iCs w:val="0"/>
            <w:noProof/>
            <w:webHidden/>
          </w:rPr>
          <w:fldChar w:fldCharType="end"/>
        </w:r>
      </w:hyperlink>
    </w:p>
    <w:p w14:paraId="0240E4B5" w14:textId="58024674" w:rsidR="008F5C1F" w:rsidRPr="002A739E" w:rsidRDefault="00ED3BE3">
      <w:pPr>
        <w:pStyle w:val="TOC3"/>
        <w:rPr>
          <w:rFonts w:eastAsiaTheme="minorEastAsia"/>
          <w:i w:val="0"/>
          <w:iCs w:val="0"/>
          <w:noProof/>
        </w:rPr>
      </w:pPr>
      <w:hyperlink w:anchor="_Toc80175255" w:history="1">
        <w:r w:rsidR="008F5C1F" w:rsidRPr="002A739E">
          <w:rPr>
            <w:rStyle w:val="Hyperlink"/>
            <w:i w:val="0"/>
            <w:iCs w:val="0"/>
            <w:noProof/>
          </w:rPr>
          <w:t>9.5.2</w:t>
        </w:r>
        <w:r w:rsidR="008F5C1F" w:rsidRPr="002A739E">
          <w:rPr>
            <w:rFonts w:eastAsiaTheme="minorEastAsia"/>
            <w:i w:val="0"/>
            <w:iCs w:val="0"/>
            <w:noProof/>
          </w:rPr>
          <w:tab/>
        </w:r>
        <w:r w:rsidR="008F5C1F" w:rsidRPr="002A739E">
          <w:rPr>
            <w:rStyle w:val="Hyperlink"/>
            <w:i w:val="0"/>
            <w:iCs w:val="0"/>
            <w:noProof/>
          </w:rPr>
          <w:t>Settlement Statements for the RTM</w:t>
        </w:r>
        <w:r w:rsidR="008F5C1F" w:rsidRPr="002A739E">
          <w:rPr>
            <w:i w:val="0"/>
            <w:iCs w:val="0"/>
            <w:noProof/>
            <w:webHidden/>
          </w:rPr>
          <w:tab/>
        </w:r>
        <w:r w:rsidR="008F5C1F" w:rsidRPr="002A739E">
          <w:rPr>
            <w:i w:val="0"/>
            <w:iCs w:val="0"/>
            <w:noProof/>
            <w:webHidden/>
          </w:rPr>
          <w:fldChar w:fldCharType="begin"/>
        </w:r>
        <w:r w:rsidR="008F5C1F" w:rsidRPr="002A739E">
          <w:rPr>
            <w:i w:val="0"/>
            <w:iCs w:val="0"/>
            <w:noProof/>
            <w:webHidden/>
          </w:rPr>
          <w:instrText xml:space="preserve"> PAGEREF _Toc80175255 \h </w:instrText>
        </w:r>
        <w:r w:rsidR="008F5C1F" w:rsidRPr="002A739E">
          <w:rPr>
            <w:i w:val="0"/>
            <w:iCs w:val="0"/>
            <w:noProof/>
            <w:webHidden/>
          </w:rPr>
        </w:r>
        <w:r w:rsidR="008F5C1F" w:rsidRPr="002A739E">
          <w:rPr>
            <w:i w:val="0"/>
            <w:iCs w:val="0"/>
            <w:noProof/>
            <w:webHidden/>
          </w:rPr>
          <w:fldChar w:fldCharType="separate"/>
        </w:r>
        <w:r>
          <w:rPr>
            <w:i w:val="0"/>
            <w:iCs w:val="0"/>
            <w:noProof/>
            <w:webHidden/>
          </w:rPr>
          <w:t>9-7</w:t>
        </w:r>
        <w:r w:rsidR="008F5C1F" w:rsidRPr="002A739E">
          <w:rPr>
            <w:i w:val="0"/>
            <w:iCs w:val="0"/>
            <w:noProof/>
            <w:webHidden/>
          </w:rPr>
          <w:fldChar w:fldCharType="end"/>
        </w:r>
      </w:hyperlink>
    </w:p>
    <w:p w14:paraId="0E9294A7" w14:textId="1AC45BCA" w:rsidR="008F5C1F" w:rsidRPr="002A739E" w:rsidRDefault="00ED3BE3">
      <w:pPr>
        <w:pStyle w:val="TOC3"/>
        <w:rPr>
          <w:rFonts w:eastAsiaTheme="minorEastAsia"/>
          <w:i w:val="0"/>
          <w:iCs w:val="0"/>
          <w:noProof/>
        </w:rPr>
      </w:pPr>
      <w:hyperlink w:anchor="_Toc80175256" w:history="1">
        <w:r w:rsidR="008F5C1F" w:rsidRPr="002A739E">
          <w:rPr>
            <w:rStyle w:val="Hyperlink"/>
            <w:i w:val="0"/>
            <w:iCs w:val="0"/>
            <w:noProof/>
          </w:rPr>
          <w:t>9.5.3</w:t>
        </w:r>
        <w:r w:rsidR="008F5C1F" w:rsidRPr="002A739E">
          <w:rPr>
            <w:rFonts w:eastAsiaTheme="minorEastAsia"/>
            <w:i w:val="0"/>
            <w:iCs w:val="0"/>
            <w:noProof/>
          </w:rPr>
          <w:tab/>
        </w:r>
        <w:r w:rsidR="008F5C1F" w:rsidRPr="002A739E">
          <w:rPr>
            <w:rStyle w:val="Hyperlink"/>
            <w:i w:val="0"/>
            <w:iCs w:val="0"/>
            <w:noProof/>
          </w:rPr>
          <w:t>Real-Time Market Settlement Charge Types</w:t>
        </w:r>
        <w:r w:rsidR="008F5C1F" w:rsidRPr="002A739E">
          <w:rPr>
            <w:i w:val="0"/>
            <w:iCs w:val="0"/>
            <w:noProof/>
            <w:webHidden/>
          </w:rPr>
          <w:tab/>
        </w:r>
        <w:r w:rsidR="008F5C1F" w:rsidRPr="002A739E">
          <w:rPr>
            <w:i w:val="0"/>
            <w:iCs w:val="0"/>
            <w:noProof/>
            <w:webHidden/>
          </w:rPr>
          <w:fldChar w:fldCharType="begin"/>
        </w:r>
        <w:r w:rsidR="008F5C1F" w:rsidRPr="002A739E">
          <w:rPr>
            <w:i w:val="0"/>
            <w:iCs w:val="0"/>
            <w:noProof/>
            <w:webHidden/>
          </w:rPr>
          <w:instrText xml:space="preserve"> PAGEREF _Toc80175256 \h </w:instrText>
        </w:r>
        <w:r w:rsidR="008F5C1F" w:rsidRPr="002A739E">
          <w:rPr>
            <w:i w:val="0"/>
            <w:iCs w:val="0"/>
            <w:noProof/>
            <w:webHidden/>
          </w:rPr>
        </w:r>
        <w:r w:rsidR="008F5C1F" w:rsidRPr="002A739E">
          <w:rPr>
            <w:i w:val="0"/>
            <w:iCs w:val="0"/>
            <w:noProof/>
            <w:webHidden/>
          </w:rPr>
          <w:fldChar w:fldCharType="separate"/>
        </w:r>
        <w:r>
          <w:rPr>
            <w:i w:val="0"/>
            <w:iCs w:val="0"/>
            <w:noProof/>
            <w:webHidden/>
          </w:rPr>
          <w:t>9-9</w:t>
        </w:r>
        <w:r w:rsidR="008F5C1F" w:rsidRPr="002A739E">
          <w:rPr>
            <w:i w:val="0"/>
            <w:iCs w:val="0"/>
            <w:noProof/>
            <w:webHidden/>
          </w:rPr>
          <w:fldChar w:fldCharType="end"/>
        </w:r>
      </w:hyperlink>
    </w:p>
    <w:p w14:paraId="285D742F" w14:textId="49D4647B" w:rsidR="008F5C1F" w:rsidRPr="002A739E" w:rsidRDefault="00ED3BE3">
      <w:pPr>
        <w:pStyle w:val="TOC3"/>
        <w:rPr>
          <w:rFonts w:eastAsiaTheme="minorEastAsia"/>
          <w:i w:val="0"/>
          <w:iCs w:val="0"/>
          <w:noProof/>
        </w:rPr>
      </w:pPr>
      <w:hyperlink w:anchor="_Toc80175257" w:history="1">
        <w:r w:rsidR="008F5C1F" w:rsidRPr="002A739E">
          <w:rPr>
            <w:rStyle w:val="Hyperlink"/>
            <w:i w:val="0"/>
            <w:iCs w:val="0"/>
            <w:noProof/>
          </w:rPr>
          <w:t>9.5.4</w:t>
        </w:r>
        <w:r w:rsidR="008F5C1F" w:rsidRPr="002A739E">
          <w:rPr>
            <w:rFonts w:eastAsiaTheme="minorEastAsia"/>
            <w:i w:val="0"/>
            <w:iCs w:val="0"/>
            <w:noProof/>
          </w:rPr>
          <w:tab/>
        </w:r>
        <w:r w:rsidR="008F5C1F" w:rsidRPr="002A739E">
          <w:rPr>
            <w:rStyle w:val="Hyperlink"/>
            <w:i w:val="0"/>
            <w:iCs w:val="0"/>
            <w:noProof/>
          </w:rPr>
          <w:t>RTM Initial Statement</w:t>
        </w:r>
        <w:r w:rsidR="008F5C1F" w:rsidRPr="002A739E">
          <w:rPr>
            <w:i w:val="0"/>
            <w:iCs w:val="0"/>
            <w:noProof/>
            <w:webHidden/>
          </w:rPr>
          <w:tab/>
        </w:r>
        <w:r w:rsidR="008F5C1F" w:rsidRPr="002A739E">
          <w:rPr>
            <w:i w:val="0"/>
            <w:iCs w:val="0"/>
            <w:noProof/>
            <w:webHidden/>
          </w:rPr>
          <w:fldChar w:fldCharType="begin"/>
        </w:r>
        <w:r w:rsidR="008F5C1F" w:rsidRPr="002A739E">
          <w:rPr>
            <w:i w:val="0"/>
            <w:iCs w:val="0"/>
            <w:noProof/>
            <w:webHidden/>
          </w:rPr>
          <w:instrText xml:space="preserve"> PAGEREF _Toc80175257 \h </w:instrText>
        </w:r>
        <w:r w:rsidR="008F5C1F" w:rsidRPr="002A739E">
          <w:rPr>
            <w:i w:val="0"/>
            <w:iCs w:val="0"/>
            <w:noProof/>
            <w:webHidden/>
          </w:rPr>
        </w:r>
        <w:r w:rsidR="008F5C1F" w:rsidRPr="002A739E">
          <w:rPr>
            <w:i w:val="0"/>
            <w:iCs w:val="0"/>
            <w:noProof/>
            <w:webHidden/>
          </w:rPr>
          <w:fldChar w:fldCharType="separate"/>
        </w:r>
        <w:r>
          <w:rPr>
            <w:i w:val="0"/>
            <w:iCs w:val="0"/>
            <w:noProof/>
            <w:webHidden/>
          </w:rPr>
          <w:t>9-15</w:t>
        </w:r>
        <w:r w:rsidR="008F5C1F" w:rsidRPr="002A739E">
          <w:rPr>
            <w:i w:val="0"/>
            <w:iCs w:val="0"/>
            <w:noProof/>
            <w:webHidden/>
          </w:rPr>
          <w:fldChar w:fldCharType="end"/>
        </w:r>
      </w:hyperlink>
    </w:p>
    <w:p w14:paraId="243EEB52" w14:textId="18A0F130" w:rsidR="008F5C1F" w:rsidRPr="002A739E" w:rsidRDefault="00ED3BE3">
      <w:pPr>
        <w:pStyle w:val="TOC3"/>
        <w:rPr>
          <w:rFonts w:eastAsiaTheme="minorEastAsia"/>
          <w:i w:val="0"/>
          <w:iCs w:val="0"/>
          <w:noProof/>
        </w:rPr>
      </w:pPr>
      <w:hyperlink w:anchor="_Toc80175258" w:history="1">
        <w:r w:rsidR="008F5C1F" w:rsidRPr="002A739E">
          <w:rPr>
            <w:rStyle w:val="Hyperlink"/>
            <w:i w:val="0"/>
            <w:iCs w:val="0"/>
            <w:noProof/>
          </w:rPr>
          <w:t>9.5.5</w:t>
        </w:r>
        <w:r w:rsidR="008F5C1F" w:rsidRPr="002A739E">
          <w:rPr>
            <w:rFonts w:eastAsiaTheme="minorEastAsia"/>
            <w:i w:val="0"/>
            <w:iCs w:val="0"/>
            <w:noProof/>
          </w:rPr>
          <w:tab/>
        </w:r>
        <w:r w:rsidR="008F5C1F" w:rsidRPr="002A739E">
          <w:rPr>
            <w:rStyle w:val="Hyperlink"/>
            <w:i w:val="0"/>
            <w:iCs w:val="0"/>
            <w:noProof/>
          </w:rPr>
          <w:t>RTM Final Statement</w:t>
        </w:r>
        <w:r w:rsidR="008F5C1F" w:rsidRPr="002A739E">
          <w:rPr>
            <w:i w:val="0"/>
            <w:iCs w:val="0"/>
            <w:noProof/>
            <w:webHidden/>
          </w:rPr>
          <w:tab/>
        </w:r>
        <w:r w:rsidR="008F5C1F" w:rsidRPr="002A739E">
          <w:rPr>
            <w:i w:val="0"/>
            <w:iCs w:val="0"/>
            <w:noProof/>
            <w:webHidden/>
          </w:rPr>
          <w:fldChar w:fldCharType="begin"/>
        </w:r>
        <w:r w:rsidR="008F5C1F" w:rsidRPr="002A739E">
          <w:rPr>
            <w:i w:val="0"/>
            <w:iCs w:val="0"/>
            <w:noProof/>
            <w:webHidden/>
          </w:rPr>
          <w:instrText xml:space="preserve"> PAGEREF _Toc80175258 \h </w:instrText>
        </w:r>
        <w:r w:rsidR="008F5C1F" w:rsidRPr="002A739E">
          <w:rPr>
            <w:i w:val="0"/>
            <w:iCs w:val="0"/>
            <w:noProof/>
            <w:webHidden/>
          </w:rPr>
        </w:r>
        <w:r w:rsidR="008F5C1F" w:rsidRPr="002A739E">
          <w:rPr>
            <w:i w:val="0"/>
            <w:iCs w:val="0"/>
            <w:noProof/>
            <w:webHidden/>
          </w:rPr>
          <w:fldChar w:fldCharType="separate"/>
        </w:r>
        <w:r>
          <w:rPr>
            <w:i w:val="0"/>
            <w:iCs w:val="0"/>
            <w:noProof/>
            <w:webHidden/>
          </w:rPr>
          <w:t>9-15</w:t>
        </w:r>
        <w:r w:rsidR="008F5C1F" w:rsidRPr="002A739E">
          <w:rPr>
            <w:i w:val="0"/>
            <w:iCs w:val="0"/>
            <w:noProof/>
            <w:webHidden/>
          </w:rPr>
          <w:fldChar w:fldCharType="end"/>
        </w:r>
      </w:hyperlink>
    </w:p>
    <w:p w14:paraId="1CD65DC4" w14:textId="32ED5689" w:rsidR="008F5C1F" w:rsidRPr="002A739E" w:rsidRDefault="00ED3BE3">
      <w:pPr>
        <w:pStyle w:val="TOC3"/>
        <w:rPr>
          <w:rFonts w:eastAsiaTheme="minorEastAsia"/>
          <w:i w:val="0"/>
          <w:iCs w:val="0"/>
          <w:noProof/>
        </w:rPr>
      </w:pPr>
      <w:hyperlink w:anchor="_Toc80175259" w:history="1">
        <w:r w:rsidR="008F5C1F" w:rsidRPr="002A739E">
          <w:rPr>
            <w:rStyle w:val="Hyperlink"/>
            <w:i w:val="0"/>
            <w:iCs w:val="0"/>
            <w:noProof/>
          </w:rPr>
          <w:t>9.5.6</w:t>
        </w:r>
        <w:r w:rsidR="008F5C1F" w:rsidRPr="002A739E">
          <w:rPr>
            <w:rFonts w:eastAsiaTheme="minorEastAsia"/>
            <w:i w:val="0"/>
            <w:iCs w:val="0"/>
            <w:noProof/>
          </w:rPr>
          <w:tab/>
        </w:r>
        <w:r w:rsidR="008F5C1F" w:rsidRPr="002A739E">
          <w:rPr>
            <w:rStyle w:val="Hyperlink"/>
            <w:i w:val="0"/>
            <w:iCs w:val="0"/>
            <w:noProof/>
          </w:rPr>
          <w:t>RTM Resettlement Statement</w:t>
        </w:r>
        <w:r w:rsidR="008F5C1F" w:rsidRPr="002A739E">
          <w:rPr>
            <w:i w:val="0"/>
            <w:iCs w:val="0"/>
            <w:noProof/>
            <w:webHidden/>
          </w:rPr>
          <w:tab/>
        </w:r>
        <w:r w:rsidR="008F5C1F" w:rsidRPr="002A739E">
          <w:rPr>
            <w:i w:val="0"/>
            <w:iCs w:val="0"/>
            <w:noProof/>
            <w:webHidden/>
          </w:rPr>
          <w:fldChar w:fldCharType="begin"/>
        </w:r>
        <w:r w:rsidR="008F5C1F" w:rsidRPr="002A739E">
          <w:rPr>
            <w:i w:val="0"/>
            <w:iCs w:val="0"/>
            <w:noProof/>
            <w:webHidden/>
          </w:rPr>
          <w:instrText xml:space="preserve"> PAGEREF _Toc80175259 \h </w:instrText>
        </w:r>
        <w:r w:rsidR="008F5C1F" w:rsidRPr="002A739E">
          <w:rPr>
            <w:i w:val="0"/>
            <w:iCs w:val="0"/>
            <w:noProof/>
            <w:webHidden/>
          </w:rPr>
        </w:r>
        <w:r w:rsidR="008F5C1F" w:rsidRPr="002A739E">
          <w:rPr>
            <w:i w:val="0"/>
            <w:iCs w:val="0"/>
            <w:noProof/>
            <w:webHidden/>
          </w:rPr>
          <w:fldChar w:fldCharType="separate"/>
        </w:r>
        <w:r>
          <w:rPr>
            <w:i w:val="0"/>
            <w:iCs w:val="0"/>
            <w:noProof/>
            <w:webHidden/>
          </w:rPr>
          <w:t>9-16</w:t>
        </w:r>
        <w:r w:rsidR="008F5C1F" w:rsidRPr="002A739E">
          <w:rPr>
            <w:i w:val="0"/>
            <w:iCs w:val="0"/>
            <w:noProof/>
            <w:webHidden/>
          </w:rPr>
          <w:fldChar w:fldCharType="end"/>
        </w:r>
      </w:hyperlink>
    </w:p>
    <w:p w14:paraId="66D7EBC9" w14:textId="33F32CAC" w:rsidR="008F5C1F" w:rsidRPr="002A739E" w:rsidRDefault="00ED3BE3">
      <w:pPr>
        <w:pStyle w:val="TOC3"/>
        <w:rPr>
          <w:rFonts w:eastAsiaTheme="minorEastAsia"/>
          <w:i w:val="0"/>
          <w:iCs w:val="0"/>
          <w:noProof/>
        </w:rPr>
      </w:pPr>
      <w:hyperlink w:anchor="_Toc80175260" w:history="1">
        <w:r w:rsidR="008F5C1F" w:rsidRPr="002A739E">
          <w:rPr>
            <w:rStyle w:val="Hyperlink"/>
            <w:i w:val="0"/>
            <w:iCs w:val="0"/>
            <w:noProof/>
          </w:rPr>
          <w:t>9.5.7</w:t>
        </w:r>
        <w:r w:rsidR="008F5C1F" w:rsidRPr="002A739E">
          <w:rPr>
            <w:rFonts w:eastAsiaTheme="minorEastAsia"/>
            <w:i w:val="0"/>
            <w:iCs w:val="0"/>
            <w:noProof/>
          </w:rPr>
          <w:tab/>
        </w:r>
        <w:r w:rsidR="008F5C1F" w:rsidRPr="002A739E">
          <w:rPr>
            <w:rStyle w:val="Hyperlink"/>
            <w:i w:val="0"/>
            <w:iCs w:val="0"/>
            <w:noProof/>
          </w:rPr>
          <w:t>Notice of Resettlement for the Real-Time Market</w:t>
        </w:r>
        <w:r w:rsidR="008F5C1F" w:rsidRPr="002A739E">
          <w:rPr>
            <w:i w:val="0"/>
            <w:iCs w:val="0"/>
            <w:noProof/>
            <w:webHidden/>
          </w:rPr>
          <w:tab/>
        </w:r>
        <w:r w:rsidR="008F5C1F" w:rsidRPr="002A739E">
          <w:rPr>
            <w:i w:val="0"/>
            <w:iCs w:val="0"/>
            <w:noProof/>
            <w:webHidden/>
          </w:rPr>
          <w:fldChar w:fldCharType="begin"/>
        </w:r>
        <w:r w:rsidR="008F5C1F" w:rsidRPr="002A739E">
          <w:rPr>
            <w:i w:val="0"/>
            <w:iCs w:val="0"/>
            <w:noProof/>
            <w:webHidden/>
          </w:rPr>
          <w:instrText xml:space="preserve"> PAGEREF _Toc80175260 \h </w:instrText>
        </w:r>
        <w:r w:rsidR="008F5C1F" w:rsidRPr="002A739E">
          <w:rPr>
            <w:i w:val="0"/>
            <w:iCs w:val="0"/>
            <w:noProof/>
            <w:webHidden/>
          </w:rPr>
        </w:r>
        <w:r w:rsidR="008F5C1F" w:rsidRPr="002A739E">
          <w:rPr>
            <w:i w:val="0"/>
            <w:iCs w:val="0"/>
            <w:noProof/>
            <w:webHidden/>
          </w:rPr>
          <w:fldChar w:fldCharType="separate"/>
        </w:r>
        <w:r>
          <w:rPr>
            <w:i w:val="0"/>
            <w:iCs w:val="0"/>
            <w:noProof/>
            <w:webHidden/>
          </w:rPr>
          <w:t>9-17</w:t>
        </w:r>
        <w:r w:rsidR="008F5C1F" w:rsidRPr="002A739E">
          <w:rPr>
            <w:i w:val="0"/>
            <w:iCs w:val="0"/>
            <w:noProof/>
            <w:webHidden/>
          </w:rPr>
          <w:fldChar w:fldCharType="end"/>
        </w:r>
      </w:hyperlink>
    </w:p>
    <w:p w14:paraId="047D7815" w14:textId="14B42E21" w:rsidR="008F5C1F" w:rsidRPr="002A739E" w:rsidRDefault="00ED3BE3">
      <w:pPr>
        <w:pStyle w:val="TOC3"/>
        <w:rPr>
          <w:rFonts w:eastAsiaTheme="minorEastAsia"/>
          <w:i w:val="0"/>
          <w:iCs w:val="0"/>
          <w:noProof/>
        </w:rPr>
      </w:pPr>
      <w:hyperlink w:anchor="_Toc80175261" w:history="1">
        <w:r w:rsidR="008F5C1F" w:rsidRPr="002A739E">
          <w:rPr>
            <w:rStyle w:val="Hyperlink"/>
            <w:i w:val="0"/>
            <w:iCs w:val="0"/>
            <w:noProof/>
          </w:rPr>
          <w:t>9.5.8</w:t>
        </w:r>
        <w:r w:rsidR="008F5C1F" w:rsidRPr="002A739E">
          <w:rPr>
            <w:rFonts w:eastAsiaTheme="minorEastAsia"/>
            <w:i w:val="0"/>
            <w:iCs w:val="0"/>
            <w:noProof/>
          </w:rPr>
          <w:tab/>
        </w:r>
        <w:r w:rsidR="008F5C1F" w:rsidRPr="002A739E">
          <w:rPr>
            <w:rStyle w:val="Hyperlink"/>
            <w:i w:val="0"/>
            <w:iCs w:val="0"/>
            <w:noProof/>
          </w:rPr>
          <w:t>RTM True-Up Statement</w:t>
        </w:r>
        <w:r w:rsidR="008F5C1F" w:rsidRPr="002A739E">
          <w:rPr>
            <w:i w:val="0"/>
            <w:iCs w:val="0"/>
            <w:noProof/>
            <w:webHidden/>
          </w:rPr>
          <w:tab/>
        </w:r>
        <w:r w:rsidR="008F5C1F" w:rsidRPr="002A739E">
          <w:rPr>
            <w:i w:val="0"/>
            <w:iCs w:val="0"/>
            <w:noProof/>
            <w:webHidden/>
          </w:rPr>
          <w:fldChar w:fldCharType="begin"/>
        </w:r>
        <w:r w:rsidR="008F5C1F" w:rsidRPr="002A739E">
          <w:rPr>
            <w:i w:val="0"/>
            <w:iCs w:val="0"/>
            <w:noProof/>
            <w:webHidden/>
          </w:rPr>
          <w:instrText xml:space="preserve"> PAGEREF _Toc80175261 \h </w:instrText>
        </w:r>
        <w:r w:rsidR="008F5C1F" w:rsidRPr="002A739E">
          <w:rPr>
            <w:i w:val="0"/>
            <w:iCs w:val="0"/>
            <w:noProof/>
            <w:webHidden/>
          </w:rPr>
        </w:r>
        <w:r w:rsidR="008F5C1F" w:rsidRPr="002A739E">
          <w:rPr>
            <w:i w:val="0"/>
            <w:iCs w:val="0"/>
            <w:noProof/>
            <w:webHidden/>
          </w:rPr>
          <w:fldChar w:fldCharType="separate"/>
        </w:r>
        <w:r>
          <w:rPr>
            <w:i w:val="0"/>
            <w:iCs w:val="0"/>
            <w:noProof/>
            <w:webHidden/>
          </w:rPr>
          <w:t>9-17</w:t>
        </w:r>
        <w:r w:rsidR="008F5C1F" w:rsidRPr="002A739E">
          <w:rPr>
            <w:i w:val="0"/>
            <w:iCs w:val="0"/>
            <w:noProof/>
            <w:webHidden/>
          </w:rPr>
          <w:fldChar w:fldCharType="end"/>
        </w:r>
      </w:hyperlink>
    </w:p>
    <w:p w14:paraId="5C746CFB" w14:textId="35B56498" w:rsidR="008F5C1F" w:rsidRPr="002A739E" w:rsidRDefault="00ED3BE3">
      <w:pPr>
        <w:pStyle w:val="TOC3"/>
        <w:rPr>
          <w:rFonts w:eastAsiaTheme="minorEastAsia"/>
          <w:i w:val="0"/>
          <w:iCs w:val="0"/>
          <w:noProof/>
        </w:rPr>
      </w:pPr>
      <w:hyperlink w:anchor="_Toc80175262" w:history="1">
        <w:r w:rsidR="008F5C1F" w:rsidRPr="002A739E">
          <w:rPr>
            <w:rStyle w:val="Hyperlink"/>
            <w:i w:val="0"/>
            <w:iCs w:val="0"/>
            <w:noProof/>
          </w:rPr>
          <w:t>9.5.9</w:t>
        </w:r>
        <w:r w:rsidR="008F5C1F" w:rsidRPr="002A739E">
          <w:rPr>
            <w:rFonts w:eastAsiaTheme="minorEastAsia"/>
            <w:i w:val="0"/>
            <w:iCs w:val="0"/>
            <w:noProof/>
          </w:rPr>
          <w:tab/>
        </w:r>
        <w:r w:rsidR="008F5C1F" w:rsidRPr="002A739E">
          <w:rPr>
            <w:rStyle w:val="Hyperlink"/>
            <w:i w:val="0"/>
            <w:iCs w:val="0"/>
            <w:noProof/>
          </w:rPr>
          <w:t>Notice of True-Up Settlement Timeline Changes for the Real-Time Market</w:t>
        </w:r>
        <w:r w:rsidR="008F5C1F" w:rsidRPr="002A739E">
          <w:rPr>
            <w:i w:val="0"/>
            <w:iCs w:val="0"/>
            <w:noProof/>
            <w:webHidden/>
          </w:rPr>
          <w:tab/>
        </w:r>
        <w:r w:rsidR="008F5C1F" w:rsidRPr="002A739E">
          <w:rPr>
            <w:i w:val="0"/>
            <w:iCs w:val="0"/>
            <w:noProof/>
            <w:webHidden/>
          </w:rPr>
          <w:fldChar w:fldCharType="begin"/>
        </w:r>
        <w:r w:rsidR="008F5C1F" w:rsidRPr="002A739E">
          <w:rPr>
            <w:i w:val="0"/>
            <w:iCs w:val="0"/>
            <w:noProof/>
            <w:webHidden/>
          </w:rPr>
          <w:instrText xml:space="preserve"> PAGEREF _Toc80175262 \h </w:instrText>
        </w:r>
        <w:r w:rsidR="008F5C1F" w:rsidRPr="002A739E">
          <w:rPr>
            <w:i w:val="0"/>
            <w:iCs w:val="0"/>
            <w:noProof/>
            <w:webHidden/>
          </w:rPr>
        </w:r>
        <w:r w:rsidR="008F5C1F" w:rsidRPr="002A739E">
          <w:rPr>
            <w:i w:val="0"/>
            <w:iCs w:val="0"/>
            <w:noProof/>
            <w:webHidden/>
          </w:rPr>
          <w:fldChar w:fldCharType="separate"/>
        </w:r>
        <w:r>
          <w:rPr>
            <w:i w:val="0"/>
            <w:iCs w:val="0"/>
            <w:noProof/>
            <w:webHidden/>
          </w:rPr>
          <w:t>9-18</w:t>
        </w:r>
        <w:r w:rsidR="008F5C1F" w:rsidRPr="002A739E">
          <w:rPr>
            <w:i w:val="0"/>
            <w:iCs w:val="0"/>
            <w:noProof/>
            <w:webHidden/>
          </w:rPr>
          <w:fldChar w:fldCharType="end"/>
        </w:r>
      </w:hyperlink>
    </w:p>
    <w:p w14:paraId="7985D197" w14:textId="29BA5879" w:rsidR="008F5C1F" w:rsidRPr="002A739E" w:rsidRDefault="00ED3BE3">
      <w:pPr>
        <w:pStyle w:val="TOC3"/>
        <w:rPr>
          <w:rFonts w:eastAsiaTheme="minorEastAsia"/>
          <w:i w:val="0"/>
          <w:iCs w:val="0"/>
          <w:noProof/>
        </w:rPr>
      </w:pPr>
      <w:hyperlink w:anchor="_Toc80175263" w:history="1">
        <w:r w:rsidR="008F5C1F" w:rsidRPr="002A739E">
          <w:rPr>
            <w:rStyle w:val="Hyperlink"/>
            <w:i w:val="0"/>
            <w:iCs w:val="0"/>
            <w:noProof/>
          </w:rPr>
          <w:t>9.5.10</w:t>
        </w:r>
        <w:r w:rsidR="008F5C1F" w:rsidRPr="002A739E">
          <w:rPr>
            <w:rFonts w:eastAsiaTheme="minorEastAsia"/>
            <w:i w:val="0"/>
            <w:iCs w:val="0"/>
            <w:noProof/>
          </w:rPr>
          <w:tab/>
        </w:r>
        <w:r w:rsidR="008F5C1F" w:rsidRPr="002A739E">
          <w:rPr>
            <w:rStyle w:val="Hyperlink"/>
            <w:i w:val="0"/>
            <w:iCs w:val="0"/>
            <w:noProof/>
          </w:rPr>
          <w:t>Confirmation for the Real-Time Market</w:t>
        </w:r>
        <w:r w:rsidR="008F5C1F" w:rsidRPr="002A739E">
          <w:rPr>
            <w:i w:val="0"/>
            <w:iCs w:val="0"/>
            <w:noProof/>
            <w:webHidden/>
          </w:rPr>
          <w:tab/>
        </w:r>
        <w:r w:rsidR="008F5C1F" w:rsidRPr="002A739E">
          <w:rPr>
            <w:i w:val="0"/>
            <w:iCs w:val="0"/>
            <w:noProof/>
            <w:webHidden/>
          </w:rPr>
          <w:fldChar w:fldCharType="begin"/>
        </w:r>
        <w:r w:rsidR="008F5C1F" w:rsidRPr="002A739E">
          <w:rPr>
            <w:i w:val="0"/>
            <w:iCs w:val="0"/>
            <w:noProof/>
            <w:webHidden/>
          </w:rPr>
          <w:instrText xml:space="preserve"> PAGEREF _Toc80175263 \h </w:instrText>
        </w:r>
        <w:r w:rsidR="008F5C1F" w:rsidRPr="002A739E">
          <w:rPr>
            <w:i w:val="0"/>
            <w:iCs w:val="0"/>
            <w:noProof/>
            <w:webHidden/>
          </w:rPr>
        </w:r>
        <w:r w:rsidR="008F5C1F" w:rsidRPr="002A739E">
          <w:rPr>
            <w:i w:val="0"/>
            <w:iCs w:val="0"/>
            <w:noProof/>
            <w:webHidden/>
          </w:rPr>
          <w:fldChar w:fldCharType="separate"/>
        </w:r>
        <w:r>
          <w:rPr>
            <w:i w:val="0"/>
            <w:iCs w:val="0"/>
            <w:noProof/>
            <w:webHidden/>
          </w:rPr>
          <w:t>9-18</w:t>
        </w:r>
        <w:r w:rsidR="008F5C1F" w:rsidRPr="002A739E">
          <w:rPr>
            <w:i w:val="0"/>
            <w:iCs w:val="0"/>
            <w:noProof/>
            <w:webHidden/>
          </w:rPr>
          <w:fldChar w:fldCharType="end"/>
        </w:r>
      </w:hyperlink>
    </w:p>
    <w:p w14:paraId="1DC68A17" w14:textId="582209B7" w:rsidR="008F5C1F" w:rsidRPr="002A739E" w:rsidRDefault="00ED3BE3">
      <w:pPr>
        <w:pStyle w:val="TOC3"/>
        <w:rPr>
          <w:rFonts w:eastAsiaTheme="minorEastAsia"/>
          <w:i w:val="0"/>
          <w:iCs w:val="0"/>
          <w:noProof/>
        </w:rPr>
      </w:pPr>
      <w:hyperlink w:anchor="_Toc80175264" w:history="1">
        <w:r w:rsidR="008F5C1F" w:rsidRPr="002A739E">
          <w:rPr>
            <w:rStyle w:val="Hyperlink"/>
            <w:i w:val="0"/>
            <w:iCs w:val="0"/>
            <w:noProof/>
          </w:rPr>
          <w:t>9.5.11</w:t>
        </w:r>
        <w:r w:rsidR="008F5C1F" w:rsidRPr="002A739E">
          <w:rPr>
            <w:rFonts w:eastAsiaTheme="minorEastAsia"/>
            <w:i w:val="0"/>
            <w:iCs w:val="0"/>
            <w:noProof/>
          </w:rPr>
          <w:tab/>
        </w:r>
        <w:r w:rsidR="008F5C1F" w:rsidRPr="002A739E">
          <w:rPr>
            <w:rStyle w:val="Hyperlink"/>
            <w:i w:val="0"/>
            <w:iCs w:val="0"/>
            <w:noProof/>
          </w:rPr>
          <w:t>Validation of the True-Up Statement for the Real-Time Market</w:t>
        </w:r>
        <w:r w:rsidR="008F5C1F" w:rsidRPr="002A739E">
          <w:rPr>
            <w:i w:val="0"/>
            <w:iCs w:val="0"/>
            <w:noProof/>
            <w:webHidden/>
          </w:rPr>
          <w:tab/>
        </w:r>
        <w:r w:rsidR="008F5C1F" w:rsidRPr="002A739E">
          <w:rPr>
            <w:i w:val="0"/>
            <w:iCs w:val="0"/>
            <w:noProof/>
            <w:webHidden/>
          </w:rPr>
          <w:fldChar w:fldCharType="begin"/>
        </w:r>
        <w:r w:rsidR="008F5C1F" w:rsidRPr="002A739E">
          <w:rPr>
            <w:i w:val="0"/>
            <w:iCs w:val="0"/>
            <w:noProof/>
            <w:webHidden/>
          </w:rPr>
          <w:instrText xml:space="preserve"> PAGEREF _Toc80175264 \h </w:instrText>
        </w:r>
        <w:r w:rsidR="008F5C1F" w:rsidRPr="002A739E">
          <w:rPr>
            <w:i w:val="0"/>
            <w:iCs w:val="0"/>
            <w:noProof/>
            <w:webHidden/>
          </w:rPr>
        </w:r>
        <w:r w:rsidR="008F5C1F" w:rsidRPr="002A739E">
          <w:rPr>
            <w:i w:val="0"/>
            <w:iCs w:val="0"/>
            <w:noProof/>
            <w:webHidden/>
          </w:rPr>
          <w:fldChar w:fldCharType="separate"/>
        </w:r>
        <w:r>
          <w:rPr>
            <w:i w:val="0"/>
            <w:iCs w:val="0"/>
            <w:noProof/>
            <w:webHidden/>
          </w:rPr>
          <w:t>9-18</w:t>
        </w:r>
        <w:r w:rsidR="008F5C1F" w:rsidRPr="002A739E">
          <w:rPr>
            <w:i w:val="0"/>
            <w:iCs w:val="0"/>
            <w:noProof/>
            <w:webHidden/>
          </w:rPr>
          <w:fldChar w:fldCharType="end"/>
        </w:r>
      </w:hyperlink>
    </w:p>
    <w:p w14:paraId="64AC4E20" w14:textId="2844671E" w:rsidR="008F5C1F" w:rsidRPr="002A739E" w:rsidRDefault="00ED3BE3">
      <w:pPr>
        <w:pStyle w:val="TOC3"/>
        <w:rPr>
          <w:rFonts w:eastAsiaTheme="minorEastAsia"/>
          <w:i w:val="0"/>
          <w:iCs w:val="0"/>
          <w:noProof/>
        </w:rPr>
      </w:pPr>
      <w:hyperlink w:anchor="_Toc80175265" w:history="1">
        <w:r w:rsidR="008F5C1F" w:rsidRPr="002A739E">
          <w:rPr>
            <w:rStyle w:val="Hyperlink"/>
            <w:i w:val="0"/>
            <w:iCs w:val="0"/>
            <w:noProof/>
          </w:rPr>
          <w:t>9.5.12</w:t>
        </w:r>
        <w:r w:rsidR="008F5C1F" w:rsidRPr="002A739E">
          <w:rPr>
            <w:rFonts w:eastAsiaTheme="minorEastAsia"/>
            <w:i w:val="0"/>
            <w:iCs w:val="0"/>
            <w:noProof/>
          </w:rPr>
          <w:tab/>
        </w:r>
        <w:r w:rsidR="008F5C1F" w:rsidRPr="002A739E">
          <w:rPr>
            <w:rStyle w:val="Hyperlink"/>
            <w:i w:val="0"/>
            <w:iCs w:val="0"/>
            <w:noProof/>
          </w:rPr>
          <w:t>Suspension of Issuing Settlement Statements for the Real-Time Market</w:t>
        </w:r>
        <w:r w:rsidR="008F5C1F" w:rsidRPr="002A739E">
          <w:rPr>
            <w:i w:val="0"/>
            <w:iCs w:val="0"/>
            <w:noProof/>
            <w:webHidden/>
          </w:rPr>
          <w:tab/>
        </w:r>
        <w:r w:rsidR="008F5C1F" w:rsidRPr="002A739E">
          <w:rPr>
            <w:i w:val="0"/>
            <w:iCs w:val="0"/>
            <w:noProof/>
            <w:webHidden/>
          </w:rPr>
          <w:fldChar w:fldCharType="begin"/>
        </w:r>
        <w:r w:rsidR="008F5C1F" w:rsidRPr="002A739E">
          <w:rPr>
            <w:i w:val="0"/>
            <w:iCs w:val="0"/>
            <w:noProof/>
            <w:webHidden/>
          </w:rPr>
          <w:instrText xml:space="preserve"> PAGEREF _Toc80175265 \h </w:instrText>
        </w:r>
        <w:r w:rsidR="008F5C1F" w:rsidRPr="002A739E">
          <w:rPr>
            <w:i w:val="0"/>
            <w:iCs w:val="0"/>
            <w:noProof/>
            <w:webHidden/>
          </w:rPr>
        </w:r>
        <w:r w:rsidR="008F5C1F" w:rsidRPr="002A739E">
          <w:rPr>
            <w:i w:val="0"/>
            <w:iCs w:val="0"/>
            <w:noProof/>
            <w:webHidden/>
          </w:rPr>
          <w:fldChar w:fldCharType="separate"/>
        </w:r>
        <w:r>
          <w:rPr>
            <w:i w:val="0"/>
            <w:iCs w:val="0"/>
            <w:noProof/>
            <w:webHidden/>
          </w:rPr>
          <w:t>9-18</w:t>
        </w:r>
        <w:r w:rsidR="008F5C1F" w:rsidRPr="002A739E">
          <w:rPr>
            <w:i w:val="0"/>
            <w:iCs w:val="0"/>
            <w:noProof/>
            <w:webHidden/>
          </w:rPr>
          <w:fldChar w:fldCharType="end"/>
        </w:r>
      </w:hyperlink>
    </w:p>
    <w:p w14:paraId="413DFD30" w14:textId="4DC1C0C7" w:rsidR="008F5C1F" w:rsidRPr="002A739E" w:rsidRDefault="00ED3BE3">
      <w:pPr>
        <w:pStyle w:val="TOC2"/>
        <w:rPr>
          <w:rFonts w:eastAsiaTheme="minorEastAsia"/>
          <w:noProof/>
        </w:rPr>
      </w:pPr>
      <w:hyperlink w:anchor="_Toc80175266" w:history="1">
        <w:r w:rsidR="008F5C1F" w:rsidRPr="002A739E">
          <w:rPr>
            <w:rStyle w:val="Hyperlink"/>
            <w:noProof/>
          </w:rPr>
          <w:t>9.6</w:t>
        </w:r>
        <w:r w:rsidR="008F5C1F" w:rsidRPr="002A739E">
          <w:rPr>
            <w:rFonts w:eastAsiaTheme="minorEastAsia"/>
            <w:noProof/>
          </w:rPr>
          <w:tab/>
        </w:r>
        <w:r w:rsidR="008F5C1F" w:rsidRPr="002A739E">
          <w:rPr>
            <w:rStyle w:val="Hyperlink"/>
            <w:noProof/>
          </w:rPr>
          <w:t>Settlement Invoices for the Day-Ahead Market and Real-Time Market</w:t>
        </w:r>
        <w:r w:rsidR="008F5C1F" w:rsidRPr="002A739E">
          <w:rPr>
            <w:noProof/>
            <w:webHidden/>
          </w:rPr>
          <w:tab/>
        </w:r>
        <w:r w:rsidR="008F5C1F" w:rsidRPr="002A739E">
          <w:rPr>
            <w:noProof/>
            <w:webHidden/>
          </w:rPr>
          <w:fldChar w:fldCharType="begin"/>
        </w:r>
        <w:r w:rsidR="008F5C1F" w:rsidRPr="002A739E">
          <w:rPr>
            <w:noProof/>
            <w:webHidden/>
          </w:rPr>
          <w:instrText xml:space="preserve"> PAGEREF _Toc80175266 \h </w:instrText>
        </w:r>
        <w:r w:rsidR="008F5C1F" w:rsidRPr="002A739E">
          <w:rPr>
            <w:noProof/>
            <w:webHidden/>
          </w:rPr>
        </w:r>
        <w:r w:rsidR="008F5C1F" w:rsidRPr="002A739E">
          <w:rPr>
            <w:noProof/>
            <w:webHidden/>
          </w:rPr>
          <w:fldChar w:fldCharType="separate"/>
        </w:r>
        <w:r>
          <w:rPr>
            <w:noProof/>
            <w:webHidden/>
          </w:rPr>
          <w:t>9-19</w:t>
        </w:r>
        <w:r w:rsidR="008F5C1F" w:rsidRPr="002A739E">
          <w:rPr>
            <w:noProof/>
            <w:webHidden/>
          </w:rPr>
          <w:fldChar w:fldCharType="end"/>
        </w:r>
      </w:hyperlink>
    </w:p>
    <w:p w14:paraId="0226F2EF" w14:textId="2AD79823" w:rsidR="008F5C1F" w:rsidRPr="002A739E" w:rsidRDefault="00ED3BE3">
      <w:pPr>
        <w:pStyle w:val="TOC2"/>
        <w:rPr>
          <w:rFonts w:eastAsiaTheme="minorEastAsia"/>
          <w:noProof/>
        </w:rPr>
      </w:pPr>
      <w:hyperlink w:anchor="_Toc80175267" w:history="1">
        <w:r w:rsidR="008F5C1F" w:rsidRPr="002A739E">
          <w:rPr>
            <w:rStyle w:val="Hyperlink"/>
            <w:noProof/>
          </w:rPr>
          <w:t>9.7</w:t>
        </w:r>
        <w:r w:rsidR="008F5C1F" w:rsidRPr="002A739E">
          <w:rPr>
            <w:rFonts w:eastAsiaTheme="minorEastAsia"/>
            <w:noProof/>
          </w:rPr>
          <w:tab/>
        </w:r>
        <w:r w:rsidR="008F5C1F" w:rsidRPr="002A739E">
          <w:rPr>
            <w:rStyle w:val="Hyperlink"/>
            <w:noProof/>
          </w:rPr>
          <w:t>Payment Process for the Settlement Invoices</w:t>
        </w:r>
        <w:r w:rsidR="008F5C1F" w:rsidRPr="002A739E">
          <w:rPr>
            <w:noProof/>
            <w:webHidden/>
          </w:rPr>
          <w:tab/>
        </w:r>
        <w:r w:rsidR="008F5C1F" w:rsidRPr="002A739E">
          <w:rPr>
            <w:noProof/>
            <w:webHidden/>
          </w:rPr>
          <w:fldChar w:fldCharType="begin"/>
        </w:r>
        <w:r w:rsidR="008F5C1F" w:rsidRPr="002A739E">
          <w:rPr>
            <w:noProof/>
            <w:webHidden/>
          </w:rPr>
          <w:instrText xml:space="preserve"> PAGEREF _Toc80175267 \h </w:instrText>
        </w:r>
        <w:r w:rsidR="008F5C1F" w:rsidRPr="002A739E">
          <w:rPr>
            <w:noProof/>
            <w:webHidden/>
          </w:rPr>
        </w:r>
        <w:r w:rsidR="008F5C1F" w:rsidRPr="002A739E">
          <w:rPr>
            <w:noProof/>
            <w:webHidden/>
          </w:rPr>
          <w:fldChar w:fldCharType="separate"/>
        </w:r>
        <w:r>
          <w:rPr>
            <w:noProof/>
            <w:webHidden/>
          </w:rPr>
          <w:t>9-20</w:t>
        </w:r>
        <w:r w:rsidR="008F5C1F" w:rsidRPr="002A739E">
          <w:rPr>
            <w:noProof/>
            <w:webHidden/>
          </w:rPr>
          <w:fldChar w:fldCharType="end"/>
        </w:r>
      </w:hyperlink>
    </w:p>
    <w:p w14:paraId="2B425BCB" w14:textId="3FB250F9" w:rsidR="008F5C1F" w:rsidRPr="002A739E" w:rsidRDefault="00ED3BE3">
      <w:pPr>
        <w:pStyle w:val="TOC3"/>
        <w:rPr>
          <w:rFonts w:eastAsiaTheme="minorEastAsia"/>
          <w:i w:val="0"/>
          <w:iCs w:val="0"/>
          <w:noProof/>
        </w:rPr>
      </w:pPr>
      <w:hyperlink w:anchor="_Toc80175268" w:history="1">
        <w:r w:rsidR="008F5C1F" w:rsidRPr="002A739E">
          <w:rPr>
            <w:rStyle w:val="Hyperlink"/>
            <w:i w:val="0"/>
            <w:iCs w:val="0"/>
            <w:noProof/>
          </w:rPr>
          <w:t>9.7.1</w:t>
        </w:r>
        <w:r w:rsidR="008F5C1F" w:rsidRPr="002A739E">
          <w:rPr>
            <w:rFonts w:eastAsiaTheme="minorEastAsia"/>
            <w:i w:val="0"/>
            <w:iCs w:val="0"/>
            <w:noProof/>
          </w:rPr>
          <w:tab/>
        </w:r>
        <w:r w:rsidR="008F5C1F" w:rsidRPr="002A739E">
          <w:rPr>
            <w:rStyle w:val="Hyperlink"/>
            <w:i w:val="0"/>
            <w:iCs w:val="0"/>
            <w:noProof/>
          </w:rPr>
          <w:t>Invoice Recipient Payment to ERCOT for the Settlement Invoices</w:t>
        </w:r>
        <w:r w:rsidR="008F5C1F" w:rsidRPr="002A739E">
          <w:rPr>
            <w:i w:val="0"/>
            <w:iCs w:val="0"/>
            <w:noProof/>
            <w:webHidden/>
          </w:rPr>
          <w:tab/>
        </w:r>
        <w:r w:rsidR="008F5C1F" w:rsidRPr="002A739E">
          <w:rPr>
            <w:i w:val="0"/>
            <w:iCs w:val="0"/>
            <w:noProof/>
            <w:webHidden/>
          </w:rPr>
          <w:fldChar w:fldCharType="begin"/>
        </w:r>
        <w:r w:rsidR="008F5C1F" w:rsidRPr="002A739E">
          <w:rPr>
            <w:i w:val="0"/>
            <w:iCs w:val="0"/>
            <w:noProof/>
            <w:webHidden/>
          </w:rPr>
          <w:instrText xml:space="preserve"> PAGEREF _Toc80175268 \h </w:instrText>
        </w:r>
        <w:r w:rsidR="008F5C1F" w:rsidRPr="002A739E">
          <w:rPr>
            <w:i w:val="0"/>
            <w:iCs w:val="0"/>
            <w:noProof/>
            <w:webHidden/>
          </w:rPr>
        </w:r>
        <w:r w:rsidR="008F5C1F" w:rsidRPr="002A739E">
          <w:rPr>
            <w:i w:val="0"/>
            <w:iCs w:val="0"/>
            <w:noProof/>
            <w:webHidden/>
          </w:rPr>
          <w:fldChar w:fldCharType="separate"/>
        </w:r>
        <w:r>
          <w:rPr>
            <w:i w:val="0"/>
            <w:iCs w:val="0"/>
            <w:noProof/>
            <w:webHidden/>
          </w:rPr>
          <w:t>9-20</w:t>
        </w:r>
        <w:r w:rsidR="008F5C1F" w:rsidRPr="002A739E">
          <w:rPr>
            <w:i w:val="0"/>
            <w:iCs w:val="0"/>
            <w:noProof/>
            <w:webHidden/>
          </w:rPr>
          <w:fldChar w:fldCharType="end"/>
        </w:r>
      </w:hyperlink>
    </w:p>
    <w:p w14:paraId="2BC85198" w14:textId="5AF5A934" w:rsidR="008F5C1F" w:rsidRPr="002A739E" w:rsidRDefault="00ED3BE3">
      <w:pPr>
        <w:pStyle w:val="TOC3"/>
        <w:rPr>
          <w:rFonts w:eastAsiaTheme="minorEastAsia"/>
          <w:i w:val="0"/>
          <w:iCs w:val="0"/>
          <w:noProof/>
        </w:rPr>
      </w:pPr>
      <w:hyperlink w:anchor="_Toc80175269" w:history="1">
        <w:r w:rsidR="008F5C1F" w:rsidRPr="002A739E">
          <w:rPr>
            <w:rStyle w:val="Hyperlink"/>
            <w:i w:val="0"/>
            <w:iCs w:val="0"/>
            <w:noProof/>
          </w:rPr>
          <w:t>9.7.2</w:t>
        </w:r>
        <w:r w:rsidR="008F5C1F" w:rsidRPr="002A739E">
          <w:rPr>
            <w:rFonts w:eastAsiaTheme="minorEastAsia"/>
            <w:i w:val="0"/>
            <w:iCs w:val="0"/>
            <w:noProof/>
          </w:rPr>
          <w:tab/>
        </w:r>
        <w:r w:rsidR="008F5C1F" w:rsidRPr="002A739E">
          <w:rPr>
            <w:rStyle w:val="Hyperlink"/>
            <w:i w:val="0"/>
            <w:iCs w:val="0"/>
            <w:noProof/>
          </w:rPr>
          <w:t>ERCOT Payment to Invoice Recipients for the Settlement Invoices</w:t>
        </w:r>
        <w:r w:rsidR="008F5C1F" w:rsidRPr="002A739E">
          <w:rPr>
            <w:i w:val="0"/>
            <w:iCs w:val="0"/>
            <w:noProof/>
            <w:webHidden/>
          </w:rPr>
          <w:tab/>
        </w:r>
        <w:r w:rsidR="008F5C1F" w:rsidRPr="002A739E">
          <w:rPr>
            <w:i w:val="0"/>
            <w:iCs w:val="0"/>
            <w:noProof/>
            <w:webHidden/>
          </w:rPr>
          <w:fldChar w:fldCharType="begin"/>
        </w:r>
        <w:r w:rsidR="008F5C1F" w:rsidRPr="002A739E">
          <w:rPr>
            <w:i w:val="0"/>
            <w:iCs w:val="0"/>
            <w:noProof/>
            <w:webHidden/>
          </w:rPr>
          <w:instrText xml:space="preserve"> PAGEREF _Toc80175269 \h </w:instrText>
        </w:r>
        <w:r w:rsidR="008F5C1F" w:rsidRPr="002A739E">
          <w:rPr>
            <w:i w:val="0"/>
            <w:iCs w:val="0"/>
            <w:noProof/>
            <w:webHidden/>
          </w:rPr>
        </w:r>
        <w:r w:rsidR="008F5C1F" w:rsidRPr="002A739E">
          <w:rPr>
            <w:i w:val="0"/>
            <w:iCs w:val="0"/>
            <w:noProof/>
            <w:webHidden/>
          </w:rPr>
          <w:fldChar w:fldCharType="separate"/>
        </w:r>
        <w:r>
          <w:rPr>
            <w:i w:val="0"/>
            <w:iCs w:val="0"/>
            <w:noProof/>
            <w:webHidden/>
          </w:rPr>
          <w:t>9-20</w:t>
        </w:r>
        <w:r w:rsidR="008F5C1F" w:rsidRPr="002A739E">
          <w:rPr>
            <w:i w:val="0"/>
            <w:iCs w:val="0"/>
            <w:noProof/>
            <w:webHidden/>
          </w:rPr>
          <w:fldChar w:fldCharType="end"/>
        </w:r>
      </w:hyperlink>
    </w:p>
    <w:p w14:paraId="3EEEEC57" w14:textId="33F8D2DF" w:rsidR="008F5C1F" w:rsidRPr="002A739E" w:rsidRDefault="00ED3BE3">
      <w:pPr>
        <w:pStyle w:val="TOC3"/>
        <w:rPr>
          <w:rFonts w:eastAsiaTheme="minorEastAsia"/>
          <w:i w:val="0"/>
          <w:iCs w:val="0"/>
          <w:noProof/>
        </w:rPr>
      </w:pPr>
      <w:hyperlink w:anchor="_Toc80175270" w:history="1">
        <w:r w:rsidR="008F5C1F" w:rsidRPr="002A739E">
          <w:rPr>
            <w:rStyle w:val="Hyperlink"/>
            <w:i w:val="0"/>
            <w:iCs w:val="0"/>
            <w:noProof/>
          </w:rPr>
          <w:t>9.7.3</w:t>
        </w:r>
        <w:r w:rsidR="008F5C1F" w:rsidRPr="002A739E">
          <w:rPr>
            <w:rFonts w:eastAsiaTheme="minorEastAsia"/>
            <w:i w:val="0"/>
            <w:iCs w:val="0"/>
            <w:noProof/>
          </w:rPr>
          <w:tab/>
        </w:r>
        <w:r w:rsidR="008F5C1F" w:rsidRPr="002A739E">
          <w:rPr>
            <w:rStyle w:val="Hyperlink"/>
            <w:i w:val="0"/>
            <w:iCs w:val="0"/>
            <w:noProof/>
          </w:rPr>
          <w:t>Enforcing the Financial Security of a Short-Paying Invoice Recipient</w:t>
        </w:r>
        <w:r w:rsidR="008F5C1F" w:rsidRPr="002A739E">
          <w:rPr>
            <w:i w:val="0"/>
            <w:iCs w:val="0"/>
            <w:noProof/>
            <w:webHidden/>
          </w:rPr>
          <w:tab/>
        </w:r>
        <w:r w:rsidR="008F5C1F" w:rsidRPr="002A739E">
          <w:rPr>
            <w:i w:val="0"/>
            <w:iCs w:val="0"/>
            <w:noProof/>
            <w:webHidden/>
          </w:rPr>
          <w:fldChar w:fldCharType="begin"/>
        </w:r>
        <w:r w:rsidR="008F5C1F" w:rsidRPr="002A739E">
          <w:rPr>
            <w:i w:val="0"/>
            <w:iCs w:val="0"/>
            <w:noProof/>
            <w:webHidden/>
          </w:rPr>
          <w:instrText xml:space="preserve"> PAGEREF _Toc80175270 \h </w:instrText>
        </w:r>
        <w:r w:rsidR="008F5C1F" w:rsidRPr="002A739E">
          <w:rPr>
            <w:i w:val="0"/>
            <w:iCs w:val="0"/>
            <w:noProof/>
            <w:webHidden/>
          </w:rPr>
        </w:r>
        <w:r w:rsidR="008F5C1F" w:rsidRPr="002A739E">
          <w:rPr>
            <w:i w:val="0"/>
            <w:iCs w:val="0"/>
            <w:noProof/>
            <w:webHidden/>
          </w:rPr>
          <w:fldChar w:fldCharType="separate"/>
        </w:r>
        <w:r>
          <w:rPr>
            <w:i w:val="0"/>
            <w:iCs w:val="0"/>
            <w:noProof/>
            <w:webHidden/>
          </w:rPr>
          <w:t>9-20</w:t>
        </w:r>
        <w:r w:rsidR="008F5C1F" w:rsidRPr="002A739E">
          <w:rPr>
            <w:i w:val="0"/>
            <w:iCs w:val="0"/>
            <w:noProof/>
            <w:webHidden/>
          </w:rPr>
          <w:fldChar w:fldCharType="end"/>
        </w:r>
      </w:hyperlink>
    </w:p>
    <w:p w14:paraId="6EEDA151" w14:textId="479FBE14" w:rsidR="008F5C1F" w:rsidRPr="002A739E" w:rsidRDefault="00ED3BE3">
      <w:pPr>
        <w:pStyle w:val="TOC2"/>
        <w:rPr>
          <w:rFonts w:eastAsiaTheme="minorEastAsia"/>
          <w:noProof/>
        </w:rPr>
      </w:pPr>
      <w:hyperlink w:anchor="_Toc80175271" w:history="1">
        <w:r w:rsidR="008F5C1F" w:rsidRPr="002A739E">
          <w:rPr>
            <w:rStyle w:val="Hyperlink"/>
            <w:noProof/>
          </w:rPr>
          <w:t>9.8</w:t>
        </w:r>
        <w:r w:rsidR="008F5C1F" w:rsidRPr="002A739E">
          <w:rPr>
            <w:rFonts w:eastAsiaTheme="minorEastAsia"/>
            <w:noProof/>
          </w:rPr>
          <w:tab/>
        </w:r>
        <w:r w:rsidR="008F5C1F" w:rsidRPr="002A739E">
          <w:rPr>
            <w:rStyle w:val="Hyperlink"/>
            <w:noProof/>
          </w:rPr>
          <w:t>CRR Auction Award Invoices</w:t>
        </w:r>
        <w:r w:rsidR="008F5C1F" w:rsidRPr="002A739E">
          <w:rPr>
            <w:noProof/>
            <w:webHidden/>
          </w:rPr>
          <w:tab/>
        </w:r>
        <w:r w:rsidR="008F5C1F" w:rsidRPr="002A739E">
          <w:rPr>
            <w:noProof/>
            <w:webHidden/>
          </w:rPr>
          <w:fldChar w:fldCharType="begin"/>
        </w:r>
        <w:r w:rsidR="008F5C1F" w:rsidRPr="002A739E">
          <w:rPr>
            <w:noProof/>
            <w:webHidden/>
          </w:rPr>
          <w:instrText xml:space="preserve"> PAGEREF _Toc80175271 \h </w:instrText>
        </w:r>
        <w:r w:rsidR="008F5C1F" w:rsidRPr="002A739E">
          <w:rPr>
            <w:noProof/>
            <w:webHidden/>
          </w:rPr>
        </w:r>
        <w:r w:rsidR="008F5C1F" w:rsidRPr="002A739E">
          <w:rPr>
            <w:noProof/>
            <w:webHidden/>
          </w:rPr>
          <w:fldChar w:fldCharType="separate"/>
        </w:r>
        <w:r>
          <w:rPr>
            <w:noProof/>
            <w:webHidden/>
          </w:rPr>
          <w:t>9-21</w:t>
        </w:r>
        <w:r w:rsidR="008F5C1F" w:rsidRPr="002A739E">
          <w:rPr>
            <w:noProof/>
            <w:webHidden/>
          </w:rPr>
          <w:fldChar w:fldCharType="end"/>
        </w:r>
      </w:hyperlink>
    </w:p>
    <w:p w14:paraId="2D5286DB" w14:textId="69F1F66D" w:rsidR="008F5C1F" w:rsidRPr="002A739E" w:rsidRDefault="00ED3BE3">
      <w:pPr>
        <w:pStyle w:val="TOC2"/>
        <w:rPr>
          <w:rFonts w:eastAsiaTheme="minorEastAsia"/>
          <w:noProof/>
        </w:rPr>
      </w:pPr>
      <w:hyperlink w:anchor="_Toc80175272" w:history="1">
        <w:r w:rsidR="008F5C1F" w:rsidRPr="002A739E">
          <w:rPr>
            <w:rStyle w:val="Hyperlink"/>
            <w:noProof/>
          </w:rPr>
          <w:t>9.9</w:t>
        </w:r>
        <w:r w:rsidR="008F5C1F" w:rsidRPr="002A739E">
          <w:rPr>
            <w:rFonts w:eastAsiaTheme="minorEastAsia"/>
            <w:noProof/>
          </w:rPr>
          <w:tab/>
        </w:r>
        <w:r w:rsidR="008F5C1F" w:rsidRPr="002A739E">
          <w:rPr>
            <w:rStyle w:val="Hyperlink"/>
            <w:noProof/>
          </w:rPr>
          <w:t>Payment Process for CRR Auction Invoices</w:t>
        </w:r>
        <w:r w:rsidR="008F5C1F" w:rsidRPr="002A739E">
          <w:rPr>
            <w:noProof/>
            <w:webHidden/>
          </w:rPr>
          <w:tab/>
        </w:r>
        <w:r w:rsidR="008F5C1F" w:rsidRPr="002A739E">
          <w:rPr>
            <w:noProof/>
            <w:webHidden/>
          </w:rPr>
          <w:fldChar w:fldCharType="begin"/>
        </w:r>
        <w:r w:rsidR="008F5C1F" w:rsidRPr="002A739E">
          <w:rPr>
            <w:noProof/>
            <w:webHidden/>
          </w:rPr>
          <w:instrText xml:space="preserve"> PAGEREF _Toc80175272 \h </w:instrText>
        </w:r>
        <w:r w:rsidR="008F5C1F" w:rsidRPr="002A739E">
          <w:rPr>
            <w:noProof/>
            <w:webHidden/>
          </w:rPr>
        </w:r>
        <w:r w:rsidR="008F5C1F" w:rsidRPr="002A739E">
          <w:rPr>
            <w:noProof/>
            <w:webHidden/>
          </w:rPr>
          <w:fldChar w:fldCharType="separate"/>
        </w:r>
        <w:r>
          <w:rPr>
            <w:noProof/>
            <w:webHidden/>
          </w:rPr>
          <w:t>9-22</w:t>
        </w:r>
        <w:r w:rsidR="008F5C1F" w:rsidRPr="002A739E">
          <w:rPr>
            <w:noProof/>
            <w:webHidden/>
          </w:rPr>
          <w:fldChar w:fldCharType="end"/>
        </w:r>
      </w:hyperlink>
    </w:p>
    <w:p w14:paraId="520C3EB9" w14:textId="46B737DB" w:rsidR="008F5C1F" w:rsidRPr="002A739E" w:rsidRDefault="00ED3BE3">
      <w:pPr>
        <w:pStyle w:val="TOC3"/>
        <w:rPr>
          <w:rFonts w:eastAsiaTheme="minorEastAsia"/>
          <w:i w:val="0"/>
          <w:iCs w:val="0"/>
          <w:noProof/>
        </w:rPr>
      </w:pPr>
      <w:hyperlink w:anchor="_Toc80175273" w:history="1">
        <w:r w:rsidR="008F5C1F" w:rsidRPr="002A739E">
          <w:rPr>
            <w:rStyle w:val="Hyperlink"/>
            <w:i w:val="0"/>
            <w:iCs w:val="0"/>
            <w:noProof/>
          </w:rPr>
          <w:t>9.9.1</w:t>
        </w:r>
        <w:r w:rsidR="008F5C1F" w:rsidRPr="002A739E">
          <w:rPr>
            <w:rFonts w:eastAsiaTheme="minorEastAsia"/>
            <w:i w:val="0"/>
            <w:iCs w:val="0"/>
            <w:noProof/>
          </w:rPr>
          <w:tab/>
        </w:r>
        <w:r w:rsidR="008F5C1F" w:rsidRPr="002A739E">
          <w:rPr>
            <w:rStyle w:val="Hyperlink"/>
            <w:i w:val="0"/>
            <w:iCs w:val="0"/>
            <w:noProof/>
          </w:rPr>
          <w:t>Invoice Recipient Payment to ERCOT for the CRR Auction</w:t>
        </w:r>
        <w:r w:rsidR="008F5C1F" w:rsidRPr="002A739E">
          <w:rPr>
            <w:i w:val="0"/>
            <w:iCs w:val="0"/>
            <w:noProof/>
            <w:webHidden/>
          </w:rPr>
          <w:tab/>
        </w:r>
        <w:r w:rsidR="008F5C1F" w:rsidRPr="002A739E">
          <w:rPr>
            <w:i w:val="0"/>
            <w:iCs w:val="0"/>
            <w:noProof/>
            <w:webHidden/>
          </w:rPr>
          <w:fldChar w:fldCharType="begin"/>
        </w:r>
        <w:r w:rsidR="008F5C1F" w:rsidRPr="002A739E">
          <w:rPr>
            <w:i w:val="0"/>
            <w:iCs w:val="0"/>
            <w:noProof/>
            <w:webHidden/>
          </w:rPr>
          <w:instrText xml:space="preserve"> PAGEREF _Toc80175273 \h </w:instrText>
        </w:r>
        <w:r w:rsidR="008F5C1F" w:rsidRPr="002A739E">
          <w:rPr>
            <w:i w:val="0"/>
            <w:iCs w:val="0"/>
            <w:noProof/>
            <w:webHidden/>
          </w:rPr>
        </w:r>
        <w:r w:rsidR="008F5C1F" w:rsidRPr="002A739E">
          <w:rPr>
            <w:i w:val="0"/>
            <w:iCs w:val="0"/>
            <w:noProof/>
            <w:webHidden/>
          </w:rPr>
          <w:fldChar w:fldCharType="separate"/>
        </w:r>
        <w:r>
          <w:rPr>
            <w:i w:val="0"/>
            <w:iCs w:val="0"/>
            <w:noProof/>
            <w:webHidden/>
          </w:rPr>
          <w:t>9-22</w:t>
        </w:r>
        <w:r w:rsidR="008F5C1F" w:rsidRPr="002A739E">
          <w:rPr>
            <w:i w:val="0"/>
            <w:iCs w:val="0"/>
            <w:noProof/>
            <w:webHidden/>
          </w:rPr>
          <w:fldChar w:fldCharType="end"/>
        </w:r>
      </w:hyperlink>
    </w:p>
    <w:p w14:paraId="3ACF1DC4" w14:textId="443228E7" w:rsidR="008F5C1F" w:rsidRPr="002A739E" w:rsidRDefault="00ED3BE3">
      <w:pPr>
        <w:pStyle w:val="TOC3"/>
        <w:rPr>
          <w:rFonts w:eastAsiaTheme="minorEastAsia"/>
          <w:i w:val="0"/>
          <w:iCs w:val="0"/>
          <w:noProof/>
        </w:rPr>
      </w:pPr>
      <w:hyperlink w:anchor="_Toc80175274" w:history="1">
        <w:r w:rsidR="008F5C1F" w:rsidRPr="002A739E">
          <w:rPr>
            <w:rStyle w:val="Hyperlink"/>
            <w:i w:val="0"/>
            <w:iCs w:val="0"/>
            <w:noProof/>
          </w:rPr>
          <w:t>9.9.2</w:t>
        </w:r>
        <w:r w:rsidR="008F5C1F" w:rsidRPr="002A739E">
          <w:rPr>
            <w:rFonts w:eastAsiaTheme="minorEastAsia"/>
            <w:i w:val="0"/>
            <w:iCs w:val="0"/>
            <w:noProof/>
          </w:rPr>
          <w:tab/>
        </w:r>
        <w:r w:rsidR="008F5C1F" w:rsidRPr="002A739E">
          <w:rPr>
            <w:rStyle w:val="Hyperlink"/>
            <w:i w:val="0"/>
            <w:iCs w:val="0"/>
            <w:noProof/>
          </w:rPr>
          <w:t>ERCOT Payment to Invoice Recipients for the CRR Auction</w:t>
        </w:r>
        <w:r w:rsidR="008F5C1F" w:rsidRPr="002A739E">
          <w:rPr>
            <w:i w:val="0"/>
            <w:iCs w:val="0"/>
            <w:noProof/>
            <w:webHidden/>
          </w:rPr>
          <w:tab/>
        </w:r>
        <w:r w:rsidR="008F5C1F" w:rsidRPr="002A739E">
          <w:rPr>
            <w:i w:val="0"/>
            <w:iCs w:val="0"/>
            <w:noProof/>
            <w:webHidden/>
          </w:rPr>
          <w:fldChar w:fldCharType="begin"/>
        </w:r>
        <w:r w:rsidR="008F5C1F" w:rsidRPr="002A739E">
          <w:rPr>
            <w:i w:val="0"/>
            <w:iCs w:val="0"/>
            <w:noProof/>
            <w:webHidden/>
          </w:rPr>
          <w:instrText xml:space="preserve"> PAGEREF _Toc80175274 \h </w:instrText>
        </w:r>
        <w:r w:rsidR="008F5C1F" w:rsidRPr="002A739E">
          <w:rPr>
            <w:i w:val="0"/>
            <w:iCs w:val="0"/>
            <w:noProof/>
            <w:webHidden/>
          </w:rPr>
        </w:r>
        <w:r w:rsidR="008F5C1F" w:rsidRPr="002A739E">
          <w:rPr>
            <w:i w:val="0"/>
            <w:iCs w:val="0"/>
            <w:noProof/>
            <w:webHidden/>
          </w:rPr>
          <w:fldChar w:fldCharType="separate"/>
        </w:r>
        <w:r>
          <w:rPr>
            <w:i w:val="0"/>
            <w:iCs w:val="0"/>
            <w:noProof/>
            <w:webHidden/>
          </w:rPr>
          <w:t>9-22</w:t>
        </w:r>
        <w:r w:rsidR="008F5C1F" w:rsidRPr="002A739E">
          <w:rPr>
            <w:i w:val="0"/>
            <w:iCs w:val="0"/>
            <w:noProof/>
            <w:webHidden/>
          </w:rPr>
          <w:fldChar w:fldCharType="end"/>
        </w:r>
      </w:hyperlink>
    </w:p>
    <w:p w14:paraId="36B5CAE2" w14:textId="76DE58FC" w:rsidR="008F5C1F" w:rsidRPr="002A739E" w:rsidRDefault="00ED3BE3">
      <w:pPr>
        <w:pStyle w:val="TOC3"/>
        <w:rPr>
          <w:rFonts w:eastAsiaTheme="minorEastAsia"/>
          <w:i w:val="0"/>
          <w:iCs w:val="0"/>
          <w:noProof/>
        </w:rPr>
      </w:pPr>
      <w:hyperlink w:anchor="_Toc80175275" w:history="1">
        <w:r w:rsidR="008F5C1F" w:rsidRPr="002A739E">
          <w:rPr>
            <w:rStyle w:val="Hyperlink"/>
            <w:i w:val="0"/>
            <w:iCs w:val="0"/>
            <w:noProof/>
          </w:rPr>
          <w:t>9.9.3</w:t>
        </w:r>
        <w:r w:rsidR="008F5C1F" w:rsidRPr="002A739E">
          <w:rPr>
            <w:rFonts w:eastAsiaTheme="minorEastAsia"/>
            <w:i w:val="0"/>
            <w:iCs w:val="0"/>
            <w:noProof/>
          </w:rPr>
          <w:tab/>
        </w:r>
        <w:r w:rsidR="008F5C1F" w:rsidRPr="002A739E">
          <w:rPr>
            <w:rStyle w:val="Hyperlink"/>
            <w:i w:val="0"/>
            <w:iCs w:val="0"/>
            <w:noProof/>
          </w:rPr>
          <w:t>Enforcing the Security of a Short-Paying CRR Auction Invoice Recipient</w:t>
        </w:r>
        <w:r w:rsidR="008F5C1F" w:rsidRPr="002A739E">
          <w:rPr>
            <w:i w:val="0"/>
            <w:iCs w:val="0"/>
            <w:noProof/>
            <w:webHidden/>
          </w:rPr>
          <w:tab/>
        </w:r>
        <w:r w:rsidR="008F5C1F" w:rsidRPr="002A739E">
          <w:rPr>
            <w:i w:val="0"/>
            <w:iCs w:val="0"/>
            <w:noProof/>
            <w:webHidden/>
          </w:rPr>
          <w:fldChar w:fldCharType="begin"/>
        </w:r>
        <w:r w:rsidR="008F5C1F" w:rsidRPr="002A739E">
          <w:rPr>
            <w:i w:val="0"/>
            <w:iCs w:val="0"/>
            <w:noProof/>
            <w:webHidden/>
          </w:rPr>
          <w:instrText xml:space="preserve"> PAGEREF _Toc80175275 \h </w:instrText>
        </w:r>
        <w:r w:rsidR="008F5C1F" w:rsidRPr="002A739E">
          <w:rPr>
            <w:i w:val="0"/>
            <w:iCs w:val="0"/>
            <w:noProof/>
            <w:webHidden/>
          </w:rPr>
        </w:r>
        <w:r w:rsidR="008F5C1F" w:rsidRPr="002A739E">
          <w:rPr>
            <w:i w:val="0"/>
            <w:iCs w:val="0"/>
            <w:noProof/>
            <w:webHidden/>
          </w:rPr>
          <w:fldChar w:fldCharType="separate"/>
        </w:r>
        <w:r>
          <w:rPr>
            <w:i w:val="0"/>
            <w:iCs w:val="0"/>
            <w:noProof/>
            <w:webHidden/>
          </w:rPr>
          <w:t>9-23</w:t>
        </w:r>
        <w:r w:rsidR="008F5C1F" w:rsidRPr="002A739E">
          <w:rPr>
            <w:i w:val="0"/>
            <w:iCs w:val="0"/>
            <w:noProof/>
            <w:webHidden/>
          </w:rPr>
          <w:fldChar w:fldCharType="end"/>
        </w:r>
      </w:hyperlink>
    </w:p>
    <w:p w14:paraId="77352268" w14:textId="46C50C74" w:rsidR="008F5C1F" w:rsidRPr="002A739E" w:rsidRDefault="00ED3BE3">
      <w:pPr>
        <w:pStyle w:val="TOC2"/>
        <w:rPr>
          <w:rFonts w:eastAsiaTheme="minorEastAsia"/>
          <w:noProof/>
        </w:rPr>
      </w:pPr>
      <w:hyperlink w:anchor="_Toc80175276" w:history="1">
        <w:r w:rsidR="008F5C1F" w:rsidRPr="002A739E">
          <w:rPr>
            <w:rStyle w:val="Hyperlink"/>
            <w:noProof/>
          </w:rPr>
          <w:t>9.10</w:t>
        </w:r>
        <w:r w:rsidR="008F5C1F" w:rsidRPr="002A739E">
          <w:rPr>
            <w:rFonts w:eastAsiaTheme="minorEastAsia"/>
            <w:noProof/>
          </w:rPr>
          <w:tab/>
        </w:r>
        <w:r w:rsidR="008F5C1F" w:rsidRPr="002A739E">
          <w:rPr>
            <w:rStyle w:val="Hyperlink"/>
            <w:noProof/>
          </w:rPr>
          <w:t>CRR Auction Revenue Distribution Invoices</w:t>
        </w:r>
        <w:r w:rsidR="008F5C1F" w:rsidRPr="002A739E">
          <w:rPr>
            <w:noProof/>
            <w:webHidden/>
          </w:rPr>
          <w:tab/>
        </w:r>
        <w:r w:rsidR="008F5C1F" w:rsidRPr="002A739E">
          <w:rPr>
            <w:noProof/>
            <w:webHidden/>
          </w:rPr>
          <w:fldChar w:fldCharType="begin"/>
        </w:r>
        <w:r w:rsidR="008F5C1F" w:rsidRPr="002A739E">
          <w:rPr>
            <w:noProof/>
            <w:webHidden/>
          </w:rPr>
          <w:instrText xml:space="preserve"> PAGEREF _Toc80175276 \h </w:instrText>
        </w:r>
        <w:r w:rsidR="008F5C1F" w:rsidRPr="002A739E">
          <w:rPr>
            <w:noProof/>
            <w:webHidden/>
          </w:rPr>
        </w:r>
        <w:r w:rsidR="008F5C1F" w:rsidRPr="002A739E">
          <w:rPr>
            <w:noProof/>
            <w:webHidden/>
          </w:rPr>
          <w:fldChar w:fldCharType="separate"/>
        </w:r>
        <w:r>
          <w:rPr>
            <w:noProof/>
            <w:webHidden/>
          </w:rPr>
          <w:t>9-23</w:t>
        </w:r>
        <w:r w:rsidR="008F5C1F" w:rsidRPr="002A739E">
          <w:rPr>
            <w:noProof/>
            <w:webHidden/>
          </w:rPr>
          <w:fldChar w:fldCharType="end"/>
        </w:r>
      </w:hyperlink>
    </w:p>
    <w:p w14:paraId="4C75D59C" w14:textId="4C90C50D" w:rsidR="008F5C1F" w:rsidRPr="002A739E" w:rsidRDefault="00ED3BE3">
      <w:pPr>
        <w:pStyle w:val="TOC2"/>
        <w:rPr>
          <w:rFonts w:eastAsiaTheme="minorEastAsia"/>
          <w:noProof/>
        </w:rPr>
      </w:pPr>
      <w:hyperlink w:anchor="_Toc80175277" w:history="1">
        <w:r w:rsidR="008F5C1F" w:rsidRPr="002A739E">
          <w:rPr>
            <w:rStyle w:val="Hyperlink"/>
            <w:noProof/>
          </w:rPr>
          <w:t>9.11</w:t>
        </w:r>
        <w:r w:rsidR="008F5C1F" w:rsidRPr="002A739E">
          <w:rPr>
            <w:rFonts w:eastAsiaTheme="minorEastAsia"/>
            <w:noProof/>
          </w:rPr>
          <w:tab/>
        </w:r>
        <w:r w:rsidR="008F5C1F" w:rsidRPr="002A739E">
          <w:rPr>
            <w:rStyle w:val="Hyperlink"/>
            <w:noProof/>
          </w:rPr>
          <w:t>Payment Process for CRR Auction Revenue Distribution</w:t>
        </w:r>
        <w:r w:rsidR="008F5C1F" w:rsidRPr="002A739E">
          <w:rPr>
            <w:noProof/>
            <w:webHidden/>
          </w:rPr>
          <w:tab/>
        </w:r>
        <w:r w:rsidR="008F5C1F" w:rsidRPr="002A739E">
          <w:rPr>
            <w:noProof/>
            <w:webHidden/>
          </w:rPr>
          <w:fldChar w:fldCharType="begin"/>
        </w:r>
        <w:r w:rsidR="008F5C1F" w:rsidRPr="002A739E">
          <w:rPr>
            <w:noProof/>
            <w:webHidden/>
          </w:rPr>
          <w:instrText xml:space="preserve"> PAGEREF _Toc80175277 \h </w:instrText>
        </w:r>
        <w:r w:rsidR="008F5C1F" w:rsidRPr="002A739E">
          <w:rPr>
            <w:noProof/>
            <w:webHidden/>
          </w:rPr>
        </w:r>
        <w:r w:rsidR="008F5C1F" w:rsidRPr="002A739E">
          <w:rPr>
            <w:noProof/>
            <w:webHidden/>
          </w:rPr>
          <w:fldChar w:fldCharType="separate"/>
        </w:r>
        <w:r>
          <w:rPr>
            <w:noProof/>
            <w:webHidden/>
          </w:rPr>
          <w:t>9-24</w:t>
        </w:r>
        <w:r w:rsidR="008F5C1F" w:rsidRPr="002A739E">
          <w:rPr>
            <w:noProof/>
            <w:webHidden/>
          </w:rPr>
          <w:fldChar w:fldCharType="end"/>
        </w:r>
      </w:hyperlink>
    </w:p>
    <w:p w14:paraId="5F9095D1" w14:textId="5CC4EA2D" w:rsidR="008F5C1F" w:rsidRPr="002A739E" w:rsidRDefault="00ED3BE3">
      <w:pPr>
        <w:pStyle w:val="TOC3"/>
        <w:rPr>
          <w:rFonts w:eastAsiaTheme="minorEastAsia"/>
          <w:i w:val="0"/>
          <w:iCs w:val="0"/>
          <w:noProof/>
        </w:rPr>
      </w:pPr>
      <w:hyperlink w:anchor="_Toc80175278" w:history="1">
        <w:r w:rsidR="008F5C1F" w:rsidRPr="002A739E">
          <w:rPr>
            <w:rStyle w:val="Hyperlink"/>
            <w:i w:val="0"/>
            <w:iCs w:val="0"/>
            <w:noProof/>
          </w:rPr>
          <w:t>9.11.1</w:t>
        </w:r>
        <w:r w:rsidR="008F5C1F" w:rsidRPr="002A739E">
          <w:rPr>
            <w:rFonts w:eastAsiaTheme="minorEastAsia"/>
            <w:i w:val="0"/>
            <w:iCs w:val="0"/>
            <w:noProof/>
          </w:rPr>
          <w:tab/>
        </w:r>
        <w:r w:rsidR="008F5C1F" w:rsidRPr="002A739E">
          <w:rPr>
            <w:rStyle w:val="Hyperlink"/>
            <w:i w:val="0"/>
            <w:iCs w:val="0"/>
            <w:noProof/>
          </w:rPr>
          <w:t>Invoice Recipient Payment to ERCOT for CRR Auction Revenue Distribution</w:t>
        </w:r>
        <w:r w:rsidR="008F5C1F" w:rsidRPr="002A739E">
          <w:rPr>
            <w:i w:val="0"/>
            <w:iCs w:val="0"/>
            <w:noProof/>
            <w:webHidden/>
          </w:rPr>
          <w:tab/>
        </w:r>
        <w:r w:rsidR="008F5C1F" w:rsidRPr="002A739E">
          <w:rPr>
            <w:i w:val="0"/>
            <w:iCs w:val="0"/>
            <w:noProof/>
            <w:webHidden/>
          </w:rPr>
          <w:fldChar w:fldCharType="begin"/>
        </w:r>
        <w:r w:rsidR="008F5C1F" w:rsidRPr="002A739E">
          <w:rPr>
            <w:i w:val="0"/>
            <w:iCs w:val="0"/>
            <w:noProof/>
            <w:webHidden/>
          </w:rPr>
          <w:instrText xml:space="preserve"> PAGEREF _Toc80175278 \h </w:instrText>
        </w:r>
        <w:r w:rsidR="008F5C1F" w:rsidRPr="002A739E">
          <w:rPr>
            <w:i w:val="0"/>
            <w:iCs w:val="0"/>
            <w:noProof/>
            <w:webHidden/>
          </w:rPr>
        </w:r>
        <w:r w:rsidR="008F5C1F" w:rsidRPr="002A739E">
          <w:rPr>
            <w:i w:val="0"/>
            <w:iCs w:val="0"/>
            <w:noProof/>
            <w:webHidden/>
          </w:rPr>
          <w:fldChar w:fldCharType="separate"/>
        </w:r>
        <w:r>
          <w:rPr>
            <w:i w:val="0"/>
            <w:iCs w:val="0"/>
            <w:noProof/>
            <w:webHidden/>
          </w:rPr>
          <w:t>9-24</w:t>
        </w:r>
        <w:r w:rsidR="008F5C1F" w:rsidRPr="002A739E">
          <w:rPr>
            <w:i w:val="0"/>
            <w:iCs w:val="0"/>
            <w:noProof/>
            <w:webHidden/>
          </w:rPr>
          <w:fldChar w:fldCharType="end"/>
        </w:r>
      </w:hyperlink>
    </w:p>
    <w:p w14:paraId="48D04C17" w14:textId="79A07411" w:rsidR="008F5C1F" w:rsidRPr="002A739E" w:rsidRDefault="00ED3BE3">
      <w:pPr>
        <w:pStyle w:val="TOC3"/>
        <w:rPr>
          <w:rFonts w:eastAsiaTheme="minorEastAsia"/>
          <w:i w:val="0"/>
          <w:iCs w:val="0"/>
          <w:noProof/>
        </w:rPr>
      </w:pPr>
      <w:hyperlink w:anchor="_Toc80175279" w:history="1">
        <w:r w:rsidR="008F5C1F" w:rsidRPr="002A739E">
          <w:rPr>
            <w:rStyle w:val="Hyperlink"/>
            <w:i w:val="0"/>
            <w:iCs w:val="0"/>
            <w:noProof/>
          </w:rPr>
          <w:t>9.11.2</w:t>
        </w:r>
        <w:r w:rsidR="008F5C1F" w:rsidRPr="002A739E">
          <w:rPr>
            <w:rFonts w:eastAsiaTheme="minorEastAsia"/>
            <w:i w:val="0"/>
            <w:iCs w:val="0"/>
            <w:noProof/>
          </w:rPr>
          <w:tab/>
        </w:r>
        <w:r w:rsidR="008F5C1F" w:rsidRPr="002A739E">
          <w:rPr>
            <w:rStyle w:val="Hyperlink"/>
            <w:i w:val="0"/>
            <w:iCs w:val="0"/>
            <w:noProof/>
          </w:rPr>
          <w:t>ERCOT Payment to Invoice Recipients for CRR Auction Revenue Distribution</w:t>
        </w:r>
        <w:r w:rsidR="008F5C1F" w:rsidRPr="002A739E">
          <w:rPr>
            <w:i w:val="0"/>
            <w:iCs w:val="0"/>
            <w:noProof/>
            <w:webHidden/>
          </w:rPr>
          <w:tab/>
        </w:r>
        <w:r w:rsidR="008F5C1F" w:rsidRPr="002A739E">
          <w:rPr>
            <w:i w:val="0"/>
            <w:iCs w:val="0"/>
            <w:noProof/>
            <w:webHidden/>
          </w:rPr>
          <w:fldChar w:fldCharType="begin"/>
        </w:r>
        <w:r w:rsidR="008F5C1F" w:rsidRPr="002A739E">
          <w:rPr>
            <w:i w:val="0"/>
            <w:iCs w:val="0"/>
            <w:noProof/>
            <w:webHidden/>
          </w:rPr>
          <w:instrText xml:space="preserve"> PAGEREF _Toc80175279 \h </w:instrText>
        </w:r>
        <w:r w:rsidR="008F5C1F" w:rsidRPr="002A739E">
          <w:rPr>
            <w:i w:val="0"/>
            <w:iCs w:val="0"/>
            <w:noProof/>
            <w:webHidden/>
          </w:rPr>
        </w:r>
        <w:r w:rsidR="008F5C1F" w:rsidRPr="002A739E">
          <w:rPr>
            <w:i w:val="0"/>
            <w:iCs w:val="0"/>
            <w:noProof/>
            <w:webHidden/>
          </w:rPr>
          <w:fldChar w:fldCharType="separate"/>
        </w:r>
        <w:r>
          <w:rPr>
            <w:i w:val="0"/>
            <w:iCs w:val="0"/>
            <w:noProof/>
            <w:webHidden/>
          </w:rPr>
          <w:t>9-24</w:t>
        </w:r>
        <w:r w:rsidR="008F5C1F" w:rsidRPr="002A739E">
          <w:rPr>
            <w:i w:val="0"/>
            <w:iCs w:val="0"/>
            <w:noProof/>
            <w:webHidden/>
          </w:rPr>
          <w:fldChar w:fldCharType="end"/>
        </w:r>
      </w:hyperlink>
    </w:p>
    <w:p w14:paraId="7A03EE09" w14:textId="143A60F0" w:rsidR="008F5C1F" w:rsidRPr="002A739E" w:rsidRDefault="00ED3BE3">
      <w:pPr>
        <w:pStyle w:val="TOC3"/>
        <w:rPr>
          <w:rFonts w:eastAsiaTheme="minorEastAsia"/>
          <w:i w:val="0"/>
          <w:iCs w:val="0"/>
          <w:noProof/>
        </w:rPr>
      </w:pPr>
      <w:hyperlink w:anchor="_Toc80175280" w:history="1">
        <w:r w:rsidR="008F5C1F" w:rsidRPr="002A739E">
          <w:rPr>
            <w:rStyle w:val="Hyperlink"/>
            <w:i w:val="0"/>
            <w:iCs w:val="0"/>
            <w:noProof/>
          </w:rPr>
          <w:t>9.11.3</w:t>
        </w:r>
        <w:r w:rsidR="008F5C1F" w:rsidRPr="002A739E">
          <w:rPr>
            <w:rFonts w:eastAsiaTheme="minorEastAsia"/>
            <w:i w:val="0"/>
            <w:iCs w:val="0"/>
            <w:noProof/>
          </w:rPr>
          <w:tab/>
        </w:r>
        <w:r w:rsidR="008F5C1F" w:rsidRPr="002A739E">
          <w:rPr>
            <w:rStyle w:val="Hyperlink"/>
            <w:i w:val="0"/>
            <w:iCs w:val="0"/>
            <w:noProof/>
          </w:rPr>
          <w:t>Partial Payments by Invoice Recipients for CRR Auction Revenue Distribution</w:t>
        </w:r>
        <w:r w:rsidR="008F5C1F" w:rsidRPr="002A739E">
          <w:rPr>
            <w:i w:val="0"/>
            <w:iCs w:val="0"/>
            <w:noProof/>
            <w:webHidden/>
          </w:rPr>
          <w:tab/>
        </w:r>
        <w:r w:rsidR="008F5C1F" w:rsidRPr="002A739E">
          <w:rPr>
            <w:i w:val="0"/>
            <w:iCs w:val="0"/>
            <w:noProof/>
            <w:webHidden/>
          </w:rPr>
          <w:fldChar w:fldCharType="begin"/>
        </w:r>
        <w:r w:rsidR="008F5C1F" w:rsidRPr="002A739E">
          <w:rPr>
            <w:i w:val="0"/>
            <w:iCs w:val="0"/>
            <w:noProof/>
            <w:webHidden/>
          </w:rPr>
          <w:instrText xml:space="preserve"> PAGEREF _Toc80175280 \h </w:instrText>
        </w:r>
        <w:r w:rsidR="008F5C1F" w:rsidRPr="002A739E">
          <w:rPr>
            <w:i w:val="0"/>
            <w:iCs w:val="0"/>
            <w:noProof/>
            <w:webHidden/>
          </w:rPr>
        </w:r>
        <w:r w:rsidR="008F5C1F" w:rsidRPr="002A739E">
          <w:rPr>
            <w:i w:val="0"/>
            <w:iCs w:val="0"/>
            <w:noProof/>
            <w:webHidden/>
          </w:rPr>
          <w:fldChar w:fldCharType="separate"/>
        </w:r>
        <w:r>
          <w:rPr>
            <w:i w:val="0"/>
            <w:iCs w:val="0"/>
            <w:noProof/>
            <w:webHidden/>
          </w:rPr>
          <w:t>9-25</w:t>
        </w:r>
        <w:r w:rsidR="008F5C1F" w:rsidRPr="002A739E">
          <w:rPr>
            <w:i w:val="0"/>
            <w:iCs w:val="0"/>
            <w:noProof/>
            <w:webHidden/>
          </w:rPr>
          <w:fldChar w:fldCharType="end"/>
        </w:r>
      </w:hyperlink>
    </w:p>
    <w:p w14:paraId="03CFCDC1" w14:textId="780A4833" w:rsidR="008F5C1F" w:rsidRPr="002A739E" w:rsidRDefault="00ED3BE3">
      <w:pPr>
        <w:pStyle w:val="TOC3"/>
        <w:rPr>
          <w:rFonts w:eastAsiaTheme="minorEastAsia"/>
          <w:i w:val="0"/>
          <w:iCs w:val="0"/>
          <w:noProof/>
        </w:rPr>
      </w:pPr>
      <w:hyperlink w:anchor="_Toc80175281" w:history="1">
        <w:r w:rsidR="008F5C1F" w:rsidRPr="002A739E">
          <w:rPr>
            <w:rStyle w:val="Hyperlink"/>
            <w:i w:val="0"/>
            <w:iCs w:val="0"/>
            <w:noProof/>
          </w:rPr>
          <w:t>9.11.4</w:t>
        </w:r>
        <w:r w:rsidR="008F5C1F" w:rsidRPr="002A739E">
          <w:rPr>
            <w:rFonts w:eastAsiaTheme="minorEastAsia"/>
            <w:i w:val="0"/>
            <w:iCs w:val="0"/>
            <w:noProof/>
          </w:rPr>
          <w:tab/>
        </w:r>
        <w:r w:rsidR="008F5C1F" w:rsidRPr="002A739E">
          <w:rPr>
            <w:rStyle w:val="Hyperlink"/>
            <w:i w:val="0"/>
            <w:iCs w:val="0"/>
            <w:noProof/>
          </w:rPr>
          <w:t>Enforcing the Security of a Short-Paying CARD Invoice Recipient</w:t>
        </w:r>
        <w:r w:rsidR="008F5C1F" w:rsidRPr="002A739E">
          <w:rPr>
            <w:i w:val="0"/>
            <w:iCs w:val="0"/>
            <w:noProof/>
            <w:webHidden/>
          </w:rPr>
          <w:tab/>
        </w:r>
        <w:r w:rsidR="008F5C1F" w:rsidRPr="002A739E">
          <w:rPr>
            <w:i w:val="0"/>
            <w:iCs w:val="0"/>
            <w:noProof/>
            <w:webHidden/>
          </w:rPr>
          <w:fldChar w:fldCharType="begin"/>
        </w:r>
        <w:r w:rsidR="008F5C1F" w:rsidRPr="002A739E">
          <w:rPr>
            <w:i w:val="0"/>
            <w:iCs w:val="0"/>
            <w:noProof/>
            <w:webHidden/>
          </w:rPr>
          <w:instrText xml:space="preserve"> PAGEREF _Toc80175281 \h </w:instrText>
        </w:r>
        <w:r w:rsidR="008F5C1F" w:rsidRPr="002A739E">
          <w:rPr>
            <w:i w:val="0"/>
            <w:iCs w:val="0"/>
            <w:noProof/>
            <w:webHidden/>
          </w:rPr>
        </w:r>
        <w:r w:rsidR="008F5C1F" w:rsidRPr="002A739E">
          <w:rPr>
            <w:i w:val="0"/>
            <w:iCs w:val="0"/>
            <w:noProof/>
            <w:webHidden/>
          </w:rPr>
          <w:fldChar w:fldCharType="separate"/>
        </w:r>
        <w:r>
          <w:rPr>
            <w:i w:val="0"/>
            <w:iCs w:val="0"/>
            <w:noProof/>
            <w:webHidden/>
          </w:rPr>
          <w:t>9-25</w:t>
        </w:r>
        <w:r w:rsidR="008F5C1F" w:rsidRPr="002A739E">
          <w:rPr>
            <w:i w:val="0"/>
            <w:iCs w:val="0"/>
            <w:noProof/>
            <w:webHidden/>
          </w:rPr>
          <w:fldChar w:fldCharType="end"/>
        </w:r>
      </w:hyperlink>
    </w:p>
    <w:p w14:paraId="5615099A" w14:textId="66ACF7A8" w:rsidR="008F5C1F" w:rsidRPr="002A739E" w:rsidRDefault="00ED3BE3">
      <w:pPr>
        <w:pStyle w:val="TOC2"/>
        <w:rPr>
          <w:rFonts w:eastAsiaTheme="minorEastAsia"/>
          <w:noProof/>
        </w:rPr>
      </w:pPr>
      <w:hyperlink w:anchor="_Toc80175282" w:history="1">
        <w:r w:rsidR="008F5C1F" w:rsidRPr="002A739E">
          <w:rPr>
            <w:rStyle w:val="Hyperlink"/>
            <w:noProof/>
          </w:rPr>
          <w:t>9.12</w:t>
        </w:r>
        <w:r w:rsidR="008F5C1F" w:rsidRPr="002A739E">
          <w:rPr>
            <w:rFonts w:eastAsiaTheme="minorEastAsia"/>
            <w:noProof/>
          </w:rPr>
          <w:tab/>
        </w:r>
        <w:r w:rsidR="008F5C1F" w:rsidRPr="002A739E">
          <w:rPr>
            <w:rStyle w:val="Hyperlink"/>
            <w:noProof/>
          </w:rPr>
          <w:t>CRR Balancing Account Invoices</w:t>
        </w:r>
        <w:r w:rsidR="008F5C1F" w:rsidRPr="002A739E">
          <w:rPr>
            <w:noProof/>
            <w:webHidden/>
          </w:rPr>
          <w:tab/>
        </w:r>
        <w:r w:rsidR="008F5C1F" w:rsidRPr="002A739E">
          <w:rPr>
            <w:noProof/>
            <w:webHidden/>
          </w:rPr>
          <w:fldChar w:fldCharType="begin"/>
        </w:r>
        <w:r w:rsidR="008F5C1F" w:rsidRPr="002A739E">
          <w:rPr>
            <w:noProof/>
            <w:webHidden/>
          </w:rPr>
          <w:instrText xml:space="preserve"> PAGEREF _Toc80175282 \h </w:instrText>
        </w:r>
        <w:r w:rsidR="008F5C1F" w:rsidRPr="002A739E">
          <w:rPr>
            <w:noProof/>
            <w:webHidden/>
          </w:rPr>
        </w:r>
        <w:r w:rsidR="008F5C1F" w:rsidRPr="002A739E">
          <w:rPr>
            <w:noProof/>
            <w:webHidden/>
          </w:rPr>
          <w:fldChar w:fldCharType="separate"/>
        </w:r>
        <w:r>
          <w:rPr>
            <w:noProof/>
            <w:webHidden/>
          </w:rPr>
          <w:t>9-26</w:t>
        </w:r>
        <w:r w:rsidR="008F5C1F" w:rsidRPr="002A739E">
          <w:rPr>
            <w:noProof/>
            <w:webHidden/>
          </w:rPr>
          <w:fldChar w:fldCharType="end"/>
        </w:r>
      </w:hyperlink>
    </w:p>
    <w:p w14:paraId="001E4466" w14:textId="5319BC8D" w:rsidR="008F5C1F" w:rsidRPr="002A739E" w:rsidRDefault="00ED3BE3">
      <w:pPr>
        <w:pStyle w:val="TOC2"/>
        <w:rPr>
          <w:rFonts w:eastAsiaTheme="minorEastAsia"/>
          <w:noProof/>
        </w:rPr>
      </w:pPr>
      <w:hyperlink w:anchor="_Toc80175283" w:history="1">
        <w:r w:rsidR="008F5C1F" w:rsidRPr="002A739E">
          <w:rPr>
            <w:rStyle w:val="Hyperlink"/>
            <w:noProof/>
          </w:rPr>
          <w:t>9.13</w:t>
        </w:r>
        <w:r w:rsidR="008F5C1F" w:rsidRPr="002A739E">
          <w:rPr>
            <w:rFonts w:eastAsiaTheme="minorEastAsia"/>
            <w:noProof/>
          </w:rPr>
          <w:tab/>
        </w:r>
        <w:r w:rsidR="008F5C1F" w:rsidRPr="002A739E">
          <w:rPr>
            <w:rStyle w:val="Hyperlink"/>
            <w:noProof/>
          </w:rPr>
          <w:t>Payment Process for the CRR Balancing Account</w:t>
        </w:r>
        <w:r w:rsidR="008F5C1F" w:rsidRPr="002A739E">
          <w:rPr>
            <w:noProof/>
            <w:webHidden/>
          </w:rPr>
          <w:tab/>
        </w:r>
        <w:r w:rsidR="008F5C1F" w:rsidRPr="002A739E">
          <w:rPr>
            <w:noProof/>
            <w:webHidden/>
          </w:rPr>
          <w:fldChar w:fldCharType="begin"/>
        </w:r>
        <w:r w:rsidR="008F5C1F" w:rsidRPr="002A739E">
          <w:rPr>
            <w:noProof/>
            <w:webHidden/>
          </w:rPr>
          <w:instrText xml:space="preserve"> PAGEREF _Toc80175283 \h </w:instrText>
        </w:r>
        <w:r w:rsidR="008F5C1F" w:rsidRPr="002A739E">
          <w:rPr>
            <w:noProof/>
            <w:webHidden/>
          </w:rPr>
        </w:r>
        <w:r w:rsidR="008F5C1F" w:rsidRPr="002A739E">
          <w:rPr>
            <w:noProof/>
            <w:webHidden/>
          </w:rPr>
          <w:fldChar w:fldCharType="separate"/>
        </w:r>
        <w:r>
          <w:rPr>
            <w:noProof/>
            <w:webHidden/>
          </w:rPr>
          <w:t>9-27</w:t>
        </w:r>
        <w:r w:rsidR="008F5C1F" w:rsidRPr="002A739E">
          <w:rPr>
            <w:noProof/>
            <w:webHidden/>
          </w:rPr>
          <w:fldChar w:fldCharType="end"/>
        </w:r>
      </w:hyperlink>
    </w:p>
    <w:p w14:paraId="24329C4D" w14:textId="52D667CC" w:rsidR="008F5C1F" w:rsidRPr="002A739E" w:rsidRDefault="00ED3BE3">
      <w:pPr>
        <w:pStyle w:val="TOC3"/>
        <w:rPr>
          <w:rFonts w:eastAsiaTheme="minorEastAsia"/>
          <w:i w:val="0"/>
          <w:iCs w:val="0"/>
          <w:noProof/>
        </w:rPr>
      </w:pPr>
      <w:hyperlink w:anchor="_Toc80175284" w:history="1">
        <w:r w:rsidR="008F5C1F" w:rsidRPr="002A739E">
          <w:rPr>
            <w:rStyle w:val="Hyperlink"/>
            <w:i w:val="0"/>
            <w:iCs w:val="0"/>
            <w:noProof/>
          </w:rPr>
          <w:t>9.13.1</w:t>
        </w:r>
        <w:r w:rsidR="008F5C1F" w:rsidRPr="002A739E">
          <w:rPr>
            <w:rFonts w:eastAsiaTheme="minorEastAsia"/>
            <w:i w:val="0"/>
            <w:iCs w:val="0"/>
            <w:noProof/>
          </w:rPr>
          <w:tab/>
        </w:r>
        <w:r w:rsidR="008F5C1F" w:rsidRPr="002A739E">
          <w:rPr>
            <w:rStyle w:val="Hyperlink"/>
            <w:i w:val="0"/>
            <w:iCs w:val="0"/>
            <w:noProof/>
          </w:rPr>
          <w:t>Payment Process for the Initial CRR Balancing Account</w:t>
        </w:r>
        <w:r w:rsidR="008F5C1F" w:rsidRPr="002A739E">
          <w:rPr>
            <w:i w:val="0"/>
            <w:iCs w:val="0"/>
            <w:noProof/>
            <w:webHidden/>
          </w:rPr>
          <w:tab/>
        </w:r>
        <w:r w:rsidR="008F5C1F" w:rsidRPr="002A739E">
          <w:rPr>
            <w:i w:val="0"/>
            <w:iCs w:val="0"/>
            <w:noProof/>
            <w:webHidden/>
          </w:rPr>
          <w:fldChar w:fldCharType="begin"/>
        </w:r>
        <w:r w:rsidR="008F5C1F" w:rsidRPr="002A739E">
          <w:rPr>
            <w:i w:val="0"/>
            <w:iCs w:val="0"/>
            <w:noProof/>
            <w:webHidden/>
          </w:rPr>
          <w:instrText xml:space="preserve"> PAGEREF _Toc80175284 \h </w:instrText>
        </w:r>
        <w:r w:rsidR="008F5C1F" w:rsidRPr="002A739E">
          <w:rPr>
            <w:i w:val="0"/>
            <w:iCs w:val="0"/>
            <w:noProof/>
            <w:webHidden/>
          </w:rPr>
        </w:r>
        <w:r w:rsidR="008F5C1F" w:rsidRPr="002A739E">
          <w:rPr>
            <w:i w:val="0"/>
            <w:iCs w:val="0"/>
            <w:noProof/>
            <w:webHidden/>
          </w:rPr>
          <w:fldChar w:fldCharType="separate"/>
        </w:r>
        <w:r>
          <w:rPr>
            <w:i w:val="0"/>
            <w:iCs w:val="0"/>
            <w:noProof/>
            <w:webHidden/>
          </w:rPr>
          <w:t>9-27</w:t>
        </w:r>
        <w:r w:rsidR="008F5C1F" w:rsidRPr="002A739E">
          <w:rPr>
            <w:i w:val="0"/>
            <w:iCs w:val="0"/>
            <w:noProof/>
            <w:webHidden/>
          </w:rPr>
          <w:fldChar w:fldCharType="end"/>
        </w:r>
      </w:hyperlink>
    </w:p>
    <w:p w14:paraId="44A305FF" w14:textId="17A090E5" w:rsidR="008F5C1F" w:rsidRPr="002A739E" w:rsidRDefault="00ED3BE3">
      <w:pPr>
        <w:pStyle w:val="TOC3"/>
        <w:rPr>
          <w:rFonts w:eastAsiaTheme="minorEastAsia"/>
          <w:i w:val="0"/>
          <w:iCs w:val="0"/>
          <w:noProof/>
        </w:rPr>
      </w:pPr>
      <w:hyperlink w:anchor="_Toc80175285" w:history="1">
        <w:r w:rsidR="008F5C1F" w:rsidRPr="002A739E">
          <w:rPr>
            <w:rStyle w:val="Hyperlink"/>
            <w:i w:val="0"/>
            <w:iCs w:val="0"/>
            <w:noProof/>
          </w:rPr>
          <w:t xml:space="preserve">9.13.2 </w:t>
        </w:r>
        <w:r w:rsidR="008F5C1F" w:rsidRPr="002A739E">
          <w:rPr>
            <w:rFonts w:eastAsiaTheme="minorEastAsia"/>
            <w:i w:val="0"/>
            <w:iCs w:val="0"/>
            <w:noProof/>
          </w:rPr>
          <w:tab/>
        </w:r>
        <w:r w:rsidR="008F5C1F" w:rsidRPr="002A739E">
          <w:rPr>
            <w:rStyle w:val="Hyperlink"/>
            <w:i w:val="0"/>
            <w:iCs w:val="0"/>
            <w:noProof/>
          </w:rPr>
          <w:t>Payment Process for Resettlement of the CRR Balancing Account</w:t>
        </w:r>
        <w:r w:rsidR="008F5C1F" w:rsidRPr="002A739E">
          <w:rPr>
            <w:i w:val="0"/>
            <w:iCs w:val="0"/>
            <w:noProof/>
            <w:webHidden/>
          </w:rPr>
          <w:tab/>
        </w:r>
        <w:r w:rsidR="008F5C1F" w:rsidRPr="002A739E">
          <w:rPr>
            <w:i w:val="0"/>
            <w:iCs w:val="0"/>
            <w:noProof/>
            <w:webHidden/>
          </w:rPr>
          <w:fldChar w:fldCharType="begin"/>
        </w:r>
        <w:r w:rsidR="008F5C1F" w:rsidRPr="002A739E">
          <w:rPr>
            <w:i w:val="0"/>
            <w:iCs w:val="0"/>
            <w:noProof/>
            <w:webHidden/>
          </w:rPr>
          <w:instrText xml:space="preserve"> PAGEREF _Toc80175285 \h </w:instrText>
        </w:r>
        <w:r w:rsidR="008F5C1F" w:rsidRPr="002A739E">
          <w:rPr>
            <w:i w:val="0"/>
            <w:iCs w:val="0"/>
            <w:noProof/>
            <w:webHidden/>
          </w:rPr>
        </w:r>
        <w:r w:rsidR="008F5C1F" w:rsidRPr="002A739E">
          <w:rPr>
            <w:i w:val="0"/>
            <w:iCs w:val="0"/>
            <w:noProof/>
            <w:webHidden/>
          </w:rPr>
          <w:fldChar w:fldCharType="separate"/>
        </w:r>
        <w:r>
          <w:rPr>
            <w:i w:val="0"/>
            <w:iCs w:val="0"/>
            <w:noProof/>
            <w:webHidden/>
          </w:rPr>
          <w:t>9-27</w:t>
        </w:r>
        <w:r w:rsidR="008F5C1F" w:rsidRPr="002A739E">
          <w:rPr>
            <w:i w:val="0"/>
            <w:iCs w:val="0"/>
            <w:noProof/>
            <w:webHidden/>
          </w:rPr>
          <w:fldChar w:fldCharType="end"/>
        </w:r>
      </w:hyperlink>
    </w:p>
    <w:p w14:paraId="3D29EF90" w14:textId="6D3DEC6A" w:rsidR="008F5C1F" w:rsidRPr="002A739E" w:rsidRDefault="00ED3BE3" w:rsidP="00B214A7">
      <w:pPr>
        <w:pStyle w:val="TOC4"/>
        <w:rPr>
          <w:rFonts w:eastAsiaTheme="minorEastAsia"/>
          <w:noProof/>
          <w:sz w:val="20"/>
          <w:szCs w:val="20"/>
        </w:rPr>
      </w:pPr>
      <w:hyperlink w:anchor="_Toc80175286" w:history="1">
        <w:r w:rsidR="008F5C1F" w:rsidRPr="002A739E">
          <w:rPr>
            <w:rStyle w:val="Hyperlink"/>
            <w:noProof/>
            <w:sz w:val="20"/>
            <w:szCs w:val="20"/>
          </w:rPr>
          <w:t>9.13.2.1</w:t>
        </w:r>
        <w:r w:rsidR="008F5C1F" w:rsidRPr="002A739E">
          <w:rPr>
            <w:rFonts w:eastAsiaTheme="minorEastAsia"/>
            <w:noProof/>
            <w:sz w:val="20"/>
            <w:szCs w:val="20"/>
          </w:rPr>
          <w:tab/>
        </w:r>
        <w:r w:rsidR="008F5C1F" w:rsidRPr="002A739E">
          <w:rPr>
            <w:rStyle w:val="Hyperlink"/>
            <w:noProof/>
            <w:sz w:val="20"/>
            <w:szCs w:val="20"/>
          </w:rPr>
          <w:t>Invoice Recipient Payment to ERCOT for Resettlement of the CRR Balancing Account</w:t>
        </w:r>
        <w:r w:rsidR="008F5C1F" w:rsidRPr="002A739E">
          <w:rPr>
            <w:noProof/>
            <w:webHidden/>
            <w:sz w:val="20"/>
            <w:szCs w:val="20"/>
          </w:rPr>
          <w:tab/>
        </w:r>
        <w:r w:rsidR="008F5C1F" w:rsidRPr="002A739E">
          <w:rPr>
            <w:noProof/>
            <w:webHidden/>
            <w:sz w:val="20"/>
            <w:szCs w:val="20"/>
          </w:rPr>
          <w:fldChar w:fldCharType="begin"/>
        </w:r>
        <w:r w:rsidR="008F5C1F" w:rsidRPr="002A739E">
          <w:rPr>
            <w:noProof/>
            <w:webHidden/>
            <w:sz w:val="20"/>
            <w:szCs w:val="20"/>
          </w:rPr>
          <w:instrText xml:space="preserve"> PAGEREF _Toc80175286 \h </w:instrText>
        </w:r>
        <w:r w:rsidR="008F5C1F" w:rsidRPr="002A739E">
          <w:rPr>
            <w:noProof/>
            <w:webHidden/>
            <w:sz w:val="20"/>
            <w:szCs w:val="20"/>
          </w:rPr>
        </w:r>
        <w:r w:rsidR="008F5C1F" w:rsidRPr="002A739E">
          <w:rPr>
            <w:noProof/>
            <w:webHidden/>
            <w:sz w:val="20"/>
            <w:szCs w:val="20"/>
          </w:rPr>
          <w:fldChar w:fldCharType="separate"/>
        </w:r>
        <w:r>
          <w:rPr>
            <w:noProof/>
            <w:webHidden/>
            <w:sz w:val="20"/>
            <w:szCs w:val="20"/>
          </w:rPr>
          <w:t>9-27</w:t>
        </w:r>
        <w:r w:rsidR="008F5C1F" w:rsidRPr="002A739E">
          <w:rPr>
            <w:noProof/>
            <w:webHidden/>
            <w:sz w:val="20"/>
            <w:szCs w:val="20"/>
          </w:rPr>
          <w:fldChar w:fldCharType="end"/>
        </w:r>
      </w:hyperlink>
    </w:p>
    <w:p w14:paraId="0CD83EAF" w14:textId="1F71F936" w:rsidR="008F5C1F" w:rsidRPr="002A739E" w:rsidRDefault="00ED3BE3" w:rsidP="00B214A7">
      <w:pPr>
        <w:pStyle w:val="TOC4"/>
        <w:rPr>
          <w:rFonts w:eastAsiaTheme="minorEastAsia"/>
          <w:noProof/>
          <w:sz w:val="20"/>
          <w:szCs w:val="20"/>
        </w:rPr>
      </w:pPr>
      <w:hyperlink w:anchor="_Toc80175287" w:history="1">
        <w:r w:rsidR="008F5C1F" w:rsidRPr="002A739E">
          <w:rPr>
            <w:rStyle w:val="Hyperlink"/>
            <w:noProof/>
            <w:sz w:val="20"/>
            <w:szCs w:val="20"/>
          </w:rPr>
          <w:t>9.13.2.2</w:t>
        </w:r>
        <w:r w:rsidR="008F5C1F" w:rsidRPr="002A739E">
          <w:rPr>
            <w:rFonts w:eastAsiaTheme="minorEastAsia"/>
            <w:noProof/>
            <w:sz w:val="20"/>
            <w:szCs w:val="20"/>
          </w:rPr>
          <w:tab/>
        </w:r>
        <w:r w:rsidR="008F5C1F" w:rsidRPr="002A739E">
          <w:rPr>
            <w:rStyle w:val="Hyperlink"/>
            <w:noProof/>
            <w:sz w:val="20"/>
            <w:szCs w:val="20"/>
          </w:rPr>
          <w:t>ERCOT Payment to Invoice Recipients for Resettlement of the CRR Balancing Account</w:t>
        </w:r>
        <w:r w:rsidR="008F5C1F" w:rsidRPr="002A739E">
          <w:rPr>
            <w:noProof/>
            <w:webHidden/>
            <w:sz w:val="20"/>
            <w:szCs w:val="20"/>
          </w:rPr>
          <w:tab/>
        </w:r>
        <w:r w:rsidR="008F5C1F" w:rsidRPr="002A739E">
          <w:rPr>
            <w:noProof/>
            <w:webHidden/>
            <w:sz w:val="20"/>
            <w:szCs w:val="20"/>
          </w:rPr>
          <w:fldChar w:fldCharType="begin"/>
        </w:r>
        <w:r w:rsidR="008F5C1F" w:rsidRPr="002A739E">
          <w:rPr>
            <w:noProof/>
            <w:webHidden/>
            <w:sz w:val="20"/>
            <w:szCs w:val="20"/>
          </w:rPr>
          <w:instrText xml:space="preserve"> PAGEREF _Toc80175287 \h </w:instrText>
        </w:r>
        <w:r w:rsidR="008F5C1F" w:rsidRPr="002A739E">
          <w:rPr>
            <w:noProof/>
            <w:webHidden/>
            <w:sz w:val="20"/>
            <w:szCs w:val="20"/>
          </w:rPr>
        </w:r>
        <w:r w:rsidR="008F5C1F" w:rsidRPr="002A739E">
          <w:rPr>
            <w:noProof/>
            <w:webHidden/>
            <w:sz w:val="20"/>
            <w:szCs w:val="20"/>
          </w:rPr>
          <w:fldChar w:fldCharType="separate"/>
        </w:r>
        <w:r>
          <w:rPr>
            <w:noProof/>
            <w:webHidden/>
            <w:sz w:val="20"/>
            <w:szCs w:val="20"/>
          </w:rPr>
          <w:t>9-28</w:t>
        </w:r>
        <w:r w:rsidR="008F5C1F" w:rsidRPr="002A739E">
          <w:rPr>
            <w:noProof/>
            <w:webHidden/>
            <w:sz w:val="20"/>
            <w:szCs w:val="20"/>
          </w:rPr>
          <w:fldChar w:fldCharType="end"/>
        </w:r>
      </w:hyperlink>
    </w:p>
    <w:p w14:paraId="5EE96B1B" w14:textId="46AC5AED" w:rsidR="008F5C1F" w:rsidRPr="002A739E" w:rsidRDefault="00ED3BE3" w:rsidP="00B214A7">
      <w:pPr>
        <w:pStyle w:val="TOC4"/>
        <w:rPr>
          <w:rFonts w:eastAsiaTheme="minorEastAsia"/>
          <w:noProof/>
          <w:sz w:val="20"/>
          <w:szCs w:val="20"/>
        </w:rPr>
      </w:pPr>
      <w:hyperlink w:anchor="_Toc80175288" w:history="1">
        <w:r w:rsidR="008F5C1F" w:rsidRPr="002A739E">
          <w:rPr>
            <w:rStyle w:val="Hyperlink"/>
            <w:noProof/>
            <w:sz w:val="20"/>
            <w:szCs w:val="20"/>
          </w:rPr>
          <w:t>9.13.2.3</w:t>
        </w:r>
        <w:r w:rsidR="008F5C1F" w:rsidRPr="002A739E">
          <w:rPr>
            <w:rFonts w:eastAsiaTheme="minorEastAsia"/>
            <w:noProof/>
            <w:sz w:val="20"/>
            <w:szCs w:val="20"/>
          </w:rPr>
          <w:tab/>
        </w:r>
        <w:r w:rsidR="008F5C1F" w:rsidRPr="002A739E">
          <w:rPr>
            <w:rStyle w:val="Hyperlink"/>
            <w:noProof/>
            <w:sz w:val="20"/>
            <w:szCs w:val="20"/>
          </w:rPr>
          <w:t>Partial Payments by Invoice Recipients for Resettlement of CRR Balancing Account</w:t>
        </w:r>
        <w:r w:rsidR="008F5C1F" w:rsidRPr="002A739E">
          <w:rPr>
            <w:noProof/>
            <w:webHidden/>
            <w:sz w:val="20"/>
            <w:szCs w:val="20"/>
          </w:rPr>
          <w:tab/>
        </w:r>
        <w:r w:rsidR="008F5C1F" w:rsidRPr="002A739E">
          <w:rPr>
            <w:noProof/>
            <w:webHidden/>
            <w:sz w:val="20"/>
            <w:szCs w:val="20"/>
          </w:rPr>
          <w:fldChar w:fldCharType="begin"/>
        </w:r>
        <w:r w:rsidR="008F5C1F" w:rsidRPr="002A739E">
          <w:rPr>
            <w:noProof/>
            <w:webHidden/>
            <w:sz w:val="20"/>
            <w:szCs w:val="20"/>
          </w:rPr>
          <w:instrText xml:space="preserve"> PAGEREF _Toc80175288 \h </w:instrText>
        </w:r>
        <w:r w:rsidR="008F5C1F" w:rsidRPr="002A739E">
          <w:rPr>
            <w:noProof/>
            <w:webHidden/>
            <w:sz w:val="20"/>
            <w:szCs w:val="20"/>
          </w:rPr>
        </w:r>
        <w:r w:rsidR="008F5C1F" w:rsidRPr="002A739E">
          <w:rPr>
            <w:noProof/>
            <w:webHidden/>
            <w:sz w:val="20"/>
            <w:szCs w:val="20"/>
          </w:rPr>
          <w:fldChar w:fldCharType="separate"/>
        </w:r>
        <w:r>
          <w:rPr>
            <w:noProof/>
            <w:webHidden/>
            <w:sz w:val="20"/>
            <w:szCs w:val="20"/>
          </w:rPr>
          <w:t>9-28</w:t>
        </w:r>
        <w:r w:rsidR="008F5C1F" w:rsidRPr="002A739E">
          <w:rPr>
            <w:noProof/>
            <w:webHidden/>
            <w:sz w:val="20"/>
            <w:szCs w:val="20"/>
          </w:rPr>
          <w:fldChar w:fldCharType="end"/>
        </w:r>
      </w:hyperlink>
    </w:p>
    <w:p w14:paraId="3BBED91B" w14:textId="48123D89" w:rsidR="008F5C1F" w:rsidRPr="002A739E" w:rsidRDefault="00ED3BE3">
      <w:pPr>
        <w:pStyle w:val="TOC2"/>
        <w:rPr>
          <w:rFonts w:eastAsiaTheme="minorEastAsia"/>
          <w:noProof/>
        </w:rPr>
      </w:pPr>
      <w:hyperlink w:anchor="_Toc80175289" w:history="1">
        <w:r w:rsidR="008F5C1F" w:rsidRPr="002A739E">
          <w:rPr>
            <w:rStyle w:val="Hyperlink"/>
            <w:noProof/>
          </w:rPr>
          <w:t>9.14</w:t>
        </w:r>
        <w:r w:rsidR="008F5C1F" w:rsidRPr="002A739E">
          <w:rPr>
            <w:rFonts w:eastAsiaTheme="minorEastAsia"/>
            <w:noProof/>
          </w:rPr>
          <w:tab/>
        </w:r>
        <w:r w:rsidR="008F5C1F" w:rsidRPr="002A739E">
          <w:rPr>
            <w:rStyle w:val="Hyperlink"/>
            <w:noProof/>
          </w:rPr>
          <w:t>Settlement and Billing Dispute Process</w:t>
        </w:r>
        <w:r w:rsidR="008F5C1F" w:rsidRPr="002A739E">
          <w:rPr>
            <w:noProof/>
            <w:webHidden/>
          </w:rPr>
          <w:tab/>
        </w:r>
        <w:r w:rsidR="008F5C1F" w:rsidRPr="002A739E">
          <w:rPr>
            <w:noProof/>
            <w:webHidden/>
          </w:rPr>
          <w:fldChar w:fldCharType="begin"/>
        </w:r>
        <w:r w:rsidR="008F5C1F" w:rsidRPr="002A739E">
          <w:rPr>
            <w:noProof/>
            <w:webHidden/>
          </w:rPr>
          <w:instrText xml:space="preserve"> PAGEREF _Toc80175289 \h </w:instrText>
        </w:r>
        <w:r w:rsidR="008F5C1F" w:rsidRPr="002A739E">
          <w:rPr>
            <w:noProof/>
            <w:webHidden/>
          </w:rPr>
        </w:r>
        <w:r w:rsidR="008F5C1F" w:rsidRPr="002A739E">
          <w:rPr>
            <w:noProof/>
            <w:webHidden/>
          </w:rPr>
          <w:fldChar w:fldCharType="separate"/>
        </w:r>
        <w:r>
          <w:rPr>
            <w:noProof/>
            <w:webHidden/>
          </w:rPr>
          <w:t>9-29</w:t>
        </w:r>
        <w:r w:rsidR="008F5C1F" w:rsidRPr="002A739E">
          <w:rPr>
            <w:noProof/>
            <w:webHidden/>
          </w:rPr>
          <w:fldChar w:fldCharType="end"/>
        </w:r>
      </w:hyperlink>
    </w:p>
    <w:p w14:paraId="239BA2AC" w14:textId="75BC573F" w:rsidR="008F5C1F" w:rsidRPr="002A739E" w:rsidRDefault="00ED3BE3">
      <w:pPr>
        <w:pStyle w:val="TOC3"/>
        <w:rPr>
          <w:rFonts w:eastAsiaTheme="minorEastAsia"/>
          <w:i w:val="0"/>
          <w:iCs w:val="0"/>
          <w:noProof/>
        </w:rPr>
      </w:pPr>
      <w:hyperlink w:anchor="_Toc80175290" w:history="1">
        <w:r w:rsidR="008F5C1F" w:rsidRPr="002A739E">
          <w:rPr>
            <w:rStyle w:val="Hyperlink"/>
            <w:i w:val="0"/>
            <w:iCs w:val="0"/>
            <w:noProof/>
          </w:rPr>
          <w:t>9.14.1</w:t>
        </w:r>
        <w:r w:rsidR="008F5C1F" w:rsidRPr="002A739E">
          <w:rPr>
            <w:rFonts w:eastAsiaTheme="minorEastAsia"/>
            <w:i w:val="0"/>
            <w:iCs w:val="0"/>
            <w:noProof/>
          </w:rPr>
          <w:tab/>
        </w:r>
        <w:r w:rsidR="008F5C1F" w:rsidRPr="002A739E">
          <w:rPr>
            <w:rStyle w:val="Hyperlink"/>
            <w:i w:val="0"/>
            <w:iCs w:val="0"/>
            <w:noProof/>
          </w:rPr>
          <w:t>Data Review, Validation, Confirmation, and Dispute of Settlement Statements</w:t>
        </w:r>
        <w:r w:rsidR="008F5C1F" w:rsidRPr="002A739E">
          <w:rPr>
            <w:i w:val="0"/>
            <w:iCs w:val="0"/>
            <w:noProof/>
            <w:webHidden/>
          </w:rPr>
          <w:tab/>
        </w:r>
        <w:r w:rsidR="008F5C1F" w:rsidRPr="002A739E">
          <w:rPr>
            <w:i w:val="0"/>
            <w:iCs w:val="0"/>
            <w:noProof/>
            <w:webHidden/>
          </w:rPr>
          <w:fldChar w:fldCharType="begin"/>
        </w:r>
        <w:r w:rsidR="008F5C1F" w:rsidRPr="002A739E">
          <w:rPr>
            <w:i w:val="0"/>
            <w:iCs w:val="0"/>
            <w:noProof/>
            <w:webHidden/>
          </w:rPr>
          <w:instrText xml:space="preserve"> PAGEREF _Toc80175290 \h </w:instrText>
        </w:r>
        <w:r w:rsidR="008F5C1F" w:rsidRPr="002A739E">
          <w:rPr>
            <w:i w:val="0"/>
            <w:iCs w:val="0"/>
            <w:noProof/>
            <w:webHidden/>
          </w:rPr>
        </w:r>
        <w:r w:rsidR="008F5C1F" w:rsidRPr="002A739E">
          <w:rPr>
            <w:i w:val="0"/>
            <w:iCs w:val="0"/>
            <w:noProof/>
            <w:webHidden/>
          </w:rPr>
          <w:fldChar w:fldCharType="separate"/>
        </w:r>
        <w:r>
          <w:rPr>
            <w:i w:val="0"/>
            <w:iCs w:val="0"/>
            <w:noProof/>
            <w:webHidden/>
          </w:rPr>
          <w:t>9-29</w:t>
        </w:r>
        <w:r w:rsidR="008F5C1F" w:rsidRPr="002A739E">
          <w:rPr>
            <w:i w:val="0"/>
            <w:iCs w:val="0"/>
            <w:noProof/>
            <w:webHidden/>
          </w:rPr>
          <w:fldChar w:fldCharType="end"/>
        </w:r>
      </w:hyperlink>
    </w:p>
    <w:p w14:paraId="24BC6D5D" w14:textId="4492990E" w:rsidR="008F5C1F" w:rsidRPr="002A739E" w:rsidRDefault="00ED3BE3">
      <w:pPr>
        <w:pStyle w:val="TOC3"/>
        <w:rPr>
          <w:rFonts w:eastAsiaTheme="minorEastAsia"/>
          <w:i w:val="0"/>
          <w:iCs w:val="0"/>
          <w:noProof/>
        </w:rPr>
      </w:pPr>
      <w:hyperlink w:anchor="_Toc80175291" w:history="1">
        <w:r w:rsidR="008F5C1F" w:rsidRPr="002A739E">
          <w:rPr>
            <w:rStyle w:val="Hyperlink"/>
            <w:i w:val="0"/>
            <w:iCs w:val="0"/>
            <w:noProof/>
          </w:rPr>
          <w:t>9.14.2</w:t>
        </w:r>
        <w:r w:rsidR="008F5C1F" w:rsidRPr="002A739E">
          <w:rPr>
            <w:rFonts w:eastAsiaTheme="minorEastAsia"/>
            <w:i w:val="0"/>
            <w:iCs w:val="0"/>
            <w:noProof/>
          </w:rPr>
          <w:tab/>
        </w:r>
        <w:r w:rsidR="008F5C1F" w:rsidRPr="002A739E">
          <w:rPr>
            <w:rStyle w:val="Hyperlink"/>
            <w:i w:val="0"/>
            <w:iCs w:val="0"/>
            <w:noProof/>
          </w:rPr>
          <w:t>Notice of Dispute</w:t>
        </w:r>
        <w:r w:rsidR="008F5C1F" w:rsidRPr="002A739E">
          <w:rPr>
            <w:i w:val="0"/>
            <w:iCs w:val="0"/>
            <w:noProof/>
            <w:webHidden/>
          </w:rPr>
          <w:tab/>
        </w:r>
        <w:r w:rsidR="008F5C1F" w:rsidRPr="002A739E">
          <w:rPr>
            <w:i w:val="0"/>
            <w:iCs w:val="0"/>
            <w:noProof/>
            <w:webHidden/>
          </w:rPr>
          <w:fldChar w:fldCharType="begin"/>
        </w:r>
        <w:r w:rsidR="008F5C1F" w:rsidRPr="002A739E">
          <w:rPr>
            <w:i w:val="0"/>
            <w:iCs w:val="0"/>
            <w:noProof/>
            <w:webHidden/>
          </w:rPr>
          <w:instrText xml:space="preserve"> PAGEREF _Toc80175291 \h </w:instrText>
        </w:r>
        <w:r w:rsidR="008F5C1F" w:rsidRPr="002A739E">
          <w:rPr>
            <w:i w:val="0"/>
            <w:iCs w:val="0"/>
            <w:noProof/>
            <w:webHidden/>
          </w:rPr>
        </w:r>
        <w:r w:rsidR="008F5C1F" w:rsidRPr="002A739E">
          <w:rPr>
            <w:i w:val="0"/>
            <w:iCs w:val="0"/>
            <w:noProof/>
            <w:webHidden/>
          </w:rPr>
          <w:fldChar w:fldCharType="separate"/>
        </w:r>
        <w:r>
          <w:rPr>
            <w:i w:val="0"/>
            <w:iCs w:val="0"/>
            <w:noProof/>
            <w:webHidden/>
          </w:rPr>
          <w:t>9-29</w:t>
        </w:r>
        <w:r w:rsidR="008F5C1F" w:rsidRPr="002A739E">
          <w:rPr>
            <w:i w:val="0"/>
            <w:iCs w:val="0"/>
            <w:noProof/>
            <w:webHidden/>
          </w:rPr>
          <w:fldChar w:fldCharType="end"/>
        </w:r>
      </w:hyperlink>
    </w:p>
    <w:p w14:paraId="6BBC4A32" w14:textId="1584DD0F" w:rsidR="008F5C1F" w:rsidRPr="002A739E" w:rsidRDefault="00ED3BE3">
      <w:pPr>
        <w:pStyle w:val="TOC3"/>
        <w:rPr>
          <w:rFonts w:eastAsiaTheme="minorEastAsia"/>
          <w:i w:val="0"/>
          <w:iCs w:val="0"/>
          <w:noProof/>
        </w:rPr>
      </w:pPr>
      <w:hyperlink w:anchor="_Toc80175292" w:history="1">
        <w:r w:rsidR="008F5C1F" w:rsidRPr="002A739E">
          <w:rPr>
            <w:rStyle w:val="Hyperlink"/>
            <w:i w:val="0"/>
            <w:iCs w:val="0"/>
            <w:noProof/>
          </w:rPr>
          <w:t>9.14.3</w:t>
        </w:r>
        <w:r w:rsidR="008F5C1F" w:rsidRPr="002A739E">
          <w:rPr>
            <w:rFonts w:eastAsiaTheme="minorEastAsia"/>
            <w:i w:val="0"/>
            <w:iCs w:val="0"/>
            <w:noProof/>
          </w:rPr>
          <w:tab/>
        </w:r>
        <w:r w:rsidR="008F5C1F" w:rsidRPr="002A739E">
          <w:rPr>
            <w:rStyle w:val="Hyperlink"/>
            <w:i w:val="0"/>
            <w:iCs w:val="0"/>
            <w:noProof/>
          </w:rPr>
          <w:t>Contents of Notice</w:t>
        </w:r>
        <w:r w:rsidR="008F5C1F" w:rsidRPr="002A739E">
          <w:rPr>
            <w:i w:val="0"/>
            <w:iCs w:val="0"/>
            <w:noProof/>
            <w:webHidden/>
          </w:rPr>
          <w:tab/>
        </w:r>
        <w:r w:rsidR="008F5C1F" w:rsidRPr="002A739E">
          <w:rPr>
            <w:i w:val="0"/>
            <w:iCs w:val="0"/>
            <w:noProof/>
            <w:webHidden/>
          </w:rPr>
          <w:fldChar w:fldCharType="begin"/>
        </w:r>
        <w:r w:rsidR="008F5C1F" w:rsidRPr="002A739E">
          <w:rPr>
            <w:i w:val="0"/>
            <w:iCs w:val="0"/>
            <w:noProof/>
            <w:webHidden/>
          </w:rPr>
          <w:instrText xml:space="preserve"> PAGEREF _Toc80175292 \h </w:instrText>
        </w:r>
        <w:r w:rsidR="008F5C1F" w:rsidRPr="002A739E">
          <w:rPr>
            <w:i w:val="0"/>
            <w:iCs w:val="0"/>
            <w:noProof/>
            <w:webHidden/>
          </w:rPr>
        </w:r>
        <w:r w:rsidR="008F5C1F" w:rsidRPr="002A739E">
          <w:rPr>
            <w:i w:val="0"/>
            <w:iCs w:val="0"/>
            <w:noProof/>
            <w:webHidden/>
          </w:rPr>
          <w:fldChar w:fldCharType="separate"/>
        </w:r>
        <w:r>
          <w:rPr>
            <w:i w:val="0"/>
            <w:iCs w:val="0"/>
            <w:noProof/>
            <w:webHidden/>
          </w:rPr>
          <w:t>9-31</w:t>
        </w:r>
        <w:r w:rsidR="008F5C1F" w:rsidRPr="002A739E">
          <w:rPr>
            <w:i w:val="0"/>
            <w:iCs w:val="0"/>
            <w:noProof/>
            <w:webHidden/>
          </w:rPr>
          <w:fldChar w:fldCharType="end"/>
        </w:r>
      </w:hyperlink>
    </w:p>
    <w:p w14:paraId="31774FF5" w14:textId="40788B28" w:rsidR="008F5C1F" w:rsidRPr="002A739E" w:rsidRDefault="00ED3BE3">
      <w:pPr>
        <w:pStyle w:val="TOC3"/>
        <w:rPr>
          <w:rFonts w:eastAsiaTheme="minorEastAsia"/>
          <w:i w:val="0"/>
          <w:iCs w:val="0"/>
          <w:noProof/>
        </w:rPr>
      </w:pPr>
      <w:hyperlink w:anchor="_Toc80175293" w:history="1">
        <w:r w:rsidR="008F5C1F" w:rsidRPr="002A739E">
          <w:rPr>
            <w:rStyle w:val="Hyperlink"/>
            <w:i w:val="0"/>
            <w:iCs w:val="0"/>
            <w:noProof/>
          </w:rPr>
          <w:t>9.14.4</w:t>
        </w:r>
        <w:r w:rsidR="008F5C1F" w:rsidRPr="002A739E">
          <w:rPr>
            <w:rFonts w:eastAsiaTheme="minorEastAsia"/>
            <w:i w:val="0"/>
            <w:iCs w:val="0"/>
            <w:noProof/>
          </w:rPr>
          <w:tab/>
        </w:r>
        <w:r w:rsidR="008F5C1F" w:rsidRPr="002A739E">
          <w:rPr>
            <w:rStyle w:val="Hyperlink"/>
            <w:i w:val="0"/>
            <w:iCs w:val="0"/>
            <w:noProof/>
          </w:rPr>
          <w:t xml:space="preserve"> ERCOT Processing of Disputes</w:t>
        </w:r>
        <w:r w:rsidR="008F5C1F" w:rsidRPr="002A739E">
          <w:rPr>
            <w:i w:val="0"/>
            <w:iCs w:val="0"/>
            <w:noProof/>
            <w:webHidden/>
          </w:rPr>
          <w:tab/>
        </w:r>
        <w:r w:rsidR="008F5C1F" w:rsidRPr="002A739E">
          <w:rPr>
            <w:i w:val="0"/>
            <w:iCs w:val="0"/>
            <w:noProof/>
            <w:webHidden/>
          </w:rPr>
          <w:fldChar w:fldCharType="begin"/>
        </w:r>
        <w:r w:rsidR="008F5C1F" w:rsidRPr="002A739E">
          <w:rPr>
            <w:i w:val="0"/>
            <w:iCs w:val="0"/>
            <w:noProof/>
            <w:webHidden/>
          </w:rPr>
          <w:instrText xml:space="preserve"> PAGEREF _Toc80175293 \h </w:instrText>
        </w:r>
        <w:r w:rsidR="008F5C1F" w:rsidRPr="002A739E">
          <w:rPr>
            <w:i w:val="0"/>
            <w:iCs w:val="0"/>
            <w:noProof/>
            <w:webHidden/>
          </w:rPr>
        </w:r>
        <w:r w:rsidR="008F5C1F" w:rsidRPr="002A739E">
          <w:rPr>
            <w:i w:val="0"/>
            <w:iCs w:val="0"/>
            <w:noProof/>
            <w:webHidden/>
          </w:rPr>
          <w:fldChar w:fldCharType="separate"/>
        </w:r>
        <w:r>
          <w:rPr>
            <w:i w:val="0"/>
            <w:iCs w:val="0"/>
            <w:noProof/>
            <w:webHidden/>
          </w:rPr>
          <w:t>9-32</w:t>
        </w:r>
        <w:r w:rsidR="008F5C1F" w:rsidRPr="002A739E">
          <w:rPr>
            <w:i w:val="0"/>
            <w:iCs w:val="0"/>
            <w:noProof/>
            <w:webHidden/>
          </w:rPr>
          <w:fldChar w:fldCharType="end"/>
        </w:r>
      </w:hyperlink>
    </w:p>
    <w:p w14:paraId="49434424" w14:textId="0B9B3B56" w:rsidR="008F5C1F" w:rsidRPr="002A739E" w:rsidRDefault="00ED3BE3" w:rsidP="00B214A7">
      <w:pPr>
        <w:pStyle w:val="TOC4"/>
        <w:rPr>
          <w:rFonts w:eastAsiaTheme="minorEastAsia"/>
          <w:noProof/>
          <w:sz w:val="20"/>
          <w:szCs w:val="20"/>
        </w:rPr>
      </w:pPr>
      <w:hyperlink w:anchor="_Toc80175294" w:history="1">
        <w:r w:rsidR="008F5C1F" w:rsidRPr="002A739E">
          <w:rPr>
            <w:rStyle w:val="Hyperlink"/>
            <w:noProof/>
            <w:sz w:val="20"/>
            <w:szCs w:val="20"/>
          </w:rPr>
          <w:t>9.14.4.1</w:t>
        </w:r>
        <w:r w:rsidR="008F5C1F" w:rsidRPr="002A739E">
          <w:rPr>
            <w:rFonts w:eastAsiaTheme="minorEastAsia"/>
            <w:noProof/>
            <w:sz w:val="20"/>
            <w:szCs w:val="20"/>
          </w:rPr>
          <w:tab/>
        </w:r>
        <w:r w:rsidR="008F5C1F" w:rsidRPr="002A739E">
          <w:rPr>
            <w:rStyle w:val="Hyperlink"/>
            <w:noProof/>
            <w:sz w:val="20"/>
            <w:szCs w:val="20"/>
          </w:rPr>
          <w:t>Status of Dispute</w:t>
        </w:r>
        <w:r w:rsidR="008F5C1F" w:rsidRPr="002A739E">
          <w:rPr>
            <w:noProof/>
            <w:webHidden/>
            <w:sz w:val="20"/>
            <w:szCs w:val="20"/>
          </w:rPr>
          <w:tab/>
        </w:r>
        <w:r w:rsidR="008F5C1F" w:rsidRPr="002A739E">
          <w:rPr>
            <w:noProof/>
            <w:webHidden/>
            <w:sz w:val="20"/>
            <w:szCs w:val="20"/>
          </w:rPr>
          <w:fldChar w:fldCharType="begin"/>
        </w:r>
        <w:r w:rsidR="008F5C1F" w:rsidRPr="002A739E">
          <w:rPr>
            <w:noProof/>
            <w:webHidden/>
            <w:sz w:val="20"/>
            <w:szCs w:val="20"/>
          </w:rPr>
          <w:instrText xml:space="preserve"> PAGEREF _Toc80175294 \h </w:instrText>
        </w:r>
        <w:r w:rsidR="008F5C1F" w:rsidRPr="002A739E">
          <w:rPr>
            <w:noProof/>
            <w:webHidden/>
            <w:sz w:val="20"/>
            <w:szCs w:val="20"/>
          </w:rPr>
        </w:r>
        <w:r w:rsidR="008F5C1F" w:rsidRPr="002A739E">
          <w:rPr>
            <w:noProof/>
            <w:webHidden/>
            <w:sz w:val="20"/>
            <w:szCs w:val="20"/>
          </w:rPr>
          <w:fldChar w:fldCharType="separate"/>
        </w:r>
        <w:r>
          <w:rPr>
            <w:noProof/>
            <w:webHidden/>
            <w:sz w:val="20"/>
            <w:szCs w:val="20"/>
          </w:rPr>
          <w:t>9-33</w:t>
        </w:r>
        <w:r w:rsidR="008F5C1F" w:rsidRPr="002A739E">
          <w:rPr>
            <w:noProof/>
            <w:webHidden/>
            <w:sz w:val="20"/>
            <w:szCs w:val="20"/>
          </w:rPr>
          <w:fldChar w:fldCharType="end"/>
        </w:r>
      </w:hyperlink>
    </w:p>
    <w:p w14:paraId="349A06A0" w14:textId="387D542D" w:rsidR="008F5C1F" w:rsidRPr="002A739E" w:rsidRDefault="00ED3BE3">
      <w:pPr>
        <w:pStyle w:val="TOC5"/>
        <w:rPr>
          <w:rFonts w:eastAsiaTheme="minorEastAsia"/>
          <w:i w:val="0"/>
          <w:sz w:val="20"/>
          <w:szCs w:val="20"/>
        </w:rPr>
      </w:pPr>
      <w:hyperlink w:anchor="_Toc80175295" w:history="1">
        <w:r w:rsidR="008F5C1F" w:rsidRPr="002A739E">
          <w:rPr>
            <w:rStyle w:val="Hyperlink"/>
            <w:i w:val="0"/>
            <w:sz w:val="20"/>
            <w:szCs w:val="20"/>
          </w:rPr>
          <w:t>9.14.4.1.1</w:t>
        </w:r>
        <w:r w:rsidR="008F5C1F" w:rsidRPr="002A739E">
          <w:rPr>
            <w:rFonts w:eastAsiaTheme="minorEastAsia"/>
            <w:i w:val="0"/>
            <w:sz w:val="20"/>
            <w:szCs w:val="20"/>
          </w:rPr>
          <w:tab/>
        </w:r>
        <w:r w:rsidR="008F5C1F" w:rsidRPr="002A739E">
          <w:rPr>
            <w:rStyle w:val="Hyperlink"/>
            <w:i w:val="0"/>
            <w:sz w:val="20"/>
            <w:szCs w:val="20"/>
          </w:rPr>
          <w:t>Not Started</w:t>
        </w:r>
        <w:r w:rsidR="008F5C1F" w:rsidRPr="002A739E">
          <w:rPr>
            <w:i w:val="0"/>
            <w:webHidden/>
            <w:sz w:val="20"/>
            <w:szCs w:val="20"/>
          </w:rPr>
          <w:tab/>
        </w:r>
        <w:r w:rsidR="008F5C1F" w:rsidRPr="002A739E">
          <w:rPr>
            <w:i w:val="0"/>
            <w:webHidden/>
            <w:sz w:val="20"/>
            <w:szCs w:val="20"/>
          </w:rPr>
          <w:fldChar w:fldCharType="begin"/>
        </w:r>
        <w:r w:rsidR="008F5C1F" w:rsidRPr="002A739E">
          <w:rPr>
            <w:i w:val="0"/>
            <w:webHidden/>
            <w:sz w:val="20"/>
            <w:szCs w:val="20"/>
          </w:rPr>
          <w:instrText xml:space="preserve"> PAGEREF _Toc80175295 \h </w:instrText>
        </w:r>
        <w:r w:rsidR="008F5C1F" w:rsidRPr="002A739E">
          <w:rPr>
            <w:i w:val="0"/>
            <w:webHidden/>
            <w:sz w:val="20"/>
            <w:szCs w:val="20"/>
          </w:rPr>
        </w:r>
        <w:r w:rsidR="008F5C1F" w:rsidRPr="002A739E">
          <w:rPr>
            <w:i w:val="0"/>
            <w:webHidden/>
            <w:sz w:val="20"/>
            <w:szCs w:val="20"/>
          </w:rPr>
          <w:fldChar w:fldCharType="separate"/>
        </w:r>
        <w:r>
          <w:rPr>
            <w:i w:val="0"/>
            <w:webHidden/>
            <w:sz w:val="20"/>
            <w:szCs w:val="20"/>
          </w:rPr>
          <w:t>9-33</w:t>
        </w:r>
        <w:r w:rsidR="008F5C1F" w:rsidRPr="002A739E">
          <w:rPr>
            <w:i w:val="0"/>
            <w:webHidden/>
            <w:sz w:val="20"/>
            <w:szCs w:val="20"/>
          </w:rPr>
          <w:fldChar w:fldCharType="end"/>
        </w:r>
      </w:hyperlink>
    </w:p>
    <w:p w14:paraId="13FCF109" w14:textId="53C451D4" w:rsidR="008F5C1F" w:rsidRPr="002A739E" w:rsidRDefault="00ED3BE3">
      <w:pPr>
        <w:pStyle w:val="TOC5"/>
        <w:rPr>
          <w:rFonts w:eastAsiaTheme="minorEastAsia"/>
          <w:i w:val="0"/>
          <w:sz w:val="20"/>
          <w:szCs w:val="20"/>
        </w:rPr>
      </w:pPr>
      <w:hyperlink w:anchor="_Toc80175296" w:history="1">
        <w:r w:rsidR="008F5C1F" w:rsidRPr="002A739E">
          <w:rPr>
            <w:rStyle w:val="Hyperlink"/>
            <w:i w:val="0"/>
            <w:sz w:val="20"/>
            <w:szCs w:val="20"/>
          </w:rPr>
          <w:t>9.14.4.1.2</w:t>
        </w:r>
        <w:r w:rsidR="008F5C1F" w:rsidRPr="002A739E">
          <w:rPr>
            <w:rFonts w:eastAsiaTheme="minorEastAsia"/>
            <w:i w:val="0"/>
            <w:sz w:val="20"/>
            <w:szCs w:val="20"/>
          </w:rPr>
          <w:tab/>
        </w:r>
        <w:r w:rsidR="008F5C1F" w:rsidRPr="002A739E">
          <w:rPr>
            <w:rStyle w:val="Hyperlink"/>
            <w:i w:val="0"/>
            <w:sz w:val="20"/>
            <w:szCs w:val="20"/>
          </w:rPr>
          <w:t>Open</w:t>
        </w:r>
        <w:r w:rsidR="008F5C1F" w:rsidRPr="002A739E">
          <w:rPr>
            <w:i w:val="0"/>
            <w:webHidden/>
            <w:sz w:val="20"/>
            <w:szCs w:val="20"/>
          </w:rPr>
          <w:tab/>
        </w:r>
        <w:r w:rsidR="008F5C1F" w:rsidRPr="002A739E">
          <w:rPr>
            <w:i w:val="0"/>
            <w:webHidden/>
            <w:sz w:val="20"/>
            <w:szCs w:val="20"/>
          </w:rPr>
          <w:fldChar w:fldCharType="begin"/>
        </w:r>
        <w:r w:rsidR="008F5C1F" w:rsidRPr="002A739E">
          <w:rPr>
            <w:i w:val="0"/>
            <w:webHidden/>
            <w:sz w:val="20"/>
            <w:szCs w:val="20"/>
          </w:rPr>
          <w:instrText xml:space="preserve"> PAGEREF _Toc80175296 \h </w:instrText>
        </w:r>
        <w:r w:rsidR="008F5C1F" w:rsidRPr="002A739E">
          <w:rPr>
            <w:i w:val="0"/>
            <w:webHidden/>
            <w:sz w:val="20"/>
            <w:szCs w:val="20"/>
          </w:rPr>
        </w:r>
        <w:r w:rsidR="008F5C1F" w:rsidRPr="002A739E">
          <w:rPr>
            <w:i w:val="0"/>
            <w:webHidden/>
            <w:sz w:val="20"/>
            <w:szCs w:val="20"/>
          </w:rPr>
          <w:fldChar w:fldCharType="separate"/>
        </w:r>
        <w:r>
          <w:rPr>
            <w:i w:val="0"/>
            <w:webHidden/>
            <w:sz w:val="20"/>
            <w:szCs w:val="20"/>
          </w:rPr>
          <w:t>9-33</w:t>
        </w:r>
        <w:r w:rsidR="008F5C1F" w:rsidRPr="002A739E">
          <w:rPr>
            <w:i w:val="0"/>
            <w:webHidden/>
            <w:sz w:val="20"/>
            <w:szCs w:val="20"/>
          </w:rPr>
          <w:fldChar w:fldCharType="end"/>
        </w:r>
      </w:hyperlink>
    </w:p>
    <w:p w14:paraId="69B78FA1" w14:textId="197181E7" w:rsidR="008F5C1F" w:rsidRPr="002A739E" w:rsidRDefault="00ED3BE3">
      <w:pPr>
        <w:pStyle w:val="TOC5"/>
        <w:rPr>
          <w:rFonts w:eastAsiaTheme="minorEastAsia"/>
          <w:i w:val="0"/>
          <w:sz w:val="20"/>
          <w:szCs w:val="20"/>
        </w:rPr>
      </w:pPr>
      <w:hyperlink w:anchor="_Toc80175297" w:history="1">
        <w:r w:rsidR="008F5C1F" w:rsidRPr="002A739E">
          <w:rPr>
            <w:rStyle w:val="Hyperlink"/>
            <w:i w:val="0"/>
            <w:sz w:val="20"/>
            <w:szCs w:val="20"/>
          </w:rPr>
          <w:t>9.14.4.1.3</w:t>
        </w:r>
        <w:r w:rsidR="008F5C1F" w:rsidRPr="002A739E">
          <w:rPr>
            <w:rFonts w:eastAsiaTheme="minorEastAsia"/>
            <w:i w:val="0"/>
            <w:sz w:val="20"/>
            <w:szCs w:val="20"/>
          </w:rPr>
          <w:tab/>
        </w:r>
        <w:r w:rsidR="008F5C1F" w:rsidRPr="002A739E">
          <w:rPr>
            <w:rStyle w:val="Hyperlink"/>
            <w:i w:val="0"/>
            <w:sz w:val="20"/>
            <w:szCs w:val="20"/>
          </w:rPr>
          <w:t>Closed</w:t>
        </w:r>
        <w:r w:rsidR="008F5C1F" w:rsidRPr="002A739E">
          <w:rPr>
            <w:i w:val="0"/>
            <w:webHidden/>
            <w:sz w:val="20"/>
            <w:szCs w:val="20"/>
          </w:rPr>
          <w:tab/>
        </w:r>
        <w:r w:rsidR="008F5C1F" w:rsidRPr="002A739E">
          <w:rPr>
            <w:i w:val="0"/>
            <w:webHidden/>
            <w:sz w:val="20"/>
            <w:szCs w:val="20"/>
          </w:rPr>
          <w:fldChar w:fldCharType="begin"/>
        </w:r>
        <w:r w:rsidR="008F5C1F" w:rsidRPr="002A739E">
          <w:rPr>
            <w:i w:val="0"/>
            <w:webHidden/>
            <w:sz w:val="20"/>
            <w:szCs w:val="20"/>
          </w:rPr>
          <w:instrText xml:space="preserve"> PAGEREF _Toc80175297 \h </w:instrText>
        </w:r>
        <w:r w:rsidR="008F5C1F" w:rsidRPr="002A739E">
          <w:rPr>
            <w:i w:val="0"/>
            <w:webHidden/>
            <w:sz w:val="20"/>
            <w:szCs w:val="20"/>
          </w:rPr>
        </w:r>
        <w:r w:rsidR="008F5C1F" w:rsidRPr="002A739E">
          <w:rPr>
            <w:i w:val="0"/>
            <w:webHidden/>
            <w:sz w:val="20"/>
            <w:szCs w:val="20"/>
          </w:rPr>
          <w:fldChar w:fldCharType="separate"/>
        </w:r>
        <w:r>
          <w:rPr>
            <w:i w:val="0"/>
            <w:webHidden/>
            <w:sz w:val="20"/>
            <w:szCs w:val="20"/>
          </w:rPr>
          <w:t>9-33</w:t>
        </w:r>
        <w:r w:rsidR="008F5C1F" w:rsidRPr="002A739E">
          <w:rPr>
            <w:i w:val="0"/>
            <w:webHidden/>
            <w:sz w:val="20"/>
            <w:szCs w:val="20"/>
          </w:rPr>
          <w:fldChar w:fldCharType="end"/>
        </w:r>
      </w:hyperlink>
    </w:p>
    <w:p w14:paraId="420DF785" w14:textId="1202804C" w:rsidR="008F5C1F" w:rsidRPr="002A739E" w:rsidRDefault="00ED3BE3">
      <w:pPr>
        <w:pStyle w:val="TOC5"/>
        <w:rPr>
          <w:rFonts w:eastAsiaTheme="minorEastAsia"/>
          <w:i w:val="0"/>
          <w:sz w:val="20"/>
          <w:szCs w:val="20"/>
        </w:rPr>
      </w:pPr>
      <w:hyperlink w:anchor="_Toc80175298" w:history="1">
        <w:r w:rsidR="008F5C1F" w:rsidRPr="002A739E">
          <w:rPr>
            <w:rStyle w:val="Hyperlink"/>
            <w:i w:val="0"/>
            <w:sz w:val="20"/>
            <w:szCs w:val="20"/>
          </w:rPr>
          <w:t>9.14.4.1.4</w:t>
        </w:r>
        <w:r w:rsidR="008F5C1F" w:rsidRPr="002A739E">
          <w:rPr>
            <w:rFonts w:eastAsiaTheme="minorEastAsia"/>
            <w:i w:val="0"/>
            <w:sz w:val="20"/>
            <w:szCs w:val="20"/>
          </w:rPr>
          <w:tab/>
        </w:r>
        <w:r w:rsidR="008F5C1F" w:rsidRPr="002A739E">
          <w:rPr>
            <w:rStyle w:val="Hyperlink"/>
            <w:i w:val="0"/>
            <w:sz w:val="20"/>
            <w:szCs w:val="20"/>
          </w:rPr>
          <w:t>Rejected</w:t>
        </w:r>
        <w:r w:rsidR="008F5C1F" w:rsidRPr="002A739E">
          <w:rPr>
            <w:i w:val="0"/>
            <w:webHidden/>
            <w:sz w:val="20"/>
            <w:szCs w:val="20"/>
          </w:rPr>
          <w:tab/>
        </w:r>
        <w:r w:rsidR="008F5C1F" w:rsidRPr="002A739E">
          <w:rPr>
            <w:i w:val="0"/>
            <w:webHidden/>
            <w:sz w:val="20"/>
            <w:szCs w:val="20"/>
          </w:rPr>
          <w:fldChar w:fldCharType="begin"/>
        </w:r>
        <w:r w:rsidR="008F5C1F" w:rsidRPr="002A739E">
          <w:rPr>
            <w:i w:val="0"/>
            <w:webHidden/>
            <w:sz w:val="20"/>
            <w:szCs w:val="20"/>
          </w:rPr>
          <w:instrText xml:space="preserve"> PAGEREF _Toc80175298 \h </w:instrText>
        </w:r>
        <w:r w:rsidR="008F5C1F" w:rsidRPr="002A739E">
          <w:rPr>
            <w:i w:val="0"/>
            <w:webHidden/>
            <w:sz w:val="20"/>
            <w:szCs w:val="20"/>
          </w:rPr>
        </w:r>
        <w:r w:rsidR="008F5C1F" w:rsidRPr="002A739E">
          <w:rPr>
            <w:i w:val="0"/>
            <w:webHidden/>
            <w:sz w:val="20"/>
            <w:szCs w:val="20"/>
          </w:rPr>
          <w:fldChar w:fldCharType="separate"/>
        </w:r>
        <w:r>
          <w:rPr>
            <w:i w:val="0"/>
            <w:webHidden/>
            <w:sz w:val="20"/>
            <w:szCs w:val="20"/>
          </w:rPr>
          <w:t>9-33</w:t>
        </w:r>
        <w:r w:rsidR="008F5C1F" w:rsidRPr="002A739E">
          <w:rPr>
            <w:i w:val="0"/>
            <w:webHidden/>
            <w:sz w:val="20"/>
            <w:szCs w:val="20"/>
          </w:rPr>
          <w:fldChar w:fldCharType="end"/>
        </w:r>
      </w:hyperlink>
    </w:p>
    <w:p w14:paraId="2CDD6F9A" w14:textId="6895C6B2" w:rsidR="008F5C1F" w:rsidRPr="002A739E" w:rsidRDefault="00ED3BE3">
      <w:pPr>
        <w:pStyle w:val="TOC5"/>
        <w:rPr>
          <w:rFonts w:eastAsiaTheme="minorEastAsia"/>
          <w:i w:val="0"/>
          <w:sz w:val="20"/>
          <w:szCs w:val="20"/>
        </w:rPr>
      </w:pPr>
      <w:hyperlink w:anchor="_Toc80175299" w:history="1">
        <w:r w:rsidR="008F5C1F" w:rsidRPr="002A739E">
          <w:rPr>
            <w:rStyle w:val="Hyperlink"/>
            <w:i w:val="0"/>
            <w:sz w:val="20"/>
            <w:szCs w:val="20"/>
          </w:rPr>
          <w:t>9.14.4.1.5</w:t>
        </w:r>
        <w:r w:rsidR="008F5C1F" w:rsidRPr="002A739E">
          <w:rPr>
            <w:rFonts w:eastAsiaTheme="minorEastAsia"/>
            <w:i w:val="0"/>
            <w:sz w:val="20"/>
            <w:szCs w:val="20"/>
          </w:rPr>
          <w:tab/>
        </w:r>
        <w:r w:rsidR="008F5C1F" w:rsidRPr="002A739E">
          <w:rPr>
            <w:rStyle w:val="Hyperlink"/>
            <w:i w:val="0"/>
            <w:sz w:val="20"/>
            <w:szCs w:val="20"/>
          </w:rPr>
          <w:t>Withdrawn</w:t>
        </w:r>
        <w:r w:rsidR="008F5C1F" w:rsidRPr="002A739E">
          <w:rPr>
            <w:i w:val="0"/>
            <w:webHidden/>
            <w:sz w:val="20"/>
            <w:szCs w:val="20"/>
          </w:rPr>
          <w:tab/>
        </w:r>
        <w:r w:rsidR="008F5C1F" w:rsidRPr="002A739E">
          <w:rPr>
            <w:i w:val="0"/>
            <w:webHidden/>
            <w:sz w:val="20"/>
            <w:szCs w:val="20"/>
          </w:rPr>
          <w:fldChar w:fldCharType="begin"/>
        </w:r>
        <w:r w:rsidR="008F5C1F" w:rsidRPr="002A739E">
          <w:rPr>
            <w:i w:val="0"/>
            <w:webHidden/>
            <w:sz w:val="20"/>
            <w:szCs w:val="20"/>
          </w:rPr>
          <w:instrText xml:space="preserve"> PAGEREF _Toc80175299 \h </w:instrText>
        </w:r>
        <w:r w:rsidR="008F5C1F" w:rsidRPr="002A739E">
          <w:rPr>
            <w:i w:val="0"/>
            <w:webHidden/>
            <w:sz w:val="20"/>
            <w:szCs w:val="20"/>
          </w:rPr>
        </w:r>
        <w:r w:rsidR="008F5C1F" w:rsidRPr="002A739E">
          <w:rPr>
            <w:i w:val="0"/>
            <w:webHidden/>
            <w:sz w:val="20"/>
            <w:szCs w:val="20"/>
          </w:rPr>
          <w:fldChar w:fldCharType="separate"/>
        </w:r>
        <w:r>
          <w:rPr>
            <w:i w:val="0"/>
            <w:webHidden/>
            <w:sz w:val="20"/>
            <w:szCs w:val="20"/>
          </w:rPr>
          <w:t>9-34</w:t>
        </w:r>
        <w:r w:rsidR="008F5C1F" w:rsidRPr="002A739E">
          <w:rPr>
            <w:i w:val="0"/>
            <w:webHidden/>
            <w:sz w:val="20"/>
            <w:szCs w:val="20"/>
          </w:rPr>
          <w:fldChar w:fldCharType="end"/>
        </w:r>
      </w:hyperlink>
    </w:p>
    <w:p w14:paraId="460F28F5" w14:textId="44A89982" w:rsidR="008F5C1F" w:rsidRPr="002A739E" w:rsidRDefault="00ED3BE3">
      <w:pPr>
        <w:pStyle w:val="TOC5"/>
        <w:rPr>
          <w:rFonts w:eastAsiaTheme="minorEastAsia"/>
          <w:i w:val="0"/>
          <w:sz w:val="20"/>
          <w:szCs w:val="20"/>
        </w:rPr>
      </w:pPr>
      <w:hyperlink w:anchor="_Toc80175300" w:history="1">
        <w:r w:rsidR="008F5C1F" w:rsidRPr="002A739E">
          <w:rPr>
            <w:rStyle w:val="Hyperlink"/>
            <w:i w:val="0"/>
            <w:sz w:val="20"/>
            <w:szCs w:val="20"/>
          </w:rPr>
          <w:t>9.14.4.1.6</w:t>
        </w:r>
        <w:r w:rsidR="008F5C1F" w:rsidRPr="002A739E">
          <w:rPr>
            <w:rFonts w:eastAsiaTheme="minorEastAsia"/>
            <w:i w:val="0"/>
            <w:sz w:val="20"/>
            <w:szCs w:val="20"/>
          </w:rPr>
          <w:tab/>
        </w:r>
        <w:r w:rsidR="008F5C1F" w:rsidRPr="002A739E">
          <w:rPr>
            <w:rStyle w:val="Hyperlink"/>
            <w:i w:val="0"/>
            <w:sz w:val="20"/>
            <w:szCs w:val="20"/>
          </w:rPr>
          <w:t>ADR</w:t>
        </w:r>
        <w:r w:rsidR="008F5C1F" w:rsidRPr="002A739E">
          <w:rPr>
            <w:i w:val="0"/>
            <w:webHidden/>
            <w:sz w:val="20"/>
            <w:szCs w:val="20"/>
          </w:rPr>
          <w:tab/>
        </w:r>
        <w:r w:rsidR="008F5C1F" w:rsidRPr="002A739E">
          <w:rPr>
            <w:i w:val="0"/>
            <w:webHidden/>
            <w:sz w:val="20"/>
            <w:szCs w:val="20"/>
          </w:rPr>
          <w:fldChar w:fldCharType="begin"/>
        </w:r>
        <w:r w:rsidR="008F5C1F" w:rsidRPr="002A739E">
          <w:rPr>
            <w:i w:val="0"/>
            <w:webHidden/>
            <w:sz w:val="20"/>
            <w:szCs w:val="20"/>
          </w:rPr>
          <w:instrText xml:space="preserve"> PAGEREF _Toc80175300 \h </w:instrText>
        </w:r>
        <w:r w:rsidR="008F5C1F" w:rsidRPr="002A739E">
          <w:rPr>
            <w:i w:val="0"/>
            <w:webHidden/>
            <w:sz w:val="20"/>
            <w:szCs w:val="20"/>
          </w:rPr>
        </w:r>
        <w:r w:rsidR="008F5C1F" w:rsidRPr="002A739E">
          <w:rPr>
            <w:i w:val="0"/>
            <w:webHidden/>
            <w:sz w:val="20"/>
            <w:szCs w:val="20"/>
          </w:rPr>
          <w:fldChar w:fldCharType="separate"/>
        </w:r>
        <w:r>
          <w:rPr>
            <w:i w:val="0"/>
            <w:webHidden/>
            <w:sz w:val="20"/>
            <w:szCs w:val="20"/>
          </w:rPr>
          <w:t>9-34</w:t>
        </w:r>
        <w:r w:rsidR="008F5C1F" w:rsidRPr="002A739E">
          <w:rPr>
            <w:i w:val="0"/>
            <w:webHidden/>
            <w:sz w:val="20"/>
            <w:szCs w:val="20"/>
          </w:rPr>
          <w:fldChar w:fldCharType="end"/>
        </w:r>
      </w:hyperlink>
    </w:p>
    <w:p w14:paraId="4EA319D1" w14:textId="03365D3C" w:rsidR="008F5C1F" w:rsidRPr="002A739E" w:rsidRDefault="00ED3BE3" w:rsidP="00B214A7">
      <w:pPr>
        <w:pStyle w:val="TOC4"/>
        <w:rPr>
          <w:rFonts w:eastAsiaTheme="minorEastAsia"/>
          <w:noProof/>
          <w:sz w:val="20"/>
          <w:szCs w:val="20"/>
        </w:rPr>
      </w:pPr>
      <w:hyperlink w:anchor="_Toc80175301" w:history="1">
        <w:r w:rsidR="008F5C1F" w:rsidRPr="002A739E">
          <w:rPr>
            <w:rStyle w:val="Hyperlink"/>
            <w:noProof/>
            <w:sz w:val="20"/>
            <w:szCs w:val="20"/>
          </w:rPr>
          <w:t>9.14.4.2</w:t>
        </w:r>
        <w:r w:rsidR="008F5C1F" w:rsidRPr="002A739E">
          <w:rPr>
            <w:rFonts w:eastAsiaTheme="minorEastAsia"/>
            <w:noProof/>
            <w:sz w:val="20"/>
            <w:szCs w:val="20"/>
          </w:rPr>
          <w:tab/>
        </w:r>
        <w:r w:rsidR="008F5C1F" w:rsidRPr="002A739E">
          <w:rPr>
            <w:rStyle w:val="Hyperlink"/>
            <w:noProof/>
            <w:sz w:val="20"/>
            <w:szCs w:val="20"/>
          </w:rPr>
          <w:t>Resolution of Dispute</w:t>
        </w:r>
        <w:r w:rsidR="008F5C1F" w:rsidRPr="002A739E">
          <w:rPr>
            <w:noProof/>
            <w:webHidden/>
            <w:sz w:val="20"/>
            <w:szCs w:val="20"/>
          </w:rPr>
          <w:tab/>
        </w:r>
        <w:r w:rsidR="008F5C1F" w:rsidRPr="002A739E">
          <w:rPr>
            <w:noProof/>
            <w:webHidden/>
            <w:sz w:val="20"/>
            <w:szCs w:val="20"/>
          </w:rPr>
          <w:fldChar w:fldCharType="begin"/>
        </w:r>
        <w:r w:rsidR="008F5C1F" w:rsidRPr="002A739E">
          <w:rPr>
            <w:noProof/>
            <w:webHidden/>
            <w:sz w:val="20"/>
            <w:szCs w:val="20"/>
          </w:rPr>
          <w:instrText xml:space="preserve"> PAGEREF _Toc80175301 \h </w:instrText>
        </w:r>
        <w:r w:rsidR="008F5C1F" w:rsidRPr="002A739E">
          <w:rPr>
            <w:noProof/>
            <w:webHidden/>
            <w:sz w:val="20"/>
            <w:szCs w:val="20"/>
          </w:rPr>
        </w:r>
        <w:r w:rsidR="008F5C1F" w:rsidRPr="002A739E">
          <w:rPr>
            <w:noProof/>
            <w:webHidden/>
            <w:sz w:val="20"/>
            <w:szCs w:val="20"/>
          </w:rPr>
          <w:fldChar w:fldCharType="separate"/>
        </w:r>
        <w:r>
          <w:rPr>
            <w:noProof/>
            <w:webHidden/>
            <w:sz w:val="20"/>
            <w:szCs w:val="20"/>
          </w:rPr>
          <w:t>9-34</w:t>
        </w:r>
        <w:r w:rsidR="008F5C1F" w:rsidRPr="002A739E">
          <w:rPr>
            <w:noProof/>
            <w:webHidden/>
            <w:sz w:val="20"/>
            <w:szCs w:val="20"/>
          </w:rPr>
          <w:fldChar w:fldCharType="end"/>
        </w:r>
      </w:hyperlink>
    </w:p>
    <w:p w14:paraId="62224675" w14:textId="011E6955" w:rsidR="008F5C1F" w:rsidRPr="002A739E" w:rsidRDefault="00ED3BE3">
      <w:pPr>
        <w:pStyle w:val="TOC5"/>
        <w:rPr>
          <w:rFonts w:eastAsiaTheme="minorEastAsia"/>
          <w:i w:val="0"/>
          <w:sz w:val="20"/>
          <w:szCs w:val="20"/>
        </w:rPr>
      </w:pPr>
      <w:hyperlink w:anchor="_Toc80175302" w:history="1">
        <w:r w:rsidR="008F5C1F" w:rsidRPr="002A739E">
          <w:rPr>
            <w:rStyle w:val="Hyperlink"/>
            <w:i w:val="0"/>
            <w:sz w:val="20"/>
            <w:szCs w:val="20"/>
          </w:rPr>
          <w:t>9.14.4.2.1</w:t>
        </w:r>
        <w:r w:rsidR="008F5C1F" w:rsidRPr="002A739E">
          <w:rPr>
            <w:rFonts w:eastAsiaTheme="minorEastAsia"/>
            <w:i w:val="0"/>
            <w:sz w:val="20"/>
            <w:szCs w:val="20"/>
          </w:rPr>
          <w:tab/>
        </w:r>
        <w:r w:rsidR="008F5C1F" w:rsidRPr="002A739E">
          <w:rPr>
            <w:rStyle w:val="Hyperlink"/>
            <w:i w:val="0"/>
            <w:sz w:val="20"/>
            <w:szCs w:val="20"/>
          </w:rPr>
          <w:t>Denied</w:t>
        </w:r>
        <w:r w:rsidR="008F5C1F" w:rsidRPr="002A739E">
          <w:rPr>
            <w:i w:val="0"/>
            <w:webHidden/>
            <w:sz w:val="20"/>
            <w:szCs w:val="20"/>
          </w:rPr>
          <w:tab/>
        </w:r>
        <w:r w:rsidR="008F5C1F" w:rsidRPr="002A739E">
          <w:rPr>
            <w:i w:val="0"/>
            <w:webHidden/>
            <w:sz w:val="20"/>
            <w:szCs w:val="20"/>
          </w:rPr>
          <w:fldChar w:fldCharType="begin"/>
        </w:r>
        <w:r w:rsidR="008F5C1F" w:rsidRPr="002A739E">
          <w:rPr>
            <w:i w:val="0"/>
            <w:webHidden/>
            <w:sz w:val="20"/>
            <w:szCs w:val="20"/>
          </w:rPr>
          <w:instrText xml:space="preserve"> PAGEREF _Toc80175302 \h </w:instrText>
        </w:r>
        <w:r w:rsidR="008F5C1F" w:rsidRPr="002A739E">
          <w:rPr>
            <w:i w:val="0"/>
            <w:webHidden/>
            <w:sz w:val="20"/>
            <w:szCs w:val="20"/>
          </w:rPr>
        </w:r>
        <w:r w:rsidR="008F5C1F" w:rsidRPr="002A739E">
          <w:rPr>
            <w:i w:val="0"/>
            <w:webHidden/>
            <w:sz w:val="20"/>
            <w:szCs w:val="20"/>
          </w:rPr>
          <w:fldChar w:fldCharType="separate"/>
        </w:r>
        <w:r>
          <w:rPr>
            <w:i w:val="0"/>
            <w:webHidden/>
            <w:sz w:val="20"/>
            <w:szCs w:val="20"/>
          </w:rPr>
          <w:t>9-34</w:t>
        </w:r>
        <w:r w:rsidR="008F5C1F" w:rsidRPr="002A739E">
          <w:rPr>
            <w:i w:val="0"/>
            <w:webHidden/>
            <w:sz w:val="20"/>
            <w:szCs w:val="20"/>
          </w:rPr>
          <w:fldChar w:fldCharType="end"/>
        </w:r>
      </w:hyperlink>
    </w:p>
    <w:p w14:paraId="57F5E70C" w14:textId="6CB9C29E" w:rsidR="008F5C1F" w:rsidRPr="002A739E" w:rsidRDefault="00ED3BE3">
      <w:pPr>
        <w:pStyle w:val="TOC5"/>
        <w:rPr>
          <w:rFonts w:eastAsiaTheme="minorEastAsia"/>
          <w:i w:val="0"/>
          <w:sz w:val="20"/>
          <w:szCs w:val="20"/>
        </w:rPr>
      </w:pPr>
      <w:hyperlink w:anchor="_Toc80175303" w:history="1">
        <w:r w:rsidR="008F5C1F" w:rsidRPr="002A739E">
          <w:rPr>
            <w:rStyle w:val="Hyperlink"/>
            <w:i w:val="0"/>
            <w:sz w:val="20"/>
            <w:szCs w:val="20"/>
          </w:rPr>
          <w:t>9.14.4.2.2</w:t>
        </w:r>
        <w:r w:rsidR="008F5C1F" w:rsidRPr="002A739E">
          <w:rPr>
            <w:rFonts w:eastAsiaTheme="minorEastAsia"/>
            <w:i w:val="0"/>
            <w:sz w:val="20"/>
            <w:szCs w:val="20"/>
          </w:rPr>
          <w:tab/>
        </w:r>
        <w:r w:rsidR="008F5C1F" w:rsidRPr="002A739E">
          <w:rPr>
            <w:rStyle w:val="Hyperlink"/>
            <w:i w:val="0"/>
            <w:sz w:val="20"/>
            <w:szCs w:val="20"/>
          </w:rPr>
          <w:t>Granted</w:t>
        </w:r>
        <w:r w:rsidR="008F5C1F" w:rsidRPr="002A739E">
          <w:rPr>
            <w:i w:val="0"/>
            <w:webHidden/>
            <w:sz w:val="20"/>
            <w:szCs w:val="20"/>
          </w:rPr>
          <w:tab/>
        </w:r>
        <w:r w:rsidR="008F5C1F" w:rsidRPr="002A739E">
          <w:rPr>
            <w:i w:val="0"/>
            <w:webHidden/>
            <w:sz w:val="20"/>
            <w:szCs w:val="20"/>
          </w:rPr>
          <w:fldChar w:fldCharType="begin"/>
        </w:r>
        <w:r w:rsidR="008F5C1F" w:rsidRPr="002A739E">
          <w:rPr>
            <w:i w:val="0"/>
            <w:webHidden/>
            <w:sz w:val="20"/>
            <w:szCs w:val="20"/>
          </w:rPr>
          <w:instrText xml:space="preserve"> PAGEREF _Toc80175303 \h </w:instrText>
        </w:r>
        <w:r w:rsidR="008F5C1F" w:rsidRPr="002A739E">
          <w:rPr>
            <w:i w:val="0"/>
            <w:webHidden/>
            <w:sz w:val="20"/>
            <w:szCs w:val="20"/>
          </w:rPr>
        </w:r>
        <w:r w:rsidR="008F5C1F" w:rsidRPr="002A739E">
          <w:rPr>
            <w:i w:val="0"/>
            <w:webHidden/>
            <w:sz w:val="20"/>
            <w:szCs w:val="20"/>
          </w:rPr>
          <w:fldChar w:fldCharType="separate"/>
        </w:r>
        <w:r>
          <w:rPr>
            <w:i w:val="0"/>
            <w:webHidden/>
            <w:sz w:val="20"/>
            <w:szCs w:val="20"/>
          </w:rPr>
          <w:t>9-35</w:t>
        </w:r>
        <w:r w:rsidR="008F5C1F" w:rsidRPr="002A739E">
          <w:rPr>
            <w:i w:val="0"/>
            <w:webHidden/>
            <w:sz w:val="20"/>
            <w:szCs w:val="20"/>
          </w:rPr>
          <w:fldChar w:fldCharType="end"/>
        </w:r>
      </w:hyperlink>
    </w:p>
    <w:p w14:paraId="0FAD8A75" w14:textId="437B0111" w:rsidR="008F5C1F" w:rsidRPr="002A739E" w:rsidRDefault="00ED3BE3">
      <w:pPr>
        <w:pStyle w:val="TOC5"/>
        <w:rPr>
          <w:rFonts w:eastAsiaTheme="minorEastAsia"/>
          <w:i w:val="0"/>
          <w:sz w:val="20"/>
          <w:szCs w:val="20"/>
        </w:rPr>
      </w:pPr>
      <w:hyperlink w:anchor="_Toc80175304" w:history="1">
        <w:r w:rsidR="008F5C1F" w:rsidRPr="002A739E">
          <w:rPr>
            <w:rStyle w:val="Hyperlink"/>
            <w:i w:val="0"/>
            <w:sz w:val="20"/>
            <w:szCs w:val="20"/>
          </w:rPr>
          <w:t>9.14.4.2.3</w:t>
        </w:r>
        <w:r w:rsidR="008F5C1F" w:rsidRPr="002A739E">
          <w:rPr>
            <w:rFonts w:eastAsiaTheme="minorEastAsia"/>
            <w:i w:val="0"/>
            <w:sz w:val="20"/>
            <w:szCs w:val="20"/>
          </w:rPr>
          <w:tab/>
        </w:r>
        <w:r w:rsidR="008F5C1F" w:rsidRPr="002A739E">
          <w:rPr>
            <w:rStyle w:val="Hyperlink"/>
            <w:i w:val="0"/>
            <w:sz w:val="20"/>
            <w:szCs w:val="20"/>
          </w:rPr>
          <w:t>Granted with Exceptions</w:t>
        </w:r>
        <w:r w:rsidR="008F5C1F" w:rsidRPr="002A739E">
          <w:rPr>
            <w:i w:val="0"/>
            <w:webHidden/>
            <w:sz w:val="20"/>
            <w:szCs w:val="20"/>
          </w:rPr>
          <w:tab/>
        </w:r>
        <w:r w:rsidR="008F5C1F" w:rsidRPr="002A739E">
          <w:rPr>
            <w:i w:val="0"/>
            <w:webHidden/>
            <w:sz w:val="20"/>
            <w:szCs w:val="20"/>
          </w:rPr>
          <w:fldChar w:fldCharType="begin"/>
        </w:r>
        <w:r w:rsidR="008F5C1F" w:rsidRPr="002A739E">
          <w:rPr>
            <w:i w:val="0"/>
            <w:webHidden/>
            <w:sz w:val="20"/>
            <w:szCs w:val="20"/>
          </w:rPr>
          <w:instrText xml:space="preserve"> PAGEREF _Toc80175304 \h </w:instrText>
        </w:r>
        <w:r w:rsidR="008F5C1F" w:rsidRPr="002A739E">
          <w:rPr>
            <w:i w:val="0"/>
            <w:webHidden/>
            <w:sz w:val="20"/>
            <w:szCs w:val="20"/>
          </w:rPr>
        </w:r>
        <w:r w:rsidR="008F5C1F" w:rsidRPr="002A739E">
          <w:rPr>
            <w:i w:val="0"/>
            <w:webHidden/>
            <w:sz w:val="20"/>
            <w:szCs w:val="20"/>
          </w:rPr>
          <w:fldChar w:fldCharType="separate"/>
        </w:r>
        <w:r>
          <w:rPr>
            <w:i w:val="0"/>
            <w:webHidden/>
            <w:sz w:val="20"/>
            <w:szCs w:val="20"/>
          </w:rPr>
          <w:t>9-35</w:t>
        </w:r>
        <w:r w:rsidR="008F5C1F" w:rsidRPr="002A739E">
          <w:rPr>
            <w:i w:val="0"/>
            <w:webHidden/>
            <w:sz w:val="20"/>
            <w:szCs w:val="20"/>
          </w:rPr>
          <w:fldChar w:fldCharType="end"/>
        </w:r>
      </w:hyperlink>
    </w:p>
    <w:p w14:paraId="0FA56ED7" w14:textId="20CD6F7E" w:rsidR="008F5C1F" w:rsidRPr="002A739E" w:rsidRDefault="00ED3BE3">
      <w:pPr>
        <w:pStyle w:val="TOC3"/>
        <w:rPr>
          <w:rFonts w:eastAsiaTheme="minorEastAsia"/>
          <w:i w:val="0"/>
          <w:iCs w:val="0"/>
          <w:noProof/>
        </w:rPr>
      </w:pPr>
      <w:hyperlink w:anchor="_Toc80175305" w:history="1">
        <w:r w:rsidR="008F5C1F" w:rsidRPr="002A739E">
          <w:rPr>
            <w:rStyle w:val="Hyperlink"/>
            <w:i w:val="0"/>
            <w:iCs w:val="0"/>
            <w:noProof/>
          </w:rPr>
          <w:t>9.14.5</w:t>
        </w:r>
        <w:r w:rsidR="008F5C1F" w:rsidRPr="002A739E">
          <w:rPr>
            <w:rFonts w:eastAsiaTheme="minorEastAsia"/>
            <w:i w:val="0"/>
            <w:iCs w:val="0"/>
            <w:noProof/>
          </w:rPr>
          <w:tab/>
        </w:r>
        <w:r w:rsidR="008F5C1F" w:rsidRPr="002A739E">
          <w:rPr>
            <w:rStyle w:val="Hyperlink"/>
            <w:i w:val="0"/>
            <w:iCs w:val="0"/>
            <w:noProof/>
          </w:rPr>
          <w:t>Settlement of Emergency Response Service</w:t>
        </w:r>
        <w:r w:rsidR="008F5C1F" w:rsidRPr="002A739E">
          <w:rPr>
            <w:i w:val="0"/>
            <w:iCs w:val="0"/>
            <w:noProof/>
            <w:webHidden/>
          </w:rPr>
          <w:tab/>
        </w:r>
        <w:r w:rsidR="008F5C1F" w:rsidRPr="002A739E">
          <w:rPr>
            <w:i w:val="0"/>
            <w:iCs w:val="0"/>
            <w:noProof/>
            <w:webHidden/>
          </w:rPr>
          <w:fldChar w:fldCharType="begin"/>
        </w:r>
        <w:r w:rsidR="008F5C1F" w:rsidRPr="002A739E">
          <w:rPr>
            <w:i w:val="0"/>
            <w:iCs w:val="0"/>
            <w:noProof/>
            <w:webHidden/>
          </w:rPr>
          <w:instrText xml:space="preserve"> PAGEREF _Toc80175305 \h </w:instrText>
        </w:r>
        <w:r w:rsidR="008F5C1F" w:rsidRPr="002A739E">
          <w:rPr>
            <w:i w:val="0"/>
            <w:iCs w:val="0"/>
            <w:noProof/>
            <w:webHidden/>
          </w:rPr>
        </w:r>
        <w:r w:rsidR="008F5C1F" w:rsidRPr="002A739E">
          <w:rPr>
            <w:i w:val="0"/>
            <w:iCs w:val="0"/>
            <w:noProof/>
            <w:webHidden/>
          </w:rPr>
          <w:fldChar w:fldCharType="separate"/>
        </w:r>
        <w:r>
          <w:rPr>
            <w:i w:val="0"/>
            <w:iCs w:val="0"/>
            <w:noProof/>
            <w:webHidden/>
          </w:rPr>
          <w:t>9-36</w:t>
        </w:r>
        <w:r w:rsidR="008F5C1F" w:rsidRPr="002A739E">
          <w:rPr>
            <w:i w:val="0"/>
            <w:iCs w:val="0"/>
            <w:noProof/>
            <w:webHidden/>
          </w:rPr>
          <w:fldChar w:fldCharType="end"/>
        </w:r>
      </w:hyperlink>
    </w:p>
    <w:p w14:paraId="5899FAC2" w14:textId="16D7881E" w:rsidR="008F5C1F" w:rsidRPr="002A739E" w:rsidRDefault="00ED3BE3">
      <w:pPr>
        <w:pStyle w:val="TOC3"/>
        <w:rPr>
          <w:rFonts w:eastAsiaTheme="minorEastAsia"/>
          <w:i w:val="0"/>
          <w:iCs w:val="0"/>
          <w:noProof/>
        </w:rPr>
      </w:pPr>
      <w:hyperlink w:anchor="_Toc80175306" w:history="1">
        <w:r w:rsidR="008F5C1F" w:rsidRPr="002A739E">
          <w:rPr>
            <w:rStyle w:val="Hyperlink"/>
            <w:i w:val="0"/>
            <w:iCs w:val="0"/>
            <w:noProof/>
          </w:rPr>
          <w:t>9.14.6</w:t>
        </w:r>
        <w:r w:rsidR="008F5C1F" w:rsidRPr="002A739E">
          <w:rPr>
            <w:rFonts w:eastAsiaTheme="minorEastAsia"/>
            <w:i w:val="0"/>
            <w:iCs w:val="0"/>
            <w:noProof/>
          </w:rPr>
          <w:tab/>
        </w:r>
        <w:r w:rsidR="008F5C1F" w:rsidRPr="002A739E">
          <w:rPr>
            <w:rStyle w:val="Hyperlink"/>
            <w:i w:val="0"/>
            <w:iCs w:val="0"/>
            <w:noProof/>
          </w:rPr>
          <w:t>Disputes for Operations Decisions</w:t>
        </w:r>
        <w:r w:rsidR="008F5C1F" w:rsidRPr="002A739E">
          <w:rPr>
            <w:i w:val="0"/>
            <w:iCs w:val="0"/>
            <w:noProof/>
            <w:webHidden/>
          </w:rPr>
          <w:tab/>
        </w:r>
        <w:r w:rsidR="008F5C1F" w:rsidRPr="002A739E">
          <w:rPr>
            <w:i w:val="0"/>
            <w:iCs w:val="0"/>
            <w:noProof/>
            <w:webHidden/>
          </w:rPr>
          <w:fldChar w:fldCharType="begin"/>
        </w:r>
        <w:r w:rsidR="008F5C1F" w:rsidRPr="002A739E">
          <w:rPr>
            <w:i w:val="0"/>
            <w:iCs w:val="0"/>
            <w:noProof/>
            <w:webHidden/>
          </w:rPr>
          <w:instrText xml:space="preserve"> PAGEREF _Toc80175306 \h </w:instrText>
        </w:r>
        <w:r w:rsidR="008F5C1F" w:rsidRPr="002A739E">
          <w:rPr>
            <w:i w:val="0"/>
            <w:iCs w:val="0"/>
            <w:noProof/>
            <w:webHidden/>
          </w:rPr>
        </w:r>
        <w:r w:rsidR="008F5C1F" w:rsidRPr="002A739E">
          <w:rPr>
            <w:i w:val="0"/>
            <w:iCs w:val="0"/>
            <w:noProof/>
            <w:webHidden/>
          </w:rPr>
          <w:fldChar w:fldCharType="separate"/>
        </w:r>
        <w:r>
          <w:rPr>
            <w:i w:val="0"/>
            <w:iCs w:val="0"/>
            <w:noProof/>
            <w:webHidden/>
          </w:rPr>
          <w:t>9-36</w:t>
        </w:r>
        <w:r w:rsidR="008F5C1F" w:rsidRPr="002A739E">
          <w:rPr>
            <w:i w:val="0"/>
            <w:iCs w:val="0"/>
            <w:noProof/>
            <w:webHidden/>
          </w:rPr>
          <w:fldChar w:fldCharType="end"/>
        </w:r>
      </w:hyperlink>
    </w:p>
    <w:p w14:paraId="2635B759" w14:textId="1B42265A" w:rsidR="008F5C1F" w:rsidRPr="002A739E" w:rsidRDefault="00ED3BE3">
      <w:pPr>
        <w:pStyle w:val="TOC3"/>
        <w:rPr>
          <w:rFonts w:eastAsiaTheme="minorEastAsia"/>
          <w:i w:val="0"/>
          <w:iCs w:val="0"/>
          <w:noProof/>
        </w:rPr>
      </w:pPr>
      <w:hyperlink w:anchor="_Toc80175307" w:history="1">
        <w:r w:rsidR="008F5C1F" w:rsidRPr="002A739E">
          <w:rPr>
            <w:rStyle w:val="Hyperlink"/>
            <w:i w:val="0"/>
            <w:iCs w:val="0"/>
            <w:noProof/>
          </w:rPr>
          <w:t>9.14.7</w:t>
        </w:r>
        <w:r w:rsidR="008F5C1F" w:rsidRPr="002A739E">
          <w:rPr>
            <w:rFonts w:eastAsiaTheme="minorEastAsia"/>
            <w:i w:val="0"/>
            <w:iCs w:val="0"/>
            <w:noProof/>
          </w:rPr>
          <w:tab/>
        </w:r>
        <w:r w:rsidR="008F5C1F" w:rsidRPr="002A739E">
          <w:rPr>
            <w:rStyle w:val="Hyperlink"/>
            <w:i w:val="0"/>
            <w:iCs w:val="0"/>
            <w:noProof/>
          </w:rPr>
          <w:t>Disputes for RUC Make-Whole Payment for Fuel Costs</w:t>
        </w:r>
        <w:r w:rsidR="008F5C1F" w:rsidRPr="002A739E">
          <w:rPr>
            <w:i w:val="0"/>
            <w:iCs w:val="0"/>
            <w:noProof/>
            <w:webHidden/>
          </w:rPr>
          <w:tab/>
        </w:r>
        <w:r w:rsidR="008F5C1F" w:rsidRPr="002A739E">
          <w:rPr>
            <w:i w:val="0"/>
            <w:iCs w:val="0"/>
            <w:noProof/>
            <w:webHidden/>
          </w:rPr>
          <w:fldChar w:fldCharType="begin"/>
        </w:r>
        <w:r w:rsidR="008F5C1F" w:rsidRPr="002A739E">
          <w:rPr>
            <w:i w:val="0"/>
            <w:iCs w:val="0"/>
            <w:noProof/>
            <w:webHidden/>
          </w:rPr>
          <w:instrText xml:space="preserve"> PAGEREF _Toc80175307 \h </w:instrText>
        </w:r>
        <w:r w:rsidR="008F5C1F" w:rsidRPr="002A739E">
          <w:rPr>
            <w:i w:val="0"/>
            <w:iCs w:val="0"/>
            <w:noProof/>
            <w:webHidden/>
          </w:rPr>
        </w:r>
        <w:r w:rsidR="008F5C1F" w:rsidRPr="002A739E">
          <w:rPr>
            <w:i w:val="0"/>
            <w:iCs w:val="0"/>
            <w:noProof/>
            <w:webHidden/>
          </w:rPr>
          <w:fldChar w:fldCharType="separate"/>
        </w:r>
        <w:r>
          <w:rPr>
            <w:i w:val="0"/>
            <w:iCs w:val="0"/>
            <w:noProof/>
            <w:webHidden/>
          </w:rPr>
          <w:t>9-36</w:t>
        </w:r>
        <w:r w:rsidR="008F5C1F" w:rsidRPr="002A739E">
          <w:rPr>
            <w:i w:val="0"/>
            <w:iCs w:val="0"/>
            <w:noProof/>
            <w:webHidden/>
          </w:rPr>
          <w:fldChar w:fldCharType="end"/>
        </w:r>
      </w:hyperlink>
    </w:p>
    <w:p w14:paraId="75C7A71F" w14:textId="3F7011BE" w:rsidR="008F5C1F" w:rsidRPr="002A739E" w:rsidRDefault="00ED3BE3">
      <w:pPr>
        <w:pStyle w:val="TOC3"/>
        <w:rPr>
          <w:rFonts w:eastAsiaTheme="minorEastAsia"/>
          <w:i w:val="0"/>
          <w:iCs w:val="0"/>
          <w:noProof/>
        </w:rPr>
      </w:pPr>
      <w:hyperlink w:anchor="_Toc80175308" w:history="1">
        <w:r w:rsidR="008F5C1F" w:rsidRPr="002A739E">
          <w:rPr>
            <w:rStyle w:val="Hyperlink"/>
            <w:i w:val="0"/>
            <w:iCs w:val="0"/>
            <w:noProof/>
          </w:rPr>
          <w:t>9.14.8</w:t>
        </w:r>
        <w:r w:rsidR="008F5C1F" w:rsidRPr="002A739E">
          <w:rPr>
            <w:rFonts w:eastAsiaTheme="minorEastAsia"/>
            <w:i w:val="0"/>
            <w:iCs w:val="0"/>
            <w:noProof/>
          </w:rPr>
          <w:tab/>
        </w:r>
        <w:r w:rsidR="008F5C1F" w:rsidRPr="002A739E">
          <w:rPr>
            <w:rStyle w:val="Hyperlink"/>
            <w:i w:val="0"/>
            <w:iCs w:val="0"/>
            <w:noProof/>
          </w:rPr>
          <w:t>Disputes for Settlement Application of Integrated Telemetry for Split Generation Resources</w:t>
        </w:r>
        <w:r w:rsidR="008F5C1F" w:rsidRPr="002A739E">
          <w:rPr>
            <w:i w:val="0"/>
            <w:iCs w:val="0"/>
            <w:noProof/>
            <w:webHidden/>
          </w:rPr>
          <w:tab/>
        </w:r>
        <w:r w:rsidR="008F5C1F" w:rsidRPr="002A739E">
          <w:rPr>
            <w:i w:val="0"/>
            <w:iCs w:val="0"/>
            <w:noProof/>
            <w:webHidden/>
          </w:rPr>
          <w:fldChar w:fldCharType="begin"/>
        </w:r>
        <w:r w:rsidR="008F5C1F" w:rsidRPr="002A739E">
          <w:rPr>
            <w:i w:val="0"/>
            <w:iCs w:val="0"/>
            <w:noProof/>
            <w:webHidden/>
          </w:rPr>
          <w:instrText xml:space="preserve"> PAGEREF _Toc80175308 \h </w:instrText>
        </w:r>
        <w:r w:rsidR="008F5C1F" w:rsidRPr="002A739E">
          <w:rPr>
            <w:i w:val="0"/>
            <w:iCs w:val="0"/>
            <w:noProof/>
            <w:webHidden/>
          </w:rPr>
        </w:r>
        <w:r w:rsidR="008F5C1F" w:rsidRPr="002A739E">
          <w:rPr>
            <w:i w:val="0"/>
            <w:iCs w:val="0"/>
            <w:noProof/>
            <w:webHidden/>
          </w:rPr>
          <w:fldChar w:fldCharType="separate"/>
        </w:r>
        <w:r>
          <w:rPr>
            <w:i w:val="0"/>
            <w:iCs w:val="0"/>
            <w:noProof/>
            <w:webHidden/>
          </w:rPr>
          <w:t>9-39</w:t>
        </w:r>
        <w:r w:rsidR="008F5C1F" w:rsidRPr="002A739E">
          <w:rPr>
            <w:i w:val="0"/>
            <w:iCs w:val="0"/>
            <w:noProof/>
            <w:webHidden/>
          </w:rPr>
          <w:fldChar w:fldCharType="end"/>
        </w:r>
      </w:hyperlink>
    </w:p>
    <w:p w14:paraId="07634FA5" w14:textId="198EB7F4" w:rsidR="008F5C1F" w:rsidRPr="002A739E" w:rsidRDefault="00ED3BE3">
      <w:pPr>
        <w:pStyle w:val="TOC3"/>
        <w:rPr>
          <w:rFonts w:eastAsiaTheme="minorEastAsia"/>
          <w:i w:val="0"/>
          <w:iCs w:val="0"/>
          <w:noProof/>
        </w:rPr>
      </w:pPr>
      <w:hyperlink w:anchor="_Toc80175309" w:history="1">
        <w:r w:rsidR="008F5C1F" w:rsidRPr="002A739E">
          <w:rPr>
            <w:rStyle w:val="Hyperlink"/>
            <w:i w:val="0"/>
            <w:iCs w:val="0"/>
            <w:noProof/>
          </w:rPr>
          <w:t>9.14.9</w:t>
        </w:r>
        <w:r w:rsidR="008F5C1F" w:rsidRPr="002A739E">
          <w:rPr>
            <w:rFonts w:eastAsiaTheme="minorEastAsia"/>
            <w:i w:val="0"/>
            <w:iCs w:val="0"/>
            <w:noProof/>
          </w:rPr>
          <w:tab/>
        </w:r>
        <w:r w:rsidR="008F5C1F" w:rsidRPr="002A739E">
          <w:rPr>
            <w:rStyle w:val="Hyperlink"/>
            <w:i w:val="0"/>
            <w:iCs w:val="0"/>
            <w:noProof/>
          </w:rPr>
          <w:t>Incremental Fuel Costs for Switchable Generation Make-Whole Payment Disputes</w:t>
        </w:r>
        <w:r w:rsidR="008F5C1F" w:rsidRPr="002A739E">
          <w:rPr>
            <w:i w:val="0"/>
            <w:iCs w:val="0"/>
            <w:noProof/>
            <w:webHidden/>
          </w:rPr>
          <w:tab/>
        </w:r>
        <w:r w:rsidR="008F5C1F" w:rsidRPr="002A739E">
          <w:rPr>
            <w:i w:val="0"/>
            <w:iCs w:val="0"/>
            <w:noProof/>
            <w:webHidden/>
          </w:rPr>
          <w:fldChar w:fldCharType="begin"/>
        </w:r>
        <w:r w:rsidR="008F5C1F" w:rsidRPr="002A739E">
          <w:rPr>
            <w:i w:val="0"/>
            <w:iCs w:val="0"/>
            <w:noProof/>
            <w:webHidden/>
          </w:rPr>
          <w:instrText xml:space="preserve"> PAGEREF _Toc80175309 \h </w:instrText>
        </w:r>
        <w:r w:rsidR="008F5C1F" w:rsidRPr="002A739E">
          <w:rPr>
            <w:i w:val="0"/>
            <w:iCs w:val="0"/>
            <w:noProof/>
            <w:webHidden/>
          </w:rPr>
        </w:r>
        <w:r w:rsidR="008F5C1F" w:rsidRPr="002A739E">
          <w:rPr>
            <w:i w:val="0"/>
            <w:iCs w:val="0"/>
            <w:noProof/>
            <w:webHidden/>
          </w:rPr>
          <w:fldChar w:fldCharType="separate"/>
        </w:r>
        <w:r>
          <w:rPr>
            <w:i w:val="0"/>
            <w:iCs w:val="0"/>
            <w:noProof/>
            <w:webHidden/>
          </w:rPr>
          <w:t>9-39</w:t>
        </w:r>
        <w:r w:rsidR="008F5C1F" w:rsidRPr="002A739E">
          <w:rPr>
            <w:i w:val="0"/>
            <w:iCs w:val="0"/>
            <w:noProof/>
            <w:webHidden/>
          </w:rPr>
          <w:fldChar w:fldCharType="end"/>
        </w:r>
      </w:hyperlink>
    </w:p>
    <w:p w14:paraId="07F31854" w14:textId="061406C4" w:rsidR="008F5C1F" w:rsidRPr="002A739E" w:rsidRDefault="00ED3BE3">
      <w:pPr>
        <w:pStyle w:val="TOC3"/>
        <w:rPr>
          <w:rFonts w:eastAsiaTheme="minorEastAsia"/>
          <w:i w:val="0"/>
          <w:iCs w:val="0"/>
          <w:noProof/>
        </w:rPr>
      </w:pPr>
      <w:hyperlink w:anchor="_Toc80175310" w:history="1">
        <w:r w:rsidR="008F5C1F" w:rsidRPr="002A739E">
          <w:rPr>
            <w:rStyle w:val="Hyperlink"/>
            <w:i w:val="0"/>
            <w:iCs w:val="0"/>
            <w:noProof/>
          </w:rPr>
          <w:t>9.14.10</w:t>
        </w:r>
        <w:r w:rsidR="008F5C1F" w:rsidRPr="002A739E">
          <w:rPr>
            <w:rFonts w:eastAsiaTheme="minorEastAsia"/>
            <w:i w:val="0"/>
            <w:iCs w:val="0"/>
            <w:noProof/>
          </w:rPr>
          <w:tab/>
        </w:r>
        <w:r w:rsidR="008F5C1F" w:rsidRPr="002A739E">
          <w:rPr>
            <w:rStyle w:val="Hyperlink"/>
            <w:i w:val="0"/>
            <w:iCs w:val="0"/>
            <w:noProof/>
          </w:rPr>
          <w:t>Settlement for Market Participants Impacted by Omitted Procedures or Manual Actions to Resolve the DAM</w:t>
        </w:r>
        <w:r w:rsidR="008F5C1F" w:rsidRPr="002A739E">
          <w:rPr>
            <w:i w:val="0"/>
            <w:iCs w:val="0"/>
            <w:noProof/>
            <w:webHidden/>
          </w:rPr>
          <w:tab/>
        </w:r>
        <w:r w:rsidR="008F5C1F" w:rsidRPr="002A739E">
          <w:rPr>
            <w:i w:val="0"/>
            <w:iCs w:val="0"/>
            <w:noProof/>
            <w:webHidden/>
          </w:rPr>
          <w:fldChar w:fldCharType="begin"/>
        </w:r>
        <w:r w:rsidR="008F5C1F" w:rsidRPr="002A739E">
          <w:rPr>
            <w:i w:val="0"/>
            <w:iCs w:val="0"/>
            <w:noProof/>
            <w:webHidden/>
          </w:rPr>
          <w:instrText xml:space="preserve"> PAGEREF _Toc80175310 \h </w:instrText>
        </w:r>
        <w:r w:rsidR="008F5C1F" w:rsidRPr="002A739E">
          <w:rPr>
            <w:i w:val="0"/>
            <w:iCs w:val="0"/>
            <w:noProof/>
            <w:webHidden/>
          </w:rPr>
        </w:r>
        <w:r w:rsidR="008F5C1F" w:rsidRPr="002A739E">
          <w:rPr>
            <w:i w:val="0"/>
            <w:iCs w:val="0"/>
            <w:noProof/>
            <w:webHidden/>
          </w:rPr>
          <w:fldChar w:fldCharType="separate"/>
        </w:r>
        <w:r>
          <w:rPr>
            <w:i w:val="0"/>
            <w:iCs w:val="0"/>
            <w:noProof/>
            <w:webHidden/>
          </w:rPr>
          <w:t>9-40</w:t>
        </w:r>
        <w:r w:rsidR="008F5C1F" w:rsidRPr="002A739E">
          <w:rPr>
            <w:i w:val="0"/>
            <w:iCs w:val="0"/>
            <w:noProof/>
            <w:webHidden/>
          </w:rPr>
          <w:fldChar w:fldCharType="end"/>
        </w:r>
      </w:hyperlink>
    </w:p>
    <w:p w14:paraId="13F90883" w14:textId="02336619" w:rsidR="008F5C1F" w:rsidRPr="002A739E" w:rsidRDefault="00ED3BE3">
      <w:pPr>
        <w:pStyle w:val="TOC2"/>
        <w:rPr>
          <w:rFonts w:eastAsiaTheme="minorEastAsia"/>
          <w:noProof/>
        </w:rPr>
      </w:pPr>
      <w:hyperlink w:anchor="_Toc80175311" w:history="1">
        <w:r w:rsidR="008F5C1F" w:rsidRPr="002A739E">
          <w:rPr>
            <w:rStyle w:val="Hyperlink"/>
            <w:noProof/>
          </w:rPr>
          <w:t>9.15</w:t>
        </w:r>
        <w:r w:rsidR="008F5C1F" w:rsidRPr="002A739E">
          <w:rPr>
            <w:rFonts w:eastAsiaTheme="minorEastAsia"/>
            <w:noProof/>
          </w:rPr>
          <w:tab/>
        </w:r>
        <w:r w:rsidR="008F5C1F" w:rsidRPr="002A739E">
          <w:rPr>
            <w:rStyle w:val="Hyperlink"/>
            <w:noProof/>
          </w:rPr>
          <w:t>Settlement Charges</w:t>
        </w:r>
        <w:r w:rsidR="008F5C1F" w:rsidRPr="002A739E">
          <w:rPr>
            <w:noProof/>
            <w:webHidden/>
          </w:rPr>
          <w:tab/>
        </w:r>
        <w:r w:rsidR="008F5C1F" w:rsidRPr="002A739E">
          <w:rPr>
            <w:noProof/>
            <w:webHidden/>
          </w:rPr>
          <w:fldChar w:fldCharType="begin"/>
        </w:r>
        <w:r w:rsidR="008F5C1F" w:rsidRPr="002A739E">
          <w:rPr>
            <w:noProof/>
            <w:webHidden/>
          </w:rPr>
          <w:instrText xml:space="preserve"> PAGEREF _Toc80175311 \h </w:instrText>
        </w:r>
        <w:r w:rsidR="008F5C1F" w:rsidRPr="002A739E">
          <w:rPr>
            <w:noProof/>
            <w:webHidden/>
          </w:rPr>
        </w:r>
        <w:r w:rsidR="008F5C1F" w:rsidRPr="002A739E">
          <w:rPr>
            <w:noProof/>
            <w:webHidden/>
          </w:rPr>
          <w:fldChar w:fldCharType="separate"/>
        </w:r>
        <w:r>
          <w:rPr>
            <w:noProof/>
            <w:webHidden/>
          </w:rPr>
          <w:t>9-44</w:t>
        </w:r>
        <w:r w:rsidR="008F5C1F" w:rsidRPr="002A739E">
          <w:rPr>
            <w:noProof/>
            <w:webHidden/>
          </w:rPr>
          <w:fldChar w:fldCharType="end"/>
        </w:r>
      </w:hyperlink>
    </w:p>
    <w:p w14:paraId="53C853B1" w14:textId="5965EE4F" w:rsidR="008F5C1F" w:rsidRPr="002A739E" w:rsidRDefault="00ED3BE3">
      <w:pPr>
        <w:pStyle w:val="TOC3"/>
        <w:rPr>
          <w:rFonts w:eastAsiaTheme="minorEastAsia"/>
          <w:i w:val="0"/>
          <w:iCs w:val="0"/>
          <w:noProof/>
        </w:rPr>
      </w:pPr>
      <w:hyperlink w:anchor="_Toc80175312" w:history="1">
        <w:r w:rsidR="008F5C1F" w:rsidRPr="002A739E">
          <w:rPr>
            <w:rStyle w:val="Hyperlink"/>
            <w:i w:val="0"/>
            <w:iCs w:val="0"/>
            <w:noProof/>
          </w:rPr>
          <w:t>9.15.1</w:t>
        </w:r>
        <w:r w:rsidR="008F5C1F" w:rsidRPr="002A739E">
          <w:rPr>
            <w:rFonts w:eastAsiaTheme="minorEastAsia"/>
            <w:i w:val="0"/>
            <w:iCs w:val="0"/>
            <w:noProof/>
          </w:rPr>
          <w:tab/>
        </w:r>
        <w:r w:rsidR="008F5C1F" w:rsidRPr="002A739E">
          <w:rPr>
            <w:rStyle w:val="Hyperlink"/>
            <w:i w:val="0"/>
            <w:iCs w:val="0"/>
            <w:noProof/>
          </w:rPr>
          <w:t>Charge Type Matrix</w:t>
        </w:r>
        <w:r w:rsidR="008F5C1F" w:rsidRPr="002A739E">
          <w:rPr>
            <w:i w:val="0"/>
            <w:iCs w:val="0"/>
            <w:noProof/>
            <w:webHidden/>
          </w:rPr>
          <w:tab/>
        </w:r>
        <w:r w:rsidR="008F5C1F" w:rsidRPr="002A739E">
          <w:rPr>
            <w:i w:val="0"/>
            <w:iCs w:val="0"/>
            <w:noProof/>
            <w:webHidden/>
          </w:rPr>
          <w:fldChar w:fldCharType="begin"/>
        </w:r>
        <w:r w:rsidR="008F5C1F" w:rsidRPr="002A739E">
          <w:rPr>
            <w:i w:val="0"/>
            <w:iCs w:val="0"/>
            <w:noProof/>
            <w:webHidden/>
          </w:rPr>
          <w:instrText xml:space="preserve"> PAGEREF _Toc80175312 \h </w:instrText>
        </w:r>
        <w:r w:rsidR="008F5C1F" w:rsidRPr="002A739E">
          <w:rPr>
            <w:i w:val="0"/>
            <w:iCs w:val="0"/>
            <w:noProof/>
            <w:webHidden/>
          </w:rPr>
        </w:r>
        <w:r w:rsidR="008F5C1F" w:rsidRPr="002A739E">
          <w:rPr>
            <w:i w:val="0"/>
            <w:iCs w:val="0"/>
            <w:noProof/>
            <w:webHidden/>
          </w:rPr>
          <w:fldChar w:fldCharType="separate"/>
        </w:r>
        <w:r>
          <w:rPr>
            <w:i w:val="0"/>
            <w:iCs w:val="0"/>
            <w:noProof/>
            <w:webHidden/>
          </w:rPr>
          <w:t>9-44</w:t>
        </w:r>
        <w:r w:rsidR="008F5C1F" w:rsidRPr="002A739E">
          <w:rPr>
            <w:i w:val="0"/>
            <w:iCs w:val="0"/>
            <w:noProof/>
            <w:webHidden/>
          </w:rPr>
          <w:fldChar w:fldCharType="end"/>
        </w:r>
      </w:hyperlink>
    </w:p>
    <w:p w14:paraId="473F9FCB" w14:textId="60C0CB8A" w:rsidR="008F5C1F" w:rsidRPr="002A739E" w:rsidRDefault="00ED3BE3">
      <w:pPr>
        <w:pStyle w:val="TOC2"/>
        <w:rPr>
          <w:rFonts w:eastAsiaTheme="minorEastAsia"/>
          <w:noProof/>
        </w:rPr>
      </w:pPr>
      <w:hyperlink w:anchor="_Toc80175313" w:history="1">
        <w:r w:rsidR="008F5C1F" w:rsidRPr="002A739E">
          <w:rPr>
            <w:rStyle w:val="Hyperlink"/>
            <w:noProof/>
          </w:rPr>
          <w:t>9.16</w:t>
        </w:r>
        <w:r w:rsidR="008F5C1F" w:rsidRPr="002A739E">
          <w:rPr>
            <w:rFonts w:eastAsiaTheme="minorEastAsia"/>
            <w:noProof/>
          </w:rPr>
          <w:tab/>
        </w:r>
        <w:r w:rsidR="008F5C1F" w:rsidRPr="002A739E">
          <w:rPr>
            <w:rStyle w:val="Hyperlink"/>
            <w:noProof/>
          </w:rPr>
          <w:t>ERCOT System Administration and User Fees</w:t>
        </w:r>
        <w:r w:rsidR="008F5C1F" w:rsidRPr="002A739E">
          <w:rPr>
            <w:noProof/>
            <w:webHidden/>
          </w:rPr>
          <w:tab/>
        </w:r>
        <w:r w:rsidR="008F5C1F" w:rsidRPr="002A739E">
          <w:rPr>
            <w:noProof/>
            <w:webHidden/>
          </w:rPr>
          <w:fldChar w:fldCharType="begin"/>
        </w:r>
        <w:r w:rsidR="008F5C1F" w:rsidRPr="002A739E">
          <w:rPr>
            <w:noProof/>
            <w:webHidden/>
          </w:rPr>
          <w:instrText xml:space="preserve"> PAGEREF _Toc80175313 \h </w:instrText>
        </w:r>
        <w:r w:rsidR="008F5C1F" w:rsidRPr="002A739E">
          <w:rPr>
            <w:noProof/>
            <w:webHidden/>
          </w:rPr>
        </w:r>
        <w:r w:rsidR="008F5C1F" w:rsidRPr="002A739E">
          <w:rPr>
            <w:noProof/>
            <w:webHidden/>
          </w:rPr>
          <w:fldChar w:fldCharType="separate"/>
        </w:r>
        <w:r>
          <w:rPr>
            <w:noProof/>
            <w:webHidden/>
          </w:rPr>
          <w:t>9-44</w:t>
        </w:r>
        <w:r w:rsidR="008F5C1F" w:rsidRPr="002A739E">
          <w:rPr>
            <w:noProof/>
            <w:webHidden/>
          </w:rPr>
          <w:fldChar w:fldCharType="end"/>
        </w:r>
      </w:hyperlink>
    </w:p>
    <w:p w14:paraId="6EE1F733" w14:textId="59A04FCF" w:rsidR="008F5C1F" w:rsidRPr="002A739E" w:rsidRDefault="00ED3BE3">
      <w:pPr>
        <w:pStyle w:val="TOC3"/>
        <w:rPr>
          <w:rFonts w:eastAsiaTheme="minorEastAsia"/>
          <w:i w:val="0"/>
          <w:iCs w:val="0"/>
          <w:noProof/>
        </w:rPr>
      </w:pPr>
      <w:hyperlink w:anchor="_Toc80175314" w:history="1">
        <w:r w:rsidR="008F5C1F" w:rsidRPr="002A739E">
          <w:rPr>
            <w:rStyle w:val="Hyperlink"/>
            <w:i w:val="0"/>
            <w:iCs w:val="0"/>
            <w:noProof/>
          </w:rPr>
          <w:t>9.16.1</w:t>
        </w:r>
        <w:r w:rsidR="008F5C1F" w:rsidRPr="002A739E">
          <w:rPr>
            <w:rFonts w:eastAsiaTheme="minorEastAsia"/>
            <w:i w:val="0"/>
            <w:iCs w:val="0"/>
            <w:noProof/>
          </w:rPr>
          <w:tab/>
        </w:r>
        <w:r w:rsidR="008F5C1F" w:rsidRPr="002A739E">
          <w:rPr>
            <w:rStyle w:val="Hyperlink"/>
            <w:i w:val="0"/>
            <w:iCs w:val="0"/>
            <w:noProof/>
          </w:rPr>
          <w:t>ERCOT System Administration Fee</w:t>
        </w:r>
        <w:r w:rsidR="008F5C1F" w:rsidRPr="002A739E">
          <w:rPr>
            <w:i w:val="0"/>
            <w:iCs w:val="0"/>
            <w:noProof/>
            <w:webHidden/>
          </w:rPr>
          <w:tab/>
        </w:r>
        <w:r w:rsidR="008F5C1F" w:rsidRPr="002A739E">
          <w:rPr>
            <w:i w:val="0"/>
            <w:iCs w:val="0"/>
            <w:noProof/>
            <w:webHidden/>
          </w:rPr>
          <w:fldChar w:fldCharType="begin"/>
        </w:r>
        <w:r w:rsidR="008F5C1F" w:rsidRPr="002A739E">
          <w:rPr>
            <w:i w:val="0"/>
            <w:iCs w:val="0"/>
            <w:noProof/>
            <w:webHidden/>
          </w:rPr>
          <w:instrText xml:space="preserve"> PAGEREF _Toc80175314 \h </w:instrText>
        </w:r>
        <w:r w:rsidR="008F5C1F" w:rsidRPr="002A739E">
          <w:rPr>
            <w:i w:val="0"/>
            <w:iCs w:val="0"/>
            <w:noProof/>
            <w:webHidden/>
          </w:rPr>
        </w:r>
        <w:r w:rsidR="008F5C1F" w:rsidRPr="002A739E">
          <w:rPr>
            <w:i w:val="0"/>
            <w:iCs w:val="0"/>
            <w:noProof/>
            <w:webHidden/>
          </w:rPr>
          <w:fldChar w:fldCharType="separate"/>
        </w:r>
        <w:r>
          <w:rPr>
            <w:i w:val="0"/>
            <w:iCs w:val="0"/>
            <w:noProof/>
            <w:webHidden/>
          </w:rPr>
          <w:t>9-44</w:t>
        </w:r>
        <w:r w:rsidR="008F5C1F" w:rsidRPr="002A739E">
          <w:rPr>
            <w:i w:val="0"/>
            <w:iCs w:val="0"/>
            <w:noProof/>
            <w:webHidden/>
          </w:rPr>
          <w:fldChar w:fldCharType="end"/>
        </w:r>
      </w:hyperlink>
    </w:p>
    <w:p w14:paraId="6DD5522A" w14:textId="08582618" w:rsidR="008F5C1F" w:rsidRPr="002A739E" w:rsidRDefault="00ED3BE3">
      <w:pPr>
        <w:pStyle w:val="TOC3"/>
        <w:rPr>
          <w:rFonts w:eastAsiaTheme="minorEastAsia"/>
          <w:i w:val="0"/>
          <w:iCs w:val="0"/>
          <w:noProof/>
        </w:rPr>
      </w:pPr>
      <w:hyperlink w:anchor="_Toc80175315" w:history="1">
        <w:r w:rsidR="008F5C1F" w:rsidRPr="002A739E">
          <w:rPr>
            <w:rStyle w:val="Hyperlink"/>
            <w:i w:val="0"/>
            <w:iCs w:val="0"/>
            <w:noProof/>
          </w:rPr>
          <w:t>9.16.2</w:t>
        </w:r>
        <w:r w:rsidR="008F5C1F" w:rsidRPr="002A739E">
          <w:rPr>
            <w:rFonts w:eastAsiaTheme="minorEastAsia"/>
            <w:i w:val="0"/>
            <w:iCs w:val="0"/>
            <w:noProof/>
          </w:rPr>
          <w:tab/>
        </w:r>
        <w:r w:rsidR="008F5C1F" w:rsidRPr="002A739E">
          <w:rPr>
            <w:rStyle w:val="Hyperlink"/>
            <w:i w:val="0"/>
            <w:iCs w:val="0"/>
            <w:noProof/>
          </w:rPr>
          <w:t>User Fees</w:t>
        </w:r>
        <w:r w:rsidR="008F5C1F" w:rsidRPr="002A739E">
          <w:rPr>
            <w:i w:val="0"/>
            <w:iCs w:val="0"/>
            <w:noProof/>
            <w:webHidden/>
          </w:rPr>
          <w:tab/>
        </w:r>
        <w:r w:rsidR="008F5C1F" w:rsidRPr="002A739E">
          <w:rPr>
            <w:i w:val="0"/>
            <w:iCs w:val="0"/>
            <w:noProof/>
            <w:webHidden/>
          </w:rPr>
          <w:fldChar w:fldCharType="begin"/>
        </w:r>
        <w:r w:rsidR="008F5C1F" w:rsidRPr="002A739E">
          <w:rPr>
            <w:i w:val="0"/>
            <w:iCs w:val="0"/>
            <w:noProof/>
            <w:webHidden/>
          </w:rPr>
          <w:instrText xml:space="preserve"> PAGEREF _Toc80175315 \h </w:instrText>
        </w:r>
        <w:r w:rsidR="008F5C1F" w:rsidRPr="002A739E">
          <w:rPr>
            <w:i w:val="0"/>
            <w:iCs w:val="0"/>
            <w:noProof/>
            <w:webHidden/>
          </w:rPr>
        </w:r>
        <w:r w:rsidR="008F5C1F" w:rsidRPr="002A739E">
          <w:rPr>
            <w:i w:val="0"/>
            <w:iCs w:val="0"/>
            <w:noProof/>
            <w:webHidden/>
          </w:rPr>
          <w:fldChar w:fldCharType="separate"/>
        </w:r>
        <w:r>
          <w:rPr>
            <w:i w:val="0"/>
            <w:iCs w:val="0"/>
            <w:noProof/>
            <w:webHidden/>
          </w:rPr>
          <w:t>9-45</w:t>
        </w:r>
        <w:r w:rsidR="008F5C1F" w:rsidRPr="002A739E">
          <w:rPr>
            <w:i w:val="0"/>
            <w:iCs w:val="0"/>
            <w:noProof/>
            <w:webHidden/>
          </w:rPr>
          <w:fldChar w:fldCharType="end"/>
        </w:r>
      </w:hyperlink>
    </w:p>
    <w:p w14:paraId="2BBE122A" w14:textId="5D3337E7" w:rsidR="008F5C1F" w:rsidRPr="002A739E" w:rsidRDefault="00ED3BE3">
      <w:pPr>
        <w:pStyle w:val="TOC2"/>
        <w:rPr>
          <w:rFonts w:eastAsiaTheme="minorEastAsia"/>
          <w:noProof/>
        </w:rPr>
      </w:pPr>
      <w:hyperlink w:anchor="_Toc80175316" w:history="1">
        <w:r w:rsidR="008F5C1F" w:rsidRPr="002A739E">
          <w:rPr>
            <w:rStyle w:val="Hyperlink"/>
            <w:noProof/>
          </w:rPr>
          <w:t>9.17</w:t>
        </w:r>
        <w:r w:rsidR="008F5C1F" w:rsidRPr="002A739E">
          <w:rPr>
            <w:rFonts w:eastAsiaTheme="minorEastAsia"/>
            <w:noProof/>
          </w:rPr>
          <w:tab/>
        </w:r>
        <w:r w:rsidR="008F5C1F" w:rsidRPr="002A739E">
          <w:rPr>
            <w:rStyle w:val="Hyperlink"/>
            <w:noProof/>
          </w:rPr>
          <w:t>Transmission Billing Determinant Calculation</w:t>
        </w:r>
        <w:r w:rsidR="008F5C1F" w:rsidRPr="002A739E">
          <w:rPr>
            <w:noProof/>
            <w:webHidden/>
          </w:rPr>
          <w:tab/>
        </w:r>
        <w:r w:rsidR="008F5C1F" w:rsidRPr="002A739E">
          <w:rPr>
            <w:noProof/>
            <w:webHidden/>
          </w:rPr>
          <w:fldChar w:fldCharType="begin"/>
        </w:r>
        <w:r w:rsidR="008F5C1F" w:rsidRPr="002A739E">
          <w:rPr>
            <w:noProof/>
            <w:webHidden/>
          </w:rPr>
          <w:instrText xml:space="preserve"> PAGEREF _Toc80175316 \h </w:instrText>
        </w:r>
        <w:r w:rsidR="008F5C1F" w:rsidRPr="002A739E">
          <w:rPr>
            <w:noProof/>
            <w:webHidden/>
          </w:rPr>
        </w:r>
        <w:r w:rsidR="008F5C1F" w:rsidRPr="002A739E">
          <w:rPr>
            <w:noProof/>
            <w:webHidden/>
          </w:rPr>
          <w:fldChar w:fldCharType="separate"/>
        </w:r>
        <w:r>
          <w:rPr>
            <w:noProof/>
            <w:webHidden/>
          </w:rPr>
          <w:t>9-45</w:t>
        </w:r>
        <w:r w:rsidR="008F5C1F" w:rsidRPr="002A739E">
          <w:rPr>
            <w:noProof/>
            <w:webHidden/>
          </w:rPr>
          <w:fldChar w:fldCharType="end"/>
        </w:r>
      </w:hyperlink>
    </w:p>
    <w:p w14:paraId="35CBA74E" w14:textId="071AD3F9" w:rsidR="008F5C1F" w:rsidRPr="002A739E" w:rsidRDefault="00ED3BE3">
      <w:pPr>
        <w:pStyle w:val="TOC3"/>
        <w:rPr>
          <w:rFonts w:eastAsiaTheme="minorEastAsia"/>
          <w:i w:val="0"/>
          <w:iCs w:val="0"/>
          <w:noProof/>
        </w:rPr>
      </w:pPr>
      <w:hyperlink w:anchor="_Toc80175317" w:history="1">
        <w:r w:rsidR="008F5C1F" w:rsidRPr="002A739E">
          <w:rPr>
            <w:rStyle w:val="Hyperlink"/>
            <w:i w:val="0"/>
            <w:iCs w:val="0"/>
            <w:noProof/>
          </w:rPr>
          <w:t>9.17.1</w:t>
        </w:r>
        <w:r w:rsidR="008F5C1F" w:rsidRPr="002A739E">
          <w:rPr>
            <w:rFonts w:eastAsiaTheme="minorEastAsia"/>
            <w:i w:val="0"/>
            <w:iCs w:val="0"/>
            <w:noProof/>
          </w:rPr>
          <w:tab/>
        </w:r>
        <w:r w:rsidR="008F5C1F" w:rsidRPr="002A739E">
          <w:rPr>
            <w:rStyle w:val="Hyperlink"/>
            <w:i w:val="0"/>
            <w:iCs w:val="0"/>
            <w:noProof/>
          </w:rPr>
          <w:t>Billing Determinant Data Elements</w:t>
        </w:r>
        <w:r w:rsidR="008F5C1F" w:rsidRPr="002A739E">
          <w:rPr>
            <w:i w:val="0"/>
            <w:iCs w:val="0"/>
            <w:noProof/>
            <w:webHidden/>
          </w:rPr>
          <w:tab/>
        </w:r>
        <w:r w:rsidR="008F5C1F" w:rsidRPr="002A739E">
          <w:rPr>
            <w:i w:val="0"/>
            <w:iCs w:val="0"/>
            <w:noProof/>
            <w:webHidden/>
          </w:rPr>
          <w:fldChar w:fldCharType="begin"/>
        </w:r>
        <w:r w:rsidR="008F5C1F" w:rsidRPr="002A739E">
          <w:rPr>
            <w:i w:val="0"/>
            <w:iCs w:val="0"/>
            <w:noProof/>
            <w:webHidden/>
          </w:rPr>
          <w:instrText xml:space="preserve"> PAGEREF _Toc80175317 \h </w:instrText>
        </w:r>
        <w:r w:rsidR="008F5C1F" w:rsidRPr="002A739E">
          <w:rPr>
            <w:i w:val="0"/>
            <w:iCs w:val="0"/>
            <w:noProof/>
            <w:webHidden/>
          </w:rPr>
        </w:r>
        <w:r w:rsidR="008F5C1F" w:rsidRPr="002A739E">
          <w:rPr>
            <w:i w:val="0"/>
            <w:iCs w:val="0"/>
            <w:noProof/>
            <w:webHidden/>
          </w:rPr>
          <w:fldChar w:fldCharType="separate"/>
        </w:r>
        <w:r>
          <w:rPr>
            <w:i w:val="0"/>
            <w:iCs w:val="0"/>
            <w:noProof/>
            <w:webHidden/>
          </w:rPr>
          <w:t>9-45</w:t>
        </w:r>
        <w:r w:rsidR="008F5C1F" w:rsidRPr="002A739E">
          <w:rPr>
            <w:i w:val="0"/>
            <w:iCs w:val="0"/>
            <w:noProof/>
            <w:webHidden/>
          </w:rPr>
          <w:fldChar w:fldCharType="end"/>
        </w:r>
      </w:hyperlink>
    </w:p>
    <w:p w14:paraId="60DE3134" w14:textId="39DBEF94" w:rsidR="008F5C1F" w:rsidRPr="002A739E" w:rsidRDefault="00ED3BE3">
      <w:pPr>
        <w:pStyle w:val="TOC3"/>
        <w:rPr>
          <w:rFonts w:eastAsiaTheme="minorEastAsia"/>
          <w:i w:val="0"/>
          <w:iCs w:val="0"/>
          <w:noProof/>
        </w:rPr>
      </w:pPr>
      <w:hyperlink w:anchor="_Toc80175318" w:history="1">
        <w:r w:rsidR="008F5C1F" w:rsidRPr="002A739E">
          <w:rPr>
            <w:rStyle w:val="Hyperlink"/>
            <w:i w:val="0"/>
            <w:iCs w:val="0"/>
            <w:noProof/>
          </w:rPr>
          <w:t>9.17.2</w:t>
        </w:r>
        <w:r w:rsidR="008F5C1F" w:rsidRPr="002A739E">
          <w:rPr>
            <w:rFonts w:eastAsiaTheme="minorEastAsia"/>
            <w:i w:val="0"/>
            <w:iCs w:val="0"/>
            <w:noProof/>
          </w:rPr>
          <w:tab/>
        </w:r>
        <w:r w:rsidR="008F5C1F" w:rsidRPr="002A739E">
          <w:rPr>
            <w:rStyle w:val="Hyperlink"/>
            <w:i w:val="0"/>
            <w:iCs w:val="0"/>
            <w:noProof/>
          </w:rPr>
          <w:t>Direct Current Tie Schedule Information</w:t>
        </w:r>
        <w:r w:rsidR="008F5C1F" w:rsidRPr="002A739E">
          <w:rPr>
            <w:i w:val="0"/>
            <w:iCs w:val="0"/>
            <w:noProof/>
            <w:webHidden/>
          </w:rPr>
          <w:tab/>
        </w:r>
        <w:r w:rsidR="008F5C1F" w:rsidRPr="002A739E">
          <w:rPr>
            <w:i w:val="0"/>
            <w:iCs w:val="0"/>
            <w:noProof/>
            <w:webHidden/>
          </w:rPr>
          <w:fldChar w:fldCharType="begin"/>
        </w:r>
        <w:r w:rsidR="008F5C1F" w:rsidRPr="002A739E">
          <w:rPr>
            <w:i w:val="0"/>
            <w:iCs w:val="0"/>
            <w:noProof/>
            <w:webHidden/>
          </w:rPr>
          <w:instrText xml:space="preserve"> PAGEREF _Toc80175318 \h </w:instrText>
        </w:r>
        <w:r w:rsidR="008F5C1F" w:rsidRPr="002A739E">
          <w:rPr>
            <w:i w:val="0"/>
            <w:iCs w:val="0"/>
            <w:noProof/>
            <w:webHidden/>
          </w:rPr>
        </w:r>
        <w:r w:rsidR="008F5C1F" w:rsidRPr="002A739E">
          <w:rPr>
            <w:i w:val="0"/>
            <w:iCs w:val="0"/>
            <w:noProof/>
            <w:webHidden/>
          </w:rPr>
          <w:fldChar w:fldCharType="separate"/>
        </w:r>
        <w:r>
          <w:rPr>
            <w:i w:val="0"/>
            <w:iCs w:val="0"/>
            <w:noProof/>
            <w:webHidden/>
          </w:rPr>
          <w:t>9-47</w:t>
        </w:r>
        <w:r w:rsidR="008F5C1F" w:rsidRPr="002A739E">
          <w:rPr>
            <w:i w:val="0"/>
            <w:iCs w:val="0"/>
            <w:noProof/>
            <w:webHidden/>
          </w:rPr>
          <w:fldChar w:fldCharType="end"/>
        </w:r>
      </w:hyperlink>
    </w:p>
    <w:p w14:paraId="471277E0" w14:textId="2AEC3DDD" w:rsidR="008F5C1F" w:rsidRPr="002A739E" w:rsidRDefault="00ED3BE3">
      <w:pPr>
        <w:pStyle w:val="TOC2"/>
        <w:rPr>
          <w:rFonts w:eastAsiaTheme="minorEastAsia"/>
          <w:noProof/>
        </w:rPr>
      </w:pPr>
      <w:hyperlink w:anchor="_Toc80175319" w:history="1">
        <w:r w:rsidR="008F5C1F" w:rsidRPr="002A739E">
          <w:rPr>
            <w:rStyle w:val="Hyperlink"/>
            <w:noProof/>
          </w:rPr>
          <w:t>9.18</w:t>
        </w:r>
        <w:r w:rsidR="008F5C1F" w:rsidRPr="002A739E">
          <w:rPr>
            <w:rFonts w:eastAsiaTheme="minorEastAsia"/>
            <w:noProof/>
          </w:rPr>
          <w:tab/>
        </w:r>
        <w:r w:rsidR="008F5C1F" w:rsidRPr="002A739E">
          <w:rPr>
            <w:rStyle w:val="Hyperlink"/>
            <w:noProof/>
          </w:rPr>
          <w:t>Profile Development Cost Recovery Fee for Non-ERCOT Sponsored Load Profile Segment</w:t>
        </w:r>
        <w:r w:rsidR="008F5C1F" w:rsidRPr="002A739E">
          <w:rPr>
            <w:noProof/>
            <w:webHidden/>
          </w:rPr>
          <w:tab/>
        </w:r>
        <w:r w:rsidR="008F5C1F" w:rsidRPr="002A739E">
          <w:rPr>
            <w:noProof/>
            <w:webHidden/>
          </w:rPr>
          <w:fldChar w:fldCharType="begin"/>
        </w:r>
        <w:r w:rsidR="008F5C1F" w:rsidRPr="002A739E">
          <w:rPr>
            <w:noProof/>
            <w:webHidden/>
          </w:rPr>
          <w:instrText xml:space="preserve"> PAGEREF _Toc80175319 \h </w:instrText>
        </w:r>
        <w:r w:rsidR="008F5C1F" w:rsidRPr="002A739E">
          <w:rPr>
            <w:noProof/>
            <w:webHidden/>
          </w:rPr>
        </w:r>
        <w:r w:rsidR="008F5C1F" w:rsidRPr="002A739E">
          <w:rPr>
            <w:noProof/>
            <w:webHidden/>
          </w:rPr>
          <w:fldChar w:fldCharType="separate"/>
        </w:r>
        <w:r>
          <w:rPr>
            <w:noProof/>
            <w:webHidden/>
          </w:rPr>
          <w:t>9-47</w:t>
        </w:r>
        <w:r w:rsidR="008F5C1F" w:rsidRPr="002A739E">
          <w:rPr>
            <w:noProof/>
            <w:webHidden/>
          </w:rPr>
          <w:fldChar w:fldCharType="end"/>
        </w:r>
      </w:hyperlink>
    </w:p>
    <w:p w14:paraId="2A8D9A01" w14:textId="5B8CC758" w:rsidR="008F5C1F" w:rsidRPr="002A739E" w:rsidRDefault="00ED3BE3">
      <w:pPr>
        <w:pStyle w:val="TOC2"/>
        <w:rPr>
          <w:rFonts w:eastAsiaTheme="minorEastAsia"/>
          <w:noProof/>
        </w:rPr>
      </w:pPr>
      <w:hyperlink w:anchor="_Toc80175320" w:history="1">
        <w:r w:rsidR="008F5C1F" w:rsidRPr="002A739E">
          <w:rPr>
            <w:rStyle w:val="Hyperlink"/>
            <w:noProof/>
          </w:rPr>
          <w:t>9.19</w:t>
        </w:r>
        <w:r w:rsidR="008F5C1F" w:rsidRPr="002A739E">
          <w:rPr>
            <w:rFonts w:eastAsiaTheme="minorEastAsia"/>
            <w:noProof/>
          </w:rPr>
          <w:tab/>
        </w:r>
        <w:r w:rsidR="008F5C1F" w:rsidRPr="002A739E">
          <w:rPr>
            <w:rStyle w:val="Hyperlink"/>
            <w:noProof/>
          </w:rPr>
          <w:t>Partial Payments by Invoice Recipients</w:t>
        </w:r>
        <w:r w:rsidR="008F5C1F" w:rsidRPr="002A739E">
          <w:rPr>
            <w:noProof/>
            <w:webHidden/>
          </w:rPr>
          <w:tab/>
        </w:r>
        <w:r w:rsidR="008F5C1F" w:rsidRPr="002A739E">
          <w:rPr>
            <w:noProof/>
            <w:webHidden/>
          </w:rPr>
          <w:fldChar w:fldCharType="begin"/>
        </w:r>
        <w:r w:rsidR="008F5C1F" w:rsidRPr="002A739E">
          <w:rPr>
            <w:noProof/>
            <w:webHidden/>
          </w:rPr>
          <w:instrText xml:space="preserve"> PAGEREF _Toc80175320 \h </w:instrText>
        </w:r>
        <w:r w:rsidR="008F5C1F" w:rsidRPr="002A739E">
          <w:rPr>
            <w:noProof/>
            <w:webHidden/>
          </w:rPr>
        </w:r>
        <w:r w:rsidR="008F5C1F" w:rsidRPr="002A739E">
          <w:rPr>
            <w:noProof/>
            <w:webHidden/>
          </w:rPr>
          <w:fldChar w:fldCharType="separate"/>
        </w:r>
        <w:r>
          <w:rPr>
            <w:noProof/>
            <w:webHidden/>
          </w:rPr>
          <w:t>9-49</w:t>
        </w:r>
        <w:r w:rsidR="008F5C1F" w:rsidRPr="002A739E">
          <w:rPr>
            <w:noProof/>
            <w:webHidden/>
          </w:rPr>
          <w:fldChar w:fldCharType="end"/>
        </w:r>
      </w:hyperlink>
    </w:p>
    <w:p w14:paraId="1559D2BC" w14:textId="7A1C263D" w:rsidR="008F5C1F" w:rsidRPr="002A739E" w:rsidRDefault="00ED3BE3">
      <w:pPr>
        <w:pStyle w:val="TOC3"/>
        <w:rPr>
          <w:rFonts w:eastAsiaTheme="minorEastAsia"/>
          <w:i w:val="0"/>
          <w:iCs w:val="0"/>
          <w:noProof/>
        </w:rPr>
      </w:pPr>
      <w:hyperlink w:anchor="_Toc80175321" w:history="1">
        <w:r w:rsidR="008F5C1F" w:rsidRPr="002A739E">
          <w:rPr>
            <w:rStyle w:val="Hyperlink"/>
            <w:i w:val="0"/>
            <w:iCs w:val="0"/>
            <w:noProof/>
          </w:rPr>
          <w:t>9.19.1</w:t>
        </w:r>
        <w:r w:rsidR="008F5C1F" w:rsidRPr="002A739E">
          <w:rPr>
            <w:rFonts w:eastAsiaTheme="minorEastAsia"/>
            <w:i w:val="0"/>
            <w:iCs w:val="0"/>
            <w:noProof/>
          </w:rPr>
          <w:tab/>
        </w:r>
        <w:r w:rsidR="008F5C1F" w:rsidRPr="002A739E">
          <w:rPr>
            <w:rStyle w:val="Hyperlink"/>
            <w:i w:val="0"/>
            <w:iCs w:val="0"/>
            <w:noProof/>
          </w:rPr>
          <w:t>Default Uplift Invoices</w:t>
        </w:r>
        <w:r w:rsidR="008F5C1F" w:rsidRPr="002A739E">
          <w:rPr>
            <w:i w:val="0"/>
            <w:iCs w:val="0"/>
            <w:noProof/>
            <w:webHidden/>
          </w:rPr>
          <w:tab/>
        </w:r>
        <w:r w:rsidR="008F5C1F" w:rsidRPr="002A739E">
          <w:rPr>
            <w:i w:val="0"/>
            <w:iCs w:val="0"/>
            <w:noProof/>
            <w:webHidden/>
          </w:rPr>
          <w:fldChar w:fldCharType="begin"/>
        </w:r>
        <w:r w:rsidR="008F5C1F" w:rsidRPr="002A739E">
          <w:rPr>
            <w:i w:val="0"/>
            <w:iCs w:val="0"/>
            <w:noProof/>
            <w:webHidden/>
          </w:rPr>
          <w:instrText xml:space="preserve"> PAGEREF _Toc80175321 \h </w:instrText>
        </w:r>
        <w:r w:rsidR="008F5C1F" w:rsidRPr="002A739E">
          <w:rPr>
            <w:i w:val="0"/>
            <w:iCs w:val="0"/>
            <w:noProof/>
            <w:webHidden/>
          </w:rPr>
        </w:r>
        <w:r w:rsidR="008F5C1F" w:rsidRPr="002A739E">
          <w:rPr>
            <w:i w:val="0"/>
            <w:iCs w:val="0"/>
            <w:noProof/>
            <w:webHidden/>
          </w:rPr>
          <w:fldChar w:fldCharType="separate"/>
        </w:r>
        <w:r>
          <w:rPr>
            <w:i w:val="0"/>
            <w:iCs w:val="0"/>
            <w:noProof/>
            <w:webHidden/>
          </w:rPr>
          <w:t>9-51</w:t>
        </w:r>
        <w:r w:rsidR="008F5C1F" w:rsidRPr="002A739E">
          <w:rPr>
            <w:i w:val="0"/>
            <w:iCs w:val="0"/>
            <w:noProof/>
            <w:webHidden/>
          </w:rPr>
          <w:fldChar w:fldCharType="end"/>
        </w:r>
      </w:hyperlink>
    </w:p>
    <w:p w14:paraId="31F63CE1" w14:textId="634FF441" w:rsidR="008F5C1F" w:rsidRPr="002A739E" w:rsidRDefault="00ED3BE3">
      <w:pPr>
        <w:pStyle w:val="TOC3"/>
        <w:rPr>
          <w:rFonts w:eastAsiaTheme="minorEastAsia"/>
          <w:i w:val="0"/>
          <w:iCs w:val="0"/>
          <w:noProof/>
        </w:rPr>
      </w:pPr>
      <w:hyperlink w:anchor="_Toc80175322" w:history="1">
        <w:r w:rsidR="008F5C1F" w:rsidRPr="002A739E">
          <w:rPr>
            <w:rStyle w:val="Hyperlink"/>
            <w:i w:val="0"/>
            <w:iCs w:val="0"/>
            <w:noProof/>
          </w:rPr>
          <w:t>9.19.2</w:t>
        </w:r>
        <w:r w:rsidR="008F5C1F" w:rsidRPr="002A739E">
          <w:rPr>
            <w:rFonts w:eastAsiaTheme="minorEastAsia"/>
            <w:i w:val="0"/>
            <w:iCs w:val="0"/>
            <w:noProof/>
          </w:rPr>
          <w:tab/>
        </w:r>
        <w:r w:rsidR="008F5C1F" w:rsidRPr="002A739E">
          <w:rPr>
            <w:rStyle w:val="Hyperlink"/>
            <w:i w:val="0"/>
            <w:iCs w:val="0"/>
            <w:noProof/>
          </w:rPr>
          <w:t>Payment Process for Default Uplift Invoices</w:t>
        </w:r>
        <w:r w:rsidR="008F5C1F" w:rsidRPr="002A739E">
          <w:rPr>
            <w:i w:val="0"/>
            <w:iCs w:val="0"/>
            <w:noProof/>
            <w:webHidden/>
          </w:rPr>
          <w:tab/>
        </w:r>
        <w:r w:rsidR="008F5C1F" w:rsidRPr="002A739E">
          <w:rPr>
            <w:i w:val="0"/>
            <w:iCs w:val="0"/>
            <w:noProof/>
            <w:webHidden/>
          </w:rPr>
          <w:fldChar w:fldCharType="begin"/>
        </w:r>
        <w:r w:rsidR="008F5C1F" w:rsidRPr="002A739E">
          <w:rPr>
            <w:i w:val="0"/>
            <w:iCs w:val="0"/>
            <w:noProof/>
            <w:webHidden/>
          </w:rPr>
          <w:instrText xml:space="preserve"> PAGEREF _Toc80175322 \h </w:instrText>
        </w:r>
        <w:r w:rsidR="008F5C1F" w:rsidRPr="002A739E">
          <w:rPr>
            <w:i w:val="0"/>
            <w:iCs w:val="0"/>
            <w:noProof/>
            <w:webHidden/>
          </w:rPr>
        </w:r>
        <w:r w:rsidR="008F5C1F" w:rsidRPr="002A739E">
          <w:rPr>
            <w:i w:val="0"/>
            <w:iCs w:val="0"/>
            <w:noProof/>
            <w:webHidden/>
          </w:rPr>
          <w:fldChar w:fldCharType="separate"/>
        </w:r>
        <w:r>
          <w:rPr>
            <w:i w:val="0"/>
            <w:iCs w:val="0"/>
            <w:noProof/>
            <w:webHidden/>
          </w:rPr>
          <w:t>9-60</w:t>
        </w:r>
        <w:r w:rsidR="008F5C1F" w:rsidRPr="002A739E">
          <w:rPr>
            <w:i w:val="0"/>
            <w:iCs w:val="0"/>
            <w:noProof/>
            <w:webHidden/>
          </w:rPr>
          <w:fldChar w:fldCharType="end"/>
        </w:r>
      </w:hyperlink>
    </w:p>
    <w:p w14:paraId="4E8A619F" w14:textId="0DA0FC0A" w:rsidR="008F5C1F" w:rsidRPr="002A739E" w:rsidRDefault="00ED3BE3" w:rsidP="00B214A7">
      <w:pPr>
        <w:pStyle w:val="TOC4"/>
        <w:rPr>
          <w:rFonts w:eastAsiaTheme="minorEastAsia"/>
          <w:noProof/>
          <w:sz w:val="20"/>
          <w:szCs w:val="20"/>
        </w:rPr>
      </w:pPr>
      <w:hyperlink w:anchor="_Toc80175323" w:history="1">
        <w:r w:rsidR="008F5C1F" w:rsidRPr="002A739E">
          <w:rPr>
            <w:rStyle w:val="Hyperlink"/>
            <w:noProof/>
            <w:sz w:val="20"/>
            <w:szCs w:val="20"/>
          </w:rPr>
          <w:t>9.19.2.1</w:t>
        </w:r>
        <w:r w:rsidR="008F5C1F" w:rsidRPr="002A739E">
          <w:rPr>
            <w:rFonts w:eastAsiaTheme="minorEastAsia"/>
            <w:noProof/>
            <w:sz w:val="20"/>
            <w:szCs w:val="20"/>
          </w:rPr>
          <w:tab/>
        </w:r>
        <w:r w:rsidR="008F5C1F" w:rsidRPr="002A739E">
          <w:rPr>
            <w:rStyle w:val="Hyperlink"/>
            <w:noProof/>
            <w:sz w:val="20"/>
            <w:szCs w:val="20"/>
          </w:rPr>
          <w:t>Invoice Recipient Payment to ERCOT for Default Uplift</w:t>
        </w:r>
        <w:r w:rsidR="008F5C1F" w:rsidRPr="002A739E">
          <w:rPr>
            <w:noProof/>
            <w:webHidden/>
            <w:sz w:val="20"/>
            <w:szCs w:val="20"/>
          </w:rPr>
          <w:tab/>
        </w:r>
        <w:r w:rsidR="008F5C1F" w:rsidRPr="002A739E">
          <w:rPr>
            <w:noProof/>
            <w:webHidden/>
            <w:sz w:val="20"/>
            <w:szCs w:val="20"/>
          </w:rPr>
          <w:fldChar w:fldCharType="begin"/>
        </w:r>
        <w:r w:rsidR="008F5C1F" w:rsidRPr="002A739E">
          <w:rPr>
            <w:noProof/>
            <w:webHidden/>
            <w:sz w:val="20"/>
            <w:szCs w:val="20"/>
          </w:rPr>
          <w:instrText xml:space="preserve"> PAGEREF _Toc80175323 \h </w:instrText>
        </w:r>
        <w:r w:rsidR="008F5C1F" w:rsidRPr="002A739E">
          <w:rPr>
            <w:noProof/>
            <w:webHidden/>
            <w:sz w:val="20"/>
            <w:szCs w:val="20"/>
          </w:rPr>
        </w:r>
        <w:r w:rsidR="008F5C1F" w:rsidRPr="002A739E">
          <w:rPr>
            <w:noProof/>
            <w:webHidden/>
            <w:sz w:val="20"/>
            <w:szCs w:val="20"/>
          </w:rPr>
          <w:fldChar w:fldCharType="separate"/>
        </w:r>
        <w:r>
          <w:rPr>
            <w:noProof/>
            <w:webHidden/>
            <w:sz w:val="20"/>
            <w:szCs w:val="20"/>
          </w:rPr>
          <w:t>9-60</w:t>
        </w:r>
        <w:r w:rsidR="008F5C1F" w:rsidRPr="002A739E">
          <w:rPr>
            <w:noProof/>
            <w:webHidden/>
            <w:sz w:val="20"/>
            <w:szCs w:val="20"/>
          </w:rPr>
          <w:fldChar w:fldCharType="end"/>
        </w:r>
      </w:hyperlink>
    </w:p>
    <w:p w14:paraId="2DD00175" w14:textId="0330D1CE" w:rsidR="008F5C1F" w:rsidRPr="002A739E" w:rsidRDefault="00ED3BE3" w:rsidP="00B214A7">
      <w:pPr>
        <w:pStyle w:val="TOC4"/>
        <w:rPr>
          <w:rFonts w:eastAsiaTheme="minorEastAsia"/>
          <w:noProof/>
          <w:sz w:val="20"/>
          <w:szCs w:val="20"/>
        </w:rPr>
      </w:pPr>
      <w:hyperlink w:anchor="_Toc80175324" w:history="1">
        <w:r w:rsidR="008F5C1F" w:rsidRPr="002A739E">
          <w:rPr>
            <w:rStyle w:val="Hyperlink"/>
            <w:noProof/>
            <w:sz w:val="20"/>
            <w:szCs w:val="20"/>
          </w:rPr>
          <w:t>9.19.2.2</w:t>
        </w:r>
        <w:r w:rsidR="008F5C1F" w:rsidRPr="002A739E">
          <w:rPr>
            <w:rFonts w:eastAsiaTheme="minorEastAsia"/>
            <w:noProof/>
            <w:sz w:val="20"/>
            <w:szCs w:val="20"/>
          </w:rPr>
          <w:tab/>
        </w:r>
        <w:r w:rsidR="008F5C1F" w:rsidRPr="002A739E">
          <w:rPr>
            <w:rStyle w:val="Hyperlink"/>
            <w:noProof/>
            <w:sz w:val="20"/>
            <w:szCs w:val="20"/>
          </w:rPr>
          <w:t>ERCOT Payment to Invoice Recipients for Default Uplift</w:t>
        </w:r>
        <w:r w:rsidR="008F5C1F" w:rsidRPr="002A739E">
          <w:rPr>
            <w:noProof/>
            <w:webHidden/>
            <w:sz w:val="20"/>
            <w:szCs w:val="20"/>
          </w:rPr>
          <w:tab/>
        </w:r>
        <w:r w:rsidR="008F5C1F" w:rsidRPr="002A739E">
          <w:rPr>
            <w:noProof/>
            <w:webHidden/>
            <w:sz w:val="20"/>
            <w:szCs w:val="20"/>
          </w:rPr>
          <w:fldChar w:fldCharType="begin"/>
        </w:r>
        <w:r w:rsidR="008F5C1F" w:rsidRPr="002A739E">
          <w:rPr>
            <w:noProof/>
            <w:webHidden/>
            <w:sz w:val="20"/>
            <w:szCs w:val="20"/>
          </w:rPr>
          <w:instrText xml:space="preserve"> PAGEREF _Toc80175324 \h </w:instrText>
        </w:r>
        <w:r w:rsidR="008F5C1F" w:rsidRPr="002A739E">
          <w:rPr>
            <w:noProof/>
            <w:webHidden/>
            <w:sz w:val="20"/>
            <w:szCs w:val="20"/>
          </w:rPr>
        </w:r>
        <w:r w:rsidR="008F5C1F" w:rsidRPr="002A739E">
          <w:rPr>
            <w:noProof/>
            <w:webHidden/>
            <w:sz w:val="20"/>
            <w:szCs w:val="20"/>
          </w:rPr>
          <w:fldChar w:fldCharType="separate"/>
        </w:r>
        <w:r>
          <w:rPr>
            <w:noProof/>
            <w:webHidden/>
            <w:sz w:val="20"/>
            <w:szCs w:val="20"/>
          </w:rPr>
          <w:t>9-60</w:t>
        </w:r>
        <w:r w:rsidR="008F5C1F" w:rsidRPr="002A739E">
          <w:rPr>
            <w:noProof/>
            <w:webHidden/>
            <w:sz w:val="20"/>
            <w:szCs w:val="20"/>
          </w:rPr>
          <w:fldChar w:fldCharType="end"/>
        </w:r>
      </w:hyperlink>
    </w:p>
    <w:p w14:paraId="1FD4A02D" w14:textId="2A8292D4" w:rsidR="008F5C1F" w:rsidRPr="002A739E" w:rsidRDefault="00ED3BE3">
      <w:pPr>
        <w:pStyle w:val="TOC3"/>
        <w:rPr>
          <w:rFonts w:eastAsiaTheme="minorEastAsia"/>
          <w:i w:val="0"/>
          <w:iCs w:val="0"/>
          <w:noProof/>
        </w:rPr>
      </w:pPr>
      <w:hyperlink w:anchor="_Toc80175325" w:history="1">
        <w:r w:rsidR="008F5C1F" w:rsidRPr="002A739E">
          <w:rPr>
            <w:rStyle w:val="Hyperlink"/>
            <w:i w:val="0"/>
            <w:iCs w:val="0"/>
            <w:noProof/>
          </w:rPr>
          <w:t>9.19.3</w:t>
        </w:r>
        <w:r w:rsidR="008F5C1F" w:rsidRPr="002A739E">
          <w:rPr>
            <w:rFonts w:eastAsiaTheme="minorEastAsia"/>
            <w:i w:val="0"/>
            <w:iCs w:val="0"/>
            <w:noProof/>
          </w:rPr>
          <w:tab/>
        </w:r>
        <w:r w:rsidR="008F5C1F" w:rsidRPr="002A739E">
          <w:rPr>
            <w:rStyle w:val="Hyperlink"/>
            <w:i w:val="0"/>
            <w:iCs w:val="0"/>
            <w:noProof/>
          </w:rPr>
          <w:t>Default Uplift Supporting Data Reporting</w:t>
        </w:r>
        <w:r w:rsidR="008F5C1F" w:rsidRPr="002A739E">
          <w:rPr>
            <w:i w:val="0"/>
            <w:iCs w:val="0"/>
            <w:noProof/>
            <w:webHidden/>
          </w:rPr>
          <w:tab/>
        </w:r>
        <w:r w:rsidR="008F5C1F" w:rsidRPr="002A739E">
          <w:rPr>
            <w:i w:val="0"/>
            <w:iCs w:val="0"/>
            <w:noProof/>
            <w:webHidden/>
          </w:rPr>
          <w:fldChar w:fldCharType="begin"/>
        </w:r>
        <w:r w:rsidR="008F5C1F" w:rsidRPr="002A739E">
          <w:rPr>
            <w:i w:val="0"/>
            <w:iCs w:val="0"/>
            <w:noProof/>
            <w:webHidden/>
          </w:rPr>
          <w:instrText xml:space="preserve"> PAGEREF _Toc80175325 \h </w:instrText>
        </w:r>
        <w:r w:rsidR="008F5C1F" w:rsidRPr="002A739E">
          <w:rPr>
            <w:i w:val="0"/>
            <w:iCs w:val="0"/>
            <w:noProof/>
            <w:webHidden/>
          </w:rPr>
        </w:r>
        <w:r w:rsidR="008F5C1F" w:rsidRPr="002A739E">
          <w:rPr>
            <w:i w:val="0"/>
            <w:iCs w:val="0"/>
            <w:noProof/>
            <w:webHidden/>
          </w:rPr>
          <w:fldChar w:fldCharType="separate"/>
        </w:r>
        <w:r>
          <w:rPr>
            <w:i w:val="0"/>
            <w:iCs w:val="0"/>
            <w:noProof/>
            <w:webHidden/>
          </w:rPr>
          <w:t>9-61</w:t>
        </w:r>
        <w:r w:rsidR="008F5C1F" w:rsidRPr="002A739E">
          <w:rPr>
            <w:i w:val="0"/>
            <w:iCs w:val="0"/>
            <w:noProof/>
            <w:webHidden/>
          </w:rPr>
          <w:fldChar w:fldCharType="end"/>
        </w:r>
      </w:hyperlink>
    </w:p>
    <w:p w14:paraId="3B119A71" w14:textId="4C0CC736" w:rsidR="008F5C1F" w:rsidRPr="002A739E" w:rsidRDefault="00ED3BE3">
      <w:pPr>
        <w:pStyle w:val="TOC3"/>
        <w:rPr>
          <w:rFonts w:eastAsiaTheme="minorEastAsia"/>
          <w:i w:val="0"/>
          <w:iCs w:val="0"/>
          <w:noProof/>
        </w:rPr>
      </w:pPr>
      <w:hyperlink w:anchor="_Toc80175326" w:history="1">
        <w:r w:rsidR="008F5C1F" w:rsidRPr="002A739E">
          <w:rPr>
            <w:rStyle w:val="Hyperlink"/>
            <w:i w:val="0"/>
            <w:iCs w:val="0"/>
            <w:noProof/>
          </w:rPr>
          <w:t>9.19.4</w:t>
        </w:r>
        <w:r w:rsidR="008F5C1F" w:rsidRPr="002A739E">
          <w:rPr>
            <w:rFonts w:eastAsiaTheme="minorEastAsia"/>
            <w:i w:val="0"/>
            <w:iCs w:val="0"/>
            <w:noProof/>
          </w:rPr>
          <w:tab/>
        </w:r>
        <w:r w:rsidR="008F5C1F" w:rsidRPr="002A739E">
          <w:rPr>
            <w:rStyle w:val="Hyperlink"/>
            <w:i w:val="0"/>
            <w:iCs w:val="0"/>
            <w:noProof/>
          </w:rPr>
          <w:t>Exemption for Central Counter-Party Clearinghouses Regulated as Derivatives Clearing Organizations</w:t>
        </w:r>
        <w:r w:rsidR="008F5C1F" w:rsidRPr="002A739E">
          <w:rPr>
            <w:i w:val="0"/>
            <w:iCs w:val="0"/>
            <w:noProof/>
            <w:webHidden/>
          </w:rPr>
          <w:tab/>
        </w:r>
        <w:r w:rsidR="008F5C1F" w:rsidRPr="002A739E">
          <w:rPr>
            <w:i w:val="0"/>
            <w:iCs w:val="0"/>
            <w:noProof/>
            <w:webHidden/>
          </w:rPr>
          <w:fldChar w:fldCharType="begin"/>
        </w:r>
        <w:r w:rsidR="008F5C1F" w:rsidRPr="002A739E">
          <w:rPr>
            <w:i w:val="0"/>
            <w:iCs w:val="0"/>
            <w:noProof/>
            <w:webHidden/>
          </w:rPr>
          <w:instrText xml:space="preserve"> PAGEREF _Toc80175326 \h </w:instrText>
        </w:r>
        <w:r w:rsidR="008F5C1F" w:rsidRPr="002A739E">
          <w:rPr>
            <w:i w:val="0"/>
            <w:iCs w:val="0"/>
            <w:noProof/>
            <w:webHidden/>
          </w:rPr>
        </w:r>
        <w:r w:rsidR="008F5C1F" w:rsidRPr="002A739E">
          <w:rPr>
            <w:i w:val="0"/>
            <w:iCs w:val="0"/>
            <w:noProof/>
            <w:webHidden/>
          </w:rPr>
          <w:fldChar w:fldCharType="separate"/>
        </w:r>
        <w:r>
          <w:rPr>
            <w:i w:val="0"/>
            <w:iCs w:val="0"/>
            <w:noProof/>
            <w:webHidden/>
          </w:rPr>
          <w:t>9-61</w:t>
        </w:r>
        <w:r w:rsidR="008F5C1F" w:rsidRPr="002A739E">
          <w:rPr>
            <w:i w:val="0"/>
            <w:iCs w:val="0"/>
            <w:noProof/>
            <w:webHidden/>
          </w:rPr>
          <w:fldChar w:fldCharType="end"/>
        </w:r>
      </w:hyperlink>
    </w:p>
    <w:p w14:paraId="447B4BC7" w14:textId="2D5EAE74" w:rsidR="002F5868" w:rsidRDefault="00B10807" w:rsidP="005E554F">
      <w:pPr>
        <w:rPr>
          <w:b/>
          <w:bCs/>
          <w:szCs w:val="24"/>
        </w:rPr>
      </w:pPr>
      <w:r w:rsidRPr="002E5F2C">
        <w:rPr>
          <w:bCs/>
          <w:iCs/>
          <w:szCs w:val="24"/>
        </w:rPr>
        <w:fldChar w:fldCharType="end"/>
      </w:r>
    </w:p>
    <w:p w14:paraId="4916F552" w14:textId="77777777" w:rsidR="002F5868" w:rsidRDefault="002F5868">
      <w:pPr>
        <w:sectPr w:rsidR="002F5868">
          <w:headerReference w:type="first" r:id="rId12"/>
          <w:footerReference w:type="first" r:id="rId13"/>
          <w:pgSz w:w="12240" w:h="15840" w:code="1"/>
          <w:pgMar w:top="1440" w:right="1440" w:bottom="1440" w:left="1440" w:header="720" w:footer="510" w:gutter="0"/>
          <w:pgNumType w:start="1" w:chapStyle="1"/>
          <w:cols w:space="720"/>
          <w:titlePg/>
        </w:sectPr>
      </w:pPr>
    </w:p>
    <w:p w14:paraId="10CE3770" w14:textId="77777777" w:rsidR="002F5868" w:rsidRDefault="00DD1AC6">
      <w:pPr>
        <w:pStyle w:val="Heading1"/>
      </w:pPr>
      <w:bookmarkStart w:id="0" w:name="_Toc309731015"/>
      <w:bookmarkStart w:id="1" w:name="_Toc405813997"/>
      <w:bookmarkStart w:id="2" w:name="_Toc422207887"/>
      <w:bookmarkStart w:id="3" w:name="_Toc438044801"/>
      <w:bookmarkStart w:id="4" w:name="_Toc447622584"/>
      <w:bookmarkStart w:id="5" w:name="_Toc80175234"/>
      <w:r>
        <w:lastRenderedPageBreak/>
        <w:t xml:space="preserve">SETTLEMENT </w:t>
      </w:r>
      <w:smartTag w:uri="urn:schemas-microsoft-com:office:smarttags" w:element="stockticker">
        <w:r>
          <w:t>AND</w:t>
        </w:r>
      </w:smartTag>
      <w:r>
        <w:t xml:space="preserve"> BILLING</w:t>
      </w:r>
      <w:bookmarkEnd w:id="0"/>
      <w:bookmarkEnd w:id="1"/>
      <w:bookmarkEnd w:id="2"/>
      <w:bookmarkEnd w:id="3"/>
      <w:bookmarkEnd w:id="4"/>
      <w:bookmarkEnd w:id="5"/>
      <w:r w:rsidR="00B260EF">
        <w:t xml:space="preserve"> </w:t>
      </w:r>
    </w:p>
    <w:p w14:paraId="523185B3" w14:textId="77777777" w:rsidR="002F5868" w:rsidRDefault="00DD1AC6">
      <w:pPr>
        <w:pStyle w:val="H2"/>
      </w:pPr>
      <w:bookmarkStart w:id="6" w:name="_Toc309731016"/>
      <w:bookmarkStart w:id="7" w:name="_Toc405813998"/>
      <w:bookmarkStart w:id="8" w:name="_Toc422207888"/>
      <w:bookmarkStart w:id="9" w:name="_Toc438044802"/>
      <w:bookmarkStart w:id="10" w:name="_Toc447622585"/>
      <w:bookmarkStart w:id="11" w:name="_Toc80175235"/>
      <w:r>
        <w:t>9.1</w:t>
      </w:r>
      <w:r>
        <w:tab/>
        <w:t>General</w:t>
      </w:r>
      <w:bookmarkEnd w:id="6"/>
      <w:bookmarkEnd w:id="7"/>
      <w:bookmarkEnd w:id="8"/>
      <w:bookmarkEnd w:id="9"/>
      <w:bookmarkEnd w:id="10"/>
      <w:bookmarkEnd w:id="11"/>
    </w:p>
    <w:p w14:paraId="50E2FED7" w14:textId="77777777" w:rsidR="002F5868" w:rsidRPr="008910B8" w:rsidRDefault="00DD1AC6">
      <w:pPr>
        <w:pStyle w:val="H3"/>
        <w:rPr>
          <w:b/>
          <w:i/>
        </w:rPr>
      </w:pPr>
      <w:bookmarkStart w:id="12" w:name="_Toc309731017"/>
      <w:bookmarkStart w:id="13" w:name="_Toc405813999"/>
      <w:bookmarkStart w:id="14" w:name="_Toc422207889"/>
      <w:bookmarkStart w:id="15" w:name="_Toc438044803"/>
      <w:bookmarkStart w:id="16" w:name="_Toc447622586"/>
      <w:bookmarkStart w:id="17" w:name="_Toc80175236"/>
      <w:r w:rsidRPr="008910B8">
        <w:rPr>
          <w:b/>
          <w:i/>
        </w:rPr>
        <w:t>9.1.1</w:t>
      </w:r>
      <w:r w:rsidRPr="008910B8">
        <w:rPr>
          <w:b/>
          <w:i/>
        </w:rPr>
        <w:tab/>
        <w:t>Settlement and Billing Process Overview</w:t>
      </w:r>
      <w:bookmarkEnd w:id="12"/>
      <w:bookmarkEnd w:id="13"/>
      <w:bookmarkEnd w:id="14"/>
      <w:bookmarkEnd w:id="15"/>
      <w:bookmarkEnd w:id="16"/>
      <w:bookmarkEnd w:id="17"/>
    </w:p>
    <w:p w14:paraId="2F575DA4" w14:textId="73D21CA5" w:rsidR="002F5868" w:rsidRDefault="00A0123C" w:rsidP="00660ED3">
      <w:pPr>
        <w:pStyle w:val="BodyTextNumbered"/>
      </w:pPr>
      <w:r>
        <w:rPr>
          <w:iCs/>
        </w:rPr>
        <w:t>(1)</w:t>
      </w:r>
      <w:r>
        <w:rPr>
          <w:iCs/>
        </w:rPr>
        <w:tab/>
      </w:r>
      <w:r w:rsidR="00DD1AC6">
        <w:t xml:space="preserve">Settlement is the process used to resolve financial obligations between a Market Participant and ERCOT, including administrative and miscellaneous charges.  Settlement also provides </w:t>
      </w:r>
      <w:r w:rsidR="00DD1AC6" w:rsidRPr="00A0123C">
        <w:rPr>
          <w:iCs/>
        </w:rPr>
        <w:t>Transmission</w:t>
      </w:r>
      <w:r w:rsidR="00DD1AC6">
        <w:t xml:space="preserve"> Billing Determinants to Transmission Service Providers (TSPs) and Distribution Service Providers (DSPs).  The Settlement and billing timeline and process for the Day-Ahead Market (DAM) is separate from the Settlement and billing timeline and process for  the Day-Ahead Reliability Unit Commitment (DRUC) process, the Adjustment Period, and Real-Time operations (after this referred to together in this Section as the Real-Time Market</w:t>
      </w:r>
      <w:r w:rsidR="00A46174">
        <w:t xml:space="preserve"> (RTM)</w:t>
      </w:r>
      <w:r w:rsidR="00DD1AC6">
        <w:t xml:space="preserve">). </w:t>
      </w:r>
    </w:p>
    <w:p w14:paraId="45B026C2" w14:textId="77777777" w:rsidR="002F5868" w:rsidRPr="008910B8" w:rsidRDefault="00DD1AC6">
      <w:pPr>
        <w:pStyle w:val="H3"/>
        <w:rPr>
          <w:b/>
          <w:i/>
        </w:rPr>
      </w:pPr>
      <w:bookmarkStart w:id="18" w:name="_Toc309731018"/>
      <w:bookmarkStart w:id="19" w:name="_Toc405814000"/>
      <w:bookmarkStart w:id="20" w:name="_Toc422207890"/>
      <w:bookmarkStart w:id="21" w:name="_Toc438044804"/>
      <w:bookmarkStart w:id="22" w:name="_Toc447622587"/>
      <w:bookmarkStart w:id="23" w:name="_Toc80175237"/>
      <w:r w:rsidRPr="008910B8">
        <w:rPr>
          <w:b/>
          <w:i/>
        </w:rPr>
        <w:t>9.1.2</w:t>
      </w:r>
      <w:r w:rsidRPr="008910B8">
        <w:rPr>
          <w:b/>
          <w:i/>
        </w:rPr>
        <w:tab/>
        <w:t>Settlement Calendar</w:t>
      </w:r>
      <w:bookmarkEnd w:id="18"/>
      <w:bookmarkEnd w:id="19"/>
      <w:bookmarkEnd w:id="20"/>
      <w:bookmarkEnd w:id="21"/>
      <w:bookmarkEnd w:id="22"/>
      <w:bookmarkEnd w:id="23"/>
      <w:r w:rsidRPr="008910B8">
        <w:rPr>
          <w:b/>
          <w:i/>
        </w:rPr>
        <w:t xml:space="preserve"> </w:t>
      </w:r>
    </w:p>
    <w:p w14:paraId="11CBB393" w14:textId="3FC253DD" w:rsidR="001B2D9D" w:rsidRPr="00A06E01" w:rsidRDefault="001B2D9D" w:rsidP="001B2D9D">
      <w:pPr>
        <w:pStyle w:val="BodyTextNumbered"/>
        <w:rPr>
          <w:iCs/>
        </w:rPr>
      </w:pPr>
      <w:r w:rsidRPr="00A06E01">
        <w:rPr>
          <w:iCs/>
        </w:rPr>
        <w:t>(1)</w:t>
      </w:r>
      <w:r w:rsidRPr="00A06E01">
        <w:rPr>
          <w:iCs/>
        </w:rPr>
        <w:tab/>
        <w:t xml:space="preserve">ERCOT shall post and maintain on the </w:t>
      </w:r>
      <w:r w:rsidR="000A050F">
        <w:rPr>
          <w:iCs/>
        </w:rPr>
        <w:t>ERCOT website</w:t>
      </w:r>
      <w:r w:rsidRPr="00A06E01">
        <w:rPr>
          <w:iCs/>
        </w:rPr>
        <w:t xml:space="preserve"> a Settlement Calendar to denote, for each Operating Day, when:</w:t>
      </w:r>
    </w:p>
    <w:p w14:paraId="4EB4D2BD" w14:textId="77777777" w:rsidR="001B2D9D" w:rsidRDefault="001B2D9D" w:rsidP="001B2D9D">
      <w:pPr>
        <w:pStyle w:val="List"/>
      </w:pPr>
      <w:r>
        <w:t>(a)</w:t>
      </w:r>
      <w:r>
        <w:tab/>
        <w:t xml:space="preserve">Each scheduled Settlement Statement for the DAM will be issued under Section 9.2.4, DAM Statement, and Section 9.2.5, DAM Resettlement Statement;  </w:t>
      </w:r>
    </w:p>
    <w:p w14:paraId="0A056951" w14:textId="77777777" w:rsidR="001B2D9D" w:rsidRDefault="001B2D9D" w:rsidP="001B2D9D">
      <w:pPr>
        <w:pStyle w:val="List"/>
      </w:pPr>
      <w:r>
        <w:t>(b)</w:t>
      </w:r>
      <w:r>
        <w:tab/>
        <w:t xml:space="preserve">Each scheduled Settlement Statement for the RTM will be issued under Section 9.5.4, RTM Initial Statement, Section 9.5.5, RTM Final Statement, Section 9.5.6, RTM Resettlement Statement, and Section 9.5.8, RTM True-Up Statement; </w:t>
      </w:r>
    </w:p>
    <w:p w14:paraId="0CA5F4F0" w14:textId="77777777" w:rsidR="001B2D9D" w:rsidRDefault="001B2D9D" w:rsidP="001B2D9D">
      <w:pPr>
        <w:pStyle w:val="List"/>
      </w:pPr>
      <w:r>
        <w:t>(c)</w:t>
      </w:r>
      <w:r>
        <w:tab/>
        <w:t xml:space="preserve">Each Settlement Invoice will be issued under Section 9.6, Settlement Invoices for the Day-Ahead Market and Real-Time Market; </w:t>
      </w:r>
    </w:p>
    <w:p w14:paraId="55B24A9E" w14:textId="77777777" w:rsidR="001B2D9D" w:rsidRDefault="001B2D9D" w:rsidP="001B2D9D">
      <w:pPr>
        <w:pStyle w:val="List"/>
      </w:pPr>
      <w:r>
        <w:t>(d)</w:t>
      </w:r>
      <w:r>
        <w:tab/>
        <w:t xml:space="preserve">Payments for the Settlement Invoice are due under Section 9.7, Payment Process for the Settlement Invoices; </w:t>
      </w:r>
    </w:p>
    <w:p w14:paraId="33E5686A" w14:textId="77777777" w:rsidR="001B2D9D" w:rsidRDefault="001B2D9D" w:rsidP="001B2D9D">
      <w:pPr>
        <w:pStyle w:val="List"/>
      </w:pPr>
      <w:r>
        <w:t>(</w:t>
      </w:r>
      <w:r w:rsidR="00505105">
        <w:t>e</w:t>
      </w:r>
      <w:r>
        <w:t>)</w:t>
      </w:r>
      <w:r>
        <w:tab/>
        <w:t>Each Default Uplift Invoice will be issued under Section 9.19, Partial Payments by Invoice Recipients;</w:t>
      </w:r>
    </w:p>
    <w:p w14:paraId="02E37C42" w14:textId="77777777" w:rsidR="001B2D9D" w:rsidRDefault="001B2D9D" w:rsidP="001B2D9D">
      <w:pPr>
        <w:pStyle w:val="List"/>
      </w:pPr>
      <w:r>
        <w:t>(</w:t>
      </w:r>
      <w:r w:rsidR="00505105">
        <w:t>f</w:t>
      </w:r>
      <w:r>
        <w:t>)</w:t>
      </w:r>
      <w:r>
        <w:tab/>
        <w:t>Payments for Default Uplift Invoices are due under Section 9.19.1, Default Uplift Invoices;</w:t>
      </w:r>
    </w:p>
    <w:p w14:paraId="6C22A9F8" w14:textId="77777777" w:rsidR="001B2D9D" w:rsidRDefault="001B2D9D" w:rsidP="001B2D9D">
      <w:pPr>
        <w:pStyle w:val="List"/>
        <w:tabs>
          <w:tab w:val="left" w:pos="1440"/>
        </w:tabs>
      </w:pPr>
      <w:r>
        <w:t>(</w:t>
      </w:r>
      <w:r w:rsidR="00505105">
        <w:t>g</w:t>
      </w:r>
      <w:r>
        <w:t>)</w:t>
      </w:r>
      <w:r>
        <w:tab/>
        <w:t xml:space="preserve">Each Congestion Revenue Right (CRR) Auction Invoice will be issued under Section 9.8, </w:t>
      </w:r>
      <w:smartTag w:uri="urn:schemas-microsoft-com:office:smarttags" w:element="stockticker">
        <w:r>
          <w:t>CRR</w:t>
        </w:r>
      </w:smartTag>
      <w:r>
        <w:t xml:space="preserve"> Auction Award Invoices; </w:t>
      </w:r>
    </w:p>
    <w:p w14:paraId="08DF7F91" w14:textId="77777777" w:rsidR="001B2D9D" w:rsidRDefault="001B2D9D" w:rsidP="001B2D9D">
      <w:pPr>
        <w:pStyle w:val="List"/>
        <w:tabs>
          <w:tab w:val="left" w:pos="1440"/>
        </w:tabs>
      </w:pPr>
      <w:r>
        <w:t>(</w:t>
      </w:r>
      <w:r w:rsidR="00505105">
        <w:t>h</w:t>
      </w:r>
      <w:r>
        <w:t>)</w:t>
      </w:r>
      <w:r>
        <w:tab/>
        <w:t xml:space="preserve">Payments for </w:t>
      </w:r>
      <w:smartTag w:uri="urn:schemas-microsoft-com:office:smarttags" w:element="stockticker">
        <w:r>
          <w:t>CRR</w:t>
        </w:r>
      </w:smartTag>
      <w:r>
        <w:t xml:space="preserve"> Auction Invoices are due under Section 9.9, Payment Process for </w:t>
      </w:r>
      <w:smartTag w:uri="urn:schemas-microsoft-com:office:smarttags" w:element="stockticker">
        <w:r>
          <w:t>CRR</w:t>
        </w:r>
      </w:smartTag>
      <w:r>
        <w:t xml:space="preserve"> Auction Invoices;</w:t>
      </w:r>
    </w:p>
    <w:p w14:paraId="012D9A72" w14:textId="43D725D0" w:rsidR="001B2D9D" w:rsidRDefault="001B2D9D" w:rsidP="001B2D9D">
      <w:pPr>
        <w:pStyle w:val="List"/>
        <w:tabs>
          <w:tab w:val="left" w:pos="1440"/>
        </w:tabs>
      </w:pPr>
      <w:r>
        <w:lastRenderedPageBreak/>
        <w:t>(</w:t>
      </w:r>
      <w:r w:rsidR="00505105">
        <w:t>i</w:t>
      </w:r>
      <w:r>
        <w:t>)</w:t>
      </w:r>
      <w:r>
        <w:tab/>
        <w:t xml:space="preserve">Each </w:t>
      </w:r>
      <w:smartTag w:uri="urn:schemas-microsoft-com:office:smarttags" w:element="stockticker">
        <w:r>
          <w:t>CRR</w:t>
        </w:r>
      </w:smartTag>
      <w:r>
        <w:t xml:space="preserve"> Auction Revenue Distribution </w:t>
      </w:r>
      <w:r w:rsidR="00A16DB0">
        <w:t xml:space="preserve">(CARD) </w:t>
      </w:r>
      <w:r>
        <w:t xml:space="preserve">Invoice will be issued under Section 9.10, </w:t>
      </w:r>
      <w:smartTag w:uri="urn:schemas-microsoft-com:office:smarttags" w:element="stockticker">
        <w:r>
          <w:t>CRR</w:t>
        </w:r>
      </w:smartTag>
      <w:r>
        <w:t xml:space="preserve"> Auction Revenue Distribution Invoices;</w:t>
      </w:r>
    </w:p>
    <w:p w14:paraId="4D8AC6CE" w14:textId="7570D8B8" w:rsidR="001B2D9D" w:rsidRDefault="001B2D9D" w:rsidP="001B2D9D">
      <w:pPr>
        <w:pStyle w:val="List"/>
        <w:tabs>
          <w:tab w:val="left" w:pos="1440"/>
        </w:tabs>
      </w:pPr>
      <w:r>
        <w:t>(</w:t>
      </w:r>
      <w:r w:rsidR="00505105">
        <w:t>j</w:t>
      </w:r>
      <w:r>
        <w:t>)</w:t>
      </w:r>
      <w:r>
        <w:tab/>
        <w:t xml:space="preserve">Payments for CARD Invoices are due under Section 9.11, Payment Process for </w:t>
      </w:r>
      <w:smartTag w:uri="urn:schemas-microsoft-com:office:smarttags" w:element="stockticker">
        <w:r>
          <w:t>CRR</w:t>
        </w:r>
      </w:smartTag>
      <w:r>
        <w:t xml:space="preserve"> Auction Revenue Distribution;</w:t>
      </w:r>
    </w:p>
    <w:p w14:paraId="5FF999F0" w14:textId="25F63B88" w:rsidR="001B2D9D" w:rsidRDefault="001B2D9D" w:rsidP="001B2D9D">
      <w:pPr>
        <w:pStyle w:val="List"/>
        <w:tabs>
          <w:tab w:val="left" w:pos="1440"/>
        </w:tabs>
      </w:pPr>
      <w:r>
        <w:t>(</w:t>
      </w:r>
      <w:r w:rsidR="00505105">
        <w:t>k</w:t>
      </w:r>
      <w:r>
        <w:t>)</w:t>
      </w:r>
      <w:r>
        <w:tab/>
        <w:t xml:space="preserve">Each </w:t>
      </w:r>
      <w:smartTag w:uri="urn:schemas-microsoft-com:office:smarttags" w:element="stockticker">
        <w:r>
          <w:t>CRR</w:t>
        </w:r>
      </w:smartTag>
      <w:r>
        <w:t xml:space="preserve"> Balancing Account </w:t>
      </w:r>
      <w:r w:rsidR="00A16DB0">
        <w:t xml:space="preserve">(CRRBA) </w:t>
      </w:r>
      <w:r>
        <w:t xml:space="preserve">Invoice will be issued under Section 9.12, </w:t>
      </w:r>
      <w:smartTag w:uri="urn:schemas-microsoft-com:office:smarttags" w:element="stockticker">
        <w:r>
          <w:t>CRR</w:t>
        </w:r>
      </w:smartTag>
      <w:r>
        <w:t xml:space="preserve"> Balancing Account Invoices; </w:t>
      </w:r>
    </w:p>
    <w:p w14:paraId="05936DF9" w14:textId="77E8A7F2" w:rsidR="001B2D9D" w:rsidRDefault="001B2D9D" w:rsidP="001B2D9D">
      <w:pPr>
        <w:pStyle w:val="List"/>
      </w:pPr>
      <w:r>
        <w:t>(</w:t>
      </w:r>
      <w:r w:rsidR="00505105">
        <w:t>l</w:t>
      </w:r>
      <w:r>
        <w:t>)</w:t>
      </w:r>
      <w:r>
        <w:tab/>
        <w:t xml:space="preserve">Payments for </w:t>
      </w:r>
      <w:r w:rsidR="00A16DB0">
        <w:t>CRRBA</w:t>
      </w:r>
      <w:r>
        <w:t xml:space="preserve"> Invoices are due under Section 9.13, Payment Process for the </w:t>
      </w:r>
      <w:smartTag w:uri="urn:schemas-microsoft-com:office:smarttags" w:element="stockticker">
        <w:r>
          <w:t>CRR</w:t>
        </w:r>
      </w:smartTag>
      <w:r>
        <w:t xml:space="preserve"> Balancing Account;</w:t>
      </w:r>
    </w:p>
    <w:p w14:paraId="329778F0" w14:textId="62F2457C" w:rsidR="00226940" w:rsidRPr="00ED3498" w:rsidRDefault="00226940" w:rsidP="00226940">
      <w:pPr>
        <w:tabs>
          <w:tab w:val="left" w:pos="2160"/>
        </w:tabs>
        <w:spacing w:after="240"/>
        <w:ind w:left="1440" w:hanging="720"/>
      </w:pPr>
      <w:r w:rsidRPr="00ED3498">
        <w:t>(m)</w:t>
      </w:r>
      <w:r w:rsidRPr="00ED3498">
        <w:tab/>
      </w:r>
      <w:r w:rsidR="003026B4" w:rsidRPr="00ED3498">
        <w:t>Securitization Default Charge Invoices will be issued in accordance with Section 26.3, Securitization Default Charge Invoices</w:t>
      </w:r>
      <w:r w:rsidRPr="00ED3498">
        <w:t xml:space="preserve">; </w:t>
      </w:r>
    </w:p>
    <w:p w14:paraId="02E2F808" w14:textId="000A6161" w:rsidR="00226940" w:rsidRDefault="00226940" w:rsidP="00226940">
      <w:pPr>
        <w:pStyle w:val="List"/>
        <w:tabs>
          <w:tab w:val="left" w:pos="2160"/>
        </w:tabs>
      </w:pPr>
      <w:r w:rsidRPr="00ED3498">
        <w:t>(n)</w:t>
      </w:r>
      <w:r w:rsidRPr="00ED3498">
        <w:tab/>
      </w:r>
      <w:r w:rsidR="003026B4" w:rsidRPr="00ED3498">
        <w:t>Payments for Securitization Default Charge Invoices are due under Section 26.3.1, Payment Process for Securitization Default Charge Invoices</w:t>
      </w:r>
      <w:r w:rsidRPr="00ED3498">
        <w:t>;</w:t>
      </w:r>
    </w:p>
    <w:p w14:paraId="349269B6" w14:textId="77777777" w:rsidR="00484E17" w:rsidRPr="006A7BA2" w:rsidRDefault="00484E17" w:rsidP="009F7EBA">
      <w:pPr>
        <w:tabs>
          <w:tab w:val="left" w:pos="2160"/>
        </w:tabs>
        <w:spacing w:after="240"/>
        <w:ind w:left="1440" w:hanging="720"/>
      </w:pPr>
      <w:r w:rsidRPr="006A7BA2">
        <w:t>(</w:t>
      </w:r>
      <w:r>
        <w:t>o</w:t>
      </w:r>
      <w:r w:rsidRPr="006A7BA2">
        <w:t>)</w:t>
      </w:r>
      <w:r w:rsidRPr="006A7BA2">
        <w:tab/>
        <w:t xml:space="preserve">Each Securitization Uplift Charge Initial Invoice will be issued under Section 27.4.1, Securitization Uplift Charge Initial Invoices; </w:t>
      </w:r>
    </w:p>
    <w:p w14:paraId="6FEE3E49" w14:textId="77777777" w:rsidR="00484E17" w:rsidRPr="006A7BA2" w:rsidRDefault="00484E17" w:rsidP="00484E17">
      <w:pPr>
        <w:tabs>
          <w:tab w:val="left" w:pos="2160"/>
        </w:tabs>
        <w:spacing w:after="240"/>
        <w:ind w:left="1440" w:hanging="720"/>
      </w:pPr>
      <w:r w:rsidRPr="006A7BA2">
        <w:t>(</w:t>
      </w:r>
      <w:r>
        <w:t>p</w:t>
      </w:r>
      <w:r w:rsidRPr="006A7BA2">
        <w:t>)</w:t>
      </w:r>
      <w:r w:rsidRPr="006A7BA2">
        <w:tab/>
        <w:t xml:space="preserve">Payments for Securitization Uplift Charge Initial Invoices are due under Section 27.4.3, Payment Process for Securitization Uplift Charge Initial Invoices; </w:t>
      </w:r>
    </w:p>
    <w:p w14:paraId="21D86830" w14:textId="77777777" w:rsidR="00484E17" w:rsidRPr="006A7BA2" w:rsidRDefault="00484E17" w:rsidP="00484E17">
      <w:pPr>
        <w:tabs>
          <w:tab w:val="left" w:pos="2160"/>
        </w:tabs>
        <w:spacing w:after="240"/>
        <w:ind w:left="1440" w:hanging="720"/>
      </w:pPr>
      <w:r w:rsidRPr="006A7BA2">
        <w:t>(</w:t>
      </w:r>
      <w:r>
        <w:t>q</w:t>
      </w:r>
      <w:r w:rsidRPr="006A7BA2">
        <w:t>)</w:t>
      </w:r>
      <w:r w:rsidRPr="006A7BA2">
        <w:tab/>
        <w:t xml:space="preserve">Each Securitization Uplift Charge Reallocation Invoice will be issued under Section 27.4.2, Securitization Uplift Charge Reallocation Invoices; </w:t>
      </w:r>
    </w:p>
    <w:p w14:paraId="0621C20C" w14:textId="77777777" w:rsidR="00484E17" w:rsidRPr="006A7BA2" w:rsidRDefault="00484E17" w:rsidP="00484E17">
      <w:pPr>
        <w:tabs>
          <w:tab w:val="left" w:pos="2160"/>
        </w:tabs>
        <w:spacing w:after="240"/>
        <w:ind w:left="1440" w:hanging="720"/>
      </w:pPr>
      <w:r w:rsidRPr="006A7BA2">
        <w:t>(</w:t>
      </w:r>
      <w:r>
        <w:t>r</w:t>
      </w:r>
      <w:r w:rsidRPr="006A7BA2">
        <w:t>)</w:t>
      </w:r>
      <w:r w:rsidRPr="006A7BA2">
        <w:tab/>
        <w:t>Payments for Securitization Uplift Charge Reallocation Invoices are due under Section 27.4.5, Payment Process for Securitization Uplift Charge Reallocation Invoices; and</w:t>
      </w:r>
    </w:p>
    <w:p w14:paraId="03EE9E83" w14:textId="152A9ED8" w:rsidR="002F5868" w:rsidRPr="00EB11F5" w:rsidRDefault="001B2D9D" w:rsidP="000E65C3">
      <w:pPr>
        <w:pStyle w:val="List"/>
        <w:tabs>
          <w:tab w:val="left" w:pos="2160"/>
        </w:tabs>
      </w:pPr>
      <w:r w:rsidRPr="00C2257A">
        <w:t>(</w:t>
      </w:r>
      <w:r w:rsidR="00484E17">
        <w:t>s</w:t>
      </w:r>
      <w:r w:rsidRPr="00C2257A">
        <w:t>)</w:t>
      </w:r>
      <w:r w:rsidRPr="00C2257A">
        <w:tab/>
        <w:t>Settlement and billing disputes for each scheduled Settlement Statement of an Operating Day and Settlement Invoice must be submitted under Section 9.14, Settlement and Billing Dispute Process.</w:t>
      </w:r>
    </w:p>
    <w:p w14:paraId="7443ABC7" w14:textId="77777777" w:rsidR="002F5868" w:rsidRDefault="00DD1AC6">
      <w:pPr>
        <w:pStyle w:val="BodyTextNumbered"/>
      </w:pPr>
      <w:r>
        <w:t>(2)</w:t>
      </w:r>
      <w:r>
        <w:tab/>
        <w:t>ERCOT shall notify Market Participants if any of the aforementioned data will not be available on the date specified in the Settlement Calendar.</w:t>
      </w:r>
    </w:p>
    <w:p w14:paraId="6321E73A" w14:textId="77777777" w:rsidR="002F5868" w:rsidRPr="008910B8" w:rsidRDefault="00DD1AC6">
      <w:pPr>
        <w:pStyle w:val="H3"/>
        <w:rPr>
          <w:b/>
          <w:i/>
        </w:rPr>
      </w:pPr>
      <w:bookmarkStart w:id="24" w:name="_Toc309731019"/>
      <w:bookmarkStart w:id="25" w:name="_Toc405814001"/>
      <w:bookmarkStart w:id="26" w:name="_Toc422207891"/>
      <w:bookmarkStart w:id="27" w:name="_Toc438044805"/>
      <w:bookmarkStart w:id="28" w:name="_Toc447622588"/>
      <w:bookmarkStart w:id="29" w:name="_Toc80175238"/>
      <w:r w:rsidRPr="008910B8">
        <w:rPr>
          <w:b/>
          <w:i/>
        </w:rPr>
        <w:t>9.1.3</w:t>
      </w:r>
      <w:r w:rsidRPr="008910B8">
        <w:rPr>
          <w:b/>
          <w:i/>
        </w:rPr>
        <w:tab/>
        <w:t>Settlement Statement and Invoice Access</w:t>
      </w:r>
      <w:bookmarkEnd w:id="24"/>
      <w:bookmarkEnd w:id="25"/>
      <w:bookmarkEnd w:id="26"/>
      <w:bookmarkEnd w:id="27"/>
      <w:bookmarkEnd w:id="28"/>
      <w:bookmarkEnd w:id="29"/>
      <w:r w:rsidRPr="008910B8">
        <w:rPr>
          <w:b/>
          <w:i/>
        </w:rPr>
        <w:t xml:space="preserve"> </w:t>
      </w:r>
    </w:p>
    <w:p w14:paraId="26B098AE" w14:textId="77777777" w:rsidR="002F5868" w:rsidRDefault="00A0123C" w:rsidP="00660ED3">
      <w:pPr>
        <w:pStyle w:val="BodyTextNumbered"/>
      </w:pPr>
      <w:r>
        <w:rPr>
          <w:iCs/>
        </w:rPr>
        <w:t>(1)</w:t>
      </w:r>
      <w:r>
        <w:rPr>
          <w:iCs/>
        </w:rPr>
        <w:tab/>
      </w:r>
      <w:r w:rsidR="00DD1AC6">
        <w:t xml:space="preserve">A Statement or Invoice Recipient may access its Settlement Statements or Invoices electronically, using </w:t>
      </w:r>
      <w:r w:rsidR="00DD1AC6" w:rsidRPr="00A0123C">
        <w:rPr>
          <w:iCs/>
        </w:rPr>
        <w:t>either</w:t>
      </w:r>
      <w:r w:rsidR="00DD1AC6">
        <w:t xml:space="preserve"> of the following methods:</w:t>
      </w:r>
    </w:p>
    <w:p w14:paraId="5FDE014F" w14:textId="220C6908" w:rsidR="002F5868" w:rsidRDefault="00DD1AC6">
      <w:pPr>
        <w:pStyle w:val="List"/>
      </w:pPr>
      <w:r>
        <w:t>(a)</w:t>
      </w:r>
      <w:r>
        <w:tab/>
        <w:t xml:space="preserve">Secured entry on the </w:t>
      </w:r>
      <w:r w:rsidR="00A16DB0">
        <w:t>Market Information System (</w:t>
      </w:r>
      <w:r>
        <w:t>MIS</w:t>
      </w:r>
      <w:r w:rsidR="00A16DB0">
        <w:t>)</w:t>
      </w:r>
      <w:r>
        <w:t xml:space="preserve"> Certified Area;</w:t>
      </w:r>
    </w:p>
    <w:p w14:paraId="62E51315" w14:textId="77777777" w:rsidR="002F5868" w:rsidRDefault="00DD1AC6">
      <w:pPr>
        <w:pStyle w:val="List"/>
      </w:pPr>
      <w:r>
        <w:t>(b)</w:t>
      </w:r>
      <w:r>
        <w:tab/>
        <w:t>eXtensible Markup Language (XML) access to the MIS Certified Area.</w:t>
      </w:r>
    </w:p>
    <w:p w14:paraId="0919EF3D" w14:textId="77777777" w:rsidR="002F5868" w:rsidRPr="008910B8" w:rsidRDefault="00DD1AC6">
      <w:pPr>
        <w:pStyle w:val="H3"/>
        <w:rPr>
          <w:b/>
          <w:i/>
        </w:rPr>
      </w:pPr>
      <w:bookmarkStart w:id="30" w:name="_Toc309731020"/>
      <w:bookmarkStart w:id="31" w:name="_Toc405814002"/>
      <w:bookmarkStart w:id="32" w:name="_Toc422207892"/>
      <w:bookmarkStart w:id="33" w:name="_Toc438044806"/>
      <w:bookmarkStart w:id="34" w:name="_Toc447622589"/>
      <w:bookmarkStart w:id="35" w:name="_Toc80175239"/>
      <w:r w:rsidRPr="008910B8">
        <w:rPr>
          <w:b/>
          <w:i/>
        </w:rPr>
        <w:lastRenderedPageBreak/>
        <w:t>9.1.4</w:t>
      </w:r>
      <w:r w:rsidRPr="008910B8">
        <w:rPr>
          <w:b/>
          <w:i/>
        </w:rPr>
        <w:tab/>
        <w:t>Settlement Statement and Invoice Timing</w:t>
      </w:r>
      <w:bookmarkEnd w:id="30"/>
      <w:bookmarkEnd w:id="31"/>
      <w:bookmarkEnd w:id="32"/>
      <w:bookmarkEnd w:id="33"/>
      <w:bookmarkEnd w:id="34"/>
      <w:bookmarkEnd w:id="35"/>
    </w:p>
    <w:p w14:paraId="42FBAC22" w14:textId="77777777" w:rsidR="002F5868" w:rsidRDefault="00A0123C" w:rsidP="00660ED3">
      <w:pPr>
        <w:pStyle w:val="BodyTextNumbered"/>
      </w:pPr>
      <w:r>
        <w:rPr>
          <w:iCs/>
        </w:rPr>
        <w:t>(1)</w:t>
      </w:r>
      <w:r>
        <w:rPr>
          <w:iCs/>
        </w:rPr>
        <w:tab/>
      </w:r>
      <w:r w:rsidR="00DD1AC6">
        <w:t xml:space="preserve">Unless expressly stated otherwise, the publication of each Settlement Statement and Invoice can occur as late as 2400 on its scheduled publication date. </w:t>
      </w:r>
    </w:p>
    <w:p w14:paraId="4C077E4D" w14:textId="77777777" w:rsidR="002F5868" w:rsidRPr="008910B8" w:rsidRDefault="00DD1AC6">
      <w:pPr>
        <w:pStyle w:val="H3"/>
        <w:rPr>
          <w:b/>
          <w:i/>
        </w:rPr>
      </w:pPr>
      <w:bookmarkStart w:id="36" w:name="_Toc309731021"/>
      <w:bookmarkStart w:id="37" w:name="_Toc405814003"/>
      <w:bookmarkStart w:id="38" w:name="_Toc422207893"/>
      <w:bookmarkStart w:id="39" w:name="_Toc438044807"/>
      <w:bookmarkStart w:id="40" w:name="_Toc447622590"/>
      <w:bookmarkStart w:id="41" w:name="_Toc80175240"/>
      <w:r w:rsidRPr="008910B8">
        <w:rPr>
          <w:b/>
          <w:i/>
        </w:rPr>
        <w:t>9.1.5</w:t>
      </w:r>
      <w:r w:rsidRPr="008910B8">
        <w:rPr>
          <w:b/>
          <w:i/>
        </w:rPr>
        <w:tab/>
        <w:t>Settlement Payment Convention</w:t>
      </w:r>
      <w:bookmarkEnd w:id="36"/>
      <w:bookmarkEnd w:id="37"/>
      <w:bookmarkEnd w:id="38"/>
      <w:bookmarkEnd w:id="39"/>
      <w:bookmarkEnd w:id="40"/>
      <w:bookmarkEnd w:id="41"/>
    </w:p>
    <w:p w14:paraId="568523AB" w14:textId="77777777" w:rsidR="002F5868" w:rsidRDefault="00A0123C" w:rsidP="00660ED3">
      <w:pPr>
        <w:pStyle w:val="BodyTextNumbered"/>
      </w:pPr>
      <w:r>
        <w:rPr>
          <w:iCs/>
        </w:rPr>
        <w:t>(1)</w:t>
      </w:r>
      <w:r>
        <w:rPr>
          <w:iCs/>
        </w:rPr>
        <w:tab/>
      </w:r>
      <w:r w:rsidR="00DD1AC6">
        <w:t>A Settlement Statement or Invoice containing a negative amount represents a payment due by ERCOT to the Market Participant that received the Statement or Invoice.  A Settlement Statement or Invoice containing a positive amount represents a payment due to ERCOT by the Market Participant that received the Statement or Invoice.</w:t>
      </w:r>
    </w:p>
    <w:p w14:paraId="4CB62CD7" w14:textId="77777777" w:rsidR="002F5868" w:rsidRDefault="00DD1AC6">
      <w:pPr>
        <w:pStyle w:val="H2"/>
      </w:pPr>
      <w:bookmarkStart w:id="42" w:name="_Toc309731022"/>
      <w:bookmarkStart w:id="43" w:name="_Toc405814004"/>
      <w:bookmarkStart w:id="44" w:name="_Toc422207894"/>
      <w:bookmarkStart w:id="45" w:name="_Toc438044808"/>
      <w:bookmarkStart w:id="46" w:name="_Toc447622591"/>
      <w:bookmarkStart w:id="47" w:name="_Toc80175241"/>
      <w:r>
        <w:t>9.2</w:t>
      </w:r>
      <w:r>
        <w:tab/>
        <w:t>Settlement Statements for the Day-Ahead Market</w:t>
      </w:r>
      <w:bookmarkEnd w:id="42"/>
      <w:bookmarkEnd w:id="43"/>
      <w:bookmarkEnd w:id="44"/>
      <w:bookmarkEnd w:id="45"/>
      <w:bookmarkEnd w:id="46"/>
      <w:bookmarkEnd w:id="47"/>
    </w:p>
    <w:p w14:paraId="03E30628" w14:textId="77777777" w:rsidR="002F5868" w:rsidRPr="008910B8" w:rsidRDefault="00DD1AC6">
      <w:pPr>
        <w:pStyle w:val="H3"/>
        <w:rPr>
          <w:b/>
          <w:i/>
        </w:rPr>
      </w:pPr>
      <w:bookmarkStart w:id="48" w:name="_Toc309731023"/>
      <w:bookmarkStart w:id="49" w:name="_Toc405814005"/>
      <w:bookmarkStart w:id="50" w:name="_Toc422207895"/>
      <w:bookmarkStart w:id="51" w:name="_Toc438044809"/>
      <w:bookmarkStart w:id="52" w:name="_Toc447622592"/>
      <w:bookmarkStart w:id="53" w:name="_Toc80175242"/>
      <w:r w:rsidRPr="008910B8">
        <w:rPr>
          <w:b/>
          <w:i/>
        </w:rPr>
        <w:t>9.2.1</w:t>
      </w:r>
      <w:r w:rsidRPr="008910B8">
        <w:rPr>
          <w:b/>
          <w:i/>
        </w:rPr>
        <w:tab/>
        <w:t>Settlement Statement Process for the DAM</w:t>
      </w:r>
      <w:bookmarkEnd w:id="48"/>
      <w:bookmarkEnd w:id="49"/>
      <w:bookmarkEnd w:id="50"/>
      <w:bookmarkEnd w:id="51"/>
      <w:bookmarkEnd w:id="52"/>
      <w:bookmarkEnd w:id="53"/>
    </w:p>
    <w:p w14:paraId="376FDC09" w14:textId="77777777" w:rsidR="002F5868" w:rsidRDefault="00A0123C" w:rsidP="00660ED3">
      <w:pPr>
        <w:pStyle w:val="BodyTextNumbered"/>
      </w:pPr>
      <w:r>
        <w:rPr>
          <w:iCs/>
        </w:rPr>
        <w:t>(1)</w:t>
      </w:r>
      <w:r>
        <w:rPr>
          <w:iCs/>
        </w:rPr>
        <w:tab/>
      </w:r>
      <w:r w:rsidR="00DD1AC6">
        <w:t>ERCOT shall produce daily Settlement Statements for the Day-Ahead Market (DAM), as defined in Section 9.2.2, Settlement Statements for the DAM, that show a breakdown of Charge Types incurred in the DAM, including any administrative and miscellaneous charges applicable to the DAM.  “Charge Types” are the various categories of specific charges referenced in Section 9.15.1, Charge Type Matrix.</w:t>
      </w:r>
    </w:p>
    <w:p w14:paraId="59592540" w14:textId="77777777" w:rsidR="002F5868" w:rsidRPr="008910B8" w:rsidRDefault="00DD1AC6">
      <w:pPr>
        <w:pStyle w:val="H3"/>
        <w:rPr>
          <w:b/>
          <w:i/>
        </w:rPr>
      </w:pPr>
      <w:bookmarkStart w:id="54" w:name="_Toc309731024"/>
      <w:bookmarkStart w:id="55" w:name="_Toc405814006"/>
      <w:bookmarkStart w:id="56" w:name="_Toc422207896"/>
      <w:bookmarkStart w:id="57" w:name="_Toc438044810"/>
      <w:bookmarkStart w:id="58" w:name="_Toc447622593"/>
      <w:bookmarkStart w:id="59" w:name="_Toc80175243"/>
      <w:r w:rsidRPr="008910B8">
        <w:rPr>
          <w:b/>
          <w:i/>
        </w:rPr>
        <w:t>9.2.2</w:t>
      </w:r>
      <w:r w:rsidRPr="008910B8">
        <w:rPr>
          <w:b/>
          <w:i/>
        </w:rPr>
        <w:tab/>
        <w:t xml:space="preserve"> </w:t>
      </w:r>
      <w:bookmarkStart w:id="60" w:name="_Toc97371082"/>
      <w:r w:rsidRPr="008910B8">
        <w:rPr>
          <w:b/>
          <w:i/>
        </w:rPr>
        <w:t>Settlement Statements for the DAM</w:t>
      </w:r>
      <w:bookmarkEnd w:id="54"/>
      <w:bookmarkEnd w:id="55"/>
      <w:bookmarkEnd w:id="56"/>
      <w:bookmarkEnd w:id="57"/>
      <w:bookmarkEnd w:id="58"/>
      <w:bookmarkEnd w:id="60"/>
      <w:bookmarkEnd w:id="59"/>
    </w:p>
    <w:p w14:paraId="4BF6FC3D" w14:textId="77777777" w:rsidR="002F5868" w:rsidRDefault="00DD1AC6">
      <w:pPr>
        <w:pStyle w:val="BodyTextNumbered"/>
      </w:pPr>
      <w:r>
        <w:t>(1)</w:t>
      </w:r>
      <w:r>
        <w:tab/>
        <w:t>ERCOT shall make each Settlement Statement for a DAM available on the date specified on the Settlement Calendar for that DAM by posting it on the Market Information System (MIS) Certified Area for the applicable Market Participant to which the Settlement Statement is addressed (Statement Recipient).</w:t>
      </w:r>
    </w:p>
    <w:p w14:paraId="5D3790E4" w14:textId="77777777" w:rsidR="002F5868" w:rsidRDefault="00DD1AC6">
      <w:pPr>
        <w:pStyle w:val="BodyTextNumbered"/>
      </w:pPr>
      <w:r>
        <w:t>(2)</w:t>
      </w:r>
      <w:r>
        <w:tab/>
        <w:t xml:space="preserve">A Settlement Statement for the DAM can be: </w:t>
      </w:r>
    </w:p>
    <w:p w14:paraId="37BE67C6" w14:textId="77777777" w:rsidR="002F5868" w:rsidRDefault="00DD1AC6">
      <w:pPr>
        <w:pStyle w:val="List"/>
      </w:pPr>
      <w:r>
        <w:t>(a)</w:t>
      </w:r>
      <w:r>
        <w:tab/>
        <w:t>A “DAM Statement,” which is the Settlement Statement issued for a particular DAM;</w:t>
      </w:r>
    </w:p>
    <w:p w14:paraId="1E9FF4D1" w14:textId="77777777" w:rsidR="002F5868" w:rsidRDefault="00DD1AC6">
      <w:pPr>
        <w:pStyle w:val="List"/>
      </w:pPr>
      <w:r>
        <w:t>(b)</w:t>
      </w:r>
      <w:r>
        <w:tab/>
        <w:t>A “DAM Resettlement Statement,” which corrects a DAM Statement.</w:t>
      </w:r>
    </w:p>
    <w:p w14:paraId="797FC040" w14:textId="77777777" w:rsidR="002F5868" w:rsidRDefault="00DD1AC6">
      <w:pPr>
        <w:pStyle w:val="BodyTextNumbered"/>
      </w:pPr>
      <w:r>
        <w:t>(3)</w:t>
      </w:r>
      <w:r>
        <w:tab/>
        <w:t>The Statement Recipient is responsible for accessing the statement from the MIS Certified Area.</w:t>
      </w:r>
    </w:p>
    <w:p w14:paraId="34FF5EA5" w14:textId="77777777" w:rsidR="002F5868" w:rsidRDefault="00DD1AC6">
      <w:pPr>
        <w:pStyle w:val="BodyTextNumbered"/>
      </w:pPr>
      <w:r>
        <w:t>(4)</w:t>
      </w:r>
      <w:r>
        <w:tab/>
        <w:t xml:space="preserve">ERCOT shall create a DAM Statement for each DAM.  </w:t>
      </w:r>
    </w:p>
    <w:p w14:paraId="43DEC279" w14:textId="77777777" w:rsidR="002F5868" w:rsidRDefault="00DD1AC6">
      <w:pPr>
        <w:pStyle w:val="BodyTextNumbered"/>
      </w:pPr>
      <w:r>
        <w:t>(5)</w:t>
      </w:r>
      <w:r>
        <w:tab/>
        <w:t>ERCOT may create a DAM Resettlement Statement for the DAM, depending on the criteria set forth in Section 9.2.5, DAM Resettlement Statement.</w:t>
      </w:r>
    </w:p>
    <w:p w14:paraId="53D77053" w14:textId="77777777" w:rsidR="002F5868" w:rsidRDefault="00DD1AC6">
      <w:pPr>
        <w:pStyle w:val="BodyTextNumbered"/>
      </w:pPr>
      <w:r>
        <w:t>(6)</w:t>
      </w:r>
      <w:r>
        <w:tab/>
        <w:t>Each Settlement Statement for the DAM must denote:</w:t>
      </w:r>
    </w:p>
    <w:p w14:paraId="0AFD0E3A" w14:textId="77777777" w:rsidR="002F5868" w:rsidRDefault="00DD1AC6">
      <w:pPr>
        <w:pStyle w:val="List"/>
      </w:pPr>
      <w:r>
        <w:lastRenderedPageBreak/>
        <w:t>(a)</w:t>
      </w:r>
      <w:r>
        <w:tab/>
        <w:t>The applicable Operating Day;</w:t>
      </w:r>
    </w:p>
    <w:p w14:paraId="29177407" w14:textId="77777777" w:rsidR="002F5868" w:rsidRDefault="00DD1AC6">
      <w:pPr>
        <w:pStyle w:val="List"/>
      </w:pPr>
      <w:r>
        <w:t>(b)</w:t>
      </w:r>
      <w:r>
        <w:tab/>
        <w:t>The Statement Recipient’s name;</w:t>
      </w:r>
    </w:p>
    <w:p w14:paraId="03CB09C9" w14:textId="77777777" w:rsidR="002F5868" w:rsidRDefault="00DD1AC6">
      <w:pPr>
        <w:pStyle w:val="List"/>
      </w:pPr>
      <w:r>
        <w:t>(c)</w:t>
      </w:r>
      <w:r>
        <w:tab/>
        <w:t>The ERCOT identifier (settlement identification number issued by ERCOT);</w:t>
      </w:r>
    </w:p>
    <w:p w14:paraId="1F43244F" w14:textId="77777777" w:rsidR="002F5868" w:rsidRDefault="00DD1AC6">
      <w:pPr>
        <w:pStyle w:val="List"/>
      </w:pPr>
      <w:r>
        <w:t>(d)</w:t>
      </w:r>
      <w:r>
        <w:tab/>
        <w:t>Status of the statement (DAM Statement  or DAM Resettlement Statement);</w:t>
      </w:r>
    </w:p>
    <w:p w14:paraId="6DD4BEB1" w14:textId="77777777" w:rsidR="002F5868" w:rsidRDefault="00DD1AC6">
      <w:pPr>
        <w:pStyle w:val="List"/>
      </w:pPr>
      <w:r>
        <w:t>(e)</w:t>
      </w:r>
      <w:r>
        <w:tab/>
        <w:t>Statement version number;</w:t>
      </w:r>
    </w:p>
    <w:p w14:paraId="15A47DE5" w14:textId="77777777" w:rsidR="002F5868" w:rsidRDefault="00DD1AC6">
      <w:pPr>
        <w:pStyle w:val="List"/>
      </w:pPr>
      <w:r>
        <w:t>(f)</w:t>
      </w:r>
      <w:r>
        <w:tab/>
        <w:t>Unique statement identification code; and</w:t>
      </w:r>
    </w:p>
    <w:p w14:paraId="627E7BC0" w14:textId="77777777" w:rsidR="002F5868" w:rsidRDefault="00DD1AC6">
      <w:pPr>
        <w:pStyle w:val="List"/>
      </w:pPr>
      <w:r>
        <w:t>(g)</w:t>
      </w:r>
      <w:r>
        <w:tab/>
        <w:t>Charge Types settled.</w:t>
      </w:r>
    </w:p>
    <w:p w14:paraId="295E727B" w14:textId="77777777" w:rsidR="002F5868" w:rsidRDefault="00DD1AC6">
      <w:pPr>
        <w:pStyle w:val="BodyTextNumbered"/>
      </w:pPr>
      <w:r>
        <w:t>(7)</w:t>
      </w:r>
      <w:r>
        <w:tab/>
        <w:t xml:space="preserve">Settlement Statements for the DAM must break fees down by Charge Types into the appropriate one-hour Settlement Interval for that type.  </w:t>
      </w:r>
    </w:p>
    <w:p w14:paraId="275AAA95" w14:textId="77777777" w:rsidR="002F5868" w:rsidRDefault="00DD1AC6">
      <w:pPr>
        <w:pStyle w:val="BodyTextNumbered"/>
      </w:pPr>
      <w:r>
        <w:t>(8)</w:t>
      </w:r>
      <w:r>
        <w:tab/>
        <w:t>The Settlement Statement for the DAM must have a summary page of the corresponding detailed documentation.</w:t>
      </w:r>
    </w:p>
    <w:p w14:paraId="5C4EDE0F" w14:textId="77777777" w:rsidR="002F5868" w:rsidRPr="008910B8" w:rsidRDefault="00DD1AC6">
      <w:pPr>
        <w:pStyle w:val="H3"/>
        <w:rPr>
          <w:b/>
          <w:i/>
        </w:rPr>
      </w:pPr>
      <w:bookmarkStart w:id="61" w:name="_Toc309731025"/>
      <w:bookmarkStart w:id="62" w:name="_Toc405814007"/>
      <w:bookmarkStart w:id="63" w:name="_Toc422207897"/>
      <w:bookmarkStart w:id="64" w:name="_Toc438044811"/>
      <w:bookmarkStart w:id="65" w:name="_Toc447622594"/>
      <w:bookmarkStart w:id="66" w:name="_Toc80175244"/>
      <w:r w:rsidRPr="008910B8">
        <w:rPr>
          <w:b/>
          <w:i/>
        </w:rPr>
        <w:t>9.2.3</w:t>
      </w:r>
      <w:r w:rsidRPr="008910B8">
        <w:rPr>
          <w:b/>
          <w:i/>
        </w:rPr>
        <w:tab/>
        <w:t>DAM Settlement Charge Types</w:t>
      </w:r>
      <w:bookmarkEnd w:id="61"/>
      <w:bookmarkEnd w:id="62"/>
      <w:bookmarkEnd w:id="63"/>
      <w:bookmarkEnd w:id="64"/>
      <w:bookmarkEnd w:id="65"/>
      <w:bookmarkEnd w:id="66"/>
    </w:p>
    <w:p w14:paraId="58A9CDAC" w14:textId="77777777" w:rsidR="002F5868" w:rsidRDefault="00A0123C" w:rsidP="00660ED3">
      <w:pPr>
        <w:pStyle w:val="BodyTextNumbered"/>
      </w:pPr>
      <w:r>
        <w:rPr>
          <w:iCs/>
        </w:rPr>
        <w:t>(1)</w:t>
      </w:r>
      <w:r>
        <w:rPr>
          <w:iCs/>
        </w:rPr>
        <w:tab/>
      </w:r>
      <w:r w:rsidR="00DD1AC6">
        <w:t>ERCOT shall provide, on each Settlement Statement, the dollar amount for each DAM Settlement charge and payment.  The DAM settlement “Charge Types” are:</w:t>
      </w:r>
    </w:p>
    <w:p w14:paraId="054432BA" w14:textId="77777777" w:rsidR="002F5868" w:rsidRDefault="00DD1AC6">
      <w:pPr>
        <w:pStyle w:val="List"/>
      </w:pPr>
      <w:r>
        <w:t>(a)</w:t>
      </w:r>
      <w:r>
        <w:tab/>
        <w:t>Section 4.6.2.1, Day-Ahead Energy Payment;</w:t>
      </w:r>
    </w:p>
    <w:p w14:paraId="245ACAFC" w14:textId="77777777" w:rsidR="002F5868" w:rsidRDefault="00DD1AC6">
      <w:pPr>
        <w:pStyle w:val="List"/>
      </w:pPr>
      <w:r>
        <w:t>(b)</w:t>
      </w:r>
      <w:r>
        <w:tab/>
        <w:t>Section 4.6.2.2, Day-Ahead Energy Charge;</w:t>
      </w:r>
    </w:p>
    <w:p w14:paraId="4A29EEFA" w14:textId="77777777" w:rsidR="002F5868" w:rsidRDefault="00DD1AC6">
      <w:pPr>
        <w:pStyle w:val="List"/>
      </w:pPr>
      <w:r>
        <w:t>(c)</w:t>
      </w:r>
      <w:r>
        <w:tab/>
        <w:t>Section 4.6.2.3.1, Day-Ahead Make-Whole Payment;</w:t>
      </w:r>
    </w:p>
    <w:p w14:paraId="45C1C6F6" w14:textId="77777777" w:rsidR="002F5868" w:rsidRDefault="00DD1AC6">
      <w:pPr>
        <w:pStyle w:val="List"/>
      </w:pPr>
      <w:r>
        <w:t>(d)</w:t>
      </w:r>
      <w:r>
        <w:tab/>
        <w:t>Section 4.6.2.3.2, Day-Ahead Make-Whole Charge;</w:t>
      </w:r>
    </w:p>
    <w:p w14:paraId="35FA928D" w14:textId="77777777" w:rsidR="002F5868" w:rsidRDefault="00DD1AC6">
      <w:pPr>
        <w:pStyle w:val="List"/>
      </w:pPr>
      <w:r>
        <w:t>(e)</w:t>
      </w:r>
      <w:r>
        <w:tab/>
        <w:t>Section 4.6.3, Settlement for PTP Obligations Bought in DAM;</w:t>
      </w:r>
    </w:p>
    <w:p w14:paraId="68D4F420" w14:textId="77777777" w:rsidR="002F5868" w:rsidRDefault="00DD1AC6">
      <w:pPr>
        <w:pStyle w:val="List"/>
      </w:pPr>
      <w:r>
        <w:t>(f)</w:t>
      </w:r>
      <w:r>
        <w:tab/>
        <w:t>Section 4.6.4.1.1, Regulation Up Service Payment;</w:t>
      </w:r>
    </w:p>
    <w:p w14:paraId="4CA665B6" w14:textId="77777777" w:rsidR="002F5868" w:rsidRDefault="00DD1AC6">
      <w:pPr>
        <w:pStyle w:val="List"/>
      </w:pPr>
      <w:r>
        <w:t>(g)</w:t>
      </w:r>
      <w:r>
        <w:tab/>
        <w:t>Section 4.6.4.1.2, Regulation Down Service Payment;</w:t>
      </w:r>
    </w:p>
    <w:p w14:paraId="2698DB26" w14:textId="77777777" w:rsidR="007A62DD" w:rsidRDefault="00DD1AC6" w:rsidP="007A62DD">
      <w:pPr>
        <w:pStyle w:val="List"/>
      </w:pPr>
      <w:r w:rsidRPr="00FB4B74">
        <w:t>(h)</w:t>
      </w:r>
      <w:r w:rsidRPr="00FB4B74">
        <w:tab/>
        <w:t>Section 4.6.4.1.3, Responsive Reserve Payment;</w:t>
      </w:r>
    </w:p>
    <w:p w14:paraId="511C0716" w14:textId="10F6B280" w:rsidR="002F5868" w:rsidRDefault="00DD1AC6" w:rsidP="00D36908">
      <w:pPr>
        <w:pStyle w:val="List"/>
      </w:pPr>
      <w:r>
        <w:t>(i)</w:t>
      </w:r>
      <w:r>
        <w:tab/>
        <w:t>Section 4.6.4.1.4, Non-Spinning Reserve Service Payment;</w:t>
      </w:r>
    </w:p>
    <w:p w14:paraId="632A9DCF" w14:textId="74F4E8B6" w:rsidR="006B2D58" w:rsidRDefault="006B2D58" w:rsidP="00D36908">
      <w:pPr>
        <w:pStyle w:val="List"/>
      </w:pPr>
      <w:r w:rsidRPr="0003648D">
        <w:t>(j)</w:t>
      </w:r>
      <w:r w:rsidRPr="0003648D">
        <w:tab/>
        <w:t xml:space="preserve">Section 4.6.4.1.5, </w:t>
      </w:r>
      <w:r>
        <w:t>ERCOT Contingency Reserve Service</w:t>
      </w:r>
      <w:r w:rsidRPr="0003648D">
        <w:t xml:space="preserve"> Payment;</w:t>
      </w:r>
    </w:p>
    <w:p w14:paraId="0422DF2D" w14:textId="6660C0D5" w:rsidR="002F5868" w:rsidRDefault="00DD1AC6" w:rsidP="00353B99">
      <w:pPr>
        <w:pStyle w:val="List"/>
      </w:pPr>
      <w:r>
        <w:t>(</w:t>
      </w:r>
      <w:r w:rsidR="006B2D58">
        <w:t>k</w:t>
      </w:r>
      <w:r>
        <w:t>)</w:t>
      </w:r>
      <w:r>
        <w:tab/>
        <w:t>Section 4.6.4.2.1, Regulation Up Service Charge;</w:t>
      </w:r>
    </w:p>
    <w:p w14:paraId="48D8750C" w14:textId="1A446877" w:rsidR="002F5868" w:rsidRDefault="00DD1AC6">
      <w:pPr>
        <w:pStyle w:val="List"/>
      </w:pPr>
      <w:r>
        <w:t>(</w:t>
      </w:r>
      <w:r w:rsidR="006B2D58">
        <w:t>l</w:t>
      </w:r>
      <w:r>
        <w:t>)</w:t>
      </w:r>
      <w:r>
        <w:tab/>
        <w:t xml:space="preserve">Section 4.6.4.2.2, </w:t>
      </w:r>
      <w:hyperlink w:anchor="_Toc109527549" w:history="1">
        <w:r>
          <w:t>Regulation Down Service Charge</w:t>
        </w:r>
      </w:hyperlink>
      <w:r>
        <w:t>;</w:t>
      </w:r>
    </w:p>
    <w:p w14:paraId="330F33F0" w14:textId="4DB16049" w:rsidR="00CE1AB7" w:rsidRDefault="00DD1AC6" w:rsidP="00CE1AB7">
      <w:pPr>
        <w:pStyle w:val="List"/>
      </w:pPr>
      <w:r>
        <w:rPr>
          <w:lang w:val="pt-BR"/>
        </w:rPr>
        <w:lastRenderedPageBreak/>
        <w:t>(</w:t>
      </w:r>
      <w:r w:rsidR="006B2D58">
        <w:rPr>
          <w:lang w:val="pt-BR"/>
        </w:rPr>
        <w:t>m</w:t>
      </w:r>
      <w:r>
        <w:rPr>
          <w:lang w:val="pt-BR"/>
        </w:rPr>
        <w:t>)</w:t>
      </w:r>
      <w:r>
        <w:rPr>
          <w:lang w:val="pt-BR"/>
        </w:rPr>
        <w:tab/>
      </w:r>
      <w:r>
        <w:t xml:space="preserve">Section 4.6.4.2.3, </w:t>
      </w:r>
      <w:r>
        <w:rPr>
          <w:lang w:val="pt-BR"/>
        </w:rPr>
        <w:t>Responsive Reserve Charge;</w:t>
      </w:r>
    </w:p>
    <w:p w14:paraId="69484B36" w14:textId="1A14F1B1" w:rsidR="002F5868" w:rsidRDefault="00DD1AC6" w:rsidP="00D36908">
      <w:pPr>
        <w:pStyle w:val="List"/>
      </w:pPr>
      <w:r>
        <w:t>(</w:t>
      </w:r>
      <w:r w:rsidR="006B2D58">
        <w:t>n</w:t>
      </w:r>
      <w:r>
        <w:t>)</w:t>
      </w:r>
      <w:r>
        <w:tab/>
        <w:t>Section 4.6.4.2.4, Non-Spinning Reserve Service Charge;</w:t>
      </w:r>
    </w:p>
    <w:p w14:paraId="0C91716F" w14:textId="5FF975BB" w:rsidR="006B2D58" w:rsidRDefault="006B2D58" w:rsidP="00D36908">
      <w:pPr>
        <w:pStyle w:val="List"/>
      </w:pPr>
      <w:r w:rsidRPr="0003648D">
        <w:t>(o)</w:t>
      </w:r>
      <w:r w:rsidRPr="0003648D">
        <w:tab/>
        <w:t xml:space="preserve">Section 4.6.4.2.5, </w:t>
      </w:r>
      <w:r>
        <w:t>ERCOT Contingency Reserve Service</w:t>
      </w:r>
      <w:r w:rsidRPr="0003648D">
        <w:t xml:space="preserve"> Charge;</w:t>
      </w:r>
    </w:p>
    <w:p w14:paraId="6EBF2150" w14:textId="4911E098" w:rsidR="002F5868" w:rsidRDefault="00DD1AC6" w:rsidP="00353B99">
      <w:pPr>
        <w:pStyle w:val="List"/>
      </w:pPr>
      <w:r>
        <w:t>(</w:t>
      </w:r>
      <w:r w:rsidR="006B2D58">
        <w:t>p</w:t>
      </w:r>
      <w:r>
        <w:t>)</w:t>
      </w:r>
      <w:r>
        <w:tab/>
        <w:t>Section 7.9.1.1, Payments and Charges for PTP Obligations Settled in DAM;</w:t>
      </w:r>
    </w:p>
    <w:p w14:paraId="356DE67C" w14:textId="35C2834A" w:rsidR="002F5868" w:rsidRDefault="00DD1AC6">
      <w:pPr>
        <w:pStyle w:val="List"/>
      </w:pPr>
      <w:r>
        <w:t>(</w:t>
      </w:r>
      <w:r w:rsidR="006B2D58">
        <w:t>q</w:t>
      </w:r>
      <w:r>
        <w:t>)</w:t>
      </w:r>
      <w:r>
        <w:tab/>
        <w:t>Section 7.9.1.2, Payments for PTP Options Settled in DAM;</w:t>
      </w:r>
    </w:p>
    <w:p w14:paraId="542FF697" w14:textId="20435154" w:rsidR="002F5868" w:rsidRDefault="00DD1AC6">
      <w:pPr>
        <w:pStyle w:val="List"/>
      </w:pPr>
      <w:r>
        <w:t>(</w:t>
      </w:r>
      <w:r w:rsidR="00397195">
        <w:t>r</w:t>
      </w:r>
      <w:r>
        <w:t>)</w:t>
      </w:r>
      <w:r>
        <w:tab/>
        <w:t>Section 7.9.1.4, Payments for FGRs Settled in DAM;</w:t>
      </w:r>
    </w:p>
    <w:p w14:paraId="4F13ED00" w14:textId="7DFEECEB" w:rsidR="002F5868" w:rsidRDefault="00DD1AC6">
      <w:pPr>
        <w:pStyle w:val="List"/>
      </w:pPr>
      <w:r>
        <w:t>(</w:t>
      </w:r>
      <w:r w:rsidR="00397195">
        <w:t>s</w:t>
      </w:r>
      <w:r>
        <w:t>)</w:t>
      </w:r>
      <w:r>
        <w:tab/>
        <w:t>Section 7.9.1.5, Payments and Charges for PTP Obligations with Refund Settled in DAM;</w:t>
      </w:r>
    </w:p>
    <w:p w14:paraId="4A77F34A" w14:textId="522AD1BB" w:rsidR="002F5868" w:rsidRDefault="00DD1AC6">
      <w:pPr>
        <w:pStyle w:val="List"/>
      </w:pPr>
      <w:r>
        <w:t>(</w:t>
      </w:r>
      <w:r w:rsidR="00397195">
        <w:t>t</w:t>
      </w:r>
      <w:r>
        <w:t>)</w:t>
      </w:r>
      <w:r>
        <w:tab/>
        <w:t>Section 7.9.1.6, Payments for PTP Options with Refund Settled in DAM; and</w:t>
      </w:r>
    </w:p>
    <w:p w14:paraId="76BD3300" w14:textId="390676EA" w:rsidR="002F5868" w:rsidRDefault="00DD1AC6">
      <w:pPr>
        <w:pStyle w:val="List"/>
      </w:pPr>
      <w:r>
        <w:t>(</w:t>
      </w:r>
      <w:r w:rsidR="00397195">
        <w:t>u</w:t>
      </w:r>
      <w:r>
        <w:t>)</w:t>
      </w:r>
      <w:r>
        <w:tab/>
      </w:r>
      <w:r w:rsidR="00A46174">
        <w:t xml:space="preserve">Paragraph (2) of </w:t>
      </w:r>
      <w:r>
        <w:t>Section 7.9.3.3, Shortfall Charges to CRR Owners.</w:t>
      </w:r>
    </w:p>
    <w:p w14:paraId="535A6E07" w14:textId="77777777" w:rsidR="002F5868" w:rsidRPr="008910B8" w:rsidRDefault="00DD1AC6">
      <w:pPr>
        <w:pStyle w:val="H3"/>
        <w:rPr>
          <w:b/>
          <w:i/>
        </w:rPr>
      </w:pPr>
      <w:bookmarkStart w:id="67" w:name="_Toc309731026"/>
      <w:bookmarkStart w:id="68" w:name="_Toc405814008"/>
      <w:bookmarkStart w:id="69" w:name="_Toc422207898"/>
      <w:bookmarkStart w:id="70" w:name="_Toc438044812"/>
      <w:bookmarkStart w:id="71" w:name="_Toc447622595"/>
      <w:bookmarkStart w:id="72" w:name="_Toc80175245"/>
      <w:r w:rsidRPr="008910B8">
        <w:rPr>
          <w:b/>
          <w:i/>
        </w:rPr>
        <w:t>9.2.4</w:t>
      </w:r>
      <w:r w:rsidRPr="008910B8">
        <w:rPr>
          <w:b/>
          <w:i/>
        </w:rPr>
        <w:tab/>
        <w:t>DAM Statement</w:t>
      </w:r>
      <w:bookmarkEnd w:id="67"/>
      <w:bookmarkEnd w:id="68"/>
      <w:bookmarkEnd w:id="69"/>
      <w:bookmarkEnd w:id="70"/>
      <w:bookmarkEnd w:id="71"/>
      <w:bookmarkEnd w:id="72"/>
    </w:p>
    <w:p w14:paraId="4F3BD317" w14:textId="77777777" w:rsidR="002F5868" w:rsidRDefault="00A0123C" w:rsidP="00660ED3">
      <w:pPr>
        <w:pStyle w:val="BodyTextNumbered"/>
      </w:pPr>
      <w:r>
        <w:rPr>
          <w:iCs/>
        </w:rPr>
        <w:t>(1)</w:t>
      </w:r>
      <w:r>
        <w:rPr>
          <w:iCs/>
        </w:rPr>
        <w:tab/>
      </w:r>
      <w:r w:rsidR="00DD1AC6">
        <w:t>ERCOT shall produce a DAM Statement for each Statement Recipient for the given DAM on the second Business Day after the Operating Day.</w:t>
      </w:r>
    </w:p>
    <w:p w14:paraId="451DFD4F" w14:textId="77777777" w:rsidR="002F5868" w:rsidRPr="008910B8" w:rsidRDefault="00DD1AC6">
      <w:pPr>
        <w:pStyle w:val="H3"/>
        <w:rPr>
          <w:b/>
          <w:i/>
        </w:rPr>
      </w:pPr>
      <w:bookmarkStart w:id="73" w:name="_Toc309731027"/>
      <w:bookmarkStart w:id="74" w:name="_Toc405814009"/>
      <w:bookmarkStart w:id="75" w:name="_Toc422207899"/>
      <w:bookmarkStart w:id="76" w:name="_Toc438044813"/>
      <w:bookmarkStart w:id="77" w:name="_Toc447622596"/>
      <w:bookmarkStart w:id="78" w:name="_Toc80175246"/>
      <w:r w:rsidRPr="008910B8">
        <w:rPr>
          <w:b/>
          <w:i/>
        </w:rPr>
        <w:t>9.2.5</w:t>
      </w:r>
      <w:r w:rsidRPr="008910B8">
        <w:rPr>
          <w:b/>
          <w:i/>
        </w:rPr>
        <w:tab/>
        <w:t>DAM Resettlement Statement</w:t>
      </w:r>
      <w:bookmarkEnd w:id="73"/>
      <w:bookmarkEnd w:id="74"/>
      <w:bookmarkEnd w:id="75"/>
      <w:bookmarkEnd w:id="76"/>
      <w:bookmarkEnd w:id="77"/>
      <w:bookmarkEnd w:id="78"/>
    </w:p>
    <w:p w14:paraId="2A8BA561" w14:textId="5464CEB4" w:rsidR="00D41086" w:rsidRPr="00A10FC3" w:rsidRDefault="00D41086" w:rsidP="00D41086">
      <w:pPr>
        <w:spacing w:after="240"/>
        <w:ind w:left="720" w:hanging="720"/>
      </w:pPr>
      <w:r w:rsidRPr="00A10FC3">
        <w:t>(1)</w:t>
      </w:r>
      <w:r w:rsidRPr="00A10FC3">
        <w:tab/>
        <w:t xml:space="preserve">ERCOT shall issue DAM Resettlement Statements for a given Operating Day if the ERCOT Board finds that the DAM Locational Marginal Prices (LMPs), Market Clearing Prices for Capacity (MCPCs), or Settlement Point Prices are significantly affected by a software or other error under Section 4.5.3, Communicating DAM Results.  ERCOT shall also produce DAM Resettlement Statements required by resolution of Settlement and </w:t>
      </w:r>
      <w:r w:rsidR="00A16DB0">
        <w:t>b</w:t>
      </w:r>
      <w:r w:rsidRPr="00A10FC3">
        <w:t>illing disputes</w:t>
      </w:r>
      <w:r w:rsidR="004E366D" w:rsidRPr="004E366D">
        <w:t xml:space="preserve"> </w:t>
      </w:r>
      <w:r w:rsidR="004E366D">
        <w:t>and the correction of errors other than price errors pursuant to this Section</w:t>
      </w:r>
      <w:r w:rsidRPr="00A10FC3">
        <w:t>.  In addition, the ERCOT Board may, in its discretion, direct ERCOT to run a resettlement of any Operating Day, at any time, to address unusual circumstances.</w:t>
      </w:r>
    </w:p>
    <w:p w14:paraId="4A54405F" w14:textId="77777777" w:rsidR="00D41086" w:rsidRDefault="00D41086" w:rsidP="00D41086">
      <w:pPr>
        <w:spacing w:after="240"/>
        <w:ind w:left="720" w:hanging="720"/>
      </w:pPr>
      <w:r w:rsidRPr="00A10FC3">
        <w:t>(2)</w:t>
      </w:r>
      <w:r w:rsidRPr="00A10FC3">
        <w:tab/>
        <w:t>ERCOT shall issue a DAM Resettlement Statement for a given Operating Day due to errors other than errors in prices when</w:t>
      </w:r>
      <w:r>
        <w:t>:</w:t>
      </w:r>
    </w:p>
    <w:p w14:paraId="1D3656F4" w14:textId="0587CF38" w:rsidR="00D41086" w:rsidRDefault="00D41086" w:rsidP="00D41086">
      <w:pPr>
        <w:spacing w:after="240"/>
        <w:ind w:left="1440" w:hanging="720"/>
        <w:rPr>
          <w:iCs/>
        </w:rPr>
      </w:pPr>
      <w:r>
        <w:rPr>
          <w:iCs/>
        </w:rPr>
        <w:t>(a</w:t>
      </w:r>
      <w:r w:rsidRPr="00A10FC3">
        <w:rPr>
          <w:iCs/>
        </w:rPr>
        <w:t>)</w:t>
      </w:r>
      <w:r w:rsidRPr="00A10FC3">
        <w:rPr>
          <w:iCs/>
        </w:rPr>
        <w:tab/>
      </w:r>
      <w:r>
        <w:rPr>
          <w:iCs/>
        </w:rPr>
        <w:t>T</w:t>
      </w:r>
      <w:r w:rsidRPr="001044B0">
        <w:rPr>
          <w:iCs/>
        </w:rPr>
        <w:t xml:space="preserve">he total of all errors other than price errors results in an absolute value </w:t>
      </w:r>
      <w:r w:rsidRPr="00D51253">
        <w:rPr>
          <w:iCs/>
        </w:rPr>
        <w:t>impact greater than 2% of the total DAM Statement amount for any single Statement Recipient for the Operating Day</w:t>
      </w:r>
      <w:r>
        <w:rPr>
          <w:iCs/>
        </w:rPr>
        <w:t>;</w:t>
      </w:r>
    </w:p>
    <w:p w14:paraId="197EB6E6" w14:textId="77777777" w:rsidR="004E366D" w:rsidRDefault="00D41086" w:rsidP="00D41086">
      <w:pPr>
        <w:spacing w:after="240"/>
        <w:ind w:left="1440" w:hanging="720"/>
        <w:rPr>
          <w:iCs/>
        </w:rPr>
      </w:pPr>
      <w:r>
        <w:rPr>
          <w:iCs/>
        </w:rPr>
        <w:t>(b</w:t>
      </w:r>
      <w:r w:rsidRPr="00A10FC3">
        <w:rPr>
          <w:iCs/>
        </w:rPr>
        <w:t>)</w:t>
      </w:r>
      <w:r w:rsidRPr="00A10FC3">
        <w:rPr>
          <w:iCs/>
        </w:rPr>
        <w:tab/>
      </w:r>
      <w:r>
        <w:rPr>
          <w:iCs/>
        </w:rPr>
        <w:t xml:space="preserve">The </w:t>
      </w:r>
      <w:r w:rsidRPr="001044B0">
        <w:rPr>
          <w:iCs/>
        </w:rPr>
        <w:t>impact to the Statement Recipient is greater than $200.00</w:t>
      </w:r>
      <w:r w:rsidR="004E366D">
        <w:rPr>
          <w:iCs/>
        </w:rPr>
        <w:t>; and</w:t>
      </w:r>
    </w:p>
    <w:p w14:paraId="48B28B55" w14:textId="2758ECBC" w:rsidR="00D41086" w:rsidRPr="001044B0" w:rsidRDefault="004E366D" w:rsidP="00D41086">
      <w:pPr>
        <w:spacing w:after="240"/>
        <w:ind w:left="1440" w:hanging="720"/>
        <w:rPr>
          <w:iCs/>
        </w:rPr>
      </w:pPr>
      <w:r>
        <w:rPr>
          <w:iCs/>
        </w:rPr>
        <w:t>(c)</w:t>
      </w:r>
      <w:r>
        <w:rPr>
          <w:iCs/>
        </w:rPr>
        <w:tab/>
        <w:t xml:space="preserve">The </w:t>
      </w:r>
      <w:r w:rsidRPr="00324D4D">
        <w:t>error is discovered</w:t>
      </w:r>
      <w:r>
        <w:t>,</w:t>
      </w:r>
      <w:r w:rsidRPr="00324D4D">
        <w:t xml:space="preserve"> and </w:t>
      </w:r>
      <w:r>
        <w:t>a Market N</w:t>
      </w:r>
      <w:r w:rsidRPr="00324D4D">
        <w:t>otice of the error is provided to Market Participants</w:t>
      </w:r>
      <w:r>
        <w:t xml:space="preserve">, within </w:t>
      </w:r>
      <w:r w:rsidRPr="00585E54">
        <w:t>one year of the Operating Day at issue</w:t>
      </w:r>
      <w:r w:rsidR="00D41086" w:rsidRPr="001044B0">
        <w:rPr>
          <w:iCs/>
        </w:rPr>
        <w:t>.</w:t>
      </w:r>
    </w:p>
    <w:p w14:paraId="04981AAB" w14:textId="77777777" w:rsidR="00D41086" w:rsidRPr="00A10FC3" w:rsidRDefault="00D41086" w:rsidP="00D41086">
      <w:pPr>
        <w:spacing w:after="240"/>
        <w:ind w:left="720" w:hanging="720"/>
      </w:pPr>
      <w:r w:rsidRPr="00A10FC3">
        <w:lastRenderedPageBreak/>
        <w:t>(3)</w:t>
      </w:r>
      <w:r w:rsidRPr="00A10FC3">
        <w:tab/>
        <w:t>ERCOT shall issue a DAM Resettlement Statement for an Operating Day if an error in the DAM Settlement, which does not otherwise meet the Protocol requirements for resettlement as specified in paragraphs (1) and (2) above, will prevent ERCOT from achieving revenue neutrality.</w:t>
      </w:r>
    </w:p>
    <w:p w14:paraId="5A43BCFB" w14:textId="77777777" w:rsidR="00D41086" w:rsidRPr="00A10FC3" w:rsidRDefault="00D41086" w:rsidP="00D41086">
      <w:pPr>
        <w:spacing w:after="240"/>
        <w:ind w:left="720" w:hanging="720"/>
      </w:pPr>
      <w:r w:rsidRPr="00A10FC3">
        <w:t xml:space="preserve">(4) </w:t>
      </w:r>
      <w:r w:rsidRPr="00A10FC3">
        <w:tab/>
        <w:t>No later than 150 days after each affected Operating Day, ERCOT shall resettle Operating Days with errors</w:t>
      </w:r>
      <w:r>
        <w:t>,</w:t>
      </w:r>
      <w:r w:rsidRPr="00A10FC3">
        <w:t xml:space="preserve"> other than errors in prices</w:t>
      </w:r>
      <w:r>
        <w:t>,</w:t>
      </w:r>
      <w:r w:rsidRPr="00A10FC3">
        <w:t xml:space="preserve"> with cumulative impacts that do not meet the threshold described in paragraph (2)</w:t>
      </w:r>
      <w:r>
        <w:t xml:space="preserve"> above if</w:t>
      </w:r>
      <w:r w:rsidRPr="00A10FC3">
        <w:t xml:space="preserve"> </w:t>
      </w:r>
      <w:r>
        <w:t>t</w:t>
      </w:r>
      <w:r w:rsidRPr="00A10FC3">
        <w:t>he cumulative effect of errors to a single Statement Recipient in the 150 day window result</w:t>
      </w:r>
      <w:r>
        <w:t>s</w:t>
      </w:r>
      <w:r w:rsidRPr="00A10FC3">
        <w:t xml:space="preserve"> in an absolute value impact greater than 1% of the total DAM Statement amounts for any Statement Recipient for the affected Operating Days</w:t>
      </w:r>
      <w:r>
        <w:t>,</w:t>
      </w:r>
      <w:r w:rsidRPr="00A10FC3">
        <w:t xml:space="preserve"> if this impact to the Statement Recipient is greater than $5,000.00.</w:t>
      </w:r>
    </w:p>
    <w:p w14:paraId="73B5BF20" w14:textId="77777777" w:rsidR="002F5868" w:rsidRDefault="00D41086" w:rsidP="00940731">
      <w:pPr>
        <w:pStyle w:val="BodyTextNumbered"/>
      </w:pPr>
      <w:r w:rsidRPr="00A10FC3">
        <w:t>(5)</w:t>
      </w:r>
      <w:r w:rsidRPr="00A10FC3">
        <w:tab/>
        <w:t>A DAM Resettlement Statement must reflect differences to financial records generated on the previous Settlement Statement for the given DAM.</w:t>
      </w:r>
    </w:p>
    <w:p w14:paraId="285CB07D" w14:textId="77777777" w:rsidR="004E366D" w:rsidRPr="00495A70" w:rsidRDefault="004E366D" w:rsidP="004E366D">
      <w:pPr>
        <w:spacing w:after="240"/>
        <w:ind w:left="720" w:hanging="720"/>
      </w:pPr>
      <w:bookmarkStart w:id="79" w:name="_Toc309731028"/>
      <w:bookmarkStart w:id="80" w:name="_Toc405814010"/>
      <w:bookmarkStart w:id="81" w:name="_Toc422207900"/>
      <w:bookmarkStart w:id="82" w:name="_Toc438044814"/>
      <w:bookmarkStart w:id="83" w:name="_Toc447622597"/>
      <w:bookmarkStart w:id="84" w:name="_Toc80175247"/>
      <w:r>
        <w:t>(6)</w:t>
      </w:r>
      <w:r>
        <w:tab/>
        <w:t>ERCOT may issue DAM Resettlement Statements after the timeline referenced in paragraph (2) above if directed by the ERCOT Board, the result of a resolution of an Alternative Dispute Resolution (ADR) procedure, or under the procedure for Return of Settlement Funds.</w:t>
      </w:r>
      <w:r w:rsidRPr="00495A70">
        <w:t xml:space="preserve">  </w:t>
      </w:r>
    </w:p>
    <w:p w14:paraId="06EB7CDC" w14:textId="77777777" w:rsidR="004E366D" w:rsidRDefault="004E366D" w:rsidP="004E366D">
      <w:pPr>
        <w:pStyle w:val="BodyText"/>
        <w:ind w:left="720" w:hanging="720"/>
      </w:pPr>
      <w:r>
        <w:t>(7)</w:t>
      </w:r>
      <w:r>
        <w:tab/>
      </w:r>
      <w:r w:rsidRPr="003760AA">
        <w:t>I</w:t>
      </w:r>
      <w:r>
        <w:t xml:space="preserve">f ERCOT is required to issue a Resettlement Statement per this Section, but resettlement </w:t>
      </w:r>
      <w:r w:rsidRPr="003760AA">
        <w:t xml:space="preserve">is not </w:t>
      </w:r>
      <w:r>
        <w:t xml:space="preserve">practicable due to system limitations, </w:t>
      </w:r>
      <w:r w:rsidRPr="003760AA">
        <w:t xml:space="preserve">ERCOT shall make the adjustments through a separate Invoice that is produced outside of normal Settlement </w:t>
      </w:r>
      <w:r>
        <w:t>Invoices</w:t>
      </w:r>
      <w:r w:rsidRPr="003760AA">
        <w:t xml:space="preserve">.  The appropriate payments and charges, along with </w:t>
      </w:r>
      <w:r>
        <w:t>S</w:t>
      </w:r>
      <w:r w:rsidRPr="003760AA">
        <w:t>ettlement</w:t>
      </w:r>
      <w:r>
        <w:t>-</w:t>
      </w:r>
      <w:r w:rsidRPr="003760AA">
        <w:t>quality information, shall be supplied to all</w:t>
      </w:r>
      <w:r>
        <w:t xml:space="preserve"> impacted </w:t>
      </w:r>
      <w:r w:rsidRPr="003760AA">
        <w:t>Market Participants.</w:t>
      </w:r>
    </w:p>
    <w:p w14:paraId="1E721594" w14:textId="77777777" w:rsidR="002F5868" w:rsidRPr="008910B8" w:rsidRDefault="00DD1AC6" w:rsidP="00B34F9F">
      <w:pPr>
        <w:pStyle w:val="H3"/>
        <w:rPr>
          <w:b/>
          <w:i/>
        </w:rPr>
      </w:pPr>
      <w:r w:rsidRPr="008910B8">
        <w:rPr>
          <w:b/>
          <w:i/>
        </w:rPr>
        <w:t>9.2.6</w:t>
      </w:r>
      <w:r w:rsidRPr="008910B8">
        <w:rPr>
          <w:b/>
          <w:i/>
        </w:rPr>
        <w:tab/>
        <w:t>Notice of Resettlement for the DAM</w:t>
      </w:r>
      <w:bookmarkEnd w:id="79"/>
      <w:bookmarkEnd w:id="80"/>
      <w:bookmarkEnd w:id="81"/>
      <w:bookmarkEnd w:id="82"/>
      <w:bookmarkEnd w:id="83"/>
      <w:bookmarkEnd w:id="84"/>
    </w:p>
    <w:p w14:paraId="19B2986C" w14:textId="77777777" w:rsidR="00D41086" w:rsidRPr="00A10FC3" w:rsidRDefault="00D41086" w:rsidP="00D41086">
      <w:pPr>
        <w:widowControl w:val="0"/>
        <w:spacing w:after="240"/>
        <w:ind w:left="720" w:hanging="720"/>
      </w:pPr>
      <w:r w:rsidRPr="00A10FC3">
        <w:rPr>
          <w:iCs/>
        </w:rPr>
        <w:t>(1)</w:t>
      </w:r>
      <w:r w:rsidRPr="00A10FC3">
        <w:rPr>
          <w:iCs/>
        </w:rPr>
        <w:tab/>
      </w:r>
      <w:r w:rsidRPr="00A10FC3">
        <w:t xml:space="preserve">While maintaining confidentiality of all Market Participants, ERCOT shall </w:t>
      </w:r>
      <w:r w:rsidRPr="00A10FC3">
        <w:rPr>
          <w:iCs/>
        </w:rPr>
        <w:t>send a Market Notice</w:t>
      </w:r>
      <w:r w:rsidRPr="00A10FC3">
        <w:t xml:space="preserve"> in conjunction with the resettlement, indicating the resettlement of the DAM for a specific Operating Day and the date of issuance of the Resettlement Statements for the DAM.  ERCOT shall include the following information in the notice of resettlement:</w:t>
      </w:r>
    </w:p>
    <w:p w14:paraId="738E2FE9" w14:textId="77777777" w:rsidR="00D41086" w:rsidRPr="00A10FC3" w:rsidRDefault="00D41086" w:rsidP="00D41086">
      <w:pPr>
        <w:spacing w:after="240"/>
        <w:ind w:left="1440" w:hanging="720"/>
      </w:pPr>
      <w:r w:rsidRPr="00A10FC3">
        <w:t>(a)</w:t>
      </w:r>
      <w:r w:rsidRPr="00A10FC3">
        <w:tab/>
        <w:t>Detailed description of reason(s) for resettlement;</w:t>
      </w:r>
    </w:p>
    <w:p w14:paraId="30D10531" w14:textId="77777777" w:rsidR="00D41086" w:rsidRPr="00A10FC3" w:rsidRDefault="00D41086" w:rsidP="00D41086">
      <w:pPr>
        <w:spacing w:after="240"/>
        <w:ind w:left="1440" w:hanging="720"/>
      </w:pPr>
      <w:r w:rsidRPr="00A10FC3">
        <w:t>(b)</w:t>
      </w:r>
      <w:r w:rsidRPr="00A10FC3">
        <w:tab/>
        <w:t>For the applicable Operating Day;</w:t>
      </w:r>
    </w:p>
    <w:p w14:paraId="5DC0F2E7" w14:textId="77777777" w:rsidR="00D41086" w:rsidRPr="00A10FC3" w:rsidRDefault="00D41086" w:rsidP="00D41086">
      <w:pPr>
        <w:spacing w:after="240"/>
        <w:ind w:left="1440" w:hanging="720"/>
      </w:pPr>
      <w:r w:rsidRPr="00A10FC3">
        <w:t>(c)</w:t>
      </w:r>
      <w:r w:rsidRPr="00A10FC3">
        <w:tab/>
        <w:t>Affected Charge Types; and</w:t>
      </w:r>
    </w:p>
    <w:p w14:paraId="4E337A68" w14:textId="77777777" w:rsidR="002F5868" w:rsidRDefault="00D41086">
      <w:pPr>
        <w:pStyle w:val="List"/>
      </w:pPr>
      <w:r w:rsidRPr="00A10FC3">
        <w:t>(d)</w:t>
      </w:r>
      <w:r w:rsidRPr="00A10FC3">
        <w:tab/>
        <w:t>Total resettled amount, by Charge Type.</w:t>
      </w:r>
    </w:p>
    <w:p w14:paraId="27EBD69A" w14:textId="77777777" w:rsidR="002F5868" w:rsidRPr="008910B8" w:rsidRDefault="00DD1AC6" w:rsidP="00B34F9F">
      <w:pPr>
        <w:pStyle w:val="H3"/>
        <w:rPr>
          <w:b/>
          <w:i/>
        </w:rPr>
      </w:pPr>
      <w:bookmarkStart w:id="85" w:name="_Toc309731029"/>
      <w:bookmarkStart w:id="86" w:name="_Toc405814011"/>
      <w:bookmarkStart w:id="87" w:name="_Toc422207901"/>
      <w:bookmarkStart w:id="88" w:name="_Toc438044815"/>
      <w:bookmarkStart w:id="89" w:name="_Toc447622598"/>
      <w:bookmarkStart w:id="90" w:name="_Toc80175248"/>
      <w:r w:rsidRPr="008910B8">
        <w:rPr>
          <w:b/>
          <w:i/>
        </w:rPr>
        <w:t>9.2.7</w:t>
      </w:r>
      <w:r w:rsidRPr="008910B8">
        <w:rPr>
          <w:b/>
          <w:i/>
        </w:rPr>
        <w:tab/>
        <w:t>Confirmation of Statement for the DAM</w:t>
      </w:r>
      <w:bookmarkEnd w:id="85"/>
      <w:bookmarkEnd w:id="86"/>
      <w:bookmarkEnd w:id="87"/>
      <w:bookmarkEnd w:id="88"/>
      <w:bookmarkEnd w:id="89"/>
      <w:bookmarkEnd w:id="90"/>
    </w:p>
    <w:p w14:paraId="1D949E3A" w14:textId="77777777" w:rsidR="002F5868" w:rsidRDefault="00A0123C" w:rsidP="00660ED3">
      <w:pPr>
        <w:pStyle w:val="BodyTextNumbered"/>
        <w:widowControl w:val="0"/>
      </w:pPr>
      <w:r>
        <w:rPr>
          <w:iCs/>
        </w:rPr>
        <w:t>(1)</w:t>
      </w:r>
      <w:r>
        <w:rPr>
          <w:iCs/>
        </w:rPr>
        <w:tab/>
      </w:r>
      <w:r w:rsidR="00DD1AC6">
        <w:t xml:space="preserve">It is the responsibility of each Statement Recipient to notify ERCOT if a Settlement Statement for the DAM is not available on the MIS Certified Area on the date specified </w:t>
      </w:r>
      <w:r w:rsidR="00DD1AC6">
        <w:lastRenderedPageBreak/>
        <w:t xml:space="preserve">for posting of that Settlement Statement in the Settlement Calendar.  Each Settlement Statement for the DAM is deemed to have been available on the posting date specified on the Settlement Calendar, unless ERCOT is notified to the contrary.  If ERCOT receives notice that a Settlement Statement is not available, ERCOT shall make reasonable attempts to provide the Settlement Statement to the Statement Recipient, and ERCOT shall modify the Settlement and billing timeline accordingly for that Settlement Statement.  </w:t>
      </w:r>
    </w:p>
    <w:p w14:paraId="6986C719" w14:textId="77777777" w:rsidR="002F5868" w:rsidRPr="008910B8" w:rsidRDefault="00DD1AC6">
      <w:pPr>
        <w:pStyle w:val="H3"/>
        <w:rPr>
          <w:b/>
          <w:i/>
        </w:rPr>
      </w:pPr>
      <w:bookmarkStart w:id="91" w:name="_Toc309731030"/>
      <w:bookmarkStart w:id="92" w:name="_Toc405814012"/>
      <w:bookmarkStart w:id="93" w:name="_Toc422207902"/>
      <w:bookmarkStart w:id="94" w:name="_Toc438044816"/>
      <w:bookmarkStart w:id="95" w:name="_Toc447622599"/>
      <w:bookmarkStart w:id="96" w:name="_Toc80175249"/>
      <w:r w:rsidRPr="008910B8">
        <w:rPr>
          <w:b/>
          <w:i/>
        </w:rPr>
        <w:t>9.2.8</w:t>
      </w:r>
      <w:r w:rsidRPr="008910B8">
        <w:rPr>
          <w:b/>
          <w:i/>
        </w:rPr>
        <w:tab/>
        <w:t>Validation of the Settlement Statement for the DAM</w:t>
      </w:r>
      <w:bookmarkEnd w:id="91"/>
      <w:bookmarkEnd w:id="92"/>
      <w:bookmarkEnd w:id="93"/>
      <w:bookmarkEnd w:id="94"/>
      <w:bookmarkEnd w:id="95"/>
      <w:bookmarkEnd w:id="96"/>
    </w:p>
    <w:p w14:paraId="7290F47A" w14:textId="77777777" w:rsidR="002F5868" w:rsidRDefault="00A0123C" w:rsidP="00660ED3">
      <w:pPr>
        <w:pStyle w:val="BodyTextNumbered"/>
        <w:widowControl w:val="0"/>
      </w:pPr>
      <w:r>
        <w:rPr>
          <w:iCs/>
        </w:rPr>
        <w:t>(1)</w:t>
      </w:r>
      <w:r>
        <w:rPr>
          <w:iCs/>
        </w:rPr>
        <w:tab/>
      </w:r>
      <w:r w:rsidR="00DD1AC6">
        <w:t>The Statement Recipient is deemed to have validated each Settlement Statement for the DAM unless it has raised a Settlement and billing dispute under Section 9.14</w:t>
      </w:r>
      <w:r w:rsidR="00A46174">
        <w:t>, Settlement and Billing Dispute Process</w:t>
      </w:r>
      <w:r w:rsidR="00DD1AC6">
        <w:t xml:space="preserve">. </w:t>
      </w:r>
    </w:p>
    <w:p w14:paraId="3DFFE9D3" w14:textId="77777777" w:rsidR="002F5868" w:rsidRPr="008910B8" w:rsidRDefault="00DD1AC6">
      <w:pPr>
        <w:pStyle w:val="H3"/>
        <w:rPr>
          <w:b/>
          <w:i/>
        </w:rPr>
      </w:pPr>
      <w:bookmarkStart w:id="97" w:name="_Toc112746423"/>
      <w:bookmarkStart w:id="98" w:name="_Toc112746669"/>
      <w:bookmarkStart w:id="99" w:name="_Toc112746840"/>
      <w:bookmarkStart w:id="100" w:name="_Toc309731031"/>
      <w:bookmarkStart w:id="101" w:name="_Toc405814013"/>
      <w:bookmarkStart w:id="102" w:name="_Toc422207903"/>
      <w:bookmarkStart w:id="103" w:name="_Toc438044817"/>
      <w:bookmarkStart w:id="104" w:name="_Toc447622600"/>
      <w:bookmarkStart w:id="105" w:name="_Toc80175250"/>
      <w:r w:rsidRPr="008910B8">
        <w:rPr>
          <w:b/>
          <w:i/>
        </w:rPr>
        <w:t>9.2.9</w:t>
      </w:r>
      <w:r w:rsidRPr="008910B8">
        <w:rPr>
          <w:b/>
          <w:i/>
        </w:rPr>
        <w:tab/>
        <w:t>Suspension of Issuing Settlement Statements for the DAM</w:t>
      </w:r>
      <w:bookmarkEnd w:id="97"/>
      <w:bookmarkEnd w:id="98"/>
      <w:bookmarkEnd w:id="99"/>
      <w:bookmarkEnd w:id="100"/>
      <w:bookmarkEnd w:id="101"/>
      <w:bookmarkEnd w:id="102"/>
      <w:bookmarkEnd w:id="103"/>
      <w:bookmarkEnd w:id="104"/>
      <w:bookmarkEnd w:id="105"/>
    </w:p>
    <w:p w14:paraId="1DBA2716" w14:textId="77777777" w:rsidR="002F5868" w:rsidRDefault="00A0123C" w:rsidP="00660ED3">
      <w:pPr>
        <w:pStyle w:val="BodyTextNumbered"/>
        <w:widowControl w:val="0"/>
      </w:pPr>
      <w:r>
        <w:rPr>
          <w:iCs/>
        </w:rPr>
        <w:t>(1)</w:t>
      </w:r>
      <w:r>
        <w:rPr>
          <w:iCs/>
        </w:rPr>
        <w:tab/>
      </w:r>
      <w:r w:rsidR="00DD1AC6">
        <w:t>The ERCOT Board may direct ERCOT to suspend the issuance of any Settlement Statement for the DAM to address unusual circumstances.  Any proposal to suspend settlements must be presented to the Technical Advisory Committee (TAC) for review and comment, in a reasonable manner under the circumstances, prior to such suspension.</w:t>
      </w:r>
    </w:p>
    <w:p w14:paraId="097A2BE5" w14:textId="77777777" w:rsidR="002F5868" w:rsidRPr="00C2257A" w:rsidRDefault="00DD1AC6">
      <w:pPr>
        <w:pStyle w:val="H2"/>
        <w:rPr>
          <w:lang w:val="en-US"/>
        </w:rPr>
      </w:pPr>
      <w:bookmarkStart w:id="106" w:name="_Toc97371083"/>
      <w:bookmarkStart w:id="107" w:name="_Toc309731032"/>
      <w:bookmarkStart w:id="108" w:name="_Toc405814014"/>
      <w:bookmarkStart w:id="109" w:name="_Toc422207904"/>
      <w:bookmarkStart w:id="110" w:name="_Toc438044818"/>
      <w:bookmarkStart w:id="111" w:name="_Toc447622601"/>
      <w:bookmarkStart w:id="112" w:name="_Toc80175251"/>
      <w:r>
        <w:t>9.3</w:t>
      </w:r>
      <w:r>
        <w:tab/>
      </w:r>
      <w:bookmarkEnd w:id="106"/>
      <w:bookmarkEnd w:id="107"/>
      <w:r w:rsidR="001B2D9D" w:rsidRPr="00C2257A">
        <w:rPr>
          <w:i/>
          <w:lang w:val="en-US"/>
        </w:rPr>
        <w:t>[RESERVED]</w:t>
      </w:r>
      <w:bookmarkEnd w:id="108"/>
      <w:bookmarkEnd w:id="109"/>
      <w:bookmarkEnd w:id="110"/>
      <w:bookmarkEnd w:id="111"/>
      <w:bookmarkEnd w:id="112"/>
    </w:p>
    <w:p w14:paraId="2EF2ACCF" w14:textId="77777777" w:rsidR="002F5868" w:rsidRPr="008436F5" w:rsidRDefault="00DD1AC6">
      <w:pPr>
        <w:pStyle w:val="H2"/>
        <w:rPr>
          <w:lang w:val="en-US"/>
        </w:rPr>
      </w:pPr>
      <w:bookmarkStart w:id="113" w:name="_Toc97371084"/>
      <w:bookmarkStart w:id="114" w:name="_Toc309731034"/>
      <w:bookmarkStart w:id="115" w:name="_Toc405814015"/>
      <w:bookmarkStart w:id="116" w:name="_Toc422207905"/>
      <w:bookmarkStart w:id="117" w:name="_Toc438044819"/>
      <w:bookmarkStart w:id="118" w:name="_Toc447622602"/>
      <w:bookmarkStart w:id="119" w:name="_Toc80175252"/>
      <w:r>
        <w:t>9.4</w:t>
      </w:r>
      <w:r>
        <w:tab/>
      </w:r>
      <w:bookmarkEnd w:id="113"/>
      <w:bookmarkEnd w:id="114"/>
      <w:r w:rsidR="001B2D9D" w:rsidRPr="008436F5">
        <w:rPr>
          <w:i/>
          <w:lang w:val="en-US"/>
        </w:rPr>
        <w:t>[RESERVED]</w:t>
      </w:r>
      <w:bookmarkEnd w:id="115"/>
      <w:bookmarkEnd w:id="116"/>
      <w:bookmarkEnd w:id="117"/>
      <w:bookmarkEnd w:id="118"/>
      <w:bookmarkEnd w:id="119"/>
    </w:p>
    <w:p w14:paraId="2EDC5904" w14:textId="77777777" w:rsidR="002F5868" w:rsidRDefault="00DD1AC6">
      <w:pPr>
        <w:pStyle w:val="H2"/>
        <w:ind w:left="0" w:firstLine="0"/>
      </w:pPr>
      <w:bookmarkStart w:id="120" w:name="_Toc309731041"/>
      <w:bookmarkStart w:id="121" w:name="_Toc405814016"/>
      <w:bookmarkStart w:id="122" w:name="_Toc422207906"/>
      <w:bookmarkStart w:id="123" w:name="_Toc438044820"/>
      <w:bookmarkStart w:id="124" w:name="_Toc447622603"/>
      <w:bookmarkStart w:id="125" w:name="_Toc80175253"/>
      <w:r>
        <w:t>9.5</w:t>
      </w:r>
      <w:r>
        <w:tab/>
        <w:t>Settlement Statements for Real-Time Market</w:t>
      </w:r>
      <w:bookmarkEnd w:id="120"/>
      <w:bookmarkEnd w:id="121"/>
      <w:bookmarkEnd w:id="122"/>
      <w:bookmarkEnd w:id="123"/>
      <w:bookmarkEnd w:id="124"/>
      <w:bookmarkEnd w:id="125"/>
    </w:p>
    <w:p w14:paraId="564FC3CC" w14:textId="77777777" w:rsidR="002F5868" w:rsidRPr="008910B8" w:rsidRDefault="00DD1AC6">
      <w:pPr>
        <w:pStyle w:val="H3"/>
        <w:rPr>
          <w:b/>
          <w:i/>
        </w:rPr>
      </w:pPr>
      <w:bookmarkStart w:id="126" w:name="_Toc309731042"/>
      <w:bookmarkStart w:id="127" w:name="_Toc405814017"/>
      <w:bookmarkStart w:id="128" w:name="_Toc422207907"/>
      <w:bookmarkStart w:id="129" w:name="_Toc438044821"/>
      <w:bookmarkStart w:id="130" w:name="_Toc447622604"/>
      <w:bookmarkStart w:id="131" w:name="_Toc80175254"/>
      <w:r w:rsidRPr="008910B8">
        <w:rPr>
          <w:b/>
          <w:i/>
        </w:rPr>
        <w:t>9.5.1</w:t>
      </w:r>
      <w:r w:rsidRPr="008910B8">
        <w:rPr>
          <w:b/>
          <w:i/>
        </w:rPr>
        <w:tab/>
        <w:t>Settlement Statement Process for the Real-Time Market</w:t>
      </w:r>
      <w:bookmarkEnd w:id="126"/>
      <w:bookmarkEnd w:id="127"/>
      <w:bookmarkEnd w:id="128"/>
      <w:bookmarkEnd w:id="129"/>
      <w:bookmarkEnd w:id="130"/>
      <w:bookmarkEnd w:id="131"/>
      <w:r w:rsidRPr="008910B8">
        <w:rPr>
          <w:b/>
          <w:i/>
        </w:rPr>
        <w:t xml:space="preserve"> </w:t>
      </w:r>
    </w:p>
    <w:p w14:paraId="4D173EAD" w14:textId="77777777" w:rsidR="002F5868" w:rsidRDefault="00A0123C" w:rsidP="00660ED3">
      <w:pPr>
        <w:pStyle w:val="BodyTextNumbered"/>
        <w:widowControl w:val="0"/>
      </w:pPr>
      <w:r>
        <w:rPr>
          <w:iCs/>
        </w:rPr>
        <w:t>(1)</w:t>
      </w:r>
      <w:r>
        <w:rPr>
          <w:iCs/>
        </w:rPr>
        <w:tab/>
      </w:r>
      <w:r w:rsidR="00DD1AC6">
        <w:t>ERCOT shall produce daily Settlement Statements for the Real-Time Market (RTM), as defined in Section 9.5.2, Settlement Statements for the RTM, that show a breakdown of Charge Types incurred in the RTM, including any administrative and miscellaneous charges applicable to the RTM.</w:t>
      </w:r>
    </w:p>
    <w:p w14:paraId="0FCC5D53" w14:textId="77777777" w:rsidR="002F5868" w:rsidRPr="008910B8" w:rsidRDefault="00DD1AC6" w:rsidP="00D07D1E">
      <w:pPr>
        <w:pStyle w:val="H3"/>
        <w:keepNext w:val="0"/>
        <w:widowControl w:val="0"/>
        <w:rPr>
          <w:b/>
          <w:i/>
        </w:rPr>
      </w:pPr>
      <w:bookmarkStart w:id="132" w:name="_Toc309731043"/>
      <w:bookmarkStart w:id="133" w:name="_Toc405814018"/>
      <w:bookmarkStart w:id="134" w:name="_Toc422207908"/>
      <w:bookmarkStart w:id="135" w:name="_Toc438044822"/>
      <w:bookmarkStart w:id="136" w:name="_Toc447622605"/>
      <w:bookmarkStart w:id="137" w:name="_Toc80175255"/>
      <w:r w:rsidRPr="008910B8">
        <w:rPr>
          <w:b/>
          <w:i/>
        </w:rPr>
        <w:t>9.5.2</w:t>
      </w:r>
      <w:r w:rsidRPr="008910B8">
        <w:rPr>
          <w:b/>
          <w:i/>
        </w:rPr>
        <w:tab/>
        <w:t>Settlement Statements for the RTM</w:t>
      </w:r>
      <w:bookmarkEnd w:id="132"/>
      <w:bookmarkEnd w:id="133"/>
      <w:bookmarkEnd w:id="134"/>
      <w:bookmarkEnd w:id="135"/>
      <w:bookmarkEnd w:id="136"/>
      <w:bookmarkEnd w:id="137"/>
    </w:p>
    <w:p w14:paraId="2E24F0E7" w14:textId="77777777" w:rsidR="002F5868" w:rsidRDefault="00DD1AC6" w:rsidP="00D07D1E">
      <w:pPr>
        <w:pStyle w:val="BodyTextNumbered"/>
        <w:widowControl w:val="0"/>
      </w:pPr>
      <w:r>
        <w:t>(1)</w:t>
      </w:r>
      <w:r>
        <w:tab/>
        <w:t xml:space="preserve">ERCOT shall make each Settlement Statement for the RTM for an Operating Day available on the date specified on the Settlement Calendar for that Operating Day by posting it to the Market Information System (MIS) Certified Area for the applicable Statement Recipient. </w:t>
      </w:r>
    </w:p>
    <w:p w14:paraId="5A3A86CA" w14:textId="77777777" w:rsidR="002F5868" w:rsidRDefault="00DD1AC6" w:rsidP="00D07D1E">
      <w:pPr>
        <w:pStyle w:val="BodyTextNumbered"/>
        <w:widowControl w:val="0"/>
      </w:pPr>
      <w:r>
        <w:t>(2)</w:t>
      </w:r>
      <w:r>
        <w:tab/>
        <w:t xml:space="preserve">A Settlement Statement for the RTM can be: </w:t>
      </w:r>
    </w:p>
    <w:p w14:paraId="1251C80E" w14:textId="77777777" w:rsidR="002F5868" w:rsidRDefault="00DD1AC6" w:rsidP="00D07D1E">
      <w:pPr>
        <w:pStyle w:val="List"/>
        <w:widowControl w:val="0"/>
      </w:pPr>
      <w:r>
        <w:lastRenderedPageBreak/>
        <w:t>(a)</w:t>
      </w:r>
      <w:r>
        <w:tab/>
        <w:t>An “RTM Initial Statement,” which is the first iteration of a Settlement Statement issued for a particular Operating Day;</w:t>
      </w:r>
    </w:p>
    <w:p w14:paraId="66747E4D" w14:textId="77777777" w:rsidR="00351268" w:rsidRDefault="001349D5" w:rsidP="000C37A7">
      <w:pPr>
        <w:pStyle w:val="List"/>
      </w:pPr>
      <w:r w:rsidRPr="00C52811">
        <w:rPr>
          <w:lang w:val="x-none" w:eastAsia="x-none"/>
        </w:rPr>
        <w:t>(b)</w:t>
      </w:r>
      <w:r w:rsidRPr="00C52811">
        <w:rPr>
          <w:lang w:val="x-none" w:eastAsia="x-none"/>
        </w:rPr>
        <w:tab/>
        <w:t>An “RTM Final Statement,” which is the state</w:t>
      </w:r>
      <w:r>
        <w:rPr>
          <w:lang w:val="x-none" w:eastAsia="x-none"/>
        </w:rPr>
        <w:t>ment issued at the end of the 5</w:t>
      </w:r>
      <w:r>
        <w:rPr>
          <w:lang w:eastAsia="x-none"/>
        </w:rPr>
        <w:t>5</w:t>
      </w:r>
      <w:r w:rsidRPr="00C52811">
        <w:rPr>
          <w:lang w:val="x-none" w:eastAsia="x-none"/>
        </w:rPr>
        <w:t>th day following the Operating Day;</w:t>
      </w:r>
      <w:r w:rsidR="00DD1AC6">
        <w:t xml:space="preserve"> </w:t>
      </w:r>
    </w:p>
    <w:p w14:paraId="1E1E392D" w14:textId="77777777" w:rsidR="002F5868" w:rsidRDefault="00DD1AC6" w:rsidP="00E63934">
      <w:pPr>
        <w:pStyle w:val="List"/>
      </w:pPr>
      <w:r>
        <w:t>(c)</w:t>
      </w:r>
      <w:r>
        <w:tab/>
        <w:t>An “RTM Resettlement Statement,” which is the statement using corrected Settlement data due to resolution of disputes and correction of data errors; or</w:t>
      </w:r>
    </w:p>
    <w:p w14:paraId="088427BA" w14:textId="77777777" w:rsidR="002F5868" w:rsidRDefault="00DD1AC6">
      <w:pPr>
        <w:pStyle w:val="List"/>
      </w:pPr>
      <w:r>
        <w:t>(d)</w:t>
      </w:r>
      <w:r>
        <w:tab/>
        <w:t>An “RTM True-Up Statement,” which is a statement issued at the end of the 180th day after the Operating Day.</w:t>
      </w:r>
    </w:p>
    <w:p w14:paraId="50F4BCC6" w14:textId="77777777" w:rsidR="002F5868" w:rsidRDefault="00DD1AC6">
      <w:pPr>
        <w:pStyle w:val="BodyTextNumbered"/>
      </w:pPr>
      <w:r>
        <w:t>(3)</w:t>
      </w:r>
      <w:r>
        <w:tab/>
        <w:t>The Statement Recipient is responsible for accessing the Statement from the MIS Certified Area.</w:t>
      </w:r>
    </w:p>
    <w:p w14:paraId="57FAC63B" w14:textId="77777777" w:rsidR="002F5868" w:rsidRDefault="00DD1AC6">
      <w:pPr>
        <w:pStyle w:val="BodyTextNumbered"/>
      </w:pPr>
      <w:r>
        <w:t>(4)</w:t>
      </w:r>
      <w:r>
        <w:tab/>
        <w:t>To issue an RTM Settlement Statement, ERCOT may use estimated, disputed, or calculated meter data.</w:t>
      </w:r>
    </w:p>
    <w:p w14:paraId="4A939827" w14:textId="77777777" w:rsidR="002F5868" w:rsidRDefault="00DD1AC6">
      <w:pPr>
        <w:pStyle w:val="BodyTextNumbered"/>
      </w:pPr>
      <w:r>
        <w:t>(5)</w:t>
      </w:r>
      <w:r>
        <w:tab/>
        <w:t>ERCOT shall create an RTM Initial Statement, RTM Final Statement, and RTM True-Up Statement for each Operating Day.</w:t>
      </w:r>
    </w:p>
    <w:p w14:paraId="1B40FE64" w14:textId="77777777" w:rsidR="002F5868" w:rsidRDefault="00DD1AC6">
      <w:pPr>
        <w:pStyle w:val="BodyTextNumbered"/>
      </w:pPr>
      <w:r>
        <w:t>(6)</w:t>
      </w:r>
      <w:r>
        <w:tab/>
        <w:t>ERCOT may create an RTM Resettlement Statement for any Operating Day, depending on the criteria set forth in Section 9.5.6, RTM Resettlement Statement.  When actual validated data is available and all of the Settlement and billing disputes raised by Statement Recipients in accordance with Section 9.14.4, ERCOT Processing of Disputes, during the validation process have been resolved, ERCOT shall recalculate the amounts payable and receivable by the affected RTM Statement Recipients, as described in Section 9.5.6.</w:t>
      </w:r>
    </w:p>
    <w:p w14:paraId="276BFD39" w14:textId="77777777" w:rsidR="002F5868" w:rsidRDefault="00DD1AC6">
      <w:pPr>
        <w:pStyle w:val="BodyTextNumbered"/>
      </w:pPr>
      <w:r>
        <w:t>(7)</w:t>
      </w:r>
      <w:r>
        <w:tab/>
        <w:t>Each RTM Settlement Statement must denote:</w:t>
      </w:r>
    </w:p>
    <w:p w14:paraId="74DE44B4" w14:textId="77777777" w:rsidR="002F5868" w:rsidRDefault="00DD1AC6">
      <w:pPr>
        <w:pStyle w:val="List"/>
      </w:pPr>
      <w:r>
        <w:t>(a)</w:t>
      </w:r>
      <w:r>
        <w:tab/>
        <w:t>Operating Day;</w:t>
      </w:r>
    </w:p>
    <w:p w14:paraId="0DFE94CC" w14:textId="77777777" w:rsidR="002F5868" w:rsidRDefault="00DD1AC6">
      <w:pPr>
        <w:pStyle w:val="List"/>
      </w:pPr>
      <w:r>
        <w:t>(b)</w:t>
      </w:r>
      <w:r>
        <w:tab/>
        <w:t>The Statement Recipient’s name;</w:t>
      </w:r>
    </w:p>
    <w:p w14:paraId="7A9EFCB2" w14:textId="77777777" w:rsidR="002F5868" w:rsidRDefault="00DD1AC6">
      <w:pPr>
        <w:pStyle w:val="List"/>
      </w:pPr>
      <w:r>
        <w:t>(c)</w:t>
      </w:r>
      <w:r>
        <w:tab/>
        <w:t>The ERCOT identifier (settlement identification number issued by ERCOT);</w:t>
      </w:r>
    </w:p>
    <w:p w14:paraId="40512769" w14:textId="77777777" w:rsidR="002F5868" w:rsidRDefault="00DD1AC6">
      <w:pPr>
        <w:pStyle w:val="List"/>
      </w:pPr>
      <w:r>
        <w:t>(d)</w:t>
      </w:r>
      <w:r>
        <w:tab/>
        <w:t>Status of the statement (Initial, Final, Resettlement, or True-Up);</w:t>
      </w:r>
    </w:p>
    <w:p w14:paraId="0461AC9B" w14:textId="77777777" w:rsidR="002F5868" w:rsidRDefault="00DD1AC6">
      <w:pPr>
        <w:pStyle w:val="List"/>
      </w:pPr>
      <w:r>
        <w:t>(e)</w:t>
      </w:r>
      <w:r>
        <w:tab/>
        <w:t>Statement version number;</w:t>
      </w:r>
    </w:p>
    <w:p w14:paraId="32277866" w14:textId="77777777" w:rsidR="002F5868" w:rsidRDefault="00DD1AC6">
      <w:pPr>
        <w:pStyle w:val="List"/>
      </w:pPr>
      <w:r>
        <w:t>(f)</w:t>
      </w:r>
      <w:r>
        <w:tab/>
        <w:t>Unique statement identification code; and</w:t>
      </w:r>
    </w:p>
    <w:p w14:paraId="2F429C79" w14:textId="77777777" w:rsidR="002F5868" w:rsidRDefault="00DD1AC6">
      <w:pPr>
        <w:pStyle w:val="List"/>
      </w:pPr>
      <w:r>
        <w:t>(g)</w:t>
      </w:r>
      <w:r>
        <w:tab/>
        <w:t>Charge Types settled.</w:t>
      </w:r>
    </w:p>
    <w:p w14:paraId="2979A95F" w14:textId="77777777" w:rsidR="002F5868" w:rsidRDefault="00DD1AC6">
      <w:pPr>
        <w:pStyle w:val="BodyTextNumbered"/>
      </w:pPr>
      <w:r>
        <w:t>(8)</w:t>
      </w:r>
      <w:r>
        <w:tab/>
        <w:t xml:space="preserve">A </w:t>
      </w:r>
      <w:r>
        <w:rPr>
          <w:rStyle w:val="ListChar"/>
        </w:rPr>
        <w:t xml:space="preserve">Settlement Statement for </w:t>
      </w:r>
      <w:r>
        <w:t xml:space="preserve">the RTM </w:t>
      </w:r>
      <w:r>
        <w:rPr>
          <w:rStyle w:val="ListChar"/>
        </w:rPr>
        <w:t xml:space="preserve">must break the fees down by Charge Type into the appropriate 15-minute or one-hour Settlement Interval for that type. </w:t>
      </w:r>
    </w:p>
    <w:p w14:paraId="3B636C11" w14:textId="77777777" w:rsidR="002F5868" w:rsidRDefault="00DD1AC6">
      <w:pPr>
        <w:pStyle w:val="BodyTextNumbered"/>
      </w:pPr>
      <w:r>
        <w:lastRenderedPageBreak/>
        <w:t>(9)</w:t>
      </w:r>
      <w:r>
        <w:tab/>
        <w:t>A</w:t>
      </w:r>
      <w:r w:rsidR="00204362">
        <w:t>n</w:t>
      </w:r>
      <w:r>
        <w:t xml:space="preserve"> RTM Settlement Statement must have a summary page of the corresponding detailed documentation.</w:t>
      </w:r>
    </w:p>
    <w:p w14:paraId="703597BF" w14:textId="77777777" w:rsidR="002F5868" w:rsidRPr="008910B8" w:rsidRDefault="00DD1AC6">
      <w:pPr>
        <w:pStyle w:val="H3"/>
        <w:rPr>
          <w:b/>
          <w:i/>
        </w:rPr>
      </w:pPr>
      <w:bookmarkStart w:id="138" w:name="_Toc309731044"/>
      <w:bookmarkStart w:id="139" w:name="_Toc405814019"/>
      <w:bookmarkStart w:id="140" w:name="_Toc422207909"/>
      <w:bookmarkStart w:id="141" w:name="_Toc438044823"/>
      <w:bookmarkStart w:id="142" w:name="_Toc447622606"/>
      <w:bookmarkStart w:id="143" w:name="_Toc80175256"/>
      <w:r w:rsidRPr="008910B8">
        <w:rPr>
          <w:b/>
          <w:i/>
        </w:rPr>
        <w:t>9.5.3</w:t>
      </w:r>
      <w:r w:rsidRPr="008910B8">
        <w:rPr>
          <w:b/>
          <w:i/>
        </w:rPr>
        <w:tab/>
        <w:t>Real-Time Market Settlement Charge Types</w:t>
      </w:r>
      <w:bookmarkEnd w:id="138"/>
      <w:bookmarkEnd w:id="139"/>
      <w:bookmarkEnd w:id="140"/>
      <w:bookmarkEnd w:id="141"/>
      <w:bookmarkEnd w:id="142"/>
      <w:bookmarkEnd w:id="143"/>
    </w:p>
    <w:p w14:paraId="530B76D7" w14:textId="77777777" w:rsidR="002F5868" w:rsidRDefault="00DD1AC6" w:rsidP="00F452AF">
      <w:pPr>
        <w:pStyle w:val="List"/>
        <w:ind w:left="720"/>
      </w:pPr>
      <w:r>
        <w:t>(1)</w:t>
      </w:r>
      <w:r>
        <w:tab/>
        <w:t>ERCOT shall provide, on each RTM Settlement Statement, the dollar amount for each RTM Settlement charge and payment.  The RTM Settlement “Charge Types” are:</w:t>
      </w:r>
    </w:p>
    <w:p w14:paraId="79DB0B11" w14:textId="77777777" w:rsidR="002F5868" w:rsidRDefault="00DD1AC6">
      <w:pPr>
        <w:pStyle w:val="List"/>
      </w:pPr>
      <w:r>
        <w:t>(a)</w:t>
      </w:r>
      <w:r>
        <w:tab/>
        <w:t>Section 5.7.1, RUC Make-Whole Payment;</w:t>
      </w:r>
    </w:p>
    <w:p w14:paraId="634479C5" w14:textId="77777777" w:rsidR="002F5868" w:rsidRDefault="00DD1AC6">
      <w:pPr>
        <w:pStyle w:val="List"/>
      </w:pPr>
      <w:r>
        <w:t>(b)</w:t>
      </w:r>
      <w:r>
        <w:tab/>
        <w:t>Section 5.7.2, RUC Clawback Charge;</w:t>
      </w:r>
    </w:p>
    <w:p w14:paraId="5500584D" w14:textId="77777777" w:rsidR="002F5868" w:rsidRDefault="00DD1AC6">
      <w:pPr>
        <w:pStyle w:val="List"/>
      </w:pPr>
      <w:r>
        <w:t>(c)</w:t>
      </w:r>
      <w:r>
        <w:tab/>
        <w:t>Section 5.7.3, Payment When ERCOT Decommits a QSE-Committed Resource;</w:t>
      </w:r>
    </w:p>
    <w:p w14:paraId="094864BB" w14:textId="77777777" w:rsidR="002F5868" w:rsidRDefault="00DD1AC6">
      <w:pPr>
        <w:pStyle w:val="List"/>
      </w:pPr>
      <w:r>
        <w:t>(d)</w:t>
      </w:r>
      <w:r>
        <w:tab/>
        <w:t>Section 5.7.4.1, RUC Capacity-Short Charge;</w:t>
      </w:r>
    </w:p>
    <w:p w14:paraId="394D1CD8" w14:textId="77777777" w:rsidR="002F5868" w:rsidRDefault="00DD1AC6">
      <w:pPr>
        <w:pStyle w:val="List"/>
      </w:pPr>
      <w:r>
        <w:t>(e)</w:t>
      </w:r>
      <w:r>
        <w:tab/>
        <w:t>Section 5.7.4.2, RUC Make-Whole Uplift Charge;</w:t>
      </w:r>
    </w:p>
    <w:p w14:paraId="5E586C2C" w14:textId="77777777" w:rsidR="002F5868" w:rsidRDefault="00DD1AC6">
      <w:pPr>
        <w:pStyle w:val="List"/>
      </w:pPr>
      <w:r>
        <w:t>(f)</w:t>
      </w:r>
      <w:r>
        <w:tab/>
        <w:t xml:space="preserve">Section </w:t>
      </w:r>
      <w:hyperlink w:anchor="_Toc109528011" w:history="1">
        <w:r>
          <w:t>5.7.5, RUC Clawback Payment</w:t>
        </w:r>
      </w:hyperlink>
      <w:r>
        <w:t>;</w:t>
      </w:r>
    </w:p>
    <w:p w14:paraId="013ACECC" w14:textId="77777777" w:rsidR="002F5868" w:rsidRDefault="00DD1AC6">
      <w:pPr>
        <w:pStyle w:val="List"/>
      </w:pPr>
      <w:r>
        <w:t>(g)</w:t>
      </w:r>
      <w:r>
        <w:tab/>
        <w:t xml:space="preserve">Section </w:t>
      </w:r>
      <w:hyperlink w:anchor="_Toc109528014" w:history="1">
        <w:r>
          <w:t>5.7.6, RUC Decommitment Charge</w:t>
        </w:r>
      </w:hyperlink>
      <w:r>
        <w:t>;</w:t>
      </w:r>
    </w:p>
    <w:p w14:paraId="481C106C" w14:textId="77777777" w:rsidR="002F5868" w:rsidRDefault="00DD1AC6">
      <w:pPr>
        <w:pStyle w:val="List"/>
      </w:pPr>
      <w:r>
        <w:t>(h)</w:t>
      </w:r>
      <w:r>
        <w:tab/>
        <w:t xml:space="preserve">Section 6.6.3.1, Real-Time Energy Imbalance Payment or Charge at a Resource Node; </w:t>
      </w:r>
    </w:p>
    <w:p w14:paraId="77AECE6F" w14:textId="77777777" w:rsidR="002F5868" w:rsidRDefault="00DD1AC6">
      <w:pPr>
        <w:pStyle w:val="List"/>
      </w:pPr>
      <w:r>
        <w:t>(i)</w:t>
      </w:r>
      <w:r>
        <w:tab/>
        <w:t>Section 6.6.3.2, Real-Time Energy Imbalance Payment or Charge at a Load Zone;</w:t>
      </w:r>
    </w:p>
    <w:p w14:paraId="08325D68" w14:textId="77777777" w:rsidR="002F5868" w:rsidRDefault="00DD1AC6">
      <w:pPr>
        <w:pStyle w:val="List"/>
      </w:pPr>
      <w:r>
        <w:t>(j)</w:t>
      </w:r>
      <w:r>
        <w:tab/>
        <w:t>Section 6.6.3.3, Real-Time Energy Imbalance Payment or Charge at a Hub;</w:t>
      </w:r>
    </w:p>
    <w:p w14:paraId="0F36139C" w14:textId="77777777" w:rsidR="002F5868" w:rsidRDefault="00DD1AC6">
      <w:pPr>
        <w:pStyle w:val="List"/>
      </w:pPr>
      <w:r>
        <w:t>(k)</w:t>
      </w:r>
      <w:r>
        <w:tab/>
        <w:t>Section 6.6.3.4, Real-Time Energy Payment for DC Tie Import;</w:t>
      </w:r>
    </w:p>
    <w:p w14:paraId="289AFD53" w14:textId="77777777" w:rsidR="002F5868" w:rsidRDefault="00DD1AC6">
      <w:pPr>
        <w:pStyle w:val="List"/>
      </w:pPr>
      <w:r>
        <w:t>(l)</w:t>
      </w:r>
      <w:r>
        <w:tab/>
        <w:t>Section 6.6.3.5, Real-Time Payment for a Block Load Transfer Point;</w:t>
      </w:r>
    </w:p>
    <w:p w14:paraId="4042CA8A" w14:textId="7D67429A" w:rsidR="00630156" w:rsidRDefault="00630156" w:rsidP="002E5F2C">
      <w:pPr>
        <w:pStyle w:val="List"/>
      </w:pPr>
      <w:r>
        <w:t>(</w:t>
      </w:r>
      <w:r w:rsidR="00680ED0">
        <w:t>m</w:t>
      </w:r>
      <w:r>
        <w:t>)</w:t>
      </w:r>
      <w:r>
        <w:tab/>
        <w:t>Section 6.6.3.</w:t>
      </w:r>
      <w:r w:rsidR="00680ED0">
        <w:t>6</w:t>
      </w:r>
      <w:r>
        <w:t>, Real-Time High Dispatch Limit Override Energy Payment;</w:t>
      </w:r>
    </w:p>
    <w:p w14:paraId="5D60E939" w14:textId="41548097" w:rsidR="0036205D" w:rsidRDefault="00630156" w:rsidP="00630156">
      <w:pPr>
        <w:pStyle w:val="List"/>
      </w:pPr>
      <w:r>
        <w:t>(</w:t>
      </w:r>
      <w:r w:rsidR="00680ED0">
        <w:t>n</w:t>
      </w:r>
      <w:r>
        <w:t>)</w:t>
      </w:r>
      <w:r>
        <w:tab/>
        <w:t>Section 6.6.3.</w:t>
      </w:r>
      <w:r w:rsidR="00680ED0">
        <w:t>7</w:t>
      </w:r>
      <w:r>
        <w:t>, Real-Time High Dispatch Limit Override Energy Charge;</w:t>
      </w:r>
    </w:p>
    <w:p w14:paraId="410A2E56" w14:textId="6869D70F" w:rsidR="00CD356A" w:rsidRPr="00CD2C01" w:rsidRDefault="00CD356A" w:rsidP="00CD356A">
      <w:pPr>
        <w:spacing w:after="240"/>
        <w:ind w:left="1440" w:hanging="720"/>
      </w:pPr>
      <w:r w:rsidRPr="00CD2C01">
        <w:t>(</w:t>
      </w:r>
      <w:r w:rsidR="00680ED0">
        <w:t>o</w:t>
      </w:r>
      <w:r>
        <w:t>)</w:t>
      </w:r>
      <w:r>
        <w:tab/>
        <w:t>Section 6.6.3.</w:t>
      </w:r>
      <w:r w:rsidR="00680ED0">
        <w:t>8</w:t>
      </w:r>
      <w:r w:rsidRPr="00CD2C01">
        <w:t xml:space="preserve">, </w:t>
      </w:r>
      <w:r w:rsidRPr="00892119">
        <w:t xml:space="preserve">Real-Time Payment or Charge for Energy from </w:t>
      </w:r>
      <w:r>
        <w:t xml:space="preserve">a </w:t>
      </w:r>
      <w:r w:rsidRPr="00A6342E">
        <w:t xml:space="preserve">Settlement Only Distribution Generator (SODG) </w:t>
      </w:r>
      <w:r>
        <w:t>or</w:t>
      </w:r>
      <w:r w:rsidRPr="00A6342E">
        <w:t xml:space="preserve"> </w:t>
      </w:r>
      <w:r>
        <w:t xml:space="preserve">a </w:t>
      </w:r>
      <w:r w:rsidRPr="00A6342E">
        <w:t>Settlement Only Transmission Generator (SOTG)</w:t>
      </w:r>
      <w:r w:rsidRPr="00CD2C01">
        <w:t>;</w:t>
      </w:r>
    </w:p>
    <w:p w14:paraId="2BEE184B" w14:textId="3F6C4A51" w:rsidR="002F5868" w:rsidRDefault="00DD1AC6" w:rsidP="002B4852">
      <w:pPr>
        <w:pStyle w:val="List"/>
      </w:pPr>
      <w:r>
        <w:t>(</w:t>
      </w:r>
      <w:r w:rsidR="00680ED0">
        <w:t>p</w:t>
      </w:r>
      <w:r>
        <w:t>)</w:t>
      </w:r>
      <w:r>
        <w:tab/>
        <w:t>Section 6.6.4, Real-Time Congestion Payment or Charge for Self-Schedules;</w:t>
      </w:r>
    </w:p>
    <w:p w14:paraId="6826CF75" w14:textId="386BE689" w:rsidR="002F5868" w:rsidRDefault="00DD1AC6">
      <w:pPr>
        <w:pStyle w:val="List"/>
      </w:pPr>
      <w:r>
        <w:t>(</w:t>
      </w:r>
      <w:r w:rsidR="00680ED0">
        <w:t>q</w:t>
      </w:r>
      <w:r>
        <w:t>)</w:t>
      </w:r>
      <w:r>
        <w:tab/>
        <w:t>Section 6.6.5.1.1</w:t>
      </w:r>
      <w:r w:rsidR="00C74063">
        <w:t>.1</w:t>
      </w:r>
      <w:r>
        <w:t>, Base Point Deviation Charge for Over Generation</w:t>
      </w:r>
      <w:r w:rsidR="001A2B58">
        <w:t>;</w:t>
      </w:r>
      <w:r>
        <w:t xml:space="preserve"> </w:t>
      </w:r>
    </w:p>
    <w:p w14:paraId="79B6A9C5" w14:textId="1E77D8D5" w:rsidR="008A04B3" w:rsidRDefault="00DD1AC6">
      <w:pPr>
        <w:pStyle w:val="List"/>
      </w:pPr>
      <w:r>
        <w:t>(</w:t>
      </w:r>
      <w:r w:rsidR="00680ED0">
        <w:t>r</w:t>
      </w:r>
      <w:r>
        <w:t>)</w:t>
      </w:r>
      <w:r>
        <w:tab/>
        <w:t>Section 6.6.5.1.</w:t>
      </w:r>
      <w:r w:rsidR="00C74063">
        <w:t>1.</w:t>
      </w:r>
      <w:r>
        <w:t>2, Base Point Deviation Charge for Under Generation</w:t>
      </w:r>
      <w:r w:rsidR="001A2B58">
        <w:t>;</w:t>
      </w:r>
      <w:r>
        <w:t xml:space="preserve"> </w:t>
      </w:r>
    </w:p>
    <w:p w14:paraId="65B4E22A" w14:textId="76C62CA8" w:rsidR="002F5868" w:rsidRPr="00F452AF" w:rsidRDefault="00DD1AC6" w:rsidP="002B4852">
      <w:pPr>
        <w:pStyle w:val="List"/>
      </w:pPr>
      <w:r>
        <w:t>(</w:t>
      </w:r>
      <w:r w:rsidR="00680ED0">
        <w:t>s</w:t>
      </w:r>
      <w:r>
        <w:t>)</w:t>
      </w:r>
      <w:r>
        <w:tab/>
        <w:t>Section 6.6.5.2, IRR Generation Resource Base</w:t>
      </w:r>
      <w:r w:rsidR="00AC12CB">
        <w:t xml:space="preserve"> </w:t>
      </w:r>
      <w:r>
        <w:t>Point Deviation Charge;</w:t>
      </w:r>
      <w:r w:rsidRPr="00F452AF">
        <w:t xml:space="preserve"> </w:t>
      </w:r>
    </w:p>
    <w:p w14:paraId="1323DA1F" w14:textId="2BAC1B99" w:rsidR="002F5868" w:rsidRPr="00F452AF" w:rsidRDefault="00DD1AC6" w:rsidP="002B4852">
      <w:pPr>
        <w:pStyle w:val="List"/>
      </w:pPr>
      <w:r w:rsidRPr="00F452AF">
        <w:lastRenderedPageBreak/>
        <w:t>(</w:t>
      </w:r>
      <w:r w:rsidR="00680ED0">
        <w:t>t</w:t>
      </w:r>
      <w:r w:rsidRPr="00F452AF">
        <w:t>)</w:t>
      </w:r>
      <w:r w:rsidRPr="00F452AF">
        <w:tab/>
        <w:t>Section 6.6.5.4, Base Point Deviation Payment;</w:t>
      </w:r>
    </w:p>
    <w:p w14:paraId="61738604" w14:textId="04AB8C16" w:rsidR="002F5868" w:rsidRPr="00F452AF" w:rsidRDefault="00DD1AC6" w:rsidP="004C53DD">
      <w:pPr>
        <w:pStyle w:val="List"/>
      </w:pPr>
      <w:r>
        <w:t>(</w:t>
      </w:r>
      <w:r w:rsidR="00680ED0">
        <w:t>u</w:t>
      </w:r>
      <w:r>
        <w:t>)</w:t>
      </w:r>
      <w:r>
        <w:tab/>
      </w:r>
      <w:r w:rsidRPr="00F452AF">
        <w:t>Section 6.6.6.1</w:t>
      </w:r>
      <w:r>
        <w:t xml:space="preserve">, </w:t>
      </w:r>
      <w:r w:rsidRPr="00F452AF">
        <w:t>RMR Standby Payment;</w:t>
      </w:r>
    </w:p>
    <w:p w14:paraId="27E92E7B" w14:textId="4429D0C1" w:rsidR="002F5868" w:rsidRDefault="00DD1AC6">
      <w:pPr>
        <w:pStyle w:val="List"/>
      </w:pPr>
      <w:r>
        <w:t>(</w:t>
      </w:r>
      <w:r w:rsidR="00680ED0">
        <w:t>v</w:t>
      </w:r>
      <w:r>
        <w:t>)</w:t>
      </w:r>
      <w:r>
        <w:tab/>
        <w:t>Section 6.6.6.2, RMR Payment for Energy;</w:t>
      </w:r>
    </w:p>
    <w:p w14:paraId="37A8F528" w14:textId="133A4EC3" w:rsidR="002F5868" w:rsidRDefault="00DD1AC6">
      <w:pPr>
        <w:pStyle w:val="List"/>
      </w:pPr>
      <w:r>
        <w:t>(</w:t>
      </w:r>
      <w:r w:rsidR="00680ED0">
        <w:t>w</w:t>
      </w:r>
      <w:r>
        <w:t>)</w:t>
      </w:r>
      <w:r>
        <w:tab/>
        <w:t>Section 6.6.6.3, RMR Adjustment Charge;</w:t>
      </w:r>
    </w:p>
    <w:p w14:paraId="67D1DC84" w14:textId="3EEC4FBA" w:rsidR="002F5868" w:rsidRDefault="00DD1AC6">
      <w:pPr>
        <w:pStyle w:val="List"/>
      </w:pPr>
      <w:r>
        <w:t>(</w:t>
      </w:r>
      <w:r w:rsidR="00680ED0">
        <w:t>x</w:t>
      </w:r>
      <w:r>
        <w:t>)</w:t>
      </w:r>
      <w:r>
        <w:tab/>
        <w:t>Section 6.6.6.4, RMR Charge for Unexcused Misconduct;</w:t>
      </w:r>
    </w:p>
    <w:p w14:paraId="79059DC0" w14:textId="0ABB77F4" w:rsidR="002F5868" w:rsidRDefault="00DD1AC6">
      <w:pPr>
        <w:pStyle w:val="List"/>
      </w:pPr>
      <w:r>
        <w:t>(</w:t>
      </w:r>
      <w:r w:rsidR="00680ED0">
        <w:t>y</w:t>
      </w:r>
      <w:r>
        <w:t>)</w:t>
      </w:r>
      <w:r>
        <w:tab/>
        <w:t>Section 6.6.6.5, RMR Service Charge;</w:t>
      </w:r>
    </w:p>
    <w:p w14:paraId="6781BADF" w14:textId="4B46B9DA" w:rsidR="005F19AF" w:rsidRDefault="005F19AF" w:rsidP="005F19AF">
      <w:pPr>
        <w:spacing w:after="240"/>
        <w:ind w:left="1440" w:hanging="720"/>
      </w:pPr>
      <w:r>
        <w:t>(</w:t>
      </w:r>
      <w:r w:rsidR="00680ED0">
        <w:t>z</w:t>
      </w:r>
      <w:r>
        <w:t>)</w:t>
      </w:r>
      <w:r>
        <w:tab/>
        <w:t xml:space="preserve">Section 6.6.6.6, </w:t>
      </w:r>
      <w:r w:rsidR="006F4A24" w:rsidRPr="00326E23">
        <w:t>Method for Reconciling RMR Actual Eligible Costs, RMR and MRA Contributed Capital Expenditures, and Miscellaneous RMR Incurred Expenses</w:t>
      </w:r>
      <w:r>
        <w:t>;</w:t>
      </w:r>
    </w:p>
    <w:p w14:paraId="3F499883" w14:textId="67B8E37A" w:rsidR="002F5868" w:rsidRDefault="00DD1AC6" w:rsidP="002B4852">
      <w:pPr>
        <w:pStyle w:val="List"/>
      </w:pPr>
      <w:r>
        <w:t>(</w:t>
      </w:r>
      <w:r w:rsidR="00680ED0">
        <w:t>aa</w:t>
      </w:r>
      <w:r>
        <w:t>)</w:t>
      </w:r>
      <w:r>
        <w:tab/>
        <w:t>Paragraph (2) of Section 6.6.7.1, Voltage Support Service Payments;</w:t>
      </w:r>
    </w:p>
    <w:p w14:paraId="056CC198" w14:textId="3AFBA0E1" w:rsidR="002F5868" w:rsidRDefault="00DD1AC6">
      <w:pPr>
        <w:pStyle w:val="List"/>
      </w:pPr>
      <w:r>
        <w:t>(</w:t>
      </w:r>
      <w:r w:rsidR="00680ED0">
        <w:t>bb</w:t>
      </w:r>
      <w:r>
        <w:t>)</w:t>
      </w:r>
      <w:r>
        <w:tab/>
        <w:t>Paragraph (4) of Section 6.6.7.1;</w:t>
      </w:r>
    </w:p>
    <w:p w14:paraId="384B9C31" w14:textId="62579E3E" w:rsidR="002F5868" w:rsidRPr="00F452AF" w:rsidRDefault="00DD1AC6" w:rsidP="004C53DD">
      <w:pPr>
        <w:pStyle w:val="List"/>
      </w:pPr>
      <w:r w:rsidRPr="00F452AF">
        <w:t>(</w:t>
      </w:r>
      <w:r w:rsidR="00680ED0">
        <w:t>cc</w:t>
      </w:r>
      <w:r w:rsidRPr="00F452AF">
        <w:t>)</w:t>
      </w:r>
      <w:r w:rsidRPr="00F452AF">
        <w:tab/>
        <w:t>Section 6.6.7.2, Voltage Support Charge;</w:t>
      </w:r>
    </w:p>
    <w:p w14:paraId="47B3D194" w14:textId="565EADCD" w:rsidR="002F5868" w:rsidRDefault="00DD1AC6">
      <w:pPr>
        <w:pStyle w:val="List"/>
      </w:pPr>
      <w:r>
        <w:t>(</w:t>
      </w:r>
      <w:r w:rsidR="00680ED0">
        <w:t>dd</w:t>
      </w:r>
      <w:r>
        <w:t>)</w:t>
      </w:r>
      <w:r>
        <w:tab/>
        <w:t xml:space="preserve">Section 6.6.8.1, Black Start </w:t>
      </w:r>
      <w:r w:rsidR="00EB4EA8">
        <w:t>Hourly Standby Fee</w:t>
      </w:r>
      <w:r>
        <w:t xml:space="preserve"> Payment;</w:t>
      </w:r>
    </w:p>
    <w:p w14:paraId="587BE312" w14:textId="093E864A" w:rsidR="002F5868" w:rsidRDefault="00DD1AC6">
      <w:pPr>
        <w:pStyle w:val="List"/>
      </w:pPr>
      <w:r>
        <w:t>(</w:t>
      </w:r>
      <w:r w:rsidR="00680ED0">
        <w:t>ee</w:t>
      </w:r>
      <w:r>
        <w:t>)</w:t>
      </w:r>
      <w:r>
        <w:tab/>
        <w:t>Section 6.6.8.2, Black Start Capacity Charge;</w:t>
      </w:r>
    </w:p>
    <w:p w14:paraId="23C30E3F" w14:textId="3EB27F2D" w:rsidR="002F5868" w:rsidRDefault="00DD1AC6">
      <w:pPr>
        <w:pStyle w:val="List"/>
      </w:pPr>
      <w:r>
        <w:t>(</w:t>
      </w:r>
      <w:r w:rsidR="00680ED0">
        <w:t>ff</w:t>
      </w:r>
      <w:r>
        <w:t>)</w:t>
      </w:r>
      <w:r>
        <w:tab/>
        <w:t>Section 6.6.9.1, Payment for Emergency Power Increase Directed by ERCOT;</w:t>
      </w:r>
    </w:p>
    <w:p w14:paraId="0D063F29" w14:textId="60C5C753" w:rsidR="002F5868" w:rsidRDefault="00DD1AC6">
      <w:pPr>
        <w:pStyle w:val="List"/>
      </w:pPr>
      <w:r>
        <w:t>(</w:t>
      </w:r>
      <w:r w:rsidR="00680ED0">
        <w:t>gg</w:t>
      </w:r>
      <w:r>
        <w:t>)</w:t>
      </w:r>
      <w:r>
        <w:tab/>
        <w:t>Section 6.6.9.2, Charge for Emergency Power Increases;</w:t>
      </w:r>
    </w:p>
    <w:p w14:paraId="43B1CB2E" w14:textId="1E7C9D29" w:rsidR="002F5868" w:rsidRDefault="00DD1AC6">
      <w:pPr>
        <w:pStyle w:val="List"/>
      </w:pPr>
      <w:r>
        <w:t>(</w:t>
      </w:r>
      <w:r w:rsidR="00680ED0">
        <w:t>hh</w:t>
      </w:r>
      <w:r>
        <w:t>)</w:t>
      </w:r>
      <w:r>
        <w:tab/>
        <w:t>Section 6.6.10, Real-Time Revenue Neutrality Allocation;</w:t>
      </w:r>
    </w:p>
    <w:p w14:paraId="16533DBF" w14:textId="2DA5F7DA" w:rsidR="007603E3" w:rsidRPr="000C3B2F" w:rsidRDefault="007603E3" w:rsidP="007603E3">
      <w:pPr>
        <w:spacing w:after="240"/>
        <w:ind w:left="1440" w:hanging="720"/>
      </w:pPr>
      <w:r w:rsidRPr="000C3B2F">
        <w:t>(</w:t>
      </w:r>
      <w:r w:rsidR="00680ED0">
        <w:t>ii</w:t>
      </w:r>
      <w:r w:rsidRPr="000C3B2F">
        <w:t>)</w:t>
      </w:r>
      <w:r w:rsidRPr="000C3B2F">
        <w:tab/>
        <w:t>Section 6.6.1</w:t>
      </w:r>
      <w:r w:rsidR="0013016F">
        <w:t>4</w:t>
      </w:r>
      <w:r w:rsidRPr="000C3B2F">
        <w:t>.</w:t>
      </w:r>
      <w:r>
        <w:t>2</w:t>
      </w:r>
      <w:r w:rsidRPr="000C3B2F">
        <w:t>, Firm Fuel Supply Service Hourly Standby Fee Payment</w:t>
      </w:r>
      <w:r>
        <w:t xml:space="preserve"> </w:t>
      </w:r>
      <w:r w:rsidRPr="005D035F">
        <w:t>and Fuel Replacement Cost Recovery</w:t>
      </w:r>
      <w:r>
        <w:t>;</w:t>
      </w:r>
    </w:p>
    <w:p w14:paraId="12748F0C" w14:textId="53222463" w:rsidR="007603E3" w:rsidRPr="000C3B2F" w:rsidRDefault="007603E3" w:rsidP="007603E3">
      <w:pPr>
        <w:spacing w:after="240"/>
        <w:ind w:left="1440" w:hanging="720"/>
      </w:pPr>
      <w:r w:rsidRPr="000C3B2F">
        <w:t>(</w:t>
      </w:r>
      <w:r w:rsidR="00680ED0">
        <w:t>jj</w:t>
      </w:r>
      <w:r w:rsidRPr="000C3B2F">
        <w:t>)</w:t>
      </w:r>
      <w:r w:rsidRPr="000C3B2F">
        <w:tab/>
        <w:t>Section 6.6.1</w:t>
      </w:r>
      <w:r w:rsidR="0013016F">
        <w:t>4</w:t>
      </w:r>
      <w:r w:rsidRPr="000C3B2F">
        <w:t>.</w:t>
      </w:r>
      <w:r>
        <w:t>3</w:t>
      </w:r>
      <w:r w:rsidRPr="000C3B2F">
        <w:t>, Firm Fuel Supply Service Capacity Charge</w:t>
      </w:r>
      <w:r>
        <w:t>;</w:t>
      </w:r>
    </w:p>
    <w:p w14:paraId="16CC81E6" w14:textId="5FDABAA9" w:rsidR="002F5868" w:rsidRDefault="00DD1AC6">
      <w:pPr>
        <w:pStyle w:val="List"/>
      </w:pPr>
      <w:r>
        <w:t>(</w:t>
      </w:r>
      <w:r w:rsidR="00680ED0">
        <w:t>kk</w:t>
      </w:r>
      <w:r>
        <w:t>)</w:t>
      </w:r>
      <w:r>
        <w:tab/>
        <w:t xml:space="preserve">Paragraph </w:t>
      </w:r>
      <w:r w:rsidR="00522B6A">
        <w:t>(1)</w:t>
      </w:r>
      <w:r w:rsidR="006B4446">
        <w:t>(a)</w:t>
      </w:r>
      <w:r>
        <w:t xml:space="preserve"> of Section 6.7.1, Payments for Ancillary Service Capacity Sold in a Supplemental Ancillary Service</w:t>
      </w:r>
      <w:r w:rsidR="00522B6A">
        <w:t>s</w:t>
      </w:r>
      <w:r>
        <w:t xml:space="preserve"> Market</w:t>
      </w:r>
      <w:r w:rsidR="00522B6A">
        <w:t xml:space="preserve"> (SASM) or Reconfiguration Supplemental Ancillary Services Market (RSASM)</w:t>
      </w:r>
      <w:r>
        <w:t>;</w:t>
      </w:r>
    </w:p>
    <w:p w14:paraId="3EA01465" w14:textId="6537D749" w:rsidR="002F5868" w:rsidRDefault="00DD1AC6">
      <w:pPr>
        <w:pStyle w:val="List"/>
      </w:pPr>
      <w:r>
        <w:t>(</w:t>
      </w:r>
      <w:r w:rsidR="00680ED0">
        <w:t>ll</w:t>
      </w:r>
      <w:r>
        <w:t>)</w:t>
      </w:r>
      <w:r>
        <w:tab/>
        <w:t xml:space="preserve">Paragraph </w:t>
      </w:r>
      <w:r w:rsidR="00522B6A">
        <w:t>(1)</w:t>
      </w:r>
      <w:r w:rsidR="006B4446">
        <w:t>(b)</w:t>
      </w:r>
      <w:r>
        <w:t xml:space="preserve"> of Section 6.7.1;</w:t>
      </w:r>
    </w:p>
    <w:p w14:paraId="1E3B373E" w14:textId="2A4AE8F5" w:rsidR="002F5868" w:rsidRDefault="00DD1AC6">
      <w:pPr>
        <w:pStyle w:val="List"/>
      </w:pPr>
      <w:r>
        <w:t>(</w:t>
      </w:r>
      <w:r w:rsidR="00680ED0">
        <w:t>mm</w:t>
      </w:r>
      <w:r>
        <w:t>)</w:t>
      </w:r>
      <w:r>
        <w:tab/>
        <w:t xml:space="preserve">Paragraph </w:t>
      </w:r>
      <w:r w:rsidR="00522B6A">
        <w:t>(1)</w:t>
      </w:r>
      <w:r w:rsidR="006B4446">
        <w:t>(c)</w:t>
      </w:r>
      <w:r>
        <w:t xml:space="preserve"> of Section 6.7.1;</w:t>
      </w:r>
    </w:p>
    <w:p w14:paraId="60C3031D" w14:textId="16D7C5E4" w:rsidR="002F5868" w:rsidRDefault="00DD1AC6">
      <w:pPr>
        <w:pStyle w:val="List"/>
      </w:pPr>
      <w:r>
        <w:t>(</w:t>
      </w:r>
      <w:r w:rsidR="00680ED0">
        <w:t>nn</w:t>
      </w:r>
      <w:r>
        <w:t>)</w:t>
      </w:r>
      <w:r>
        <w:tab/>
        <w:t xml:space="preserve">Paragraph </w:t>
      </w:r>
      <w:r w:rsidR="00522B6A">
        <w:t>(1)</w:t>
      </w:r>
      <w:r w:rsidR="006B4446">
        <w:t>(d)</w:t>
      </w:r>
      <w:r>
        <w:t xml:space="preserve"> of Section 6.7.1; </w:t>
      </w:r>
    </w:p>
    <w:p w14:paraId="11C7E0DA" w14:textId="1407BAD3" w:rsidR="00397195" w:rsidRPr="0003648D" w:rsidRDefault="00397195" w:rsidP="00397195">
      <w:pPr>
        <w:spacing w:after="240"/>
        <w:ind w:left="1440" w:hanging="720"/>
      </w:pPr>
      <w:r w:rsidRPr="0003648D">
        <w:t>(</w:t>
      </w:r>
      <w:r>
        <w:t>oo</w:t>
      </w:r>
      <w:r w:rsidRPr="0003648D">
        <w:t>)</w:t>
      </w:r>
      <w:r w:rsidRPr="0003648D">
        <w:tab/>
        <w:t xml:space="preserve">Paragraph (1)(e) of Section 6.7.1; </w:t>
      </w:r>
    </w:p>
    <w:p w14:paraId="30822A83" w14:textId="2109AC60" w:rsidR="00504253" w:rsidRDefault="00504253" w:rsidP="002B4852">
      <w:pPr>
        <w:pStyle w:val="List"/>
      </w:pPr>
      <w:r>
        <w:lastRenderedPageBreak/>
        <w:t>(</w:t>
      </w:r>
      <w:r w:rsidR="00397195">
        <w:t>pp</w:t>
      </w:r>
      <w:r>
        <w:t>)</w:t>
      </w:r>
      <w:r>
        <w:tab/>
      </w:r>
      <w:r w:rsidRPr="00A02D58">
        <w:t xml:space="preserve">Paragraph </w:t>
      </w:r>
      <w:r>
        <w:t>(1)</w:t>
      </w:r>
      <w:r w:rsidRPr="00A02D58">
        <w:t>(a) of Section 6.7.2, Payments for Ancillary Service Capacity Assigned in Real-Time Operations;</w:t>
      </w:r>
    </w:p>
    <w:p w14:paraId="0CA5C261" w14:textId="7CA1473E" w:rsidR="00504253" w:rsidRDefault="00504253" w:rsidP="00A75C9C">
      <w:pPr>
        <w:pStyle w:val="List"/>
      </w:pPr>
      <w:r>
        <w:t>(</w:t>
      </w:r>
      <w:r w:rsidR="00397195">
        <w:t>qq</w:t>
      </w:r>
      <w:r>
        <w:t>)</w:t>
      </w:r>
      <w:r>
        <w:tab/>
        <w:t>Paragraph (1)(b) of Section 6.7.2;</w:t>
      </w:r>
    </w:p>
    <w:p w14:paraId="35D444DE" w14:textId="4998A2F0" w:rsidR="00397195" w:rsidRPr="0003648D" w:rsidRDefault="00397195" w:rsidP="00397195">
      <w:pPr>
        <w:spacing w:after="240"/>
        <w:ind w:left="1440" w:hanging="720"/>
      </w:pPr>
      <w:r>
        <w:t>(rr)</w:t>
      </w:r>
      <w:r>
        <w:tab/>
        <w:t xml:space="preserve">Paragraph (1)(c) of Section 6.7.2; </w:t>
      </w:r>
    </w:p>
    <w:p w14:paraId="0D12BDDC" w14:textId="79879330" w:rsidR="00D6200E" w:rsidRDefault="00D6200E" w:rsidP="002B4852">
      <w:pPr>
        <w:spacing w:after="240"/>
        <w:ind w:left="1440" w:hanging="720"/>
      </w:pPr>
      <w:r w:rsidRPr="00D26EA8">
        <w:t>(</w:t>
      </w:r>
      <w:r w:rsidR="00397195">
        <w:t>ss</w:t>
      </w:r>
      <w:r w:rsidRPr="00D26EA8">
        <w:t>)</w:t>
      </w:r>
      <w:r w:rsidRPr="00D26EA8">
        <w:tab/>
      </w:r>
      <w:r>
        <w:t xml:space="preserve">Paragraph (1)(a) of </w:t>
      </w:r>
      <w:r w:rsidRPr="00D26EA8">
        <w:t>Section 6.7.2.1, Charges for Infeasible Ancillary Service Capacity Due to Transmission Constraints</w:t>
      </w:r>
      <w:r>
        <w:t>;</w:t>
      </w:r>
    </w:p>
    <w:p w14:paraId="230A5BAB" w14:textId="0B3F052C" w:rsidR="00D6200E" w:rsidRDefault="00D6200E" w:rsidP="00D6200E">
      <w:pPr>
        <w:spacing w:after="240"/>
        <w:ind w:left="1440" w:hanging="720"/>
      </w:pPr>
      <w:r>
        <w:t>(</w:t>
      </w:r>
      <w:r w:rsidR="00397195">
        <w:t>tt</w:t>
      </w:r>
      <w:r>
        <w:t>)</w:t>
      </w:r>
      <w:r>
        <w:tab/>
        <w:t>Paragraph (1)(b) of Section 6.7.2.1;</w:t>
      </w:r>
    </w:p>
    <w:p w14:paraId="5F6B722E" w14:textId="57EA8FCE" w:rsidR="00D6200E" w:rsidRDefault="00D6200E" w:rsidP="00D6200E">
      <w:pPr>
        <w:spacing w:after="240"/>
        <w:ind w:left="1440" w:hanging="720"/>
      </w:pPr>
      <w:r>
        <w:t>(</w:t>
      </w:r>
      <w:r w:rsidR="00397195">
        <w:t>uu</w:t>
      </w:r>
      <w:r>
        <w:t>)</w:t>
      </w:r>
      <w:r>
        <w:tab/>
        <w:t>Paragraph (1)(c) of Section 6.7.2.1;</w:t>
      </w:r>
    </w:p>
    <w:p w14:paraId="38083E5B" w14:textId="51D8981A" w:rsidR="005F3989" w:rsidRDefault="00D6200E" w:rsidP="00D6200E">
      <w:pPr>
        <w:pStyle w:val="List"/>
      </w:pPr>
      <w:r>
        <w:t>(</w:t>
      </w:r>
      <w:r w:rsidR="00397195">
        <w:t>vv</w:t>
      </w:r>
      <w:r>
        <w:t>)</w:t>
      </w:r>
      <w:r>
        <w:tab/>
        <w:t>Paragraph (1)(d) of Section 6.7.2.1;</w:t>
      </w:r>
    </w:p>
    <w:p w14:paraId="4E5A5A5D" w14:textId="01CEC57B" w:rsidR="00397195" w:rsidRPr="0003648D" w:rsidRDefault="00397195" w:rsidP="00397195">
      <w:pPr>
        <w:spacing w:after="240"/>
        <w:ind w:left="1440" w:hanging="720"/>
      </w:pPr>
      <w:r w:rsidRPr="0003648D">
        <w:t>(</w:t>
      </w:r>
      <w:r>
        <w:t>ww</w:t>
      </w:r>
      <w:r w:rsidRPr="0003648D">
        <w:t>)</w:t>
      </w:r>
      <w:r w:rsidRPr="0003648D">
        <w:tab/>
        <w:t>Paragraph (1)(e) of Section 6.7.2.1;</w:t>
      </w:r>
    </w:p>
    <w:p w14:paraId="6B017444" w14:textId="1E36697B" w:rsidR="002F5868" w:rsidRDefault="00DD1AC6" w:rsidP="002B4852">
      <w:pPr>
        <w:pStyle w:val="List"/>
      </w:pPr>
      <w:r>
        <w:t>(</w:t>
      </w:r>
      <w:r w:rsidR="00397195">
        <w:t>xx</w:t>
      </w:r>
      <w:r>
        <w:t>)</w:t>
      </w:r>
      <w:r>
        <w:tab/>
        <w:t xml:space="preserve">Paragraph </w:t>
      </w:r>
      <w:r w:rsidR="00522B6A">
        <w:t>(1)</w:t>
      </w:r>
      <w:r>
        <w:t>(</w:t>
      </w:r>
      <w:r w:rsidR="00CD11DE">
        <w:t>a</w:t>
      </w:r>
      <w:r>
        <w:t>) of Section 6.7.</w:t>
      </w:r>
      <w:r w:rsidR="00504253">
        <w:t>3</w:t>
      </w:r>
      <w:r>
        <w:t>, Charges for Ancillary Service Capacity Replaced Due to Failure to Provide;</w:t>
      </w:r>
    </w:p>
    <w:p w14:paraId="31D647DE" w14:textId="264A3BDD" w:rsidR="002F5868" w:rsidRDefault="00DD1AC6">
      <w:pPr>
        <w:pStyle w:val="List"/>
      </w:pPr>
      <w:r>
        <w:t>(</w:t>
      </w:r>
      <w:r w:rsidR="00397195">
        <w:t>yy</w:t>
      </w:r>
      <w:r>
        <w:t>)</w:t>
      </w:r>
      <w:r>
        <w:tab/>
        <w:t xml:space="preserve">Paragraph </w:t>
      </w:r>
      <w:r w:rsidR="00522B6A">
        <w:t>(1)</w:t>
      </w:r>
      <w:r>
        <w:t>(</w:t>
      </w:r>
      <w:r w:rsidR="00CD11DE">
        <w:t>b</w:t>
      </w:r>
      <w:r>
        <w:t>) of Section 6.7.</w:t>
      </w:r>
      <w:r w:rsidR="00504253">
        <w:t>3</w:t>
      </w:r>
      <w:r>
        <w:t>;</w:t>
      </w:r>
    </w:p>
    <w:p w14:paraId="048FF089" w14:textId="26E0BD91" w:rsidR="002F5868" w:rsidRDefault="00DD1AC6">
      <w:pPr>
        <w:pStyle w:val="List"/>
      </w:pPr>
      <w:r>
        <w:t>(</w:t>
      </w:r>
      <w:r w:rsidR="00397195">
        <w:t>zz</w:t>
      </w:r>
      <w:r>
        <w:t>)</w:t>
      </w:r>
      <w:r>
        <w:tab/>
        <w:t xml:space="preserve">Paragraph </w:t>
      </w:r>
      <w:r w:rsidR="00522B6A">
        <w:t>(1)</w:t>
      </w:r>
      <w:r>
        <w:t>(</w:t>
      </w:r>
      <w:r w:rsidR="00CD11DE">
        <w:t>c</w:t>
      </w:r>
      <w:r>
        <w:t>) of Section 6.7.</w:t>
      </w:r>
      <w:r w:rsidR="00504253">
        <w:t>3</w:t>
      </w:r>
      <w:r>
        <w:t>;</w:t>
      </w:r>
    </w:p>
    <w:p w14:paraId="210B65ED" w14:textId="4E638F64" w:rsidR="002F5868" w:rsidRDefault="00DD1AC6">
      <w:pPr>
        <w:pStyle w:val="List"/>
      </w:pPr>
      <w:r>
        <w:t>(</w:t>
      </w:r>
      <w:r w:rsidR="00397195">
        <w:t>aaa</w:t>
      </w:r>
      <w:r>
        <w:t>)</w:t>
      </w:r>
      <w:r>
        <w:tab/>
        <w:t xml:space="preserve">Paragraph </w:t>
      </w:r>
      <w:r w:rsidR="00522B6A">
        <w:t>(1)</w:t>
      </w:r>
      <w:r>
        <w:t>(</w:t>
      </w:r>
      <w:r w:rsidR="00763592">
        <w:t>d</w:t>
      </w:r>
      <w:r>
        <w:t>) of Section 6.7.</w:t>
      </w:r>
      <w:r w:rsidR="00504253">
        <w:t>3</w:t>
      </w:r>
      <w:r>
        <w:t>;</w:t>
      </w:r>
    </w:p>
    <w:p w14:paraId="5D76697E" w14:textId="397F8495" w:rsidR="00397195" w:rsidRPr="0003648D" w:rsidRDefault="00397195" w:rsidP="00397195">
      <w:pPr>
        <w:spacing w:after="240"/>
        <w:ind w:left="1440" w:hanging="720"/>
      </w:pPr>
      <w:r w:rsidRPr="0003648D">
        <w:t>(</w:t>
      </w:r>
      <w:r>
        <w:t>bbb</w:t>
      </w:r>
      <w:r w:rsidRPr="0003648D">
        <w:t>)</w:t>
      </w:r>
      <w:r w:rsidRPr="0003648D">
        <w:tab/>
        <w:t>Paragraph (1)(e) of Section 6.7.3;</w:t>
      </w:r>
    </w:p>
    <w:p w14:paraId="4B917AEF" w14:textId="46D59B64" w:rsidR="002F5868" w:rsidRPr="0039567D" w:rsidRDefault="00DD1AC6" w:rsidP="002B4852">
      <w:pPr>
        <w:pStyle w:val="List"/>
      </w:pPr>
      <w:r w:rsidRPr="0039567D">
        <w:t>(</w:t>
      </w:r>
      <w:r w:rsidR="00397195">
        <w:t>ccc</w:t>
      </w:r>
      <w:r w:rsidRPr="0039567D">
        <w:t>)</w:t>
      </w:r>
      <w:r w:rsidRPr="0039567D">
        <w:tab/>
        <w:t>Paragraph (</w:t>
      </w:r>
      <w:r w:rsidR="00F452AF">
        <w:t>2</w:t>
      </w:r>
      <w:r w:rsidRPr="0039567D">
        <w:t>) of Section 6.7.</w:t>
      </w:r>
      <w:r w:rsidR="00504253">
        <w:t>4</w:t>
      </w:r>
      <w:r w:rsidRPr="0039567D">
        <w:t>, Adjustments to Cost Allocations for Ancillary Services Procurement;</w:t>
      </w:r>
    </w:p>
    <w:p w14:paraId="2725F3F9" w14:textId="32EE6296" w:rsidR="002F5868" w:rsidRPr="0039567D" w:rsidRDefault="00DD1AC6">
      <w:pPr>
        <w:pStyle w:val="List"/>
      </w:pPr>
      <w:r w:rsidRPr="0039567D">
        <w:t>(</w:t>
      </w:r>
      <w:r w:rsidR="00397195">
        <w:t>ddd</w:t>
      </w:r>
      <w:r w:rsidRPr="0039567D">
        <w:t>)</w:t>
      </w:r>
      <w:r w:rsidRPr="0039567D">
        <w:tab/>
        <w:t>Paragraph (</w:t>
      </w:r>
      <w:r w:rsidR="00F452AF">
        <w:t>3</w:t>
      </w:r>
      <w:r w:rsidRPr="0039567D">
        <w:t>) of Section 6.7.</w:t>
      </w:r>
      <w:r w:rsidR="00504253">
        <w:t>4</w:t>
      </w:r>
      <w:r w:rsidRPr="0039567D">
        <w:t>;</w:t>
      </w:r>
    </w:p>
    <w:p w14:paraId="760D666E" w14:textId="4385366E" w:rsidR="002F5868" w:rsidRPr="0039567D" w:rsidRDefault="00DD1AC6">
      <w:pPr>
        <w:pStyle w:val="List"/>
      </w:pPr>
      <w:r w:rsidRPr="0039567D">
        <w:t>(</w:t>
      </w:r>
      <w:r w:rsidR="00397195">
        <w:t>eee</w:t>
      </w:r>
      <w:r w:rsidRPr="0039567D">
        <w:t>)</w:t>
      </w:r>
      <w:r w:rsidRPr="0039567D">
        <w:tab/>
        <w:t>Paragraph (</w:t>
      </w:r>
      <w:r w:rsidR="00F452AF">
        <w:t>4</w:t>
      </w:r>
      <w:r w:rsidRPr="0039567D">
        <w:t>) of Section 6.7.</w:t>
      </w:r>
      <w:r w:rsidR="00504253">
        <w:t>4</w:t>
      </w:r>
      <w:r w:rsidRPr="0039567D">
        <w:t>;</w:t>
      </w:r>
    </w:p>
    <w:p w14:paraId="7B1F7508" w14:textId="3BBF1BCE" w:rsidR="002F5868" w:rsidRDefault="00DD1AC6">
      <w:pPr>
        <w:pStyle w:val="List"/>
      </w:pPr>
      <w:r w:rsidRPr="0039567D">
        <w:t>(</w:t>
      </w:r>
      <w:r w:rsidR="00397195">
        <w:t>fff</w:t>
      </w:r>
      <w:r w:rsidRPr="0039567D">
        <w:t>)</w:t>
      </w:r>
      <w:r w:rsidRPr="0039567D">
        <w:tab/>
        <w:t>Paragraph (</w:t>
      </w:r>
      <w:r w:rsidR="00F452AF">
        <w:t>5</w:t>
      </w:r>
      <w:r w:rsidRPr="0039567D">
        <w:t>) of Section 6.7.</w:t>
      </w:r>
      <w:r w:rsidR="00504253">
        <w:t>4</w:t>
      </w:r>
      <w:r w:rsidRPr="0039567D">
        <w:t>;</w:t>
      </w:r>
      <w:r>
        <w:t xml:space="preserve"> </w:t>
      </w:r>
    </w:p>
    <w:p w14:paraId="650A9951" w14:textId="34B60D28" w:rsidR="00397195" w:rsidRPr="0003648D" w:rsidRDefault="00397195" w:rsidP="00397195">
      <w:pPr>
        <w:spacing w:after="240"/>
        <w:ind w:left="1440" w:hanging="720"/>
      </w:pPr>
      <w:r w:rsidRPr="0003648D">
        <w:t>(</w:t>
      </w:r>
      <w:r>
        <w:t>ggg</w:t>
      </w:r>
      <w:r w:rsidRPr="0003648D">
        <w:t>)</w:t>
      </w:r>
      <w:r w:rsidRPr="0003648D">
        <w:tab/>
        <w:t>Paragraph (6) of Section 6.7.4;</w:t>
      </w:r>
    </w:p>
    <w:p w14:paraId="4450887D" w14:textId="5F683F3E" w:rsidR="00C74063" w:rsidRDefault="00C74063" w:rsidP="002B4852">
      <w:pPr>
        <w:pStyle w:val="List"/>
      </w:pPr>
      <w:r>
        <w:t>(</w:t>
      </w:r>
      <w:r w:rsidR="00397195">
        <w:t>hhh</w:t>
      </w:r>
      <w:r>
        <w:t>)</w:t>
      </w:r>
      <w:r>
        <w:tab/>
      </w:r>
      <w:r w:rsidR="001A72B8" w:rsidRPr="00491E7A">
        <w:t>Paragraph (</w:t>
      </w:r>
      <w:r w:rsidR="0067556D">
        <w:t>7</w:t>
      </w:r>
      <w:r w:rsidR="001A72B8" w:rsidRPr="00491E7A">
        <w:t xml:space="preserve">) of </w:t>
      </w:r>
      <w:r>
        <w:t xml:space="preserve">Section </w:t>
      </w:r>
      <w:r w:rsidRPr="007A1F61">
        <w:t>6.7.</w:t>
      </w:r>
      <w:r w:rsidR="00504253">
        <w:t>5</w:t>
      </w:r>
      <w:r>
        <w:t xml:space="preserve">, </w:t>
      </w:r>
      <w:r w:rsidRPr="007A1F61">
        <w:t>Real-Time Ancillary Service Imbalance Payment or Charge</w:t>
      </w:r>
      <w:r w:rsidR="00C16E4D">
        <w:t xml:space="preserve"> (Real-Time Ancillary Service Imbalance Amount)</w:t>
      </w:r>
      <w:r>
        <w:t>;</w:t>
      </w:r>
    </w:p>
    <w:p w14:paraId="6090F60E" w14:textId="6AA6350F" w:rsidR="00C16E4D" w:rsidRDefault="00C16E4D" w:rsidP="00C16E4D">
      <w:pPr>
        <w:pStyle w:val="List"/>
      </w:pPr>
      <w:r>
        <w:t>(</w:t>
      </w:r>
      <w:r w:rsidR="00397195">
        <w:t>iii</w:t>
      </w:r>
      <w:r>
        <w:t>)</w:t>
      </w:r>
      <w:r>
        <w:tab/>
      </w:r>
      <w:r w:rsidRPr="00491E7A">
        <w:t>Paragraph (</w:t>
      </w:r>
      <w:r w:rsidR="0067556D">
        <w:t>7</w:t>
      </w:r>
      <w:r w:rsidRPr="00491E7A">
        <w:t xml:space="preserve">) of </w:t>
      </w:r>
      <w:r>
        <w:t xml:space="preserve">Section </w:t>
      </w:r>
      <w:r w:rsidRPr="007A1F61">
        <w:t>6.7.</w:t>
      </w:r>
      <w:r w:rsidR="00504253">
        <w:t>5</w:t>
      </w:r>
      <w:r>
        <w:t>, (</w:t>
      </w:r>
      <w:r w:rsidRPr="009506C2">
        <w:t>Real-Time Reliability Deployment Ancillary Service Imbalance Amount</w:t>
      </w:r>
      <w:r>
        <w:t>);</w:t>
      </w:r>
    </w:p>
    <w:p w14:paraId="343C5E57" w14:textId="34053F66" w:rsidR="009868C6" w:rsidRDefault="009868C6" w:rsidP="009868C6">
      <w:pPr>
        <w:pStyle w:val="List"/>
      </w:pPr>
      <w:r w:rsidRPr="00491E7A">
        <w:t>(</w:t>
      </w:r>
      <w:r w:rsidR="00397195">
        <w:t>jjj</w:t>
      </w:r>
      <w:r w:rsidRPr="00491E7A">
        <w:t>)</w:t>
      </w:r>
      <w:r w:rsidRPr="00491E7A">
        <w:tab/>
        <w:t>Paragraph (</w:t>
      </w:r>
      <w:r w:rsidR="0067556D">
        <w:t>8</w:t>
      </w:r>
      <w:r w:rsidRPr="00491E7A">
        <w:t>) of Section 6.7.</w:t>
      </w:r>
      <w:r w:rsidR="00504253">
        <w:t>5</w:t>
      </w:r>
      <w:r>
        <w:t>, (Real-Time RUC Ancillary Service Reserve Amount)</w:t>
      </w:r>
      <w:r w:rsidRPr="00491E7A">
        <w:t xml:space="preserve">; </w:t>
      </w:r>
    </w:p>
    <w:p w14:paraId="0AFBEEA0" w14:textId="7B12403E" w:rsidR="009868C6" w:rsidRPr="00B8591C" w:rsidRDefault="009868C6" w:rsidP="009868C6">
      <w:pPr>
        <w:pStyle w:val="List"/>
      </w:pPr>
      <w:r w:rsidRPr="00491E7A">
        <w:lastRenderedPageBreak/>
        <w:t>(</w:t>
      </w:r>
      <w:r w:rsidR="00397195">
        <w:t>kkk</w:t>
      </w:r>
      <w:r w:rsidRPr="00491E7A">
        <w:t>)</w:t>
      </w:r>
      <w:r w:rsidRPr="00491E7A">
        <w:tab/>
        <w:t>Paragraph (</w:t>
      </w:r>
      <w:r w:rsidR="0067556D">
        <w:t>8</w:t>
      </w:r>
      <w:r w:rsidRPr="00491E7A">
        <w:t>) of Section 6.7.</w:t>
      </w:r>
      <w:r w:rsidR="00504253">
        <w:t>5</w:t>
      </w:r>
      <w:r>
        <w:t>,</w:t>
      </w:r>
      <w:r w:rsidRPr="009506C2">
        <w:t xml:space="preserve"> </w:t>
      </w:r>
      <w:r>
        <w:t>(</w:t>
      </w:r>
      <w:r w:rsidRPr="009506C2">
        <w:t>Real-Time Reliability Deployment RUC Ancillary Service Reserve Amount</w:t>
      </w:r>
      <w:r>
        <w:t>)</w:t>
      </w:r>
      <w:r w:rsidRPr="00491E7A">
        <w:t xml:space="preserve">; </w:t>
      </w:r>
    </w:p>
    <w:p w14:paraId="7DFE1A62" w14:textId="5A11C8E6" w:rsidR="00C74063" w:rsidRDefault="00C74063" w:rsidP="009868C6">
      <w:pPr>
        <w:pStyle w:val="List"/>
      </w:pPr>
      <w:r>
        <w:t>(</w:t>
      </w:r>
      <w:r w:rsidR="00397195">
        <w:t>lll</w:t>
      </w:r>
      <w:r>
        <w:t>)</w:t>
      </w:r>
      <w:r>
        <w:tab/>
        <w:t>Section 6.7.</w:t>
      </w:r>
      <w:r w:rsidR="00504253">
        <w:t>6</w:t>
      </w:r>
      <w:r>
        <w:t xml:space="preserve">, </w:t>
      </w:r>
      <w:r w:rsidR="00F033E3">
        <w:t>Real-</w:t>
      </w:r>
      <w:r>
        <w:t>Time Ancillary Service Imbalance Revenue Neutrality Allocation</w:t>
      </w:r>
      <w:r w:rsidR="00E3188F">
        <w:t xml:space="preserve"> (Load-Allocated Ancillary Service Imbalance Revenue Neutrality Amount)</w:t>
      </w:r>
      <w:r>
        <w:t>;</w:t>
      </w:r>
    </w:p>
    <w:p w14:paraId="18470C87" w14:textId="19733684" w:rsidR="00E3188F" w:rsidRDefault="00E3188F" w:rsidP="00E3188F">
      <w:pPr>
        <w:pStyle w:val="List"/>
      </w:pPr>
      <w:r>
        <w:t>(</w:t>
      </w:r>
      <w:r w:rsidR="00397195">
        <w:t>mmm</w:t>
      </w:r>
      <w:r>
        <w:t>)</w:t>
      </w:r>
      <w:r>
        <w:tab/>
        <w:t>Section 6.7.</w:t>
      </w:r>
      <w:r w:rsidR="00504253">
        <w:t>6</w:t>
      </w:r>
      <w:r>
        <w:t>, (</w:t>
      </w:r>
      <w:r w:rsidRPr="009506C2">
        <w:t>Load-Allocated Reliability Deployment Ancillary Service Imbalance Revenue Neutrality Amount</w:t>
      </w:r>
      <w:r>
        <w:t>);</w:t>
      </w:r>
    </w:p>
    <w:p w14:paraId="78B8524F" w14:textId="4598B855" w:rsidR="002F5868" w:rsidRDefault="00DD1AC6" w:rsidP="00246FD3">
      <w:pPr>
        <w:pStyle w:val="List"/>
      </w:pPr>
      <w:r>
        <w:t>(</w:t>
      </w:r>
      <w:r w:rsidR="00397195">
        <w:t>nnn</w:t>
      </w:r>
      <w:r>
        <w:t>)</w:t>
      </w:r>
      <w:r>
        <w:tab/>
        <w:t>Section 7.9.2.1, Payments and Charges for PTP Obligations Settled in Real-Time;</w:t>
      </w:r>
      <w:r w:rsidR="00246FD3">
        <w:t xml:space="preserve"> and</w:t>
      </w:r>
    </w:p>
    <w:p w14:paraId="523A948A" w14:textId="240F35ED" w:rsidR="00BC66E2" w:rsidRDefault="00DD1AC6">
      <w:pPr>
        <w:pStyle w:val="List"/>
      </w:pPr>
      <w:r>
        <w:t>(</w:t>
      </w:r>
      <w:r w:rsidR="00397195">
        <w:t>ooo</w:t>
      </w:r>
      <w:r>
        <w:t>)</w:t>
      </w:r>
      <w:r>
        <w:tab/>
        <w:t xml:space="preserve">Section 9.16.1, ERCOT System Administration </w:t>
      </w:r>
      <w:r w:rsidR="00681A15">
        <w:t>Fee</w:t>
      </w:r>
      <w:r w:rsidR="00351268">
        <w:t>.</w:t>
      </w:r>
    </w:p>
    <w:tbl>
      <w:tblPr>
        <w:tblW w:w="976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4C53DD" w:rsidRPr="00E566EB" w14:paraId="5C423E76" w14:textId="77777777" w:rsidTr="001552F0">
        <w:tc>
          <w:tcPr>
            <w:tcW w:w="9766" w:type="dxa"/>
            <w:tcBorders>
              <w:top w:val="single" w:sz="4" w:space="0" w:color="auto"/>
              <w:left w:val="single" w:sz="4" w:space="0" w:color="auto"/>
              <w:bottom w:val="single" w:sz="4" w:space="0" w:color="auto"/>
              <w:right w:val="single" w:sz="4" w:space="0" w:color="auto"/>
            </w:tcBorders>
            <w:shd w:val="pct12" w:color="auto" w:fill="auto"/>
          </w:tcPr>
          <w:p w14:paraId="2526D162" w14:textId="1FD53F8F" w:rsidR="004C53DD" w:rsidRPr="00E566EB" w:rsidRDefault="004C53DD" w:rsidP="001552F0">
            <w:pPr>
              <w:spacing w:before="120" w:after="240"/>
              <w:rPr>
                <w:b/>
                <w:i/>
                <w:iCs/>
              </w:rPr>
            </w:pPr>
            <w:r>
              <w:rPr>
                <w:b/>
                <w:i/>
                <w:iCs/>
              </w:rPr>
              <w:t xml:space="preserve">[NPRR841, NPRR885, </w:t>
            </w:r>
            <w:r w:rsidR="00D211B0">
              <w:rPr>
                <w:b/>
                <w:i/>
                <w:iCs/>
              </w:rPr>
              <w:t xml:space="preserve">NPRR963, </w:t>
            </w:r>
            <w:r w:rsidR="00986EAF">
              <w:rPr>
                <w:b/>
                <w:i/>
                <w:iCs/>
              </w:rPr>
              <w:t xml:space="preserve">NPRR995, </w:t>
            </w:r>
            <w:r>
              <w:rPr>
                <w:b/>
                <w:i/>
                <w:iCs/>
              </w:rPr>
              <w:t>NPRR1012</w:t>
            </w:r>
            <w:r w:rsidR="00AA58A1">
              <w:rPr>
                <w:b/>
                <w:i/>
                <w:iCs/>
              </w:rPr>
              <w:t>, NPRR1014</w:t>
            </w:r>
            <w:r w:rsidR="003E3547">
              <w:rPr>
                <w:b/>
                <w:i/>
                <w:iCs/>
              </w:rPr>
              <w:t>, and NPRR1216</w:t>
            </w:r>
            <w:r w:rsidRPr="00E566EB">
              <w:rPr>
                <w:b/>
                <w:i/>
                <w:iCs/>
              </w:rPr>
              <w:t xml:space="preserve">: </w:t>
            </w:r>
            <w:r>
              <w:rPr>
                <w:b/>
                <w:i/>
                <w:iCs/>
              </w:rPr>
              <w:t xml:space="preserve"> Replace applicable portions of paragraph (1) above with the following upon </w:t>
            </w:r>
            <w:r w:rsidRPr="00E566EB">
              <w:rPr>
                <w:b/>
                <w:i/>
                <w:iCs/>
              </w:rPr>
              <w:t>system implementation</w:t>
            </w:r>
            <w:r>
              <w:rPr>
                <w:b/>
                <w:i/>
                <w:iCs/>
              </w:rPr>
              <w:t xml:space="preserve"> </w:t>
            </w:r>
            <w:r w:rsidR="000F3178">
              <w:rPr>
                <w:b/>
                <w:i/>
                <w:iCs/>
              </w:rPr>
              <w:t>for</w:t>
            </w:r>
            <w:r>
              <w:rPr>
                <w:b/>
                <w:i/>
                <w:iCs/>
              </w:rPr>
              <w:t xml:space="preserve"> NPRR841, NPRR885</w:t>
            </w:r>
            <w:r w:rsidR="003720B5">
              <w:rPr>
                <w:b/>
                <w:i/>
                <w:iCs/>
              </w:rPr>
              <w:t xml:space="preserve">, </w:t>
            </w:r>
            <w:r w:rsidR="00D211B0">
              <w:rPr>
                <w:b/>
                <w:i/>
                <w:iCs/>
              </w:rPr>
              <w:t>NPRR963</w:t>
            </w:r>
            <w:r w:rsidR="00AA58A1">
              <w:rPr>
                <w:b/>
                <w:i/>
                <w:iCs/>
              </w:rPr>
              <w:t xml:space="preserve">, </w:t>
            </w:r>
            <w:r w:rsidR="00986EAF">
              <w:rPr>
                <w:b/>
                <w:i/>
                <w:iCs/>
              </w:rPr>
              <w:t xml:space="preserve">NPRR995, </w:t>
            </w:r>
            <w:r w:rsidR="00AA58A1">
              <w:rPr>
                <w:b/>
                <w:i/>
                <w:iCs/>
              </w:rPr>
              <w:t>NPRR1014</w:t>
            </w:r>
            <w:r w:rsidR="003E3547">
              <w:rPr>
                <w:b/>
                <w:i/>
                <w:iCs/>
              </w:rPr>
              <w:t>, or NPRR1216</w:t>
            </w:r>
            <w:r w:rsidR="00ED5AC8">
              <w:rPr>
                <w:b/>
                <w:i/>
                <w:iCs/>
              </w:rPr>
              <w:t xml:space="preserve"> (Phase 2)</w:t>
            </w:r>
            <w:r>
              <w:rPr>
                <w:b/>
                <w:i/>
                <w:iCs/>
              </w:rPr>
              <w:t>; or upon system implementation of the Real-Time Co-Optimization (RTC) project for NPRR1012</w:t>
            </w:r>
            <w:r w:rsidRPr="00E566EB">
              <w:rPr>
                <w:b/>
                <w:i/>
                <w:iCs/>
              </w:rPr>
              <w:t>:]</w:t>
            </w:r>
          </w:p>
          <w:p w14:paraId="2571DB7A" w14:textId="77777777" w:rsidR="004C53DD" w:rsidRPr="00561931" w:rsidRDefault="004C53DD" w:rsidP="004C53DD">
            <w:pPr>
              <w:spacing w:after="240"/>
              <w:ind w:left="720" w:hanging="720"/>
            </w:pPr>
            <w:r w:rsidRPr="00561931">
              <w:t>(1)</w:t>
            </w:r>
            <w:r w:rsidRPr="00561931">
              <w:tab/>
              <w:t>ERCOT shall provide, on each RTM Settlement Statement, the dollar amount for each RTM Settlement charge and payment.  The RTM Settlement “Charge Types” are:</w:t>
            </w:r>
          </w:p>
          <w:p w14:paraId="1BFDA3E6" w14:textId="77777777" w:rsidR="004C53DD" w:rsidRPr="00561931" w:rsidRDefault="004C53DD" w:rsidP="004C53DD">
            <w:pPr>
              <w:spacing w:after="240"/>
              <w:ind w:left="1440" w:hanging="720"/>
            </w:pPr>
            <w:r w:rsidRPr="00561931">
              <w:t>(a)</w:t>
            </w:r>
            <w:r w:rsidRPr="00561931">
              <w:tab/>
              <w:t>Section 5.7.1, RUC Make-Whole Payment;</w:t>
            </w:r>
          </w:p>
          <w:p w14:paraId="6C857A74" w14:textId="77777777" w:rsidR="004C53DD" w:rsidRPr="00561931" w:rsidRDefault="004C53DD" w:rsidP="004C53DD">
            <w:pPr>
              <w:spacing w:after="240"/>
              <w:ind w:left="1440" w:hanging="720"/>
            </w:pPr>
            <w:r w:rsidRPr="00561931">
              <w:t>(b)</w:t>
            </w:r>
            <w:r w:rsidRPr="00561931">
              <w:tab/>
              <w:t>Section 5.7.2, RUC Clawback Charge;</w:t>
            </w:r>
          </w:p>
          <w:p w14:paraId="57B7B46B" w14:textId="77777777" w:rsidR="004C53DD" w:rsidRPr="00561931" w:rsidRDefault="004C53DD" w:rsidP="004C53DD">
            <w:pPr>
              <w:spacing w:after="240"/>
              <w:ind w:left="1440" w:hanging="720"/>
            </w:pPr>
            <w:r w:rsidRPr="00561931">
              <w:t>(c)</w:t>
            </w:r>
            <w:r w:rsidRPr="00561931">
              <w:tab/>
              <w:t>Section 5.7.3, Payment When ERCOT Decommits a QSE-Committed Resource;</w:t>
            </w:r>
          </w:p>
          <w:p w14:paraId="3D914583" w14:textId="77777777" w:rsidR="004C53DD" w:rsidRPr="00561931" w:rsidRDefault="004C53DD" w:rsidP="004C53DD">
            <w:pPr>
              <w:spacing w:after="240"/>
              <w:ind w:left="1440" w:hanging="720"/>
            </w:pPr>
            <w:r w:rsidRPr="00561931">
              <w:t>(d)</w:t>
            </w:r>
            <w:r w:rsidRPr="00561931">
              <w:tab/>
              <w:t>Section 5.7.4.1, RUC Capacity-Short Charge;</w:t>
            </w:r>
          </w:p>
          <w:p w14:paraId="092487DD" w14:textId="77777777" w:rsidR="004C53DD" w:rsidRPr="00561931" w:rsidRDefault="004C53DD" w:rsidP="004C53DD">
            <w:pPr>
              <w:spacing w:after="240"/>
              <w:ind w:left="1440" w:hanging="720"/>
            </w:pPr>
            <w:r w:rsidRPr="00561931">
              <w:t>(e)</w:t>
            </w:r>
            <w:r w:rsidRPr="00561931">
              <w:tab/>
              <w:t>Section 5.7.4.2, RUC Make-Whole Uplift Charge;</w:t>
            </w:r>
          </w:p>
          <w:p w14:paraId="597CD185" w14:textId="77777777" w:rsidR="004C53DD" w:rsidRPr="00561931" w:rsidRDefault="004C53DD" w:rsidP="004C53DD">
            <w:pPr>
              <w:spacing w:after="240"/>
              <w:ind w:left="1440" w:hanging="720"/>
            </w:pPr>
            <w:r w:rsidRPr="00561931">
              <w:t>(f)</w:t>
            </w:r>
            <w:r w:rsidRPr="00561931">
              <w:tab/>
              <w:t xml:space="preserve">Section </w:t>
            </w:r>
            <w:hyperlink w:anchor="_Toc109528011" w:history="1">
              <w:r w:rsidRPr="00561931">
                <w:t>5.7.5, RUC Clawback Payment</w:t>
              </w:r>
            </w:hyperlink>
            <w:r w:rsidRPr="00561931">
              <w:t>;</w:t>
            </w:r>
          </w:p>
          <w:p w14:paraId="247EC9EA" w14:textId="77777777" w:rsidR="004C53DD" w:rsidRPr="00561931" w:rsidRDefault="004C53DD" w:rsidP="004C53DD">
            <w:pPr>
              <w:spacing w:after="240"/>
              <w:ind w:left="1440" w:hanging="720"/>
            </w:pPr>
            <w:r w:rsidRPr="00561931">
              <w:t>(g)</w:t>
            </w:r>
            <w:r w:rsidRPr="00561931">
              <w:tab/>
              <w:t xml:space="preserve">Section </w:t>
            </w:r>
            <w:hyperlink w:anchor="_Toc109528014" w:history="1">
              <w:r w:rsidRPr="00561931">
                <w:t>5.7.6, RUC Decommitment Charge</w:t>
              </w:r>
            </w:hyperlink>
            <w:r w:rsidRPr="00561931">
              <w:t>;</w:t>
            </w:r>
          </w:p>
          <w:p w14:paraId="2F14CD62" w14:textId="77777777" w:rsidR="004C53DD" w:rsidRPr="00561931" w:rsidRDefault="004C53DD" w:rsidP="004C53DD">
            <w:pPr>
              <w:spacing w:after="240"/>
              <w:ind w:left="1440" w:hanging="720"/>
            </w:pPr>
            <w:r w:rsidRPr="00561931">
              <w:t>(h)</w:t>
            </w:r>
            <w:r w:rsidRPr="00561931">
              <w:tab/>
              <w:t xml:space="preserve">Section 6.6.3.1, Real-Time Energy Imbalance Payment or Charge at a Resource Node; </w:t>
            </w:r>
          </w:p>
          <w:p w14:paraId="4C17E4FE" w14:textId="77777777" w:rsidR="004C53DD" w:rsidRPr="00561931" w:rsidRDefault="004C53DD" w:rsidP="004C53DD">
            <w:pPr>
              <w:spacing w:after="240"/>
              <w:ind w:left="1440" w:hanging="720"/>
            </w:pPr>
            <w:r w:rsidRPr="00561931">
              <w:t>(i)</w:t>
            </w:r>
            <w:r w:rsidRPr="00561931">
              <w:tab/>
              <w:t>Section 6.6.3.2, Real-Time Energy Imbalance Payment or Charge at a Load Zone;</w:t>
            </w:r>
          </w:p>
          <w:p w14:paraId="4BB8CD8C" w14:textId="77777777" w:rsidR="004C53DD" w:rsidRPr="00561931" w:rsidRDefault="004C53DD" w:rsidP="004C53DD">
            <w:pPr>
              <w:spacing w:after="240"/>
              <w:ind w:left="1440" w:hanging="720"/>
            </w:pPr>
            <w:r w:rsidRPr="00561931">
              <w:t>(j)</w:t>
            </w:r>
            <w:r w:rsidRPr="00561931">
              <w:tab/>
              <w:t>Section 6.6.3.3, Real-Time Energy Imbalance Payment or Charge at a Hub;</w:t>
            </w:r>
          </w:p>
          <w:p w14:paraId="0BB25592" w14:textId="77777777" w:rsidR="004C53DD" w:rsidRPr="00561931" w:rsidRDefault="004C53DD" w:rsidP="004C53DD">
            <w:pPr>
              <w:spacing w:after="240"/>
              <w:ind w:left="1440" w:hanging="720"/>
            </w:pPr>
            <w:r w:rsidRPr="00561931">
              <w:t>(k)</w:t>
            </w:r>
            <w:r w:rsidRPr="00561931">
              <w:tab/>
              <w:t>Section 6.6.3.4, Real-Time Energy Payment for DC Tie Import;</w:t>
            </w:r>
          </w:p>
          <w:p w14:paraId="5389701E" w14:textId="77777777" w:rsidR="004C53DD" w:rsidRPr="00561931" w:rsidRDefault="004C53DD" w:rsidP="004C53DD">
            <w:pPr>
              <w:spacing w:after="240"/>
              <w:ind w:left="1440" w:hanging="720"/>
            </w:pPr>
            <w:r w:rsidRPr="00561931">
              <w:lastRenderedPageBreak/>
              <w:t>(l)</w:t>
            </w:r>
            <w:r w:rsidRPr="00561931">
              <w:tab/>
              <w:t>Section 6.6.3.5, Real-Time Payment for a Block Load Transfer Point;</w:t>
            </w:r>
          </w:p>
          <w:p w14:paraId="26327D63" w14:textId="44A90098" w:rsidR="004C53DD" w:rsidRPr="00561931" w:rsidRDefault="004C53DD" w:rsidP="004C53DD">
            <w:pPr>
              <w:spacing w:after="240"/>
              <w:ind w:left="1440" w:hanging="720"/>
            </w:pPr>
            <w:r w:rsidRPr="00561931">
              <w:t>(</w:t>
            </w:r>
            <w:r w:rsidR="008828C3">
              <w:t>m</w:t>
            </w:r>
            <w:r w:rsidRPr="00561931">
              <w:t>)</w:t>
            </w:r>
            <w:r w:rsidRPr="00561931">
              <w:tab/>
              <w:t>Section 6.6.3.</w:t>
            </w:r>
            <w:r w:rsidR="00F033E3">
              <w:t>6</w:t>
            </w:r>
            <w:r w:rsidRPr="00561931">
              <w:t>, Real-Time High Dispatch Limit Override Energy Payment;</w:t>
            </w:r>
          </w:p>
          <w:p w14:paraId="7A011893" w14:textId="6EEDCA3D" w:rsidR="004C53DD" w:rsidRPr="00561931" w:rsidRDefault="004C53DD" w:rsidP="004C53DD">
            <w:pPr>
              <w:spacing w:after="240"/>
              <w:ind w:left="1440" w:hanging="720"/>
            </w:pPr>
            <w:r w:rsidRPr="00561931">
              <w:t>(</w:t>
            </w:r>
            <w:r w:rsidR="008828C3">
              <w:t>n</w:t>
            </w:r>
            <w:r w:rsidRPr="00561931">
              <w:t>)</w:t>
            </w:r>
            <w:r w:rsidRPr="00561931">
              <w:tab/>
              <w:t>Section 6.6.3.</w:t>
            </w:r>
            <w:r w:rsidR="00F033E3">
              <w:t>7</w:t>
            </w:r>
            <w:r w:rsidRPr="00561931">
              <w:t>, Real-Time High Dispatch Limit Override Energy Charge;</w:t>
            </w:r>
          </w:p>
          <w:p w14:paraId="7B84F5A3" w14:textId="694C5411" w:rsidR="004C53DD" w:rsidRDefault="004C53DD" w:rsidP="002B4852">
            <w:pPr>
              <w:spacing w:after="240"/>
              <w:ind w:left="1440" w:hanging="720"/>
            </w:pPr>
            <w:r w:rsidRPr="00561931">
              <w:t>(</w:t>
            </w:r>
            <w:r w:rsidR="008828C3">
              <w:t>o</w:t>
            </w:r>
            <w:r w:rsidRPr="00561931">
              <w:t>)</w:t>
            </w:r>
            <w:r w:rsidRPr="00561931">
              <w:tab/>
              <w:t>Section 6.6.3.</w:t>
            </w:r>
            <w:r w:rsidR="00F033E3">
              <w:t>8</w:t>
            </w:r>
            <w:r w:rsidRPr="00561931">
              <w:t>, Real-Time Payment or Charge for Energy from a Settlement Only Distribution Generator (SODG)</w:t>
            </w:r>
            <w:r w:rsidR="00986EAF">
              <w:t>,</w:t>
            </w:r>
            <w:r w:rsidRPr="00561931">
              <w:t xml:space="preserve"> Settlement Only Transmission Generator (SOTG)</w:t>
            </w:r>
            <w:r w:rsidR="00986EAF">
              <w:t>, Settlement Only Distribution Energy Storage System (SODESS), or</w:t>
            </w:r>
            <w:r w:rsidR="003720B5">
              <w:t xml:space="preserve"> </w:t>
            </w:r>
            <w:r w:rsidR="00986EAF">
              <w:t>Settlement Only Transmission Energy Storage System (SOTESS)</w:t>
            </w:r>
            <w:r w:rsidRPr="00561931">
              <w:t xml:space="preserve">; </w:t>
            </w:r>
          </w:p>
          <w:p w14:paraId="575854A9" w14:textId="22E8F1E3" w:rsidR="004C53DD" w:rsidRPr="00561931" w:rsidRDefault="00544C15" w:rsidP="002B4852">
            <w:pPr>
              <w:spacing w:after="240"/>
              <w:ind w:left="1440" w:hanging="720"/>
            </w:pPr>
            <w:r>
              <w:t>(</w:t>
            </w:r>
            <w:r w:rsidR="008828C3">
              <w:t>p</w:t>
            </w:r>
            <w:r w:rsidR="004C53DD" w:rsidRPr="00561931">
              <w:t>)</w:t>
            </w:r>
            <w:r w:rsidR="004C53DD" w:rsidRPr="00561931">
              <w:tab/>
              <w:t>Section 6.6.4, Real-Time Congestion Payment or Charge for Self-Schedules;</w:t>
            </w:r>
          </w:p>
          <w:p w14:paraId="72B4BB32" w14:textId="1E8CC78D" w:rsidR="004C53DD" w:rsidRPr="00561931" w:rsidRDefault="00544C15" w:rsidP="004C53DD">
            <w:pPr>
              <w:spacing w:after="240"/>
              <w:ind w:left="1440" w:hanging="720"/>
            </w:pPr>
            <w:r>
              <w:t>(</w:t>
            </w:r>
            <w:r w:rsidR="008828C3">
              <w:t>q</w:t>
            </w:r>
            <w:r w:rsidR="004C53DD" w:rsidRPr="00561931">
              <w:t>)</w:t>
            </w:r>
            <w:r w:rsidR="004C53DD" w:rsidRPr="00561931">
              <w:tab/>
              <w:t>Section 6.6.5.</w:t>
            </w:r>
            <w:r w:rsidR="00F033E3">
              <w:t>2</w:t>
            </w:r>
            <w:r w:rsidR="004C53DD" w:rsidRPr="00561931">
              <w:t xml:space="preserve">, </w:t>
            </w:r>
            <w:r w:rsidR="004C53DD">
              <w:t>Set</w:t>
            </w:r>
            <w:r w:rsidR="004C53DD" w:rsidRPr="00561931">
              <w:t xml:space="preserve"> Point Deviation Charge for Over Generation; </w:t>
            </w:r>
          </w:p>
          <w:p w14:paraId="1A7E6B45" w14:textId="605CE7B3" w:rsidR="004C53DD" w:rsidRDefault="00544C15" w:rsidP="004C53DD">
            <w:pPr>
              <w:spacing w:after="240"/>
              <w:ind w:left="1440" w:hanging="720"/>
            </w:pPr>
            <w:r>
              <w:t>(</w:t>
            </w:r>
            <w:r w:rsidR="008828C3">
              <w:t>r</w:t>
            </w:r>
            <w:r w:rsidR="004C53DD" w:rsidRPr="00561931">
              <w:t>)</w:t>
            </w:r>
            <w:r w:rsidR="004C53DD" w:rsidRPr="00561931">
              <w:tab/>
              <w:t>Section 6.6.5.</w:t>
            </w:r>
            <w:r w:rsidR="00F033E3">
              <w:t>2.</w:t>
            </w:r>
            <w:r w:rsidR="004C53DD" w:rsidRPr="00561931">
              <w:t xml:space="preserve">1, </w:t>
            </w:r>
            <w:r w:rsidR="004C53DD">
              <w:t>Set</w:t>
            </w:r>
            <w:r w:rsidR="004C53DD" w:rsidRPr="00561931">
              <w:t xml:space="preserve"> Point Deviation Charge for Under Generation; </w:t>
            </w:r>
          </w:p>
          <w:p w14:paraId="7EE60483" w14:textId="748AB218" w:rsidR="004C53DD" w:rsidRDefault="00544C15" w:rsidP="004C53DD">
            <w:pPr>
              <w:spacing w:after="240"/>
              <w:ind w:left="1440" w:hanging="720"/>
            </w:pPr>
            <w:r>
              <w:t>(</w:t>
            </w:r>
            <w:r w:rsidR="008828C3">
              <w:t>s</w:t>
            </w:r>
            <w:r w:rsidR="004C53DD">
              <w:t>)</w:t>
            </w:r>
            <w:r w:rsidR="004C53DD">
              <w:tab/>
              <w:t>Section 6.6.5.</w:t>
            </w:r>
            <w:r w:rsidR="00F033E3">
              <w:t>3</w:t>
            </w:r>
            <w:r w:rsidR="004C53DD">
              <w:t xml:space="preserve">, Controllable Load Resource Set Point Deviation Charge for Over Consumption; </w:t>
            </w:r>
          </w:p>
          <w:p w14:paraId="59481C9C" w14:textId="18FAC1CC" w:rsidR="004C53DD" w:rsidRPr="00561931" w:rsidRDefault="00544C15" w:rsidP="004C53DD">
            <w:pPr>
              <w:spacing w:after="240"/>
              <w:ind w:left="1440" w:hanging="720"/>
            </w:pPr>
            <w:r>
              <w:t>(</w:t>
            </w:r>
            <w:r w:rsidR="008828C3">
              <w:t>t</w:t>
            </w:r>
            <w:r w:rsidR="004C53DD">
              <w:t>)</w:t>
            </w:r>
            <w:r w:rsidR="004C53DD">
              <w:tab/>
              <w:t>Section 6.6.5.</w:t>
            </w:r>
            <w:r w:rsidR="00F033E3">
              <w:t>3.</w:t>
            </w:r>
            <w:r w:rsidR="004C53DD">
              <w:t>1, Controllable Load Resource Set Point Deviation Charge for Under Consumption;</w:t>
            </w:r>
          </w:p>
          <w:p w14:paraId="19AEAD2A" w14:textId="24916DFB" w:rsidR="004C53DD" w:rsidRPr="00561931" w:rsidRDefault="004C53DD" w:rsidP="004C53DD">
            <w:pPr>
              <w:spacing w:after="240"/>
              <w:ind w:left="1440" w:hanging="720"/>
            </w:pPr>
            <w:r w:rsidRPr="00561931">
              <w:t>(</w:t>
            </w:r>
            <w:r w:rsidR="008828C3">
              <w:t>u</w:t>
            </w:r>
            <w:r w:rsidRPr="00561931">
              <w:t>)</w:t>
            </w:r>
            <w:r w:rsidRPr="00561931">
              <w:tab/>
              <w:t>Section 6.6.5.</w:t>
            </w:r>
            <w:r w:rsidR="00EA4531">
              <w:t>4</w:t>
            </w:r>
            <w:r w:rsidRPr="00561931">
              <w:t xml:space="preserve">, IRR Generation Resource </w:t>
            </w:r>
            <w:r>
              <w:t>Set</w:t>
            </w:r>
            <w:r w:rsidRPr="00561931">
              <w:t xml:space="preserve"> Point Deviation Charge; </w:t>
            </w:r>
          </w:p>
          <w:p w14:paraId="2C64289C" w14:textId="4FCF6986" w:rsidR="004C53DD" w:rsidRPr="00561931" w:rsidRDefault="004C53DD" w:rsidP="004C53DD">
            <w:pPr>
              <w:spacing w:after="240"/>
              <w:ind w:left="1440" w:hanging="720"/>
            </w:pPr>
            <w:r w:rsidRPr="00561931">
              <w:t>(</w:t>
            </w:r>
            <w:r w:rsidR="00EA4531">
              <w:t>v</w:t>
            </w:r>
            <w:r w:rsidRPr="00561931">
              <w:t>)</w:t>
            </w:r>
            <w:r w:rsidRPr="00561931">
              <w:tab/>
              <w:t xml:space="preserve">Section 6.6.5.4, </w:t>
            </w:r>
            <w:r>
              <w:t>Set</w:t>
            </w:r>
            <w:r w:rsidRPr="00561931">
              <w:t xml:space="preserve"> Point Deviation Payment;</w:t>
            </w:r>
          </w:p>
          <w:p w14:paraId="0EE41263" w14:textId="6310213B" w:rsidR="004C53DD" w:rsidRPr="00D566D5" w:rsidRDefault="004C53DD" w:rsidP="004C53DD">
            <w:pPr>
              <w:spacing w:after="240"/>
              <w:ind w:left="1440" w:hanging="720"/>
            </w:pPr>
            <w:r w:rsidRPr="00D566D5">
              <w:t>(</w:t>
            </w:r>
            <w:r w:rsidR="00EA4531">
              <w:t>w</w:t>
            </w:r>
            <w:r w:rsidRPr="00D566D5">
              <w:t>)</w:t>
            </w:r>
            <w:r w:rsidRPr="00D566D5">
              <w:tab/>
              <w:t xml:space="preserve">Section 6.6.5.5, Energy Storage Resource </w:t>
            </w:r>
            <w:r>
              <w:t>Set</w:t>
            </w:r>
            <w:r w:rsidRPr="00D566D5">
              <w:t xml:space="preserve"> Point Deviation Charge for Over Performance; </w:t>
            </w:r>
          </w:p>
          <w:p w14:paraId="01A0207E" w14:textId="7CD7AF51" w:rsidR="004C53DD" w:rsidRDefault="004C53DD" w:rsidP="004C53DD">
            <w:pPr>
              <w:spacing w:after="240"/>
              <w:ind w:left="1440" w:hanging="720"/>
            </w:pPr>
            <w:r w:rsidRPr="00D566D5">
              <w:t>(</w:t>
            </w:r>
            <w:r w:rsidR="00EA4531">
              <w:t>x</w:t>
            </w:r>
            <w:r w:rsidRPr="00D566D5">
              <w:t>)</w:t>
            </w:r>
            <w:r w:rsidRPr="00D566D5">
              <w:tab/>
              <w:t xml:space="preserve">Section 6.6.5.5.1, Energy Storage Resource </w:t>
            </w:r>
            <w:r>
              <w:t>Set</w:t>
            </w:r>
            <w:r w:rsidRPr="00D566D5">
              <w:t xml:space="preserve"> Point Deviation Charge for Under Performance;</w:t>
            </w:r>
            <w:r w:rsidRPr="00561931">
              <w:t xml:space="preserve"> </w:t>
            </w:r>
          </w:p>
          <w:p w14:paraId="1976B4BA" w14:textId="796DC34A" w:rsidR="004C53DD" w:rsidRPr="00561931" w:rsidRDefault="00544C15" w:rsidP="004C53DD">
            <w:pPr>
              <w:spacing w:after="240"/>
              <w:ind w:left="1440" w:hanging="720"/>
            </w:pPr>
            <w:r>
              <w:t>(</w:t>
            </w:r>
            <w:r w:rsidR="00EA4531">
              <w:t>y</w:t>
            </w:r>
            <w:r w:rsidR="004C53DD" w:rsidRPr="00561931">
              <w:t>)</w:t>
            </w:r>
            <w:r w:rsidR="004C53DD" w:rsidRPr="00561931">
              <w:tab/>
              <w:t>Section 6.6.6.1, RMR Standby Payment;</w:t>
            </w:r>
          </w:p>
          <w:p w14:paraId="7A00050E" w14:textId="02E9DA4F" w:rsidR="004C53DD" w:rsidRPr="00561931" w:rsidRDefault="004C53DD" w:rsidP="004C53DD">
            <w:pPr>
              <w:spacing w:after="240"/>
              <w:ind w:left="1440" w:hanging="720"/>
            </w:pPr>
            <w:r w:rsidRPr="00561931">
              <w:t>(</w:t>
            </w:r>
            <w:r w:rsidR="00EA4531">
              <w:t>z</w:t>
            </w:r>
            <w:r w:rsidRPr="00561931">
              <w:t>)</w:t>
            </w:r>
            <w:r w:rsidRPr="00561931">
              <w:tab/>
              <w:t>Section 6.6.6.2, RMR Payment for Energy;</w:t>
            </w:r>
          </w:p>
          <w:p w14:paraId="6DCEE0D8" w14:textId="6068B5E1" w:rsidR="004C53DD" w:rsidRPr="00561931" w:rsidRDefault="004C53DD" w:rsidP="004C53DD">
            <w:pPr>
              <w:spacing w:after="240"/>
              <w:ind w:left="1440" w:hanging="720"/>
            </w:pPr>
            <w:r w:rsidRPr="00561931">
              <w:t>(</w:t>
            </w:r>
            <w:r w:rsidR="00EA4531">
              <w:t>aa</w:t>
            </w:r>
            <w:r w:rsidRPr="00561931">
              <w:t>)</w:t>
            </w:r>
            <w:r w:rsidRPr="00561931">
              <w:tab/>
              <w:t>Section 6.6.6.3, RMR Adjustment Charge;</w:t>
            </w:r>
          </w:p>
          <w:p w14:paraId="3494BAED" w14:textId="2C1666E3" w:rsidR="004C53DD" w:rsidRPr="00561931" w:rsidRDefault="004C53DD" w:rsidP="004C53DD">
            <w:pPr>
              <w:spacing w:after="240"/>
              <w:ind w:left="1440" w:hanging="720"/>
            </w:pPr>
            <w:r w:rsidRPr="00561931">
              <w:t>(</w:t>
            </w:r>
            <w:r w:rsidR="00EA4531">
              <w:t>bb</w:t>
            </w:r>
            <w:r w:rsidRPr="00561931">
              <w:t>)</w:t>
            </w:r>
            <w:r w:rsidRPr="00561931">
              <w:tab/>
              <w:t>Section 6.6.6.4, RMR Charge for Unexcused Misconduct;</w:t>
            </w:r>
          </w:p>
          <w:p w14:paraId="48D3E4B2" w14:textId="7275DD64" w:rsidR="004C53DD" w:rsidRPr="00561931" w:rsidRDefault="004C53DD" w:rsidP="004C53DD">
            <w:pPr>
              <w:spacing w:after="240"/>
              <w:ind w:left="1440" w:hanging="720"/>
            </w:pPr>
            <w:r w:rsidRPr="00561931">
              <w:t>(</w:t>
            </w:r>
            <w:r w:rsidR="00EA4531">
              <w:t>cc</w:t>
            </w:r>
            <w:r w:rsidRPr="00561931">
              <w:t>)</w:t>
            </w:r>
            <w:r w:rsidRPr="00561931">
              <w:tab/>
              <w:t>Section 6.6.6.5, RMR Service Charge;</w:t>
            </w:r>
          </w:p>
          <w:p w14:paraId="03F96F43" w14:textId="2DFC132E" w:rsidR="004C53DD" w:rsidRDefault="004C53DD" w:rsidP="004C53DD">
            <w:pPr>
              <w:spacing w:after="240"/>
              <w:ind w:left="1440" w:hanging="720"/>
            </w:pPr>
            <w:r w:rsidRPr="00561931">
              <w:t>(</w:t>
            </w:r>
            <w:r w:rsidR="00EA4531">
              <w:t>dd</w:t>
            </w:r>
            <w:r w:rsidRPr="00561931">
              <w:t>)</w:t>
            </w:r>
            <w:r w:rsidRPr="00561931">
              <w:tab/>
              <w:t>Section 6.6.6.6, Method for Reconciling RMR Actual Eligible Costs, RMR and MRA Contributed Capital Expenditures, and Miscellaneous RMR Incurred Expenses;</w:t>
            </w:r>
          </w:p>
          <w:p w14:paraId="371E8FA3" w14:textId="5F565BF3" w:rsidR="004C53DD" w:rsidRPr="00561931" w:rsidRDefault="004C53DD" w:rsidP="004C53DD">
            <w:pPr>
              <w:spacing w:after="240"/>
              <w:ind w:left="1440" w:hanging="720"/>
            </w:pPr>
            <w:r w:rsidRPr="00561931">
              <w:t>(</w:t>
            </w:r>
            <w:r w:rsidR="00EA4531">
              <w:t>ee</w:t>
            </w:r>
            <w:r w:rsidRPr="00561931">
              <w:t>)</w:t>
            </w:r>
            <w:r w:rsidRPr="00561931">
              <w:tab/>
              <w:t>Section 6.6.6.7, MRA Standby Payment;</w:t>
            </w:r>
          </w:p>
          <w:p w14:paraId="2A7943B9" w14:textId="0F1250A6" w:rsidR="004C53DD" w:rsidRPr="00561931" w:rsidRDefault="004C53DD" w:rsidP="004C53DD">
            <w:pPr>
              <w:spacing w:after="240"/>
              <w:ind w:left="1440" w:hanging="720"/>
            </w:pPr>
            <w:r w:rsidRPr="00561931">
              <w:lastRenderedPageBreak/>
              <w:t>(</w:t>
            </w:r>
            <w:r w:rsidR="00EA4531">
              <w:t>ff</w:t>
            </w:r>
            <w:r w:rsidRPr="00561931">
              <w:t>)</w:t>
            </w:r>
            <w:r w:rsidRPr="00561931">
              <w:tab/>
              <w:t>Section 6.6.6.8, MRA Contributed Capital Expenditures Payment;</w:t>
            </w:r>
          </w:p>
          <w:p w14:paraId="0927CC14" w14:textId="4CAC9BD6" w:rsidR="004C53DD" w:rsidRPr="00561931" w:rsidRDefault="004C53DD" w:rsidP="004C53DD">
            <w:pPr>
              <w:spacing w:after="240"/>
              <w:ind w:left="1440" w:hanging="720"/>
            </w:pPr>
            <w:r w:rsidRPr="00561931">
              <w:t>(</w:t>
            </w:r>
            <w:r w:rsidR="00EA4531">
              <w:t>gg</w:t>
            </w:r>
            <w:r w:rsidRPr="00561931">
              <w:t>)</w:t>
            </w:r>
            <w:r w:rsidRPr="00561931">
              <w:tab/>
              <w:t>Section 6.6.6.9, MRA Payment for Deployment Event;</w:t>
            </w:r>
          </w:p>
          <w:p w14:paraId="56CCD3C3" w14:textId="14E34F0A" w:rsidR="004C53DD" w:rsidRPr="00561931" w:rsidRDefault="004C53DD" w:rsidP="004C53DD">
            <w:pPr>
              <w:spacing w:after="240"/>
              <w:ind w:left="1440" w:hanging="720"/>
            </w:pPr>
            <w:r w:rsidRPr="00561931">
              <w:t>(</w:t>
            </w:r>
            <w:r w:rsidR="00EA4531">
              <w:t>hh</w:t>
            </w:r>
            <w:r w:rsidRPr="00561931">
              <w:t>)</w:t>
            </w:r>
            <w:r w:rsidRPr="00561931">
              <w:tab/>
              <w:t xml:space="preserve">Section 6.6.6.10, MRA Variable Payment for Deployment; </w:t>
            </w:r>
          </w:p>
          <w:p w14:paraId="0AE4B809" w14:textId="6F5BF47E" w:rsidR="004C53DD" w:rsidRPr="00561931" w:rsidRDefault="004C53DD" w:rsidP="004C53DD">
            <w:pPr>
              <w:spacing w:after="240"/>
              <w:ind w:left="1440" w:hanging="720"/>
            </w:pPr>
            <w:r w:rsidRPr="00561931">
              <w:t>(</w:t>
            </w:r>
            <w:r w:rsidR="00EA4531">
              <w:t>ii</w:t>
            </w:r>
            <w:r w:rsidRPr="00561931">
              <w:t>)</w:t>
            </w:r>
            <w:r w:rsidRPr="00561931">
              <w:tab/>
              <w:t>Section 6.6.6.11, MRA Charge for Unexcused Misconduct;</w:t>
            </w:r>
          </w:p>
          <w:p w14:paraId="442E1669" w14:textId="35BF7904" w:rsidR="004C53DD" w:rsidRPr="00561931" w:rsidRDefault="004C53DD" w:rsidP="004C53DD">
            <w:pPr>
              <w:spacing w:after="240"/>
              <w:ind w:left="1440" w:hanging="720"/>
            </w:pPr>
            <w:r w:rsidRPr="00561931">
              <w:t>(</w:t>
            </w:r>
            <w:r w:rsidR="00EA4531">
              <w:t>jj</w:t>
            </w:r>
            <w:r w:rsidRPr="00561931">
              <w:t>)</w:t>
            </w:r>
            <w:r w:rsidRPr="00561931">
              <w:tab/>
              <w:t>Section 6.6.6.12, MRA Service Charge;</w:t>
            </w:r>
          </w:p>
          <w:p w14:paraId="76BB5D5A" w14:textId="0D925005" w:rsidR="004C53DD" w:rsidRPr="00561931" w:rsidRDefault="004C53DD" w:rsidP="004C53DD">
            <w:pPr>
              <w:spacing w:after="240"/>
              <w:ind w:left="1440" w:hanging="720"/>
            </w:pPr>
            <w:r w:rsidRPr="00561931">
              <w:t>(</w:t>
            </w:r>
            <w:r w:rsidR="00EA4531">
              <w:t>kk</w:t>
            </w:r>
            <w:r w:rsidRPr="00561931">
              <w:t>)</w:t>
            </w:r>
            <w:r w:rsidRPr="00561931">
              <w:tab/>
              <w:t>Paragraph (</w:t>
            </w:r>
            <w:r>
              <w:t>3</w:t>
            </w:r>
            <w:r w:rsidRPr="00561931">
              <w:t>) of Section 6.6.7.1, Voltage Support Service Payments;</w:t>
            </w:r>
          </w:p>
          <w:p w14:paraId="0CF92B74" w14:textId="411480D2" w:rsidR="004C53DD" w:rsidRPr="00561931" w:rsidRDefault="004C53DD" w:rsidP="004C53DD">
            <w:pPr>
              <w:spacing w:after="240"/>
              <w:ind w:left="1440" w:hanging="720"/>
            </w:pPr>
            <w:r w:rsidRPr="00561931">
              <w:t>(</w:t>
            </w:r>
            <w:r w:rsidR="00EA4531">
              <w:t>ll</w:t>
            </w:r>
            <w:r w:rsidRPr="00561931">
              <w:t>)</w:t>
            </w:r>
            <w:r w:rsidRPr="00561931">
              <w:tab/>
              <w:t>Paragraph (</w:t>
            </w:r>
            <w:r>
              <w:t>5</w:t>
            </w:r>
            <w:r w:rsidRPr="00561931">
              <w:t>) of Section 6.6.7.1;</w:t>
            </w:r>
          </w:p>
          <w:p w14:paraId="4E04A807" w14:textId="4A9ECA2F" w:rsidR="004C53DD" w:rsidRPr="00561931" w:rsidRDefault="004C53DD" w:rsidP="004C53DD">
            <w:pPr>
              <w:spacing w:after="240"/>
              <w:ind w:left="1440" w:hanging="720"/>
            </w:pPr>
            <w:r w:rsidRPr="00561931">
              <w:t>(</w:t>
            </w:r>
            <w:r w:rsidR="00EA4531">
              <w:t>mm</w:t>
            </w:r>
            <w:r w:rsidRPr="00561931">
              <w:t>)</w:t>
            </w:r>
            <w:r w:rsidRPr="00561931">
              <w:tab/>
              <w:t>Section 6.6.7.2, Voltage Support Charge;</w:t>
            </w:r>
          </w:p>
          <w:p w14:paraId="23AEF8CD" w14:textId="48BF5B5E" w:rsidR="004C53DD" w:rsidRPr="00561931" w:rsidRDefault="004C53DD" w:rsidP="004C53DD">
            <w:pPr>
              <w:spacing w:after="240"/>
              <w:ind w:left="1440" w:hanging="720"/>
            </w:pPr>
            <w:r w:rsidRPr="00561931">
              <w:t>(</w:t>
            </w:r>
            <w:r w:rsidR="00EA4531">
              <w:t>nn</w:t>
            </w:r>
            <w:r w:rsidRPr="00561931">
              <w:t>)</w:t>
            </w:r>
            <w:r w:rsidRPr="00561931">
              <w:tab/>
              <w:t>Section 6.6.8.1, Black Start Hourly Standby Fee Payment;</w:t>
            </w:r>
          </w:p>
          <w:p w14:paraId="0A8B854D" w14:textId="70210D5F" w:rsidR="004C53DD" w:rsidRPr="00561931" w:rsidRDefault="004C53DD" w:rsidP="004C53DD">
            <w:pPr>
              <w:spacing w:after="240"/>
              <w:ind w:left="1440" w:hanging="720"/>
            </w:pPr>
            <w:r w:rsidRPr="00561931">
              <w:t>(</w:t>
            </w:r>
            <w:r w:rsidR="00EA4531">
              <w:t>oo</w:t>
            </w:r>
            <w:r w:rsidRPr="00561931">
              <w:t>)</w:t>
            </w:r>
            <w:r w:rsidRPr="00561931">
              <w:tab/>
              <w:t>Section 6.6.8.2, Black Start Capacity Charge;</w:t>
            </w:r>
          </w:p>
          <w:p w14:paraId="258590A0" w14:textId="3F0AE8C0" w:rsidR="004C53DD" w:rsidRPr="00561931" w:rsidRDefault="004C53DD" w:rsidP="004C53DD">
            <w:pPr>
              <w:spacing w:after="240"/>
              <w:ind w:left="1440" w:hanging="720"/>
            </w:pPr>
            <w:r w:rsidRPr="00561931">
              <w:t>(</w:t>
            </w:r>
            <w:r w:rsidR="00EA4531">
              <w:t>pp</w:t>
            </w:r>
            <w:r w:rsidRPr="00561931">
              <w:t>)</w:t>
            </w:r>
            <w:r w:rsidRPr="00561931">
              <w:tab/>
              <w:t xml:space="preserve">Section 6.6.9.1, Payment for Emergency </w:t>
            </w:r>
            <w:r w:rsidR="00AA58A1" w:rsidRPr="00A552C3">
              <w:t>Operations Settlement</w:t>
            </w:r>
            <w:r w:rsidRPr="00561931">
              <w:t>;</w:t>
            </w:r>
          </w:p>
          <w:p w14:paraId="1009FFB4" w14:textId="208FF5AE" w:rsidR="004C53DD" w:rsidRPr="00561931" w:rsidRDefault="004C53DD" w:rsidP="004C53DD">
            <w:pPr>
              <w:spacing w:after="240"/>
              <w:ind w:left="1440" w:hanging="720"/>
            </w:pPr>
            <w:r w:rsidRPr="00561931">
              <w:t>(</w:t>
            </w:r>
            <w:r w:rsidR="00EA4531">
              <w:t>qq</w:t>
            </w:r>
            <w:r w:rsidRPr="00561931">
              <w:t>)</w:t>
            </w:r>
            <w:r w:rsidRPr="00561931">
              <w:tab/>
              <w:t xml:space="preserve">Section 6.6.9.2, Charge for Emergency </w:t>
            </w:r>
            <w:r w:rsidR="00AA58A1" w:rsidRPr="00A552C3">
              <w:t>Operations Settlement</w:t>
            </w:r>
            <w:r w:rsidRPr="00561931">
              <w:t>;</w:t>
            </w:r>
          </w:p>
          <w:p w14:paraId="6AA34AFE" w14:textId="4DD0C537" w:rsidR="004C53DD" w:rsidRDefault="004C53DD" w:rsidP="004C53DD">
            <w:pPr>
              <w:spacing w:after="240"/>
              <w:ind w:left="1440" w:hanging="720"/>
            </w:pPr>
            <w:r w:rsidRPr="00561931">
              <w:t>(</w:t>
            </w:r>
            <w:r w:rsidR="00EA4531">
              <w:t>rr</w:t>
            </w:r>
            <w:r w:rsidRPr="00561931">
              <w:t>)</w:t>
            </w:r>
            <w:r w:rsidRPr="00561931">
              <w:tab/>
              <w:t>Section 6.6.10, Real-Time Revenue Neutrality Allocation;</w:t>
            </w:r>
          </w:p>
          <w:p w14:paraId="1580F1BB" w14:textId="5D2AA0E0" w:rsidR="004C53DD" w:rsidRDefault="004C53DD" w:rsidP="004C53DD">
            <w:pPr>
              <w:spacing w:after="240"/>
              <w:ind w:left="1440" w:hanging="720"/>
            </w:pPr>
            <w:r>
              <w:t>(</w:t>
            </w:r>
            <w:r w:rsidR="00EA4531">
              <w:t>ss</w:t>
            </w:r>
            <w:r>
              <w:t>)</w:t>
            </w:r>
            <w:r>
              <w:tab/>
              <w:t xml:space="preserve">Section 6.6.11.1, Emergency Response Service Capacity Payments; </w:t>
            </w:r>
          </w:p>
          <w:p w14:paraId="0EC6454A" w14:textId="476A9FAB" w:rsidR="004C53DD" w:rsidRPr="00561931" w:rsidRDefault="004C53DD" w:rsidP="004C53DD">
            <w:pPr>
              <w:spacing w:after="240"/>
              <w:ind w:left="1440" w:hanging="720"/>
            </w:pPr>
            <w:r>
              <w:t>(</w:t>
            </w:r>
            <w:r w:rsidR="00EA4531">
              <w:t>tt</w:t>
            </w:r>
            <w:r w:rsidR="00544C15">
              <w:t>)</w:t>
            </w:r>
            <w:r>
              <w:tab/>
              <w:t xml:space="preserve">Section 6.6.11.2, Emergency Response Service Capacity Charge; </w:t>
            </w:r>
          </w:p>
          <w:p w14:paraId="63CB0E6E" w14:textId="2D32A657" w:rsidR="00484E17" w:rsidRPr="000C3B2F" w:rsidRDefault="00484E17" w:rsidP="00484E17">
            <w:pPr>
              <w:spacing w:after="240"/>
              <w:ind w:left="1440" w:hanging="720"/>
            </w:pPr>
            <w:r w:rsidRPr="00400932">
              <w:t>(uu)</w:t>
            </w:r>
            <w:r w:rsidRPr="00400932">
              <w:tab/>
              <w:t>Section 6.6.1</w:t>
            </w:r>
            <w:r w:rsidR="006439F4" w:rsidRPr="00400932">
              <w:t>4</w:t>
            </w:r>
            <w:r w:rsidRPr="00400932">
              <w:t>.2, Firm Fuel Supply Service Hourly Standby Fee Payment and Fuel Replacement Cost Recovery;</w:t>
            </w:r>
          </w:p>
          <w:p w14:paraId="7FF56FD8" w14:textId="0B2428E8" w:rsidR="00484E17" w:rsidRPr="000C3B2F" w:rsidRDefault="00484E17" w:rsidP="00484E17">
            <w:pPr>
              <w:spacing w:after="240"/>
              <w:ind w:left="1440" w:hanging="720"/>
            </w:pPr>
            <w:r w:rsidRPr="00400932">
              <w:t>(vv)</w:t>
            </w:r>
            <w:r w:rsidRPr="00400932">
              <w:tab/>
              <w:t>Section 6.6.1</w:t>
            </w:r>
            <w:r w:rsidR="006439F4" w:rsidRPr="00400932">
              <w:t>4</w:t>
            </w:r>
            <w:r w:rsidRPr="00400932">
              <w:t>.3, Firm Fuel Supply Service Capacity Charge;</w:t>
            </w:r>
          </w:p>
          <w:p w14:paraId="675CDDC1" w14:textId="3C37CE21" w:rsidR="004C53DD" w:rsidRDefault="00544C15" w:rsidP="004C53DD">
            <w:pPr>
              <w:spacing w:after="240"/>
              <w:ind w:left="1440" w:hanging="720"/>
            </w:pPr>
            <w:r>
              <w:t>(</w:t>
            </w:r>
            <w:r w:rsidR="00484E17">
              <w:t>ww</w:t>
            </w:r>
            <w:r w:rsidR="004C53DD">
              <w:t>)</w:t>
            </w:r>
            <w:r w:rsidR="004C53DD">
              <w:tab/>
              <w:t xml:space="preserve">Section </w:t>
            </w:r>
            <w:r w:rsidR="004C53DD" w:rsidRPr="00B81A98">
              <w:t>6.7.4</w:t>
            </w:r>
            <w:r w:rsidR="004C53DD">
              <w:t xml:space="preserve">, </w:t>
            </w:r>
            <w:r w:rsidR="004C53DD" w:rsidRPr="00B81A98">
              <w:t xml:space="preserve">Real-Time </w:t>
            </w:r>
            <w:r w:rsidR="004C53DD">
              <w:t>Settlement for</w:t>
            </w:r>
            <w:r w:rsidR="004C53DD" w:rsidRPr="00B81A98">
              <w:t xml:space="preserve"> Updated</w:t>
            </w:r>
            <w:r w:rsidR="004C53DD">
              <w:t xml:space="preserve"> Day-Ahead Market</w:t>
            </w:r>
            <w:r w:rsidR="004C53DD" w:rsidRPr="00B81A98">
              <w:t xml:space="preserve"> </w:t>
            </w:r>
            <w:r w:rsidR="004C53DD">
              <w:t xml:space="preserve">Ancillary Service </w:t>
            </w:r>
            <w:r w:rsidR="004C53DD" w:rsidRPr="00B81A98">
              <w:t>Obligation</w:t>
            </w:r>
            <w:r w:rsidR="004C53DD">
              <w:t>s;</w:t>
            </w:r>
          </w:p>
          <w:p w14:paraId="70B425F4" w14:textId="43EB9397" w:rsidR="004C53DD" w:rsidRDefault="00544C15" w:rsidP="004C53DD">
            <w:pPr>
              <w:spacing w:after="240"/>
              <w:ind w:left="1440" w:hanging="720"/>
            </w:pPr>
            <w:r>
              <w:t>(</w:t>
            </w:r>
            <w:r w:rsidR="00484E17">
              <w:t>xx</w:t>
            </w:r>
            <w:r>
              <w:t>)</w:t>
            </w:r>
            <w:r w:rsidR="004C53DD">
              <w:tab/>
              <w:t xml:space="preserve">Section </w:t>
            </w:r>
            <w:r w:rsidR="004C53DD" w:rsidRPr="00BC31EE">
              <w:t>6.7.5.</w:t>
            </w:r>
            <w:r w:rsidR="004C53DD">
              <w:t xml:space="preserve">2, </w:t>
            </w:r>
            <w:r w:rsidR="004C53DD" w:rsidRPr="00BC31EE">
              <w:t xml:space="preserve">Regulation Up </w:t>
            </w:r>
            <w:r w:rsidR="004C53DD">
              <w:t xml:space="preserve">Service </w:t>
            </w:r>
            <w:r w:rsidR="004C53DD" w:rsidRPr="00BC31EE">
              <w:t>Payments and Charges</w:t>
            </w:r>
            <w:r w:rsidR="004C53DD">
              <w:t>;</w:t>
            </w:r>
          </w:p>
          <w:p w14:paraId="4A20F09C" w14:textId="3F89EC42" w:rsidR="004C53DD" w:rsidRDefault="00544C15" w:rsidP="004C53DD">
            <w:pPr>
              <w:spacing w:after="240"/>
              <w:ind w:left="1440" w:hanging="720"/>
            </w:pPr>
            <w:r>
              <w:t>(</w:t>
            </w:r>
            <w:r w:rsidR="00484E17">
              <w:t>yy</w:t>
            </w:r>
            <w:r>
              <w:t>)</w:t>
            </w:r>
            <w:r w:rsidR="004C53DD">
              <w:tab/>
              <w:t xml:space="preserve">Section </w:t>
            </w:r>
            <w:r w:rsidR="004C53DD" w:rsidRPr="00BC31EE">
              <w:t>6.7.5.</w:t>
            </w:r>
            <w:r w:rsidR="004C53DD">
              <w:t xml:space="preserve">3, </w:t>
            </w:r>
            <w:r w:rsidR="004C53DD" w:rsidRPr="00B81A98">
              <w:t xml:space="preserve">Regulation Down </w:t>
            </w:r>
            <w:r w:rsidR="004C53DD">
              <w:t xml:space="preserve">Service </w:t>
            </w:r>
            <w:r w:rsidR="004C53DD" w:rsidRPr="00B81A98">
              <w:t>Payments and Charges</w:t>
            </w:r>
            <w:r w:rsidR="004C53DD">
              <w:t>;</w:t>
            </w:r>
          </w:p>
          <w:p w14:paraId="6CBB6AF5" w14:textId="2939891A" w:rsidR="004C53DD" w:rsidRDefault="00544C15" w:rsidP="004C53DD">
            <w:pPr>
              <w:spacing w:after="240"/>
              <w:ind w:left="1440" w:hanging="720"/>
            </w:pPr>
            <w:r>
              <w:t>(</w:t>
            </w:r>
            <w:r w:rsidR="00484E17">
              <w:t>zz</w:t>
            </w:r>
            <w:r>
              <w:t>)</w:t>
            </w:r>
            <w:r w:rsidR="004C53DD">
              <w:tab/>
              <w:t xml:space="preserve">Section </w:t>
            </w:r>
            <w:r w:rsidR="004C53DD" w:rsidRPr="00BC31EE">
              <w:t>6.7.5.</w:t>
            </w:r>
            <w:r w:rsidR="004C53DD">
              <w:t xml:space="preserve">4, </w:t>
            </w:r>
            <w:r w:rsidR="004C53DD" w:rsidRPr="00B81A98">
              <w:t>Responsive Reserve Payments and Charges</w:t>
            </w:r>
            <w:r w:rsidR="004C53DD">
              <w:t>;</w:t>
            </w:r>
          </w:p>
          <w:p w14:paraId="6D03347C" w14:textId="1F4D7E38" w:rsidR="004C53DD" w:rsidRDefault="00544C15" w:rsidP="004C53DD">
            <w:pPr>
              <w:spacing w:after="240"/>
              <w:ind w:left="1440" w:hanging="720"/>
            </w:pPr>
            <w:r>
              <w:t>(</w:t>
            </w:r>
            <w:r w:rsidR="00484E17">
              <w:t>aaa</w:t>
            </w:r>
            <w:r>
              <w:t>)</w:t>
            </w:r>
            <w:r w:rsidR="004C53DD">
              <w:tab/>
              <w:t xml:space="preserve">Section </w:t>
            </w:r>
            <w:r w:rsidR="004C53DD" w:rsidRPr="00BC31EE">
              <w:t>6.7.5.</w:t>
            </w:r>
            <w:r w:rsidR="004C53DD">
              <w:t>5</w:t>
            </w:r>
            <w:r w:rsidR="004C53DD" w:rsidRPr="00BC31EE">
              <w:tab/>
            </w:r>
            <w:r w:rsidR="004C53DD">
              <w:t xml:space="preserve">, </w:t>
            </w:r>
            <w:r w:rsidR="004C53DD" w:rsidRPr="00BC31EE">
              <w:t xml:space="preserve">Non-Spinning Reserve </w:t>
            </w:r>
            <w:r w:rsidR="00EA4531">
              <w:t xml:space="preserve">Service </w:t>
            </w:r>
            <w:r w:rsidR="004C53DD" w:rsidRPr="00BC31EE">
              <w:t>Payments and Charges</w:t>
            </w:r>
            <w:r w:rsidR="004C53DD">
              <w:t>;</w:t>
            </w:r>
          </w:p>
          <w:p w14:paraId="2F016013" w14:textId="7AEFE0AA" w:rsidR="004C53DD" w:rsidRDefault="00544C15" w:rsidP="004C53DD">
            <w:pPr>
              <w:spacing w:after="240"/>
              <w:ind w:left="1440" w:hanging="720"/>
            </w:pPr>
            <w:r>
              <w:t>(</w:t>
            </w:r>
            <w:r w:rsidR="00484E17">
              <w:t>bbb</w:t>
            </w:r>
            <w:r>
              <w:t>)</w:t>
            </w:r>
            <w:r w:rsidR="004C53DD">
              <w:tab/>
              <w:t xml:space="preserve">Section </w:t>
            </w:r>
            <w:r w:rsidR="004C53DD" w:rsidRPr="00BC31EE">
              <w:t>6.7.5.</w:t>
            </w:r>
            <w:r w:rsidR="004C53DD">
              <w:t>6</w:t>
            </w:r>
            <w:r w:rsidR="004C53DD" w:rsidRPr="00BC31EE">
              <w:tab/>
            </w:r>
            <w:r w:rsidR="004C53DD">
              <w:t xml:space="preserve">, </w:t>
            </w:r>
            <w:r w:rsidR="004C53DD" w:rsidRPr="00BC31EE">
              <w:t>ERCOT Contingency Reserve Service Payments and Charges</w:t>
            </w:r>
            <w:r w:rsidR="004C53DD">
              <w:t>;</w:t>
            </w:r>
          </w:p>
          <w:p w14:paraId="62CF8973" w14:textId="5F8ACE0B" w:rsidR="004C53DD" w:rsidRDefault="00544C15" w:rsidP="004C53DD">
            <w:pPr>
              <w:spacing w:after="240"/>
              <w:ind w:left="1440" w:hanging="720"/>
            </w:pPr>
            <w:r>
              <w:t>(</w:t>
            </w:r>
            <w:r w:rsidR="00484E17">
              <w:t>ccc</w:t>
            </w:r>
            <w:r>
              <w:t>)</w:t>
            </w:r>
            <w:r w:rsidR="004C53DD">
              <w:tab/>
              <w:t xml:space="preserve">Section </w:t>
            </w:r>
            <w:r w:rsidR="004C53DD" w:rsidRPr="00BC31EE">
              <w:t>6.7.5.</w:t>
            </w:r>
            <w:r w:rsidR="004C53DD">
              <w:t>7</w:t>
            </w:r>
            <w:r w:rsidR="004C53DD" w:rsidRPr="00BC31EE">
              <w:tab/>
            </w:r>
            <w:r w:rsidR="004C53DD">
              <w:t xml:space="preserve">, </w:t>
            </w:r>
            <w:r w:rsidR="004C53DD" w:rsidRPr="00BC31EE">
              <w:t>Real-Time Derated Ancillary Service Capability Payment</w:t>
            </w:r>
            <w:r w:rsidR="004C53DD">
              <w:t>;</w:t>
            </w:r>
          </w:p>
          <w:p w14:paraId="4ED8E4BB" w14:textId="6B0F7899" w:rsidR="004C53DD" w:rsidRPr="00561931" w:rsidRDefault="00544C15" w:rsidP="004C53DD">
            <w:pPr>
              <w:spacing w:after="240"/>
              <w:ind w:left="1440" w:hanging="720"/>
            </w:pPr>
            <w:r>
              <w:lastRenderedPageBreak/>
              <w:t>(</w:t>
            </w:r>
            <w:r w:rsidR="00484E17">
              <w:t>ddd</w:t>
            </w:r>
            <w:r>
              <w:t>)</w:t>
            </w:r>
            <w:r w:rsidR="004C53DD">
              <w:tab/>
              <w:t xml:space="preserve">Section </w:t>
            </w:r>
            <w:r w:rsidR="004C53DD" w:rsidRPr="00BC31EE">
              <w:t>6.7.5.</w:t>
            </w:r>
            <w:r w:rsidR="004C53DD">
              <w:t>8</w:t>
            </w:r>
            <w:r w:rsidR="004C53DD" w:rsidRPr="00BC31EE">
              <w:tab/>
            </w:r>
            <w:r w:rsidR="004C53DD">
              <w:t xml:space="preserve">, </w:t>
            </w:r>
            <w:r w:rsidR="004C53DD" w:rsidRPr="00BC31EE">
              <w:t>Real-Time Derated Ancillary Service Capability Charge</w:t>
            </w:r>
            <w:r w:rsidR="004C53DD">
              <w:t>;</w:t>
            </w:r>
          </w:p>
          <w:p w14:paraId="71CBBF9C" w14:textId="4B928868" w:rsidR="004C53DD" w:rsidRPr="00561931" w:rsidRDefault="004C53DD" w:rsidP="004C53DD">
            <w:pPr>
              <w:spacing w:after="240"/>
              <w:ind w:left="1440" w:hanging="720"/>
            </w:pPr>
            <w:r w:rsidRPr="00561931">
              <w:t>(</w:t>
            </w:r>
            <w:r w:rsidR="00484E17">
              <w:t>eee</w:t>
            </w:r>
            <w:r w:rsidRPr="00561931">
              <w:t>)</w:t>
            </w:r>
            <w:r w:rsidRPr="00561931">
              <w:tab/>
              <w:t>Section 6.7.6, Real</w:t>
            </w:r>
            <w:r w:rsidR="00EA4531">
              <w:t>-</w:t>
            </w:r>
            <w:r w:rsidRPr="00561931">
              <w:t>Time Ancillary Service Revenue Neutrality Allocation</w:t>
            </w:r>
            <w:r>
              <w:t>;</w:t>
            </w:r>
          </w:p>
          <w:p w14:paraId="1054BBDD" w14:textId="77777777" w:rsidR="003E3547" w:rsidRPr="00CF7EAF" w:rsidRDefault="003E3547" w:rsidP="003E3547">
            <w:pPr>
              <w:spacing w:after="240"/>
              <w:ind w:left="1440" w:hanging="720"/>
            </w:pPr>
            <w:r w:rsidRPr="00CF7EAF">
              <w:t>(fff)</w:t>
            </w:r>
            <w:r w:rsidRPr="00CF7EAF">
              <w:tab/>
              <w:t>Section 6.8.2, Recovery of Operating Losses During an LCAP or ECAP Effective Period;</w:t>
            </w:r>
          </w:p>
          <w:p w14:paraId="1DB7C70F" w14:textId="717F86B8" w:rsidR="003E3547" w:rsidRPr="00CF7EAF" w:rsidRDefault="003E3547" w:rsidP="003E3547">
            <w:pPr>
              <w:spacing w:after="240"/>
              <w:ind w:left="1440" w:hanging="720"/>
            </w:pPr>
            <w:r w:rsidRPr="00CF7EAF">
              <w:t>(ggg)   Section 6.8.3, Charges for Operating Losses During an LCAP or ECAP Effective Period;</w:t>
            </w:r>
          </w:p>
          <w:p w14:paraId="3082B02B" w14:textId="39BEACD8" w:rsidR="004C53DD" w:rsidRPr="00561931" w:rsidRDefault="004C53DD" w:rsidP="004C53DD">
            <w:pPr>
              <w:spacing w:after="240"/>
              <w:ind w:left="1440" w:hanging="720"/>
            </w:pPr>
            <w:r w:rsidRPr="00561931">
              <w:t>(</w:t>
            </w:r>
            <w:r w:rsidR="003E3547">
              <w:t>hhh</w:t>
            </w:r>
            <w:r w:rsidRPr="00561931">
              <w:t>)</w:t>
            </w:r>
            <w:r w:rsidRPr="00561931">
              <w:tab/>
              <w:t>Section 7.9.2.1, Payments and Charges for PTP Obligations Settled in Real-Time; and</w:t>
            </w:r>
          </w:p>
          <w:p w14:paraId="4AFCB896" w14:textId="36FF88FF" w:rsidR="004C53DD" w:rsidRPr="008A04B3" w:rsidRDefault="004C53DD" w:rsidP="004C53DD">
            <w:pPr>
              <w:spacing w:after="240"/>
              <w:ind w:left="1440" w:hanging="720"/>
            </w:pPr>
            <w:r w:rsidRPr="00561931">
              <w:t>(</w:t>
            </w:r>
            <w:r w:rsidR="003E3547">
              <w:t>iii</w:t>
            </w:r>
            <w:r w:rsidRPr="00561931">
              <w:t>)</w:t>
            </w:r>
            <w:r w:rsidRPr="00561931">
              <w:tab/>
              <w:t>Section 9.16.1, ERCOT System Administration Fee.</w:t>
            </w:r>
          </w:p>
        </w:tc>
      </w:tr>
    </w:tbl>
    <w:p w14:paraId="2C614514" w14:textId="1B7F3628" w:rsidR="002F5868" w:rsidRDefault="00DD1AC6" w:rsidP="002B4852">
      <w:pPr>
        <w:pStyle w:val="List"/>
        <w:spacing w:before="240"/>
        <w:ind w:left="720"/>
      </w:pPr>
      <w:r>
        <w:lastRenderedPageBreak/>
        <w:t>(2)</w:t>
      </w:r>
      <w:r>
        <w:tab/>
        <w:t xml:space="preserve">In the event that ERCOT is unable to execute the </w:t>
      </w:r>
      <w:r w:rsidR="001A2B58">
        <w:t>Day-Ahead Market (</w:t>
      </w:r>
      <w:r>
        <w:t>DAM</w:t>
      </w:r>
      <w:r w:rsidR="001A2B58">
        <w:t>)</w:t>
      </w:r>
      <w:r>
        <w:t>, ERCOT shall provide, on each RTM Settlement Statement, the dollar amount for the following RTM Congestion Revenue Right (CRR) Settlement charges and payments:</w:t>
      </w:r>
    </w:p>
    <w:p w14:paraId="2AA3ED07" w14:textId="77777777" w:rsidR="002F5868" w:rsidRDefault="00DD1AC6">
      <w:pPr>
        <w:pStyle w:val="List"/>
      </w:pPr>
      <w:r>
        <w:t>(a)</w:t>
      </w:r>
      <w:r>
        <w:tab/>
        <w:t>Section 7.9.2.4, Payments for FGRs in Real-Time;</w:t>
      </w:r>
      <w:r w:rsidR="00AC12CB">
        <w:t xml:space="preserve"> and</w:t>
      </w:r>
    </w:p>
    <w:p w14:paraId="6DC8FA6F" w14:textId="77777777" w:rsidR="002F5868" w:rsidRDefault="00DD1AC6">
      <w:pPr>
        <w:pStyle w:val="List"/>
      </w:pPr>
      <w:r>
        <w:t>(b)</w:t>
      </w:r>
      <w:r>
        <w:tab/>
        <w:t>Section 7.9.2.5, Payments and Charges for PTP Obligations with Refund in Real-Time.</w:t>
      </w:r>
    </w:p>
    <w:p w14:paraId="523C6CCF" w14:textId="77777777" w:rsidR="002F5868" w:rsidRPr="008910B8" w:rsidRDefault="00DD1AC6">
      <w:pPr>
        <w:pStyle w:val="H3"/>
        <w:rPr>
          <w:b/>
          <w:i/>
        </w:rPr>
      </w:pPr>
      <w:bookmarkStart w:id="144" w:name="_Toc309731045"/>
      <w:bookmarkStart w:id="145" w:name="_Toc405814020"/>
      <w:bookmarkStart w:id="146" w:name="_Toc422207910"/>
      <w:bookmarkStart w:id="147" w:name="_Toc438044824"/>
      <w:bookmarkStart w:id="148" w:name="_Toc447622607"/>
      <w:bookmarkStart w:id="149" w:name="_Toc80175257"/>
      <w:r w:rsidRPr="008910B8">
        <w:rPr>
          <w:b/>
          <w:i/>
        </w:rPr>
        <w:t>9.5.4</w:t>
      </w:r>
      <w:r w:rsidRPr="008910B8">
        <w:rPr>
          <w:b/>
          <w:i/>
        </w:rPr>
        <w:tab/>
        <w:t>RTM Initial Statement</w:t>
      </w:r>
      <w:bookmarkEnd w:id="144"/>
      <w:bookmarkEnd w:id="145"/>
      <w:bookmarkEnd w:id="146"/>
      <w:bookmarkEnd w:id="147"/>
      <w:bookmarkEnd w:id="148"/>
      <w:bookmarkEnd w:id="149"/>
    </w:p>
    <w:p w14:paraId="73271E08" w14:textId="64DA2AB1" w:rsidR="00B64340" w:rsidRDefault="00A0123C" w:rsidP="00660ED3">
      <w:pPr>
        <w:pStyle w:val="BodyTextNumbered"/>
        <w:rPr>
          <w:iCs/>
        </w:rPr>
      </w:pPr>
      <w:r>
        <w:rPr>
          <w:iCs/>
        </w:rPr>
        <w:t>(1)</w:t>
      </w:r>
      <w:r>
        <w:rPr>
          <w:iCs/>
        </w:rPr>
        <w:tab/>
      </w:r>
      <w:r w:rsidR="001349D5" w:rsidRPr="0013170D">
        <w:t xml:space="preserve">ERCOT shall issue an RTM Initial Statement for each Statement Recipient for a given Operating Day on the </w:t>
      </w:r>
      <w:r w:rsidR="001349D5">
        <w:rPr>
          <w:iCs/>
        </w:rPr>
        <w:t>fifth</w:t>
      </w:r>
      <w:r w:rsidR="001349D5" w:rsidRPr="0013170D">
        <w:t xml:space="preserve"> day after the Operating Day, unless that </w:t>
      </w:r>
      <w:r w:rsidR="001349D5">
        <w:rPr>
          <w:iCs/>
        </w:rPr>
        <w:t>fifth</w:t>
      </w:r>
      <w:r w:rsidR="001349D5" w:rsidRPr="0013170D">
        <w:t xml:space="preserve"> day is not a Business Day.  If the </w:t>
      </w:r>
      <w:r w:rsidR="001349D5">
        <w:t>fifth</w:t>
      </w:r>
      <w:r w:rsidR="001349D5" w:rsidRPr="0013170D">
        <w:t xml:space="preserve"> day is not a Business Day, then ERCOT shall issue the RTM Initial Statement on the next Business Day after the </w:t>
      </w:r>
      <w:r w:rsidR="001349D5">
        <w:t>fifth</w:t>
      </w:r>
      <w:r w:rsidR="001349D5" w:rsidRPr="0013170D">
        <w:t xml:space="preserve"> day.  </w:t>
      </w:r>
      <w:r w:rsidR="001349D5">
        <w:rPr>
          <w:iCs/>
        </w:rPr>
        <w:t>Notwithstanding the above, i</w:t>
      </w:r>
      <w:r w:rsidR="001349D5">
        <w:t>f the fifth day after the Operating Day is on or prior to the Business Day on which Real-Time prices are final pursuant to paragraph (</w:t>
      </w:r>
      <w:r w:rsidR="00D40A3A">
        <w:t>7</w:t>
      </w:r>
      <w:r w:rsidR="001349D5">
        <w:t>) of Section 6.3, Adjustment Period and Real-Time Operations Timeline</w:t>
      </w:r>
      <w:r w:rsidR="001349D5" w:rsidRPr="00297A83">
        <w:t xml:space="preserve">, then ERCOT shall issue the RTM Initial Statement on the first Business Day after the </w:t>
      </w:r>
      <w:r w:rsidR="001349D5">
        <w:t xml:space="preserve">Real-Time </w:t>
      </w:r>
      <w:r w:rsidR="001349D5" w:rsidRPr="00297A83">
        <w:t>prices are final.</w:t>
      </w:r>
    </w:p>
    <w:p w14:paraId="3EB81B22" w14:textId="77777777" w:rsidR="002F5868" w:rsidRPr="008910B8" w:rsidRDefault="00DD1AC6" w:rsidP="00E63934">
      <w:pPr>
        <w:pStyle w:val="H3"/>
        <w:rPr>
          <w:b/>
          <w:i/>
        </w:rPr>
      </w:pPr>
      <w:bookmarkStart w:id="150" w:name="_Toc309731046"/>
      <w:bookmarkStart w:id="151" w:name="_Toc405814021"/>
      <w:bookmarkStart w:id="152" w:name="_Toc422207911"/>
      <w:bookmarkStart w:id="153" w:name="_Toc438044825"/>
      <w:bookmarkStart w:id="154" w:name="_Toc447622608"/>
      <w:bookmarkStart w:id="155" w:name="_Toc80175258"/>
      <w:r w:rsidRPr="008910B8">
        <w:rPr>
          <w:b/>
          <w:i/>
        </w:rPr>
        <w:t>9.5.5</w:t>
      </w:r>
      <w:r w:rsidRPr="008910B8">
        <w:rPr>
          <w:b/>
          <w:i/>
        </w:rPr>
        <w:tab/>
        <w:t>RTM Final Statement</w:t>
      </w:r>
      <w:bookmarkEnd w:id="150"/>
      <w:bookmarkEnd w:id="151"/>
      <w:bookmarkEnd w:id="152"/>
      <w:bookmarkEnd w:id="153"/>
      <w:bookmarkEnd w:id="154"/>
      <w:bookmarkEnd w:id="155"/>
    </w:p>
    <w:p w14:paraId="37F5B581" w14:textId="77777777" w:rsidR="002F5868" w:rsidRDefault="001349D5">
      <w:pPr>
        <w:pStyle w:val="BodyTextNumbered"/>
      </w:pPr>
      <w:r w:rsidRPr="0013170D">
        <w:t>(1)</w:t>
      </w:r>
      <w:r w:rsidRPr="0013170D">
        <w:tab/>
        <w:t>ERCOT shall issue an RTM Final Statement for each Statement Recipient for a given Operating Day on the 5</w:t>
      </w:r>
      <w:r>
        <w:t>5</w:t>
      </w:r>
      <w:r w:rsidRPr="0013170D">
        <w:t>th day after the Operating Day, unless that 5</w:t>
      </w:r>
      <w:r>
        <w:t>5</w:t>
      </w:r>
      <w:r w:rsidRPr="0013170D">
        <w:t>th day is not a Business Day.  If the 5</w:t>
      </w:r>
      <w:r>
        <w:t>5</w:t>
      </w:r>
      <w:r w:rsidRPr="0013170D">
        <w:t>th day is not a Business Day, then ERCOT shall issue the RTM Final Statement on the first Business Day after the 5</w:t>
      </w:r>
      <w:r>
        <w:t>5</w:t>
      </w:r>
      <w:r w:rsidRPr="0013170D">
        <w:t>th day.</w:t>
      </w:r>
    </w:p>
    <w:p w14:paraId="6840DAA5" w14:textId="77777777" w:rsidR="00656F6C" w:rsidRDefault="00DD1AC6" w:rsidP="00660ED3">
      <w:pPr>
        <w:pStyle w:val="BodyTextNumbered"/>
      </w:pPr>
      <w:r>
        <w:t>(2)</w:t>
      </w:r>
      <w:r>
        <w:tab/>
        <w:t>An RTM Final Statement will reflect differences to financial records generated on the previous Settlement Statement for the given Operating Day.</w:t>
      </w:r>
      <w:r w:rsidR="00656F6C">
        <w:t xml:space="preserve"> </w:t>
      </w:r>
    </w:p>
    <w:p w14:paraId="1B10E268" w14:textId="77777777" w:rsidR="002F5868" w:rsidRPr="008910B8" w:rsidRDefault="00DD1AC6">
      <w:pPr>
        <w:pStyle w:val="H3"/>
        <w:rPr>
          <w:b/>
          <w:i/>
        </w:rPr>
      </w:pPr>
      <w:bookmarkStart w:id="156" w:name="_Toc309731047"/>
      <w:bookmarkStart w:id="157" w:name="_Toc405814022"/>
      <w:bookmarkStart w:id="158" w:name="_Toc422207912"/>
      <w:bookmarkStart w:id="159" w:name="_Toc438044826"/>
      <w:bookmarkStart w:id="160" w:name="_Toc447622609"/>
      <w:bookmarkStart w:id="161" w:name="_Toc80175259"/>
      <w:r w:rsidRPr="008910B8">
        <w:rPr>
          <w:b/>
          <w:i/>
        </w:rPr>
        <w:lastRenderedPageBreak/>
        <w:t>9.5.6</w:t>
      </w:r>
      <w:r w:rsidRPr="008910B8">
        <w:rPr>
          <w:b/>
          <w:i/>
        </w:rPr>
        <w:tab/>
        <w:t>RTM Resettlement Statement</w:t>
      </w:r>
      <w:bookmarkEnd w:id="156"/>
      <w:bookmarkEnd w:id="157"/>
      <w:bookmarkEnd w:id="158"/>
      <w:bookmarkEnd w:id="159"/>
      <w:bookmarkEnd w:id="160"/>
      <w:bookmarkEnd w:id="161"/>
    </w:p>
    <w:p w14:paraId="71CA69EC" w14:textId="556827DF" w:rsidR="00D41086" w:rsidRPr="00A10FC3" w:rsidRDefault="00D41086" w:rsidP="00D41086">
      <w:pPr>
        <w:spacing w:after="240"/>
        <w:ind w:left="720" w:hanging="720"/>
      </w:pPr>
      <w:r w:rsidRPr="00A10FC3">
        <w:t>(1)</w:t>
      </w:r>
      <w:r w:rsidRPr="00A10FC3">
        <w:tab/>
        <w:t xml:space="preserve">ERCOT shall issue a RTM Resettlement Statement using corrected Settlement data due to resolution of Settlement and </w:t>
      </w:r>
      <w:r>
        <w:t>b</w:t>
      </w:r>
      <w:r w:rsidRPr="00A10FC3">
        <w:t>illing disputes</w:t>
      </w:r>
      <w:r w:rsidR="004E366D" w:rsidRPr="004E366D">
        <w:t xml:space="preserve"> </w:t>
      </w:r>
      <w:r w:rsidR="004E366D" w:rsidRPr="00FC5192">
        <w:t>and</w:t>
      </w:r>
      <w:r w:rsidR="004E366D" w:rsidRPr="00491B0E">
        <w:t xml:space="preserve"> </w:t>
      </w:r>
      <w:r w:rsidR="004E366D" w:rsidRPr="00FC5192">
        <w:t xml:space="preserve">the correction of </w:t>
      </w:r>
      <w:r w:rsidR="004E366D">
        <w:t>errors</w:t>
      </w:r>
      <w:r w:rsidR="004E366D" w:rsidRPr="00FC5192">
        <w:t xml:space="preserve"> </w:t>
      </w:r>
      <w:r w:rsidR="004E366D">
        <w:t>other than price errors</w:t>
      </w:r>
      <w:r w:rsidR="004E366D" w:rsidRPr="00FC5192">
        <w:t xml:space="preserve"> pursuant to this </w:t>
      </w:r>
      <w:r w:rsidR="004E366D">
        <w:t>S</w:t>
      </w:r>
      <w:r w:rsidR="004E366D" w:rsidRPr="00FC5192">
        <w:t>ection</w:t>
      </w:r>
      <w:r w:rsidRPr="00A10FC3">
        <w:t xml:space="preserve">.  </w:t>
      </w:r>
      <w:r w:rsidRPr="00A10FC3">
        <w:rPr>
          <w:rFonts w:ascii="TimesNewRomanPSMT" w:hAnsi="TimesNewRomanPSMT" w:cs="TimesNewRomanPSMT"/>
        </w:rPr>
        <w:t xml:space="preserve">Any resettlement occurring after an RTM True-Up Statement has been issued must meet the same Interval Data Recorder (IDR) Meter Data Threshold requirements defined in Section 9.5.8, RTM True-Up Statement, and is subject to the same limitations for filing a dispute.  </w:t>
      </w:r>
      <w:r w:rsidRPr="00A10FC3">
        <w:t>Despite the preceding sentence, the ERCOT Board may, in its discretion, direct ERCOT to run a resettlement of any Operating Day, at any time, to address unusual circumstances.</w:t>
      </w:r>
    </w:p>
    <w:p w14:paraId="7D4E8123" w14:textId="77777777" w:rsidR="00D41086" w:rsidRDefault="00D41086" w:rsidP="00D41086">
      <w:pPr>
        <w:spacing w:after="240"/>
        <w:ind w:left="720" w:hanging="720"/>
      </w:pPr>
      <w:r w:rsidRPr="00A10FC3">
        <w:t>(2)</w:t>
      </w:r>
      <w:r w:rsidRPr="00A10FC3">
        <w:tab/>
        <w:t>ERCOT shall issue a RTM Resettlement Statement for a given Operating Day due to errors other than errors in prices when</w:t>
      </w:r>
      <w:r>
        <w:t>:</w:t>
      </w:r>
    </w:p>
    <w:p w14:paraId="47BD060A" w14:textId="001FF124" w:rsidR="00D41086" w:rsidRDefault="00D41086" w:rsidP="00D41086">
      <w:pPr>
        <w:spacing w:after="240"/>
        <w:ind w:left="1440" w:hanging="720"/>
      </w:pPr>
      <w:r w:rsidRPr="001044B0">
        <w:t>(a)</w:t>
      </w:r>
      <w:r w:rsidRPr="001044B0">
        <w:tab/>
      </w:r>
      <w:r>
        <w:t>T</w:t>
      </w:r>
      <w:r w:rsidRPr="00A10FC3">
        <w:t>he total of all errors other than price errors results in an absolute value impact greater than 4% of the total RTM Statement amount for any single Statement Recipient for the Operating Day</w:t>
      </w:r>
      <w:r>
        <w:t>;</w:t>
      </w:r>
    </w:p>
    <w:p w14:paraId="36092FF0" w14:textId="77777777" w:rsidR="004E366D" w:rsidRDefault="00D41086" w:rsidP="004E366D">
      <w:pPr>
        <w:spacing w:after="240"/>
        <w:ind w:left="1440" w:hanging="720"/>
        <w:rPr>
          <w:iCs/>
        </w:rPr>
      </w:pPr>
      <w:r w:rsidRPr="001044B0">
        <w:t>(b)</w:t>
      </w:r>
      <w:r w:rsidRPr="001044B0">
        <w:tab/>
      </w:r>
      <w:r>
        <w:t xml:space="preserve">The </w:t>
      </w:r>
      <w:r w:rsidRPr="00A10FC3">
        <w:t>impact to the Statement Recipient is greater than $400.00</w:t>
      </w:r>
      <w:r w:rsidR="004E366D">
        <w:rPr>
          <w:iCs/>
        </w:rPr>
        <w:t>;</w:t>
      </w:r>
      <w:r w:rsidR="004E366D" w:rsidRPr="00491B0E">
        <w:rPr>
          <w:iCs/>
        </w:rPr>
        <w:t xml:space="preserve"> </w:t>
      </w:r>
      <w:r w:rsidR="004E366D">
        <w:rPr>
          <w:iCs/>
        </w:rPr>
        <w:t>and</w:t>
      </w:r>
    </w:p>
    <w:p w14:paraId="399D7DE2" w14:textId="1980EDD8" w:rsidR="00D41086" w:rsidRDefault="004E366D" w:rsidP="004E366D">
      <w:pPr>
        <w:spacing w:after="240"/>
        <w:ind w:left="1440" w:hanging="720"/>
      </w:pPr>
      <w:r>
        <w:rPr>
          <w:iCs/>
        </w:rPr>
        <w:t>(c)</w:t>
      </w:r>
      <w:r>
        <w:rPr>
          <w:iCs/>
        </w:rPr>
        <w:tab/>
        <w:t xml:space="preserve">The </w:t>
      </w:r>
      <w:r w:rsidRPr="00324D4D">
        <w:t>error is discovered</w:t>
      </w:r>
      <w:r>
        <w:t>,</w:t>
      </w:r>
      <w:r w:rsidRPr="00324D4D">
        <w:t xml:space="preserve"> and </w:t>
      </w:r>
      <w:r>
        <w:t>a Market N</w:t>
      </w:r>
      <w:r w:rsidRPr="00324D4D">
        <w:t>otice of the error is provided to Market Participants</w:t>
      </w:r>
      <w:r>
        <w:t>,</w:t>
      </w:r>
      <w:r w:rsidRPr="00324D4D">
        <w:t xml:space="preserve"> </w:t>
      </w:r>
      <w:r>
        <w:t xml:space="preserve">within </w:t>
      </w:r>
      <w:r w:rsidRPr="00585E54">
        <w:t>one year of the Operating Day at issue</w:t>
      </w:r>
      <w:r w:rsidR="00D41086">
        <w:t>.</w:t>
      </w:r>
    </w:p>
    <w:p w14:paraId="69F30F2E" w14:textId="77777777" w:rsidR="00D41086" w:rsidRPr="00A10FC3" w:rsidRDefault="00D41086" w:rsidP="00D41086">
      <w:pPr>
        <w:tabs>
          <w:tab w:val="left" w:pos="720"/>
        </w:tabs>
        <w:spacing w:after="240"/>
        <w:ind w:left="720" w:hanging="720"/>
      </w:pPr>
      <w:r>
        <w:t>(3)</w:t>
      </w:r>
      <w:r>
        <w:tab/>
        <w:t>Changes to meter data managed through a process other than a dispute or Alternative Dispute Resolution will not require evaluation of a resettlement defined in paragraph (2) above.</w:t>
      </w:r>
    </w:p>
    <w:p w14:paraId="2C9A4DE0" w14:textId="77777777" w:rsidR="00D41086" w:rsidRPr="00A10FC3" w:rsidRDefault="00D41086" w:rsidP="00D41086">
      <w:pPr>
        <w:spacing w:after="240"/>
        <w:ind w:left="720" w:hanging="720"/>
      </w:pPr>
      <w:r w:rsidRPr="00A10FC3">
        <w:t>(</w:t>
      </w:r>
      <w:r>
        <w:t>4</w:t>
      </w:r>
      <w:r w:rsidRPr="00A10FC3">
        <w:t>)</w:t>
      </w:r>
      <w:r w:rsidRPr="00A10FC3">
        <w:tab/>
        <w:t xml:space="preserve">For any Settlement and billing disputes resolved prior to issuance of the RTM Final Statement, ERCOT shall effect the dispute’s resolution on the RTM Final Statement for that Operating Day.  If a dispute is submitted by 15 Business Days after the issuance of the RTM Initial Statement for an Operating Day and is not resolved on the RTM Final Statement, ERCOT will affect the dispute’s resolution on an RTM Resettlement Statement for that Operating Day.  ERCOT shall issue such an RTM Resettlement Statement within a reasonable time after resolving the Settlement and billing dispute.  </w:t>
      </w:r>
    </w:p>
    <w:p w14:paraId="36AA4F03" w14:textId="77777777" w:rsidR="00D41086" w:rsidRPr="00A10FC3" w:rsidRDefault="00D41086" w:rsidP="00D41086">
      <w:pPr>
        <w:spacing w:after="240"/>
        <w:ind w:left="720" w:hanging="720"/>
      </w:pPr>
      <w:r w:rsidRPr="00A10FC3">
        <w:t>(</w:t>
      </w:r>
      <w:r>
        <w:t>5</w:t>
      </w:r>
      <w:r w:rsidRPr="00A10FC3">
        <w:t>)</w:t>
      </w:r>
      <w:r w:rsidRPr="00A10FC3">
        <w:tab/>
        <w:t>ERCOT must effect the resolution of any dispute submitted more than 15 Business Days after the issuance of the RTM Initial Statement on the next available Resettlement or RTM True-Up statement for that Operating Day.  For Settlement and billing disputes resolved under Section 9.14, Settlement and Billing Dispute Process, and submitted at least 20 Business Days before the scheduled date for issuance of the RTM True-Up Statement, ERCOT will include adjustments relating to the dispute on the RTM True-Up Statement.  Resolved disputes must be included on the next available Settlement Invoice after ERCOT has issued the RTM True-Up Statement.</w:t>
      </w:r>
    </w:p>
    <w:p w14:paraId="3EA5E840" w14:textId="77777777" w:rsidR="00296824" w:rsidRDefault="00D41086" w:rsidP="008436F5">
      <w:pPr>
        <w:pStyle w:val="BodyTextNumbered"/>
      </w:pPr>
      <w:r w:rsidRPr="00A10FC3">
        <w:t>(</w:t>
      </w:r>
      <w:r>
        <w:t>6</w:t>
      </w:r>
      <w:r w:rsidRPr="00A10FC3">
        <w:t>)</w:t>
      </w:r>
      <w:r w:rsidRPr="00A10FC3">
        <w:tab/>
        <w:t>ERCOT may not issue an RTM Resettlement Statement less than 20 days before a scheduled RTM Final Statement or RTM True-Up Statement for the relevant Operating Day.  An RTM Resettlement Statement will reflect differences to financial records generated on the previous Settlement Statement for the given Operating Day.</w:t>
      </w:r>
    </w:p>
    <w:p w14:paraId="76401DD1" w14:textId="14C4C9AC" w:rsidR="00054E2F" w:rsidRDefault="00054E2F" w:rsidP="008436F5">
      <w:pPr>
        <w:pStyle w:val="BodyTextNumbered"/>
      </w:pPr>
      <w:r w:rsidRPr="00F057BA">
        <w:lastRenderedPageBreak/>
        <w:t>(7)</w:t>
      </w:r>
      <w:r w:rsidRPr="00F057BA">
        <w:tab/>
        <w:t>ERCOT may issue an RTM Resettlement Statement after the issuance of an RTM Final Statement in order to resolve approved disputes related to Section 5.6.5.2, RUC Make-Whole Payment and RUC Clawback Charge for Resources Receiving OSAs.</w:t>
      </w:r>
    </w:p>
    <w:p w14:paraId="03380CAF" w14:textId="600F988C" w:rsidR="004E366D" w:rsidRPr="00495A70" w:rsidRDefault="004E366D" w:rsidP="004E366D">
      <w:pPr>
        <w:spacing w:after="240"/>
        <w:ind w:left="720" w:hanging="720"/>
      </w:pPr>
      <w:bookmarkStart w:id="162" w:name="_Toc309731048"/>
      <w:bookmarkStart w:id="163" w:name="_Toc405814023"/>
      <w:bookmarkStart w:id="164" w:name="_Toc422207913"/>
      <w:bookmarkStart w:id="165" w:name="_Toc438044827"/>
      <w:bookmarkStart w:id="166" w:name="_Toc447622610"/>
      <w:bookmarkStart w:id="167" w:name="_Toc80175260"/>
      <w:r>
        <w:t>(8)</w:t>
      </w:r>
      <w:r>
        <w:tab/>
        <w:t>ERCOT may issue RTM Resettlement Statements after the timeline referenced in paragraph (2) above if directed by the ERCOT Board, the result of a resolution of an Alternative Dispute Resolution (ADR) procedure, or under the procedure for Return of Settlement Funds.</w:t>
      </w:r>
    </w:p>
    <w:p w14:paraId="184B5065" w14:textId="1283808F" w:rsidR="004E366D" w:rsidRDefault="004E366D" w:rsidP="004E366D">
      <w:pPr>
        <w:pStyle w:val="BodyText"/>
        <w:ind w:left="720" w:hanging="720"/>
      </w:pPr>
      <w:r>
        <w:t>(9)</w:t>
      </w:r>
      <w:r>
        <w:tab/>
      </w:r>
      <w:r w:rsidRPr="003760AA">
        <w:t>I</w:t>
      </w:r>
      <w:r>
        <w:t xml:space="preserve">f ERCOT is required to issue a Resettlement Statement per this Section, but resettlement </w:t>
      </w:r>
      <w:r w:rsidRPr="003760AA">
        <w:t xml:space="preserve">is not </w:t>
      </w:r>
      <w:r>
        <w:t xml:space="preserve">practicable due to system limitations, </w:t>
      </w:r>
      <w:r w:rsidRPr="003760AA">
        <w:t xml:space="preserve">ERCOT shall make the adjustments through a separate Invoice that is produced outside of normal Settlement </w:t>
      </w:r>
      <w:r>
        <w:t>Invoices</w:t>
      </w:r>
      <w:r w:rsidRPr="003760AA">
        <w:t xml:space="preserve">.  The appropriate payments and charges, along with </w:t>
      </w:r>
      <w:r>
        <w:t>S</w:t>
      </w:r>
      <w:r w:rsidRPr="003760AA">
        <w:t xml:space="preserve">ettlement quality information, shall be supplied to all </w:t>
      </w:r>
      <w:r>
        <w:t xml:space="preserve">impacted </w:t>
      </w:r>
      <w:r w:rsidRPr="003760AA">
        <w:t>Market Participants.</w:t>
      </w:r>
      <w:r>
        <w:t xml:space="preserve"> </w:t>
      </w:r>
      <w:r w:rsidRPr="003760AA">
        <w:t xml:space="preserve"> </w:t>
      </w:r>
    </w:p>
    <w:p w14:paraId="260C0946" w14:textId="77777777" w:rsidR="002F5868" w:rsidRPr="008910B8" w:rsidRDefault="00DD1AC6" w:rsidP="008D5547">
      <w:pPr>
        <w:pStyle w:val="H3"/>
        <w:rPr>
          <w:b/>
          <w:i/>
        </w:rPr>
      </w:pPr>
      <w:r w:rsidRPr="008910B8">
        <w:rPr>
          <w:b/>
          <w:i/>
        </w:rPr>
        <w:t>9.5.7</w:t>
      </w:r>
      <w:r w:rsidRPr="008910B8">
        <w:rPr>
          <w:b/>
          <w:i/>
        </w:rPr>
        <w:tab/>
        <w:t>Notice of Resettlement for the Real-Time Market</w:t>
      </w:r>
      <w:bookmarkEnd w:id="162"/>
      <w:bookmarkEnd w:id="163"/>
      <w:bookmarkEnd w:id="164"/>
      <w:bookmarkEnd w:id="165"/>
      <w:bookmarkEnd w:id="166"/>
      <w:bookmarkEnd w:id="167"/>
    </w:p>
    <w:p w14:paraId="36CC7FCC" w14:textId="77777777" w:rsidR="00D41086" w:rsidRPr="00A10FC3" w:rsidRDefault="00D41086" w:rsidP="00D41086">
      <w:pPr>
        <w:spacing w:after="240"/>
        <w:ind w:left="720" w:hanging="720"/>
      </w:pPr>
      <w:r w:rsidRPr="00A10FC3">
        <w:rPr>
          <w:iCs/>
        </w:rPr>
        <w:t>(1)</w:t>
      </w:r>
      <w:r w:rsidRPr="00A10FC3">
        <w:rPr>
          <w:iCs/>
        </w:rPr>
        <w:tab/>
      </w:r>
      <w:r w:rsidRPr="00A10FC3">
        <w:t xml:space="preserve">While maintaining confidentiality of all Market Participants, ERCOT shall </w:t>
      </w:r>
      <w:r w:rsidRPr="00A10FC3">
        <w:rPr>
          <w:iCs/>
        </w:rPr>
        <w:t xml:space="preserve">send a Market Notice </w:t>
      </w:r>
      <w:r w:rsidRPr="00A10FC3">
        <w:t>in conjunction with the resettlement, indicating the resettlement of a specific Operating Day and the date of issuance of the RTM Resettlement Statements.  ERCOT shall include the following information in the notice of resettlement:</w:t>
      </w:r>
    </w:p>
    <w:p w14:paraId="5E4F85E1" w14:textId="77777777" w:rsidR="00D41086" w:rsidRPr="00A10FC3" w:rsidRDefault="00D41086" w:rsidP="00D41086">
      <w:pPr>
        <w:spacing w:after="240"/>
        <w:ind w:left="1440" w:hanging="720"/>
      </w:pPr>
      <w:r w:rsidRPr="00A10FC3">
        <w:t>(a)</w:t>
      </w:r>
      <w:r w:rsidRPr="00A10FC3">
        <w:tab/>
        <w:t>Detailed description of reason(s) for resettlement;</w:t>
      </w:r>
    </w:p>
    <w:p w14:paraId="2BD00199" w14:textId="77777777" w:rsidR="00D41086" w:rsidRPr="00A10FC3" w:rsidRDefault="00D41086" w:rsidP="00D41086">
      <w:pPr>
        <w:spacing w:after="240"/>
        <w:ind w:left="1440" w:hanging="720"/>
      </w:pPr>
      <w:r w:rsidRPr="00A10FC3">
        <w:t>(b)</w:t>
      </w:r>
      <w:r w:rsidRPr="00A10FC3">
        <w:tab/>
        <w:t>Affected Operating Days;</w:t>
      </w:r>
    </w:p>
    <w:p w14:paraId="65DA23E5" w14:textId="77777777" w:rsidR="00D41086" w:rsidRPr="00A10FC3" w:rsidRDefault="00D41086" w:rsidP="00D41086">
      <w:pPr>
        <w:spacing w:after="240"/>
        <w:ind w:left="1440" w:hanging="720"/>
      </w:pPr>
      <w:r w:rsidRPr="00A10FC3">
        <w:t>(c)</w:t>
      </w:r>
      <w:r w:rsidRPr="00A10FC3">
        <w:tab/>
        <w:t>Affected settlement Charge Types; and</w:t>
      </w:r>
    </w:p>
    <w:p w14:paraId="7C9FF5CF" w14:textId="77777777" w:rsidR="002F5868" w:rsidRDefault="00D41086">
      <w:pPr>
        <w:pStyle w:val="List"/>
      </w:pPr>
      <w:r w:rsidRPr="00A10FC3">
        <w:t>(d)</w:t>
      </w:r>
      <w:r w:rsidRPr="00A10FC3">
        <w:tab/>
        <w:t>Total resettled amount, by Charge Type.</w:t>
      </w:r>
    </w:p>
    <w:p w14:paraId="1FA5FC70" w14:textId="77777777" w:rsidR="002F5868" w:rsidRPr="008910B8" w:rsidRDefault="00DD1AC6" w:rsidP="00B34F9F">
      <w:pPr>
        <w:pStyle w:val="H3"/>
        <w:rPr>
          <w:b/>
          <w:i/>
        </w:rPr>
      </w:pPr>
      <w:bookmarkStart w:id="168" w:name="_Toc309731049"/>
      <w:bookmarkStart w:id="169" w:name="_Toc405814024"/>
      <w:bookmarkStart w:id="170" w:name="_Toc422207914"/>
      <w:bookmarkStart w:id="171" w:name="_Toc438044828"/>
      <w:bookmarkStart w:id="172" w:name="_Toc447622611"/>
      <w:bookmarkStart w:id="173" w:name="_Toc80175261"/>
      <w:r w:rsidRPr="008910B8">
        <w:rPr>
          <w:b/>
          <w:i/>
        </w:rPr>
        <w:t>9.5.8</w:t>
      </w:r>
      <w:r w:rsidRPr="008910B8">
        <w:rPr>
          <w:b/>
          <w:i/>
        </w:rPr>
        <w:tab/>
        <w:t>RTM True-Up Statement</w:t>
      </w:r>
      <w:bookmarkEnd w:id="168"/>
      <w:bookmarkEnd w:id="169"/>
      <w:bookmarkEnd w:id="170"/>
      <w:bookmarkEnd w:id="171"/>
      <w:bookmarkEnd w:id="172"/>
      <w:bookmarkEnd w:id="173"/>
    </w:p>
    <w:p w14:paraId="3DD22071" w14:textId="77777777" w:rsidR="002F5868" w:rsidRDefault="00DD1AC6">
      <w:pPr>
        <w:pStyle w:val="BodyTextNumbered"/>
      </w:pPr>
      <w:r>
        <w:t>(1)</w:t>
      </w:r>
      <w:r>
        <w:tab/>
        <w:t>ERCOT shall use the best available Settlement data, as described in Section 9.5.2, Settlement Statements for the RTM, to produce an RTM True-Up Statement for each Statement Recipient for each given Operating Day.</w:t>
      </w:r>
    </w:p>
    <w:p w14:paraId="41335B07" w14:textId="77777777" w:rsidR="002F5868" w:rsidRDefault="00DD1AC6">
      <w:pPr>
        <w:pStyle w:val="BodyTextNumbered"/>
      </w:pPr>
      <w:r>
        <w:t>(2)</w:t>
      </w:r>
      <w:r>
        <w:tab/>
        <w:t xml:space="preserve">ERCOT shall issue RTM True-Up Statements 180 days following the Operating Day, if ERCOT has received and validated </w:t>
      </w:r>
      <w:r w:rsidR="00E559DF">
        <w:t xml:space="preserve">usage data from </w:t>
      </w:r>
      <w:r>
        <w:t xml:space="preserve">at least 99% of the total number of Electric Service Identifiers (ESI IDs) with a BUSIDRRQ </w:t>
      </w:r>
      <w:r w:rsidR="00E559DF">
        <w:t>Load Profile T</w:t>
      </w:r>
      <w:r>
        <w:t xml:space="preserve">ype code and if ERCOT has received and validated </w:t>
      </w:r>
      <w:r w:rsidR="00E559DF">
        <w:t xml:space="preserve">usage data from </w:t>
      </w:r>
      <w:r>
        <w:t xml:space="preserve">at least 90% of the total number of ESI IDs with a BUSIDRRQ </w:t>
      </w:r>
      <w:r w:rsidR="00E559DF">
        <w:t>Load Profile T</w:t>
      </w:r>
      <w:r>
        <w:t xml:space="preserve">ype code from each Meter Reading Entity (MRE) representing at least 20 Interval Data Recorder (IDR) ESI IDs (IDR </w:t>
      </w:r>
      <w:r w:rsidR="00E559DF">
        <w:t xml:space="preserve">Meter </w:t>
      </w:r>
      <w:r>
        <w:t xml:space="preserve">Data Threshold).  If the above conditions have not been met, then ERCOT shall issue RTM True-Up Statements as soon as the </w:t>
      </w:r>
      <w:smartTag w:uri="urn:schemas-microsoft-com:office:smarttags" w:element="stockticker">
        <w:r>
          <w:t>IDR</w:t>
        </w:r>
      </w:smartTag>
      <w:r>
        <w:t xml:space="preserve"> </w:t>
      </w:r>
      <w:r w:rsidR="00E559DF">
        <w:t xml:space="preserve">Meter </w:t>
      </w:r>
      <w:r>
        <w:t xml:space="preserve">data becomes available for that Operating Day.  If no RTM True-Up Statement has been issued 365 days after the Operating Day, then ERCOT shall issue a RTM True-Up Statement for that Operating Day.  If any RTM </w:t>
      </w:r>
      <w:r>
        <w:lastRenderedPageBreak/>
        <w:t xml:space="preserve">True-Up Statement issuance date does not fall on a Business Day, then the RTM True-Up Statement must be issued by the end of the next Business Day after the RTM True-Up </w:t>
      </w:r>
      <w:r w:rsidR="00E559DF">
        <w:t>S</w:t>
      </w:r>
      <w:r>
        <w:t>ettlement date.</w:t>
      </w:r>
    </w:p>
    <w:p w14:paraId="6A37FC6C" w14:textId="77777777" w:rsidR="00F56172" w:rsidRDefault="00DD1AC6">
      <w:pPr>
        <w:pStyle w:val="BodyTextNumbered"/>
      </w:pPr>
      <w:r>
        <w:t>(3)</w:t>
      </w:r>
      <w:r>
        <w:tab/>
        <w:t>An RTM True-Up Statement will reflect differences to financial records generated on the previous Settlement Statement for the given Operating Day.</w:t>
      </w:r>
      <w:r w:rsidR="00F56172" w:rsidDel="00F56172">
        <w:t xml:space="preserve"> </w:t>
      </w:r>
    </w:p>
    <w:p w14:paraId="00DBB61F" w14:textId="77777777" w:rsidR="002F5868" w:rsidRPr="008910B8" w:rsidRDefault="00DD1AC6">
      <w:pPr>
        <w:pStyle w:val="H3"/>
        <w:rPr>
          <w:b/>
          <w:i/>
        </w:rPr>
      </w:pPr>
      <w:bookmarkStart w:id="174" w:name="_Toc309731050"/>
      <w:bookmarkStart w:id="175" w:name="_Toc405814025"/>
      <w:bookmarkStart w:id="176" w:name="_Toc422207915"/>
      <w:bookmarkStart w:id="177" w:name="_Toc438044829"/>
      <w:bookmarkStart w:id="178" w:name="_Toc447622612"/>
      <w:bookmarkStart w:id="179" w:name="_Toc80175262"/>
      <w:r w:rsidRPr="008910B8">
        <w:rPr>
          <w:b/>
          <w:i/>
        </w:rPr>
        <w:t>9.5.9</w:t>
      </w:r>
      <w:r w:rsidRPr="008910B8">
        <w:rPr>
          <w:b/>
          <w:i/>
        </w:rPr>
        <w:tab/>
        <w:t>Notice of True-Up Settlement Timeline Changes for the Real-Time Market</w:t>
      </w:r>
      <w:bookmarkEnd w:id="174"/>
      <w:bookmarkEnd w:id="175"/>
      <w:bookmarkEnd w:id="176"/>
      <w:bookmarkEnd w:id="177"/>
      <w:bookmarkEnd w:id="178"/>
      <w:bookmarkEnd w:id="179"/>
    </w:p>
    <w:p w14:paraId="07E6728C" w14:textId="77777777" w:rsidR="002F5868" w:rsidRDefault="00DD1AC6">
      <w:pPr>
        <w:pStyle w:val="BodyTextNumbered"/>
      </w:pPr>
      <w:r>
        <w:t>(1)</w:t>
      </w:r>
      <w:r>
        <w:tab/>
        <w:t xml:space="preserve">If the IDR </w:t>
      </w:r>
      <w:r w:rsidR="00E559DF">
        <w:t xml:space="preserve">Meter </w:t>
      </w:r>
      <w:r>
        <w:t>Data Threshold has not been met by the 180</w:t>
      </w:r>
      <w:r>
        <w:rPr>
          <w:vertAlign w:val="superscript"/>
        </w:rPr>
        <w:t>th</w:t>
      </w:r>
      <w:r>
        <w:t xml:space="preserve"> day after the Operating Day (or, if the 180</w:t>
      </w:r>
      <w:r>
        <w:rPr>
          <w:vertAlign w:val="superscript"/>
        </w:rPr>
        <w:t>th</w:t>
      </w:r>
      <w:r>
        <w:t xml:space="preserve"> day is not a Business Day, by the next day thereafter that is a Business Day), then ERCOT shall </w:t>
      </w:r>
      <w:r w:rsidR="00E2470C">
        <w:t>send a Market Notice about the</w:t>
      </w:r>
      <w:r>
        <w:t xml:space="preserve"> delay of any RTM True-Up Statement issuance indicating the IDR </w:t>
      </w:r>
      <w:r w:rsidR="00E559DF">
        <w:t xml:space="preserve">Meter </w:t>
      </w:r>
      <w:r>
        <w:t>Data Threshold has not been met.</w:t>
      </w:r>
    </w:p>
    <w:p w14:paraId="2EC50994" w14:textId="77777777" w:rsidR="002F5868" w:rsidRDefault="00DD1AC6">
      <w:pPr>
        <w:pStyle w:val="BodyTextNumbered"/>
      </w:pPr>
      <w:r>
        <w:t>(2)</w:t>
      </w:r>
      <w:r>
        <w:tab/>
        <w:t xml:space="preserve">For any delayed RTM True-Up Statement, ERCOT shall </w:t>
      </w:r>
      <w:r w:rsidR="00E2470C">
        <w:t>send a Market Notice</w:t>
      </w:r>
      <w:r>
        <w:t xml:space="preserve"> indicating that it will issue an RTM True-Up Statement for a specific Operating Day within two Business Days after discovering the delay.  As soon as practicable, ERCOT shall </w:t>
      </w:r>
      <w:r w:rsidR="00E2470C">
        <w:t>send a Market Notice with</w:t>
      </w:r>
      <w:r>
        <w:t xml:space="preserve"> the revised date on which the delayed RTM True-Up Statement will be issued.</w:t>
      </w:r>
    </w:p>
    <w:p w14:paraId="580D31E4" w14:textId="77777777" w:rsidR="002F5868" w:rsidRPr="008910B8" w:rsidRDefault="00DD1AC6">
      <w:pPr>
        <w:pStyle w:val="H3"/>
        <w:rPr>
          <w:b/>
          <w:i/>
        </w:rPr>
      </w:pPr>
      <w:bookmarkStart w:id="180" w:name="_Toc309731051"/>
      <w:bookmarkStart w:id="181" w:name="_Toc405814026"/>
      <w:bookmarkStart w:id="182" w:name="_Toc422207916"/>
      <w:bookmarkStart w:id="183" w:name="_Toc438044830"/>
      <w:bookmarkStart w:id="184" w:name="_Toc447622613"/>
      <w:bookmarkStart w:id="185" w:name="_Toc80175263"/>
      <w:r w:rsidRPr="008910B8">
        <w:rPr>
          <w:b/>
          <w:i/>
        </w:rPr>
        <w:t>9.5.10</w:t>
      </w:r>
      <w:r w:rsidRPr="008910B8">
        <w:rPr>
          <w:b/>
          <w:i/>
        </w:rPr>
        <w:tab/>
        <w:t>Confirmation for the Real-Time Market</w:t>
      </w:r>
      <w:bookmarkEnd w:id="180"/>
      <w:bookmarkEnd w:id="181"/>
      <w:bookmarkEnd w:id="182"/>
      <w:bookmarkEnd w:id="183"/>
      <w:bookmarkEnd w:id="184"/>
      <w:bookmarkEnd w:id="185"/>
    </w:p>
    <w:p w14:paraId="0D3FE617" w14:textId="77777777" w:rsidR="002F5868" w:rsidRDefault="00A0123C" w:rsidP="00660ED3">
      <w:pPr>
        <w:pStyle w:val="BodyTextNumbered"/>
      </w:pPr>
      <w:r>
        <w:rPr>
          <w:iCs/>
        </w:rPr>
        <w:t>(1)</w:t>
      </w:r>
      <w:r>
        <w:rPr>
          <w:iCs/>
        </w:rPr>
        <w:tab/>
      </w:r>
      <w:r w:rsidR="00DD1AC6">
        <w:t xml:space="preserve">It is the responsibility of each Statement Recipient to notify ERCOT if a Settlement Statement for the RTM is not available on the MIS Certified Area on the date specified for posting of that Settlement Statement in the Settlement Calendar.  Each Settlement Statement for the RTM is deemed to have been available on the posting date specified on the Settlement Calendar, unless it notifies ERCOT to the contrary.  If ERCOT receives notice that a Settlement Statement is not available, ERCOT shall make reasonable attempts to provide the Settlement Statement to the Statement Recipient, and ERCOT shall modify the Settlement and billing timeline accordingly for that Settlement Statement.  </w:t>
      </w:r>
    </w:p>
    <w:p w14:paraId="676AAB83" w14:textId="77777777" w:rsidR="002F5868" w:rsidRPr="008910B8" w:rsidRDefault="00DD1AC6">
      <w:pPr>
        <w:pStyle w:val="H3"/>
        <w:rPr>
          <w:b/>
          <w:i/>
        </w:rPr>
      </w:pPr>
      <w:bookmarkStart w:id="186" w:name="_Toc309731052"/>
      <w:bookmarkStart w:id="187" w:name="_Toc405814027"/>
      <w:bookmarkStart w:id="188" w:name="_Toc422207917"/>
      <w:bookmarkStart w:id="189" w:name="_Toc438044831"/>
      <w:bookmarkStart w:id="190" w:name="_Toc447622614"/>
      <w:bookmarkStart w:id="191" w:name="_Toc80175264"/>
      <w:r w:rsidRPr="008910B8">
        <w:rPr>
          <w:b/>
          <w:i/>
        </w:rPr>
        <w:t>9.5.11</w:t>
      </w:r>
      <w:r w:rsidRPr="008910B8">
        <w:rPr>
          <w:b/>
          <w:i/>
        </w:rPr>
        <w:tab/>
        <w:t>Validation of the True-Up Statement for the Real-Time Market</w:t>
      </w:r>
      <w:bookmarkEnd w:id="186"/>
      <w:bookmarkEnd w:id="187"/>
      <w:bookmarkEnd w:id="188"/>
      <w:bookmarkEnd w:id="189"/>
      <w:bookmarkEnd w:id="190"/>
      <w:bookmarkEnd w:id="191"/>
    </w:p>
    <w:p w14:paraId="0242B269" w14:textId="77777777" w:rsidR="002F5868" w:rsidRDefault="00A0123C" w:rsidP="00660ED3">
      <w:pPr>
        <w:pStyle w:val="BodyTextNumbered"/>
      </w:pPr>
      <w:r>
        <w:rPr>
          <w:iCs/>
        </w:rPr>
        <w:t>(1)</w:t>
      </w:r>
      <w:r>
        <w:rPr>
          <w:iCs/>
        </w:rPr>
        <w:tab/>
      </w:r>
      <w:r w:rsidR="00DD1AC6">
        <w:t xml:space="preserve">The Statement Recipient is considered to have validated each RTM True-Up Statement unless it has filed a Settlement and billing dispute or reported an exception within ten Business Days after the RTM True-Up Statement has been posted on the MIS Certified Area.  </w:t>
      </w:r>
    </w:p>
    <w:p w14:paraId="53C3163F" w14:textId="77777777" w:rsidR="002F5868" w:rsidRPr="008910B8" w:rsidRDefault="00DD1AC6">
      <w:pPr>
        <w:pStyle w:val="H3"/>
        <w:rPr>
          <w:b/>
          <w:i/>
        </w:rPr>
      </w:pPr>
      <w:bookmarkStart w:id="192" w:name="_Toc309731053"/>
      <w:bookmarkStart w:id="193" w:name="_Toc405814028"/>
      <w:bookmarkStart w:id="194" w:name="_Toc422207918"/>
      <w:bookmarkStart w:id="195" w:name="_Toc438044832"/>
      <w:bookmarkStart w:id="196" w:name="_Toc447622615"/>
      <w:bookmarkStart w:id="197" w:name="_Toc80175265"/>
      <w:r w:rsidRPr="008910B8">
        <w:rPr>
          <w:b/>
          <w:i/>
        </w:rPr>
        <w:t>9.5.12</w:t>
      </w:r>
      <w:r w:rsidRPr="008910B8">
        <w:rPr>
          <w:b/>
          <w:i/>
        </w:rPr>
        <w:tab/>
        <w:t>Suspension of Issuing Settlement Statements for the Real-Time Market</w:t>
      </w:r>
      <w:bookmarkEnd w:id="192"/>
      <w:bookmarkEnd w:id="193"/>
      <w:bookmarkEnd w:id="194"/>
      <w:bookmarkEnd w:id="195"/>
      <w:bookmarkEnd w:id="196"/>
      <w:bookmarkEnd w:id="197"/>
    </w:p>
    <w:p w14:paraId="7E396041" w14:textId="77777777" w:rsidR="002F5868" w:rsidRDefault="00A0123C" w:rsidP="00660ED3">
      <w:pPr>
        <w:pStyle w:val="BodyTextNumbered"/>
      </w:pPr>
      <w:r>
        <w:rPr>
          <w:iCs/>
        </w:rPr>
        <w:t>(1)</w:t>
      </w:r>
      <w:r>
        <w:rPr>
          <w:iCs/>
        </w:rPr>
        <w:tab/>
      </w:r>
      <w:r w:rsidR="00DD1AC6">
        <w:t xml:space="preserve">The ERCOT Board may direct ERCOT to suspend the issuance of any Settlement Statement for the RTM to address unusual circumstances.  Any proposal to suspend </w:t>
      </w:r>
      <w:r w:rsidR="00DD1AC6">
        <w:lastRenderedPageBreak/>
        <w:t>settlements must be presented to the Technical Advisory Committee (TAC) for review and comment, in a reasonable manner under the circumstances, before such suspension.</w:t>
      </w:r>
    </w:p>
    <w:p w14:paraId="7A2E87A2" w14:textId="77777777" w:rsidR="00171BE5" w:rsidRPr="00A06E01" w:rsidRDefault="00171BE5" w:rsidP="00171BE5">
      <w:pPr>
        <w:pStyle w:val="H2"/>
        <w:rPr>
          <w:lang w:val="en-US" w:eastAsia="en-US"/>
        </w:rPr>
      </w:pPr>
      <w:bookmarkStart w:id="198" w:name="_Toc405814029"/>
      <w:bookmarkStart w:id="199" w:name="_Toc422207919"/>
      <w:bookmarkStart w:id="200" w:name="_Toc438044833"/>
      <w:bookmarkStart w:id="201" w:name="_Toc447622616"/>
      <w:bookmarkStart w:id="202" w:name="_Toc80175266"/>
      <w:bookmarkStart w:id="203" w:name="_Toc309731054"/>
      <w:r w:rsidRPr="00A06E01">
        <w:rPr>
          <w:lang w:val="en-US" w:eastAsia="en-US"/>
        </w:rPr>
        <w:t>9.6</w:t>
      </w:r>
      <w:r w:rsidRPr="00A06E01">
        <w:rPr>
          <w:lang w:val="en-US" w:eastAsia="en-US"/>
        </w:rPr>
        <w:tab/>
        <w:t>Settlement Invoices for the Day-Ahead Market and Real-Time Market</w:t>
      </w:r>
      <w:bookmarkEnd w:id="198"/>
      <w:bookmarkEnd w:id="199"/>
      <w:bookmarkEnd w:id="200"/>
      <w:bookmarkEnd w:id="201"/>
      <w:bookmarkEnd w:id="202"/>
    </w:p>
    <w:p w14:paraId="661652F3" w14:textId="77777777" w:rsidR="00171BE5" w:rsidRPr="00A06E01" w:rsidRDefault="00171BE5" w:rsidP="00171BE5">
      <w:pPr>
        <w:pStyle w:val="BodyTextNumbered"/>
        <w:rPr>
          <w:iCs/>
        </w:rPr>
      </w:pPr>
      <w:r w:rsidRPr="00A06E01">
        <w:rPr>
          <w:iCs/>
        </w:rPr>
        <w:t>(1)</w:t>
      </w:r>
      <w:r w:rsidRPr="00A06E01">
        <w:rPr>
          <w:iCs/>
        </w:rPr>
        <w:tab/>
        <w:t xml:space="preserve">ERCOT shall prepare Settlement Invoices on a net basis based on Day-Ahead Market (DAM) Statements, DAM Resettlement Statements, Real-Time Market (RTM) Initial Statements, RTM Final Statements, RTM True-Up Statements and RTM Resettlement Statements.  ERCOT shall issue the Settlement Invoices on the same Business Day as the day that the DAM and RTM Statements are posted to the Market Information System (MIS) Certified Area.  ERCOT will post the actual dates that it will issue the Settlement Invoices under Section 9.1.2, Settlement Calendar.  The Market Participant to whom the Settlement Invoice is addressed (“Invoice Recipient”) is either a net payee or net payor.  </w:t>
      </w:r>
    </w:p>
    <w:p w14:paraId="01793349" w14:textId="77777777" w:rsidR="00171BE5" w:rsidRPr="00A06E01" w:rsidRDefault="00171BE5" w:rsidP="00171BE5">
      <w:pPr>
        <w:pStyle w:val="BodyTextNumbered"/>
        <w:rPr>
          <w:iCs/>
        </w:rPr>
      </w:pPr>
      <w:r w:rsidRPr="00A06E01">
        <w:rPr>
          <w:iCs/>
        </w:rPr>
        <w:t>(2)</w:t>
      </w:r>
      <w:r w:rsidRPr="00A06E01">
        <w:rPr>
          <w:iCs/>
        </w:rPr>
        <w:tab/>
        <w:t>Each Invoice Recipient shall pay any net debit and be entitled to receive any net credit shown on the Settlement Invoice on the payment due date, whether or not there is any Settlement and billing dispute regarding the amount of the debit or credit.</w:t>
      </w:r>
    </w:p>
    <w:p w14:paraId="21B1266D" w14:textId="77777777" w:rsidR="00171BE5" w:rsidRPr="00A06E01" w:rsidRDefault="00171BE5" w:rsidP="00171BE5">
      <w:pPr>
        <w:pStyle w:val="BodyTextNumbered"/>
        <w:rPr>
          <w:iCs/>
        </w:rPr>
      </w:pPr>
      <w:r w:rsidRPr="00A06E01">
        <w:rPr>
          <w:iCs/>
        </w:rPr>
        <w:t>(3)</w:t>
      </w:r>
      <w:r w:rsidRPr="00A06E01">
        <w:rPr>
          <w:iCs/>
        </w:rPr>
        <w:tab/>
        <w:t xml:space="preserve">ERCOT shall post Settlement Invoices on the MIS Certified Area.  The Invoice Recipient is responsible for accessing the Settlement Invoice on the MIS Certified Area once posted by ERCOT. </w:t>
      </w:r>
    </w:p>
    <w:p w14:paraId="241BF233" w14:textId="77777777" w:rsidR="00171BE5" w:rsidRPr="00A06E01" w:rsidRDefault="00171BE5" w:rsidP="00171BE5">
      <w:pPr>
        <w:pStyle w:val="BodyTextNumbered"/>
        <w:rPr>
          <w:iCs/>
        </w:rPr>
      </w:pPr>
      <w:r w:rsidRPr="00A06E01">
        <w:rPr>
          <w:iCs/>
        </w:rPr>
        <w:t>(4)</w:t>
      </w:r>
      <w:r w:rsidRPr="00A06E01">
        <w:rPr>
          <w:iCs/>
        </w:rPr>
        <w:tab/>
        <w:t>Settlement Invoice items must be grouped by DAM, DAM Resettlement, RTM Initial, RTM Final, RTM Resettlement, and RTM True-Up categories and must be sorted by Operating Day within each category.  Settlement Invoices must contain the following information:</w:t>
      </w:r>
    </w:p>
    <w:p w14:paraId="5F276242" w14:textId="77777777" w:rsidR="00171BE5" w:rsidRPr="00A06E01" w:rsidRDefault="00171BE5" w:rsidP="00171BE5">
      <w:pPr>
        <w:pStyle w:val="BodyTextNumbered"/>
        <w:ind w:left="1440"/>
        <w:rPr>
          <w:iCs/>
        </w:rPr>
      </w:pPr>
      <w:r w:rsidRPr="00A06E01">
        <w:rPr>
          <w:iCs/>
        </w:rPr>
        <w:t>(a)</w:t>
      </w:r>
      <w:r w:rsidRPr="00A06E01">
        <w:rPr>
          <w:iCs/>
        </w:rPr>
        <w:tab/>
      </w:r>
      <w:r w:rsidRPr="00A06E01">
        <w:t>The Invoice Recipient’s name;</w:t>
      </w:r>
    </w:p>
    <w:p w14:paraId="04F16A5D" w14:textId="77777777" w:rsidR="00171BE5" w:rsidRPr="00A06E01" w:rsidRDefault="00171BE5" w:rsidP="00171BE5">
      <w:pPr>
        <w:pStyle w:val="BodyTextNumbered"/>
        <w:ind w:left="1440"/>
        <w:rPr>
          <w:iCs/>
        </w:rPr>
      </w:pPr>
      <w:r w:rsidRPr="00A06E01">
        <w:t>(b)</w:t>
      </w:r>
      <w:r w:rsidRPr="00A06E01">
        <w:tab/>
        <w:t>The ERCOT identifier (Settlement identification number issued by ERCOT);</w:t>
      </w:r>
    </w:p>
    <w:p w14:paraId="3C8A2EA1" w14:textId="77777777" w:rsidR="00171BE5" w:rsidRDefault="00171BE5" w:rsidP="00171BE5">
      <w:pPr>
        <w:pStyle w:val="List"/>
      </w:pPr>
      <w:r>
        <w:t>(c)</w:t>
      </w:r>
      <w:r>
        <w:tab/>
        <w:t>Net Amount Due/Payable – the aggregate summary of all charges owed by or due to the Invoice Recipient;</w:t>
      </w:r>
    </w:p>
    <w:p w14:paraId="1C2B9CD9" w14:textId="77777777" w:rsidR="00171BE5" w:rsidRDefault="00171BE5" w:rsidP="00171BE5">
      <w:pPr>
        <w:pStyle w:val="List"/>
      </w:pPr>
      <w:r>
        <w:t>(d)</w:t>
      </w:r>
      <w:r>
        <w:tab/>
        <w:t>Time Periods – the time period covered for each line item;</w:t>
      </w:r>
    </w:p>
    <w:p w14:paraId="502CF9D0" w14:textId="77777777" w:rsidR="00171BE5" w:rsidRDefault="00171BE5" w:rsidP="00171BE5">
      <w:pPr>
        <w:pStyle w:val="List"/>
      </w:pPr>
      <w:r>
        <w:t>(e)</w:t>
      </w:r>
      <w:r>
        <w:tab/>
        <w:t>Run Date – the date on which the Invoice was created and published;</w:t>
      </w:r>
    </w:p>
    <w:p w14:paraId="68787741" w14:textId="77777777" w:rsidR="00171BE5" w:rsidRDefault="00171BE5" w:rsidP="00171BE5">
      <w:pPr>
        <w:pStyle w:val="List"/>
      </w:pPr>
      <w:r>
        <w:t>(f)</w:t>
      </w:r>
      <w:r>
        <w:tab/>
        <w:t>Invoice Reference Number – a unique number generated by ERCOT for payment tracking purposes;</w:t>
      </w:r>
    </w:p>
    <w:p w14:paraId="7083D885" w14:textId="77777777" w:rsidR="00171BE5" w:rsidRDefault="00171BE5" w:rsidP="00171BE5">
      <w:pPr>
        <w:pStyle w:val="List"/>
      </w:pPr>
      <w:r>
        <w:t>(g)</w:t>
      </w:r>
      <w:r>
        <w:tab/>
        <w:t>Statement Reference – an identification code used to reference each Settlement Statement invoiced;</w:t>
      </w:r>
    </w:p>
    <w:p w14:paraId="0D165357" w14:textId="77777777" w:rsidR="00171BE5" w:rsidRDefault="00171BE5" w:rsidP="00171BE5">
      <w:pPr>
        <w:pStyle w:val="List"/>
      </w:pPr>
      <w:r>
        <w:t>(h)</w:t>
      </w:r>
      <w:r>
        <w:tab/>
        <w:t>Payment Date and Time – the date and time that Invoice amounts are to be paid or received;</w:t>
      </w:r>
    </w:p>
    <w:p w14:paraId="2C87EF2C" w14:textId="77777777" w:rsidR="00171BE5" w:rsidRDefault="00171BE5" w:rsidP="00171BE5">
      <w:pPr>
        <w:pStyle w:val="List"/>
      </w:pPr>
      <w:r>
        <w:lastRenderedPageBreak/>
        <w:t>(i)</w:t>
      </w:r>
      <w:r>
        <w:tab/>
        <w:t>Remittance Information Details – details including the account number, bank name and electronic transfer instructions of the ERCOT account to which any amounts owed by the Invoice Recipient are to be paid or of the Invoice Recipient’s account from which ERCOT may draw payments due; and</w:t>
      </w:r>
    </w:p>
    <w:p w14:paraId="75EF3828" w14:textId="77777777" w:rsidR="00171BE5" w:rsidRPr="008436F5" w:rsidRDefault="00171BE5" w:rsidP="008436F5">
      <w:pPr>
        <w:pStyle w:val="H2"/>
        <w:keepNext w:val="0"/>
        <w:spacing w:before="0"/>
        <w:ind w:left="1440" w:hanging="720"/>
        <w:outlineLvl w:val="9"/>
        <w:rPr>
          <w:b w:val="0"/>
          <w:lang w:val="en-US" w:eastAsia="en-US"/>
        </w:rPr>
      </w:pPr>
      <w:bookmarkStart w:id="204" w:name="_Toc339972322"/>
      <w:bookmarkStart w:id="205" w:name="_Toc341693080"/>
      <w:bookmarkStart w:id="206" w:name="_Toc343244561"/>
      <w:bookmarkStart w:id="207" w:name="_Toc348420633"/>
      <w:r w:rsidRPr="008436F5">
        <w:rPr>
          <w:b w:val="0"/>
          <w:lang w:val="en-US" w:eastAsia="en-US"/>
        </w:rPr>
        <w:t>(j)</w:t>
      </w:r>
      <w:r w:rsidRPr="008436F5">
        <w:rPr>
          <w:b w:val="0"/>
          <w:lang w:val="en-US" w:eastAsia="en-US"/>
        </w:rPr>
        <w:tab/>
        <w:t>Overdue Terms – the terms that would be applied if payments were received late.</w:t>
      </w:r>
      <w:bookmarkEnd w:id="204"/>
      <w:bookmarkEnd w:id="205"/>
      <w:bookmarkEnd w:id="206"/>
      <w:bookmarkEnd w:id="207"/>
    </w:p>
    <w:p w14:paraId="754A5A2D" w14:textId="77777777" w:rsidR="00171BE5" w:rsidRPr="00A06E01" w:rsidRDefault="00171BE5" w:rsidP="008436F5">
      <w:pPr>
        <w:pStyle w:val="H2"/>
        <w:keepNext w:val="0"/>
        <w:rPr>
          <w:lang w:val="en-US" w:eastAsia="en-US"/>
        </w:rPr>
      </w:pPr>
      <w:bookmarkStart w:id="208" w:name="_Toc405814030"/>
      <w:bookmarkStart w:id="209" w:name="_Toc422207920"/>
      <w:bookmarkStart w:id="210" w:name="_Toc438044834"/>
      <w:bookmarkStart w:id="211" w:name="_Toc447622617"/>
      <w:bookmarkStart w:id="212" w:name="_Toc80175267"/>
      <w:bookmarkStart w:id="213" w:name="_Toc309731056"/>
      <w:bookmarkEnd w:id="203"/>
      <w:r w:rsidRPr="00A06E01">
        <w:rPr>
          <w:lang w:val="en-US" w:eastAsia="en-US"/>
        </w:rPr>
        <w:t>9.7</w:t>
      </w:r>
      <w:r w:rsidRPr="00A06E01">
        <w:rPr>
          <w:lang w:val="en-US" w:eastAsia="en-US"/>
        </w:rPr>
        <w:tab/>
        <w:t>Payment Process for the Settlement Invoices</w:t>
      </w:r>
      <w:bookmarkEnd w:id="208"/>
      <w:bookmarkEnd w:id="209"/>
      <w:bookmarkEnd w:id="210"/>
      <w:bookmarkEnd w:id="211"/>
      <w:bookmarkEnd w:id="212"/>
    </w:p>
    <w:p w14:paraId="40727618" w14:textId="77777777" w:rsidR="002F5868" w:rsidRPr="00EB11F5" w:rsidRDefault="00A0123C" w:rsidP="00660ED3">
      <w:pPr>
        <w:pStyle w:val="BodyTextNumbered"/>
      </w:pPr>
      <w:r>
        <w:rPr>
          <w:iCs/>
        </w:rPr>
        <w:t>(1)</w:t>
      </w:r>
      <w:r>
        <w:rPr>
          <w:iCs/>
        </w:rPr>
        <w:tab/>
      </w:r>
      <w:r w:rsidR="00171BE5" w:rsidRPr="008436F5">
        <w:t xml:space="preserve">Payments for the </w:t>
      </w:r>
      <w:r w:rsidR="00171BE5" w:rsidRPr="00A0123C">
        <w:rPr>
          <w:iCs/>
        </w:rPr>
        <w:t>Settlement</w:t>
      </w:r>
      <w:r w:rsidR="00171BE5" w:rsidRPr="008436F5">
        <w:t xml:space="preserve"> Invoices are due on a Business Day and Bank Business Day basis in a two-day, two-step process as detailed below.</w:t>
      </w:r>
      <w:bookmarkEnd w:id="213"/>
    </w:p>
    <w:p w14:paraId="02295967" w14:textId="77777777" w:rsidR="00171BE5" w:rsidRPr="00A06E01" w:rsidRDefault="00171BE5" w:rsidP="00171BE5">
      <w:pPr>
        <w:pStyle w:val="H3"/>
        <w:rPr>
          <w:b/>
          <w:bCs/>
          <w:i/>
        </w:rPr>
      </w:pPr>
      <w:bookmarkStart w:id="214" w:name="_Toc405814031"/>
      <w:bookmarkStart w:id="215" w:name="_Toc422207921"/>
      <w:bookmarkStart w:id="216" w:name="_Toc438044835"/>
      <w:bookmarkStart w:id="217" w:name="_Toc447622618"/>
      <w:bookmarkStart w:id="218" w:name="_Toc80175268"/>
      <w:bookmarkStart w:id="219" w:name="_Toc309731058"/>
      <w:r w:rsidRPr="00A06E01">
        <w:rPr>
          <w:b/>
          <w:bCs/>
          <w:i/>
        </w:rPr>
        <w:t>9.7.1</w:t>
      </w:r>
      <w:r w:rsidRPr="00A06E01">
        <w:rPr>
          <w:b/>
          <w:bCs/>
          <w:i/>
        </w:rPr>
        <w:tab/>
        <w:t>Invoice Recipient Payment to ERCOT for the Settlement Invoices</w:t>
      </w:r>
      <w:bookmarkEnd w:id="214"/>
      <w:bookmarkEnd w:id="215"/>
      <w:bookmarkEnd w:id="216"/>
      <w:bookmarkEnd w:id="217"/>
      <w:bookmarkEnd w:id="218"/>
    </w:p>
    <w:p w14:paraId="0757805D" w14:textId="77777777" w:rsidR="00171BE5" w:rsidRPr="00A06E01" w:rsidRDefault="00171BE5" w:rsidP="00171BE5">
      <w:pPr>
        <w:pStyle w:val="BodyTextNumbered"/>
        <w:rPr>
          <w:iCs/>
        </w:rPr>
      </w:pPr>
      <w:r w:rsidRPr="00A06E01">
        <w:rPr>
          <w:iCs/>
        </w:rPr>
        <w:t>(1)</w:t>
      </w:r>
      <w:r w:rsidRPr="00A06E01">
        <w:rPr>
          <w:iCs/>
        </w:rPr>
        <w:tab/>
        <w:t>The payment due date and time for the Settlement Invoice, with funds owed by an Invoice Recipient, is 1700 on the second Bank Business Day after the Settlement Invoice date, unless the second Bank Business Day is not a Business Day.  If the second Bank Business Day is not a Business Day, the payment is due by 1700 on the next Bank Business Day after the second Bank Business Day that is also a Business Day.</w:t>
      </w:r>
    </w:p>
    <w:p w14:paraId="42E42F40" w14:textId="77777777" w:rsidR="002F5868" w:rsidRDefault="00171BE5" w:rsidP="008436F5">
      <w:pPr>
        <w:pStyle w:val="List"/>
        <w:ind w:left="720"/>
      </w:pPr>
      <w:r w:rsidRPr="00A06E01">
        <w:rPr>
          <w:iCs/>
        </w:rPr>
        <w:t>(2)</w:t>
      </w:r>
      <w:r w:rsidRPr="00A06E01">
        <w:rPr>
          <w:iCs/>
        </w:rPr>
        <w:tab/>
        <w:t>All Settlement Invoices due, with funds owed by an Invoice Recipient, must be paid to ERCOT in U.S. Dollars (USDs) by Electronic Funds Transfer (EFT) in immediately available or good funds (i.e., not subject to reversal) on or before the payment due date.</w:t>
      </w:r>
      <w:bookmarkEnd w:id="219"/>
      <w:r w:rsidR="00DD1AC6">
        <w:t xml:space="preserve"> </w:t>
      </w:r>
    </w:p>
    <w:p w14:paraId="77EBE4F3" w14:textId="77777777" w:rsidR="00171BE5" w:rsidRPr="00A06E01" w:rsidRDefault="00171BE5" w:rsidP="00F55173">
      <w:pPr>
        <w:pStyle w:val="H3"/>
        <w:rPr>
          <w:b/>
          <w:bCs/>
          <w:i/>
        </w:rPr>
      </w:pPr>
      <w:bookmarkStart w:id="220" w:name="_Toc405814032"/>
      <w:bookmarkStart w:id="221" w:name="_Toc422207922"/>
      <w:bookmarkStart w:id="222" w:name="_Toc438044836"/>
      <w:bookmarkStart w:id="223" w:name="_Toc447622619"/>
      <w:bookmarkStart w:id="224" w:name="_Toc80175269"/>
      <w:bookmarkStart w:id="225" w:name="_Toc309731061"/>
      <w:r w:rsidRPr="00A06E01">
        <w:rPr>
          <w:b/>
          <w:bCs/>
          <w:i/>
        </w:rPr>
        <w:t>9.7.2</w:t>
      </w:r>
      <w:r w:rsidRPr="00A06E01">
        <w:rPr>
          <w:b/>
          <w:bCs/>
          <w:i/>
        </w:rPr>
        <w:tab/>
        <w:t>ERCOT Payment to Invoice Recipients for the Settlement Invoices</w:t>
      </w:r>
      <w:bookmarkEnd w:id="220"/>
      <w:bookmarkEnd w:id="221"/>
      <w:bookmarkEnd w:id="222"/>
      <w:bookmarkEnd w:id="223"/>
      <w:bookmarkEnd w:id="224"/>
    </w:p>
    <w:p w14:paraId="2FBB2C59" w14:textId="77777777" w:rsidR="00171BE5" w:rsidRPr="00082CB5" w:rsidRDefault="00171BE5" w:rsidP="00171BE5">
      <w:pPr>
        <w:pStyle w:val="BodyTextNumbered"/>
        <w:rPr>
          <w:iCs/>
        </w:rPr>
      </w:pPr>
      <w:r w:rsidRPr="00A06E01">
        <w:rPr>
          <w:iCs/>
        </w:rPr>
        <w:t>(1)</w:t>
      </w:r>
      <w:r w:rsidRPr="00A06E01">
        <w:rPr>
          <w:iCs/>
        </w:rPr>
        <w:tab/>
        <w:t xml:space="preserve">Subject to the availability of funds as discussed in paragraph (2) below, ERCOT must pay Settlement Invoices with funds owed to an Invoice Recipient by 1700 on the next Bank Business Day after payments are due for that Settlement Invoice under Section 9.7.1, Invoice Recipient Payment to ERCOT for the Settlement Invoices, subject to ERCOT’s right to withhold payments for any reason set forth in these Protocols or as a matter of law, unless that next Bank Business Day is not a Business Day.  If that next Bank Business Day is not a Business Day, the payment is due on the next Bank Business </w:t>
      </w:r>
      <w:r w:rsidRPr="00082CB5">
        <w:rPr>
          <w:iCs/>
        </w:rPr>
        <w:t xml:space="preserve">Day thereafter that is also a Business Day. </w:t>
      </w:r>
    </w:p>
    <w:p w14:paraId="3AA125BA" w14:textId="77777777" w:rsidR="00625828" w:rsidRPr="00EB11F5" w:rsidRDefault="00171BE5">
      <w:pPr>
        <w:pStyle w:val="BodyTextNumbered"/>
      </w:pPr>
      <w:r w:rsidRPr="008436F5">
        <w:t>(2)</w:t>
      </w:r>
      <w:r w:rsidRPr="008436F5">
        <w:tab/>
        <w:t>ERCOT shall give irrevocable instructions to the ERCOT financial institution to remit to each Invoice Recipient for same day value the amounts determined by ERCOT to be available for payment to that Invoice Recipient under paragraph (d) of Section 9.19, Partial Payments by Invoice Recipients.</w:t>
      </w:r>
      <w:bookmarkEnd w:id="225"/>
      <w:r w:rsidR="00DD1AC6" w:rsidRPr="00EB11F5">
        <w:t xml:space="preserve"> </w:t>
      </w:r>
    </w:p>
    <w:p w14:paraId="608FAFC9" w14:textId="77777777" w:rsidR="00625828" w:rsidRPr="008910B8" w:rsidRDefault="00DD1AC6" w:rsidP="00F55173">
      <w:pPr>
        <w:pStyle w:val="H3"/>
        <w:rPr>
          <w:b/>
          <w:i/>
        </w:rPr>
      </w:pPr>
      <w:bookmarkStart w:id="226" w:name="_Toc309731063"/>
      <w:bookmarkStart w:id="227" w:name="_Toc405814033"/>
      <w:bookmarkStart w:id="228" w:name="_Toc422207923"/>
      <w:bookmarkStart w:id="229" w:name="_Toc438044837"/>
      <w:bookmarkStart w:id="230" w:name="_Toc447622620"/>
      <w:bookmarkStart w:id="231" w:name="_Toc80175270"/>
      <w:r w:rsidRPr="008910B8">
        <w:rPr>
          <w:b/>
          <w:i/>
        </w:rPr>
        <w:t>9.7.</w:t>
      </w:r>
      <w:r w:rsidR="00BE2B09" w:rsidRPr="008910B8">
        <w:rPr>
          <w:b/>
          <w:i/>
        </w:rPr>
        <w:t>3</w:t>
      </w:r>
      <w:r w:rsidRPr="008910B8">
        <w:rPr>
          <w:b/>
          <w:i/>
        </w:rPr>
        <w:tab/>
        <w:t xml:space="preserve">Enforcing the </w:t>
      </w:r>
      <w:r w:rsidR="00505105">
        <w:rPr>
          <w:b/>
          <w:i/>
        </w:rPr>
        <w:t xml:space="preserve">Financial </w:t>
      </w:r>
      <w:r w:rsidRPr="008910B8">
        <w:rPr>
          <w:b/>
          <w:i/>
        </w:rPr>
        <w:t>Security of a Short-Paying Invoice Recipient</w:t>
      </w:r>
      <w:bookmarkEnd w:id="226"/>
      <w:bookmarkEnd w:id="227"/>
      <w:bookmarkEnd w:id="228"/>
      <w:bookmarkEnd w:id="229"/>
      <w:bookmarkEnd w:id="230"/>
      <w:bookmarkEnd w:id="231"/>
    </w:p>
    <w:p w14:paraId="03578B43" w14:textId="77777777" w:rsidR="002F5868" w:rsidRDefault="00505105" w:rsidP="00505105">
      <w:pPr>
        <w:pStyle w:val="BodyText"/>
        <w:ind w:left="720" w:hanging="720"/>
      </w:pPr>
      <w:r>
        <w:t>(1)</w:t>
      </w:r>
      <w:r>
        <w:tab/>
      </w:r>
      <w:r w:rsidR="00DD1AC6">
        <w:t xml:space="preserve">ERCOT shall make reasonable efforts to enforce the </w:t>
      </w:r>
      <w:r>
        <w:t>Financial S</w:t>
      </w:r>
      <w:r w:rsidR="00DD1AC6">
        <w:t>ecurity of the short-paying Invoice Recipient (pursuant to Section 16.11.6</w:t>
      </w:r>
      <w:r w:rsidR="00E11944">
        <w:t xml:space="preserve">, Payment Breach and Late </w:t>
      </w:r>
      <w:r w:rsidR="00E11944">
        <w:lastRenderedPageBreak/>
        <w:t>Payments by Market Participants</w:t>
      </w:r>
      <w:r w:rsidR="00DD1AC6">
        <w:t xml:space="preserve">) to the extent necessary to cover the short-pay.  A short-paying Invoice Recipient shall restore the level of its </w:t>
      </w:r>
      <w:r>
        <w:t>Financial Security</w:t>
      </w:r>
      <w:r w:rsidR="00DD1AC6">
        <w:t xml:space="preserve"> under Section 16</w:t>
      </w:r>
      <w:r w:rsidR="00E11944">
        <w:t>, Registration and Qualification of Market Participants</w:t>
      </w:r>
      <w:r w:rsidR="00DD1AC6">
        <w:t>.</w:t>
      </w:r>
    </w:p>
    <w:p w14:paraId="508649A1" w14:textId="77777777" w:rsidR="00505105" w:rsidRDefault="00505105" w:rsidP="00505105">
      <w:pPr>
        <w:pStyle w:val="BodyTextNumbered"/>
      </w:pPr>
      <w:r>
        <w:t>(2)</w:t>
      </w:r>
      <w:r>
        <w:tab/>
      </w:r>
      <w:r w:rsidRPr="008436F5">
        <w:t xml:space="preserve">ERCOT shall provide to all </w:t>
      </w:r>
      <w:r w:rsidRPr="00F222E9">
        <w:t>Market Participants payment details on all short payments and subsequent reimbursements of short pays.  Details must include the identity of each short-paying Invoice Recipient and the dollar amount attributab</w:t>
      </w:r>
      <w:r w:rsidRPr="008436F5">
        <w:t>le to that Invoice Recipient, broken down by Invoice numbers.  In addition, ERCOT shall provide the aggregate total of all amounts due to all Invoice Recipients before applying the amount not paid on the Invoice.</w:t>
      </w:r>
    </w:p>
    <w:p w14:paraId="4AC3797C" w14:textId="77777777" w:rsidR="00625828" w:rsidRDefault="00DD1AC6" w:rsidP="008436F5">
      <w:pPr>
        <w:pStyle w:val="H2"/>
        <w:ind w:left="907" w:hanging="907"/>
      </w:pPr>
      <w:bookmarkStart w:id="232" w:name="_Toc309731066"/>
      <w:bookmarkStart w:id="233" w:name="_Toc405814034"/>
      <w:bookmarkStart w:id="234" w:name="_Toc422207924"/>
      <w:bookmarkStart w:id="235" w:name="_Toc438044838"/>
      <w:bookmarkStart w:id="236" w:name="_Toc447622621"/>
      <w:bookmarkStart w:id="237" w:name="_Toc80175271"/>
      <w:r>
        <w:t>9.8</w:t>
      </w:r>
      <w:r>
        <w:tab/>
        <w:t>CRR Auction Award Invoices</w:t>
      </w:r>
      <w:bookmarkEnd w:id="232"/>
      <w:bookmarkEnd w:id="233"/>
      <w:bookmarkEnd w:id="234"/>
      <w:bookmarkEnd w:id="235"/>
      <w:bookmarkEnd w:id="236"/>
      <w:bookmarkEnd w:id="237"/>
    </w:p>
    <w:p w14:paraId="48185546" w14:textId="77777777" w:rsidR="002F5868" w:rsidRDefault="00DD1AC6">
      <w:pPr>
        <w:pStyle w:val="BodyTextNumbered"/>
      </w:pPr>
      <w:r>
        <w:t>(1)</w:t>
      </w:r>
      <w:r>
        <w:tab/>
        <w:t xml:space="preserve">ERCOT shall prepare invoices for each </w:t>
      </w:r>
      <w:r w:rsidR="00983E12">
        <w:t>Congestion Revenue Right (</w:t>
      </w:r>
      <w:r>
        <w:t>CRR</w:t>
      </w:r>
      <w:r w:rsidR="00983E12">
        <w:t>)</w:t>
      </w:r>
      <w:r>
        <w:t xml:space="preserve"> Auction (CRR Auction Invoice) on a net basis.  Invoices must be issued on the first Business Day following the completion of a CRR Auction on the date specified in the Settlement Calendar.  For each CRR Auction Invoice, the CRR Account Holder to whom the Invoice is addressed (“Invoice Recipient”) is either a net payee or net payor.  The Invoice Recipient is responsible for accessing the CRR Auction Invoice on the </w:t>
      </w:r>
      <w:r w:rsidR="00983E12">
        <w:t>Market Information System (</w:t>
      </w:r>
      <w:r>
        <w:t>MIS</w:t>
      </w:r>
      <w:r w:rsidR="00983E12">
        <w:t>)</w:t>
      </w:r>
      <w:r>
        <w:t xml:space="preserve"> Certified Area once posted by ERCOT.</w:t>
      </w:r>
    </w:p>
    <w:p w14:paraId="688C465A" w14:textId="77777777" w:rsidR="002F5868" w:rsidRDefault="00DD1AC6" w:rsidP="00C342E1">
      <w:pPr>
        <w:pStyle w:val="BodyTextNumbered"/>
      </w:pPr>
      <w:r>
        <w:t>(2)</w:t>
      </w:r>
      <w:r>
        <w:tab/>
        <w:t xml:space="preserve">Each Invoice Recipient shall pay any net debit and be entitled to receive any net credit shown on the CRR Auction Invoice on the payment due date.  Payments for CRR Auction Invoices are due on the applicable payment due date, whether or not there is any Settlement and </w:t>
      </w:r>
      <w:r w:rsidR="001B5C4D">
        <w:t>b</w:t>
      </w:r>
      <w:r>
        <w:t xml:space="preserve">illing dispute regarding the amount of the payment. </w:t>
      </w:r>
    </w:p>
    <w:p w14:paraId="6873E86C" w14:textId="77777777" w:rsidR="002F5868" w:rsidRDefault="00DD1AC6">
      <w:pPr>
        <w:pStyle w:val="BodyTextNumbered"/>
      </w:pPr>
      <w:r>
        <w:t>(3)</w:t>
      </w:r>
      <w:r>
        <w:tab/>
        <w:t>ERCOT shall post on the MIS Certified Area for each Invoice Recipient a CRR Auction Invoice based on CRR Auction charges and payments as set forth in:</w:t>
      </w:r>
    </w:p>
    <w:p w14:paraId="41A86F7F" w14:textId="77777777" w:rsidR="002F5868" w:rsidRDefault="00DD1AC6">
      <w:pPr>
        <w:pStyle w:val="List"/>
      </w:pPr>
      <w:r>
        <w:t>(a)</w:t>
      </w:r>
      <w:r>
        <w:tab/>
        <w:t>Section 7.5.6.1, Payment of an Awarded CRR Auction Offer;</w:t>
      </w:r>
    </w:p>
    <w:p w14:paraId="75CA2311" w14:textId="77777777" w:rsidR="002F5868" w:rsidRDefault="00DD1AC6">
      <w:pPr>
        <w:pStyle w:val="List"/>
      </w:pPr>
      <w:r>
        <w:t>(b)</w:t>
      </w:r>
      <w:r>
        <w:tab/>
        <w:t>Section 7.5.6.2, Charge of an Awarded CRR Auction Bid; and</w:t>
      </w:r>
    </w:p>
    <w:p w14:paraId="66B02B66" w14:textId="77777777" w:rsidR="00983E12" w:rsidRDefault="00DD1AC6" w:rsidP="00983E12">
      <w:pPr>
        <w:pStyle w:val="List"/>
      </w:pPr>
      <w:r>
        <w:t>(c)</w:t>
      </w:r>
      <w:r>
        <w:tab/>
        <w:t xml:space="preserve">Section 7.5.6.3, Charge of PCRRs Pertaining to a CRR Auction. </w:t>
      </w:r>
    </w:p>
    <w:p w14:paraId="0F7DDB5F" w14:textId="77777777" w:rsidR="003B6C4D" w:rsidRDefault="003B6C4D" w:rsidP="00983E12">
      <w:pPr>
        <w:pStyle w:val="List"/>
      </w:pPr>
      <w:r w:rsidRPr="00FC3C22">
        <w:t>(d)</w:t>
      </w:r>
      <w:r w:rsidRPr="00FC3C22">
        <w:tab/>
        <w:t xml:space="preserve">Section 7.7, Point-to-Point (PTP) Option Award </w:t>
      </w:r>
      <w:r w:rsidR="00C15C18">
        <w:t>Charge</w:t>
      </w:r>
      <w:r w:rsidRPr="00FC3C22">
        <w:t>.</w:t>
      </w:r>
    </w:p>
    <w:p w14:paraId="6A5593E4" w14:textId="77777777" w:rsidR="002F5868" w:rsidRDefault="00DD1AC6" w:rsidP="003B6C4D">
      <w:pPr>
        <w:pStyle w:val="BodyTextNumbered"/>
      </w:pPr>
      <w:r>
        <w:t>(4)</w:t>
      </w:r>
      <w:r>
        <w:tab/>
        <w:t>CRR Auction Invoices must contain the following information:</w:t>
      </w:r>
    </w:p>
    <w:p w14:paraId="70177D7F" w14:textId="77777777" w:rsidR="002F5868" w:rsidRDefault="00DD1AC6">
      <w:pPr>
        <w:pStyle w:val="List"/>
      </w:pPr>
      <w:r>
        <w:t>(a)</w:t>
      </w:r>
      <w:r>
        <w:tab/>
        <w:t>The Invoice Recipient’s name;</w:t>
      </w:r>
    </w:p>
    <w:p w14:paraId="50367203" w14:textId="77777777" w:rsidR="002F5868" w:rsidRDefault="00DD1AC6">
      <w:pPr>
        <w:pStyle w:val="BodyTextNumbered"/>
        <w:ind w:left="1440"/>
      </w:pPr>
      <w:r>
        <w:t>(b)</w:t>
      </w:r>
      <w:r>
        <w:tab/>
        <w:t>The ERCOT identifier (Settlement identification number issued by ERCOT);</w:t>
      </w:r>
    </w:p>
    <w:p w14:paraId="53C0C71D" w14:textId="77777777" w:rsidR="002F5868" w:rsidRDefault="00DD1AC6">
      <w:pPr>
        <w:pStyle w:val="List"/>
      </w:pPr>
      <w:r>
        <w:t>(c)</w:t>
      </w:r>
      <w:r>
        <w:tab/>
        <w:t>Net Amount Due/Payable – the aggregate summary of all charges owed to or due from the Invoice Recipient summarized by CRR Auction;</w:t>
      </w:r>
    </w:p>
    <w:p w14:paraId="25A37E33" w14:textId="77777777" w:rsidR="002F5868" w:rsidRDefault="00DD1AC6">
      <w:pPr>
        <w:pStyle w:val="List"/>
      </w:pPr>
      <w:r>
        <w:t>(d)</w:t>
      </w:r>
      <w:r>
        <w:tab/>
        <w:t>Time Period – the CRR Auction for which the Invoice is generated;</w:t>
      </w:r>
    </w:p>
    <w:p w14:paraId="0C2D3C21" w14:textId="77777777" w:rsidR="002F5868" w:rsidRDefault="00DD1AC6" w:rsidP="00C342E1">
      <w:pPr>
        <w:pStyle w:val="List"/>
      </w:pPr>
      <w:r>
        <w:lastRenderedPageBreak/>
        <w:t>(e)</w:t>
      </w:r>
      <w:r>
        <w:tab/>
        <w:t>Run Date – the date on which ERCOT created and published the Invoice;</w:t>
      </w:r>
    </w:p>
    <w:p w14:paraId="3E686A0C" w14:textId="77777777" w:rsidR="002F5868" w:rsidRDefault="00DD1AC6">
      <w:pPr>
        <w:pStyle w:val="List"/>
      </w:pPr>
      <w:r>
        <w:t>(f)</w:t>
      </w:r>
      <w:r>
        <w:tab/>
        <w:t>Invoice Reference Number – a unique number generated by ERCOT for payment tracking purposes;</w:t>
      </w:r>
    </w:p>
    <w:p w14:paraId="46B920B5" w14:textId="77777777" w:rsidR="002F5868" w:rsidRDefault="00DD1AC6">
      <w:pPr>
        <w:pStyle w:val="List"/>
      </w:pPr>
      <w:r>
        <w:t>(g)</w:t>
      </w:r>
      <w:r>
        <w:tab/>
        <w:t>Product Description – a description of each product awarded in, sold in, or allocated before the CRR Auction</w:t>
      </w:r>
      <w:r w:rsidR="00A828AC">
        <w:t>s</w:t>
      </w:r>
      <w:r w:rsidR="00983E12">
        <w:t xml:space="preserve">, or of any applicable </w:t>
      </w:r>
      <w:r w:rsidR="00C15C18">
        <w:t>charge</w:t>
      </w:r>
      <w:r>
        <w:t>;</w:t>
      </w:r>
    </w:p>
    <w:p w14:paraId="47288B22" w14:textId="77777777" w:rsidR="002F5868" w:rsidRDefault="00DD1AC6">
      <w:pPr>
        <w:pStyle w:val="List"/>
      </w:pPr>
      <w:r>
        <w:t>(h)</w:t>
      </w:r>
      <w:r>
        <w:tab/>
        <w:t>Payment Date – the date and time that Invoice amounts are to be paid or received; and</w:t>
      </w:r>
    </w:p>
    <w:p w14:paraId="796E66D9" w14:textId="77777777" w:rsidR="002F5868" w:rsidRDefault="00DD1AC6">
      <w:pPr>
        <w:pStyle w:val="List"/>
      </w:pPr>
      <w:r>
        <w:t>(i)</w:t>
      </w:r>
      <w:r>
        <w:tab/>
        <w:t>Remittance Information Details – details including the account number, bank name and electronic transfer instructions of the ERCOT account to which any amounts owed by the Invoice Recipient are to be paid or of the Invoice Recipient’s account from which ERCOT may draw payments due.</w:t>
      </w:r>
    </w:p>
    <w:p w14:paraId="1B6C8852" w14:textId="77777777" w:rsidR="002F5868" w:rsidRDefault="00DD1AC6">
      <w:pPr>
        <w:pStyle w:val="H2"/>
      </w:pPr>
      <w:bookmarkStart w:id="238" w:name="_Toc309731067"/>
      <w:bookmarkStart w:id="239" w:name="_Toc402267313"/>
      <w:bookmarkStart w:id="240" w:name="_Toc405814035"/>
      <w:bookmarkStart w:id="241" w:name="_Toc419199518"/>
      <w:bookmarkStart w:id="242" w:name="_Toc419200649"/>
      <w:bookmarkStart w:id="243" w:name="_Toc422207925"/>
      <w:bookmarkStart w:id="244" w:name="_Toc438044839"/>
      <w:bookmarkStart w:id="245" w:name="_Toc447622622"/>
      <w:bookmarkStart w:id="246" w:name="_Toc80175272"/>
      <w:r>
        <w:t>9.9</w:t>
      </w:r>
      <w:r>
        <w:tab/>
        <w:t>Payment Process for CRR Auction Invoices</w:t>
      </w:r>
      <w:bookmarkEnd w:id="238"/>
      <w:bookmarkEnd w:id="239"/>
      <w:bookmarkEnd w:id="240"/>
      <w:bookmarkEnd w:id="241"/>
      <w:bookmarkEnd w:id="242"/>
      <w:bookmarkEnd w:id="243"/>
      <w:bookmarkEnd w:id="244"/>
      <w:bookmarkEnd w:id="245"/>
      <w:bookmarkEnd w:id="246"/>
    </w:p>
    <w:p w14:paraId="2DB68470" w14:textId="77777777" w:rsidR="002F5868" w:rsidRDefault="00A0123C" w:rsidP="00660ED3">
      <w:pPr>
        <w:pStyle w:val="BodyTextNumbered"/>
      </w:pPr>
      <w:r>
        <w:rPr>
          <w:iCs/>
        </w:rPr>
        <w:t>(1)</w:t>
      </w:r>
      <w:r>
        <w:rPr>
          <w:iCs/>
        </w:rPr>
        <w:tab/>
      </w:r>
      <w:r w:rsidR="00DD1AC6">
        <w:t>Payments for the Congestion Revenue Right (CRR) Auction are due on a Business Day and Bank Business Day basis in a two-day, two-step process as detailed below.</w:t>
      </w:r>
    </w:p>
    <w:p w14:paraId="4E037D93" w14:textId="77777777" w:rsidR="002F5868" w:rsidRPr="008910B8" w:rsidRDefault="00DD1AC6" w:rsidP="00C342E1">
      <w:pPr>
        <w:pStyle w:val="H3"/>
        <w:rPr>
          <w:b/>
          <w:i/>
        </w:rPr>
      </w:pPr>
      <w:bookmarkStart w:id="247" w:name="_Toc309731068"/>
      <w:bookmarkStart w:id="248" w:name="_Toc405814037"/>
      <w:bookmarkStart w:id="249" w:name="_Toc422207927"/>
      <w:bookmarkStart w:id="250" w:name="_Toc438044840"/>
      <w:bookmarkStart w:id="251" w:name="_Toc447622623"/>
      <w:bookmarkStart w:id="252" w:name="_Toc80175273"/>
      <w:r w:rsidRPr="008910B8">
        <w:rPr>
          <w:b/>
          <w:i/>
        </w:rPr>
        <w:t>9.9.1</w:t>
      </w:r>
      <w:r w:rsidRPr="008910B8">
        <w:rPr>
          <w:b/>
          <w:i/>
        </w:rPr>
        <w:tab/>
        <w:t>Invoice Recipient Payment to ERCOT for the CRR Auction</w:t>
      </w:r>
      <w:bookmarkEnd w:id="247"/>
      <w:bookmarkEnd w:id="248"/>
      <w:bookmarkEnd w:id="249"/>
      <w:bookmarkEnd w:id="250"/>
      <w:bookmarkEnd w:id="251"/>
      <w:bookmarkEnd w:id="252"/>
    </w:p>
    <w:p w14:paraId="76F555C7" w14:textId="77777777" w:rsidR="002F5868" w:rsidRDefault="00DD1AC6">
      <w:pPr>
        <w:pStyle w:val="BodyTextNumbered"/>
      </w:pPr>
      <w:r>
        <w:t>(1)</w:t>
      </w:r>
      <w:r>
        <w:tab/>
        <w:t xml:space="preserve">The payment due date and time for the </w:t>
      </w:r>
      <w:smartTag w:uri="urn:schemas-microsoft-com:office:smarttags" w:element="stockticker">
        <w:r>
          <w:t>CRR</w:t>
        </w:r>
      </w:smartTag>
      <w:r>
        <w:t xml:space="preserve"> Auction Invoice, with funds owed by an Invoice Recipient, is 1700 on the third Bank Business Day after the </w:t>
      </w:r>
      <w:smartTag w:uri="urn:schemas-microsoft-com:office:smarttags" w:element="stockticker">
        <w:r>
          <w:t>CRR</w:t>
        </w:r>
      </w:smartTag>
      <w:r>
        <w:t xml:space="preserve"> Auction Invoice date, unless third</w:t>
      </w:r>
      <w:r>
        <w:rPr>
          <w:vertAlign w:val="superscript"/>
        </w:rPr>
        <w:t xml:space="preserve"> </w:t>
      </w:r>
      <w:r>
        <w:t>Bank Business Day is not a Business Day.  If the third Bank Business Day is not a Business Day, the payment is due by 1700 on the next Bank Business Day after the third Bank Business Day that is also a Business Day.</w:t>
      </w:r>
    </w:p>
    <w:p w14:paraId="3CE8AA48" w14:textId="77777777" w:rsidR="002F5868" w:rsidRDefault="00C114BB" w:rsidP="00C114BB">
      <w:pPr>
        <w:pStyle w:val="List"/>
        <w:ind w:left="720"/>
      </w:pPr>
      <w:r>
        <w:t>(2)</w:t>
      </w:r>
      <w:r>
        <w:tab/>
        <w:t>All CRR Auction Invoices due, with funds owed by an Invoice Recipient, must be paid to ERCOT in U.S. Dollars (USDs) by Electronic Funds Transfer (EFT) in immediately available or good funds (i.e., not subject to reversal) on or before the payment due date.</w:t>
      </w:r>
      <w:r w:rsidR="00DD1AC6">
        <w:t xml:space="preserve"> </w:t>
      </w:r>
    </w:p>
    <w:p w14:paraId="44D950B7" w14:textId="77777777" w:rsidR="000A226C" w:rsidRDefault="00DD1AC6" w:rsidP="006A3225">
      <w:pPr>
        <w:pStyle w:val="List"/>
        <w:ind w:left="720"/>
      </w:pPr>
      <w:r>
        <w:t>(3)</w:t>
      </w:r>
      <w:r>
        <w:tab/>
        <w:t>All CRR Auction Invoices must be paid in full on the Invoice due date.</w:t>
      </w:r>
    </w:p>
    <w:p w14:paraId="02666CA7" w14:textId="585F3C92" w:rsidR="002F5868" w:rsidRPr="008910B8" w:rsidRDefault="00DD1AC6" w:rsidP="00C342E1">
      <w:pPr>
        <w:pStyle w:val="H3"/>
        <w:rPr>
          <w:b/>
          <w:i/>
        </w:rPr>
      </w:pPr>
      <w:bookmarkStart w:id="253" w:name="_Toc309731069"/>
      <w:bookmarkStart w:id="254" w:name="_Toc405814039"/>
      <w:bookmarkStart w:id="255" w:name="_Toc422207929"/>
      <w:bookmarkStart w:id="256" w:name="_Toc438044841"/>
      <w:bookmarkStart w:id="257" w:name="_Toc447622624"/>
      <w:bookmarkStart w:id="258" w:name="_Toc80175274"/>
      <w:r w:rsidRPr="008910B8">
        <w:rPr>
          <w:b/>
          <w:i/>
        </w:rPr>
        <w:t>9.9.2</w:t>
      </w:r>
      <w:r w:rsidRPr="008910B8">
        <w:rPr>
          <w:b/>
          <w:i/>
        </w:rPr>
        <w:tab/>
        <w:t>ERCOT Payment to Invoice Recipients for the CRR Auction</w:t>
      </w:r>
      <w:bookmarkEnd w:id="253"/>
      <w:bookmarkEnd w:id="254"/>
      <w:bookmarkEnd w:id="255"/>
      <w:bookmarkEnd w:id="256"/>
      <w:bookmarkEnd w:id="257"/>
      <w:bookmarkEnd w:id="258"/>
    </w:p>
    <w:p w14:paraId="2E630249" w14:textId="77777777" w:rsidR="002F5868" w:rsidRDefault="00DD1AC6">
      <w:pPr>
        <w:pStyle w:val="BodyTextNumbered"/>
      </w:pPr>
      <w:r>
        <w:t>(1)</w:t>
      </w:r>
      <w:r>
        <w:tab/>
        <w:t xml:space="preserve">CRR Auction Invoices with funds owed to an Invoice Recipient must be paid by ERCOT to the Invoice Recipient by 1700 on the next day that is both a Business Day and a Bank Business Day after the day that payments are due for that CRR Auction Invoice under Section 9.9.1, Invoice Recipient Payment to ERCOT for the CRR Auction, subject to ERCOT’s right to withhold payments under Section 16, Registration and Qualification of Market Participants or pursuant to the common law. </w:t>
      </w:r>
    </w:p>
    <w:p w14:paraId="275B662B" w14:textId="77777777" w:rsidR="000A226C" w:rsidRDefault="00DD1AC6" w:rsidP="00477FF2">
      <w:pPr>
        <w:pStyle w:val="BodyTextNumbered"/>
      </w:pPr>
      <w:r>
        <w:t>(2)</w:t>
      </w:r>
      <w:r>
        <w:tab/>
        <w:t>ERCOT shall give irrevocable instructions to the ERCOT financial institution to remit, to each Invoice Recipient for same day value the amounts owed to each Invoice Recipient.</w:t>
      </w:r>
    </w:p>
    <w:p w14:paraId="075DC38B" w14:textId="77777777" w:rsidR="002F5868" w:rsidRPr="008910B8" w:rsidRDefault="00DD1AC6" w:rsidP="00C342E1">
      <w:pPr>
        <w:pStyle w:val="H3"/>
        <w:rPr>
          <w:b/>
          <w:i/>
        </w:rPr>
      </w:pPr>
      <w:bookmarkStart w:id="259" w:name="_Toc309731070"/>
      <w:bookmarkStart w:id="260" w:name="_Toc405814041"/>
      <w:bookmarkStart w:id="261" w:name="_Toc422207931"/>
      <w:bookmarkStart w:id="262" w:name="_Toc438044842"/>
      <w:bookmarkStart w:id="263" w:name="_Toc447622625"/>
      <w:bookmarkStart w:id="264" w:name="_Toc80175275"/>
      <w:r w:rsidRPr="008910B8">
        <w:rPr>
          <w:b/>
          <w:i/>
        </w:rPr>
        <w:lastRenderedPageBreak/>
        <w:t>9.9.3</w:t>
      </w:r>
      <w:r w:rsidRPr="008910B8">
        <w:rPr>
          <w:b/>
          <w:i/>
        </w:rPr>
        <w:tab/>
        <w:t>Enforcing the Security of a Short-Paying CRR Auction Invoice Recipient</w:t>
      </w:r>
      <w:bookmarkEnd w:id="259"/>
      <w:bookmarkEnd w:id="260"/>
      <w:bookmarkEnd w:id="261"/>
      <w:bookmarkEnd w:id="262"/>
      <w:bookmarkEnd w:id="263"/>
      <w:bookmarkEnd w:id="264"/>
    </w:p>
    <w:p w14:paraId="33235B9A" w14:textId="77777777" w:rsidR="002F5868" w:rsidRDefault="00A0123C" w:rsidP="00660ED3">
      <w:pPr>
        <w:pStyle w:val="BodyTextNumbered"/>
      </w:pPr>
      <w:r>
        <w:rPr>
          <w:iCs/>
        </w:rPr>
        <w:t>(1)</w:t>
      </w:r>
      <w:r>
        <w:rPr>
          <w:iCs/>
        </w:rPr>
        <w:tab/>
      </w:r>
      <w:r w:rsidR="00DD1AC6">
        <w:t xml:space="preserve">ERCOT shall make reasonable efforts to enforce the security of the short-paying Invoice Recipient (pursuant to Section 16.11.6, Payment Breach and Late Payments by Market Participants) to the extent necessary to cover the short-pay.  A short-paying Invoice Recipient shall restore the level of its security under Section 16, Registration and Qualification of Market Participants.  </w:t>
      </w:r>
    </w:p>
    <w:p w14:paraId="6E7DEDF2" w14:textId="77777777" w:rsidR="002F5868" w:rsidRDefault="00DD1AC6">
      <w:pPr>
        <w:pStyle w:val="H2"/>
      </w:pPr>
      <w:bookmarkStart w:id="265" w:name="_Toc309731071"/>
      <w:bookmarkStart w:id="266" w:name="_Toc405814042"/>
      <w:bookmarkStart w:id="267" w:name="_Toc422207932"/>
      <w:bookmarkStart w:id="268" w:name="_Toc438044843"/>
      <w:bookmarkStart w:id="269" w:name="_Toc447622626"/>
      <w:bookmarkStart w:id="270" w:name="_Toc80175276"/>
      <w:r>
        <w:t>9.10</w:t>
      </w:r>
      <w:r>
        <w:tab/>
        <w:t>CRR Auction Revenue Distribution Invoices</w:t>
      </w:r>
      <w:bookmarkEnd w:id="265"/>
      <w:bookmarkEnd w:id="266"/>
      <w:bookmarkEnd w:id="267"/>
      <w:bookmarkEnd w:id="268"/>
      <w:bookmarkEnd w:id="269"/>
      <w:bookmarkEnd w:id="270"/>
    </w:p>
    <w:p w14:paraId="701E564C" w14:textId="364FFDD4" w:rsidR="002F5868" w:rsidRDefault="00DD1AC6">
      <w:pPr>
        <w:pStyle w:val="BodyTextNumbered"/>
      </w:pPr>
      <w:r>
        <w:t>(1)</w:t>
      </w:r>
      <w:r>
        <w:tab/>
      </w:r>
      <w:r w:rsidR="005902CB">
        <w:t>ERCOT shall prepare Invoices for Congestion Revenue Right (CRR) Auction Revenue Distribution (CARD) on a monthly basis on the first Business Day following the Real-Time Market (RTM) Initial Settlement posting of the last day of the month on the date specified in the Settlement Calendar.</w:t>
      </w:r>
    </w:p>
    <w:p w14:paraId="766F4180" w14:textId="77777777" w:rsidR="002F5868" w:rsidRDefault="00DD1AC6" w:rsidP="00CC5824">
      <w:pPr>
        <w:pStyle w:val="BodyTextNumbered"/>
      </w:pPr>
      <w:r>
        <w:t>(2)</w:t>
      </w:r>
      <w:r>
        <w:tab/>
        <w:t xml:space="preserve">ERCOT shall true up the distribution of monthly CRR Auction </w:t>
      </w:r>
      <w:r w:rsidR="0008638A">
        <w:t>r</w:t>
      </w:r>
      <w:r>
        <w:t>evenues by posting additional Settlement Invoices on the first Business Day following the RTM Final Settlement posting of the last day of the month on the date specified in the Settlement Calendar.  A trued up CARD Invoice will reflect differences to financial records generated on the previous CARD Invoice for a given month.</w:t>
      </w:r>
    </w:p>
    <w:p w14:paraId="2530B97F" w14:textId="77777777" w:rsidR="002F5868" w:rsidRDefault="00DD1AC6">
      <w:pPr>
        <w:pStyle w:val="BodyTextNumbered"/>
      </w:pPr>
      <w:r>
        <w:t>(3)</w:t>
      </w:r>
      <w:r>
        <w:tab/>
        <w:t xml:space="preserve">For each cycle, the Market Participant to whom the CARD Invoice is addressed (“Invoice Recipient”) is either a payee or payor.  The Invoice Recipient is responsible for accessing the CARD Invoice on the </w:t>
      </w:r>
      <w:r w:rsidR="00321B52">
        <w:t>Market Information System (</w:t>
      </w:r>
      <w:r>
        <w:t>MIS</w:t>
      </w:r>
      <w:r w:rsidR="00321B52">
        <w:t>)</w:t>
      </w:r>
      <w:r>
        <w:t xml:space="preserve"> Certified Area once posted by ERCOT.</w:t>
      </w:r>
    </w:p>
    <w:p w14:paraId="5949097D" w14:textId="35C97AF8" w:rsidR="002F5868" w:rsidRDefault="00DD1AC6">
      <w:pPr>
        <w:pStyle w:val="BodyTextNumbered"/>
      </w:pPr>
      <w:r>
        <w:t>(4)</w:t>
      </w:r>
      <w:r>
        <w:tab/>
        <w:t xml:space="preserve">Each Invoice Recipient shall pay any debit and be entitled to receive any credit shown on the CARD Invoice on the payment due date.  Payments for </w:t>
      </w:r>
      <w:smartTag w:uri="urn:schemas-microsoft-com:office:smarttags" w:element="stockticker">
        <w:r>
          <w:t>CARD</w:t>
        </w:r>
      </w:smartTag>
      <w:r>
        <w:t xml:space="preserve"> Invoices are due on the applicable payment due date whether or not there is any Settlement and </w:t>
      </w:r>
      <w:r w:rsidR="00A16DB0">
        <w:t>b</w:t>
      </w:r>
      <w:r>
        <w:t>illing dispute regarding the amount of the payment.</w:t>
      </w:r>
    </w:p>
    <w:p w14:paraId="61FDDDC5" w14:textId="77777777" w:rsidR="002F5868" w:rsidRDefault="00DD1AC6">
      <w:pPr>
        <w:pStyle w:val="BodyTextNumbered"/>
      </w:pPr>
      <w:r>
        <w:t>(5)</w:t>
      </w:r>
      <w:r>
        <w:tab/>
        <w:t>ERCOT shall post on the MIS Certified Area for each Invoice Recipient a CARD Invoice based the calculations located:</w:t>
      </w:r>
    </w:p>
    <w:p w14:paraId="6331B4D7" w14:textId="77777777" w:rsidR="002F5868" w:rsidRDefault="00DD1AC6">
      <w:pPr>
        <w:pStyle w:val="BodyTextNumbered"/>
        <w:ind w:firstLine="0"/>
      </w:pPr>
      <w:r>
        <w:t>(a)</w:t>
      </w:r>
      <w:r>
        <w:tab/>
        <w:t>Section 7.5.6.4, CRR Auction Revenues; and</w:t>
      </w:r>
    </w:p>
    <w:p w14:paraId="04F399FD" w14:textId="77777777" w:rsidR="002F5868" w:rsidRDefault="00DD1AC6">
      <w:pPr>
        <w:pStyle w:val="BodyTextNumbered"/>
        <w:ind w:left="1440"/>
      </w:pPr>
      <w:r>
        <w:t>(b)</w:t>
      </w:r>
      <w:r>
        <w:tab/>
        <w:t>Section 7.5.7, Method for Distributing CRR Auction Revenues.</w:t>
      </w:r>
    </w:p>
    <w:p w14:paraId="10673862" w14:textId="77777777" w:rsidR="002F5868" w:rsidRDefault="00DD1AC6">
      <w:pPr>
        <w:pStyle w:val="List"/>
        <w:ind w:left="720"/>
      </w:pPr>
      <w:r>
        <w:t>(6)</w:t>
      </w:r>
      <w:r>
        <w:tab/>
        <w:t xml:space="preserve">CARD Invoices must contain the following information: </w:t>
      </w:r>
    </w:p>
    <w:p w14:paraId="62EAC74A" w14:textId="77777777" w:rsidR="002F5868" w:rsidRDefault="00DD1AC6">
      <w:pPr>
        <w:pStyle w:val="List"/>
      </w:pPr>
      <w:r>
        <w:t>(a)</w:t>
      </w:r>
      <w:r>
        <w:tab/>
        <w:t>The Invoice Recipient’s name;</w:t>
      </w:r>
    </w:p>
    <w:p w14:paraId="63EC4ADB" w14:textId="77777777" w:rsidR="002F5868" w:rsidRDefault="00DD1AC6">
      <w:pPr>
        <w:pStyle w:val="List"/>
      </w:pPr>
      <w:r>
        <w:t>(b)</w:t>
      </w:r>
      <w:r>
        <w:tab/>
        <w:t xml:space="preserve">The ERCOT identifier (Settlement identification number issued by ERCOT); </w:t>
      </w:r>
    </w:p>
    <w:p w14:paraId="7B009FC0" w14:textId="0D7F447A" w:rsidR="002F5868" w:rsidRDefault="00DD1AC6">
      <w:pPr>
        <w:pStyle w:val="List"/>
      </w:pPr>
      <w:r>
        <w:t>(c)</w:t>
      </w:r>
      <w:r>
        <w:tab/>
        <w:t xml:space="preserve">Net Amount Due/Payable – the aggregate summary of all charges owed to or due from the Invoice Recipient summarized by CRR Auction </w:t>
      </w:r>
      <w:r w:rsidR="00A16DB0">
        <w:t>r</w:t>
      </w:r>
      <w:r>
        <w:t>evenue month;</w:t>
      </w:r>
    </w:p>
    <w:p w14:paraId="61FD940A" w14:textId="77777777" w:rsidR="002F5868" w:rsidRDefault="00DD1AC6">
      <w:pPr>
        <w:pStyle w:val="List"/>
      </w:pPr>
      <w:r>
        <w:lastRenderedPageBreak/>
        <w:t>(d)</w:t>
      </w:r>
      <w:r>
        <w:tab/>
        <w:t xml:space="preserve">Time Period – the CRR Auction </w:t>
      </w:r>
      <w:r w:rsidR="0008638A">
        <w:t>r</w:t>
      </w:r>
      <w:r>
        <w:t>evenue month for which the Invoice is generated, including Initial or Final distribution;</w:t>
      </w:r>
    </w:p>
    <w:p w14:paraId="5825373F" w14:textId="77777777" w:rsidR="002F5868" w:rsidRDefault="00DD1AC6">
      <w:pPr>
        <w:pStyle w:val="List"/>
      </w:pPr>
      <w:r>
        <w:t>(e)</w:t>
      </w:r>
      <w:r>
        <w:tab/>
        <w:t>Run Date – the date on which ERCOT created and published the Invoice;</w:t>
      </w:r>
    </w:p>
    <w:p w14:paraId="26C55025" w14:textId="77777777" w:rsidR="002F5868" w:rsidRDefault="00DD1AC6">
      <w:pPr>
        <w:pStyle w:val="List"/>
      </w:pPr>
      <w:r>
        <w:t>(f)</w:t>
      </w:r>
      <w:r>
        <w:tab/>
        <w:t>Invoice Reference Number – a unique number generated by ERCOT for payment tracking purposes;</w:t>
      </w:r>
    </w:p>
    <w:p w14:paraId="7AA05043" w14:textId="77777777" w:rsidR="002F5868" w:rsidRDefault="00DD1AC6">
      <w:pPr>
        <w:pStyle w:val="List"/>
      </w:pPr>
      <w:r>
        <w:t>(g)</w:t>
      </w:r>
      <w:r>
        <w:tab/>
        <w:t>Payment Date – the date and time that Invoice amounts are to be paid or received; and</w:t>
      </w:r>
    </w:p>
    <w:p w14:paraId="73341CB6" w14:textId="77777777" w:rsidR="002F5868" w:rsidRDefault="00DD1AC6">
      <w:pPr>
        <w:pStyle w:val="BodyText"/>
        <w:ind w:left="1440" w:hanging="720"/>
      </w:pPr>
      <w:r>
        <w:t>(h)</w:t>
      </w:r>
      <w:r>
        <w:tab/>
        <w:t>Remittance Information Details – details including the account number, bank name and electronic transfer instructions of the ERCOT account to which any amounts owed by the Invoice Recipient are to be paid or of the Invoice Recipient’s account from which ERCOT may draw payments due.</w:t>
      </w:r>
    </w:p>
    <w:p w14:paraId="313E746B" w14:textId="77777777" w:rsidR="002F5868" w:rsidRDefault="00DD1AC6">
      <w:pPr>
        <w:pStyle w:val="H2"/>
      </w:pPr>
      <w:bookmarkStart w:id="271" w:name="_Toc309731072"/>
      <w:bookmarkStart w:id="272" w:name="_Toc405814043"/>
      <w:bookmarkStart w:id="273" w:name="_Toc422207933"/>
      <w:bookmarkStart w:id="274" w:name="_Toc438044844"/>
      <w:bookmarkStart w:id="275" w:name="_Toc447622627"/>
      <w:bookmarkStart w:id="276" w:name="_Toc80175277"/>
      <w:r>
        <w:t>9.11</w:t>
      </w:r>
      <w:r>
        <w:tab/>
        <w:t>Payment Process for CRR Auction Revenue Distribution</w:t>
      </w:r>
      <w:bookmarkEnd w:id="271"/>
      <w:bookmarkEnd w:id="272"/>
      <w:bookmarkEnd w:id="273"/>
      <w:bookmarkEnd w:id="274"/>
      <w:bookmarkEnd w:id="275"/>
      <w:bookmarkEnd w:id="276"/>
    </w:p>
    <w:p w14:paraId="440501EA" w14:textId="77777777" w:rsidR="002F5868" w:rsidRDefault="00A0123C" w:rsidP="00660ED3">
      <w:pPr>
        <w:pStyle w:val="BodyTextNumbered"/>
      </w:pPr>
      <w:r>
        <w:rPr>
          <w:iCs/>
        </w:rPr>
        <w:t>(1)</w:t>
      </w:r>
      <w:r>
        <w:rPr>
          <w:iCs/>
        </w:rPr>
        <w:tab/>
      </w:r>
      <w:r w:rsidR="00DD1AC6">
        <w:t xml:space="preserve">Payments for </w:t>
      </w:r>
      <w:r w:rsidR="001C0B6C">
        <w:t>Congestion Revenue Right (CRR) Auction Revenue Distribution (</w:t>
      </w:r>
      <w:r w:rsidR="00DD1AC6">
        <w:t>CARD</w:t>
      </w:r>
      <w:r w:rsidR="001C0B6C">
        <w:t>)</w:t>
      </w:r>
      <w:r w:rsidR="00DD1AC6">
        <w:t xml:space="preserve"> Invoices are due on a Business Day and Bank Business Day basis in a two-day, two-step process as detailed below.</w:t>
      </w:r>
    </w:p>
    <w:p w14:paraId="0F274E12" w14:textId="77777777" w:rsidR="002F5868" w:rsidRPr="008910B8" w:rsidRDefault="00DD1AC6">
      <w:pPr>
        <w:pStyle w:val="H3"/>
        <w:rPr>
          <w:b/>
          <w:i/>
        </w:rPr>
      </w:pPr>
      <w:bookmarkStart w:id="277" w:name="_Toc309731073"/>
      <w:bookmarkStart w:id="278" w:name="_Toc405814044"/>
      <w:bookmarkStart w:id="279" w:name="_Toc422207934"/>
      <w:bookmarkStart w:id="280" w:name="_Toc438044845"/>
      <w:bookmarkStart w:id="281" w:name="_Toc447622628"/>
      <w:bookmarkStart w:id="282" w:name="_Toc80175278"/>
      <w:r w:rsidRPr="008910B8">
        <w:rPr>
          <w:b/>
          <w:i/>
        </w:rPr>
        <w:t>9.11.1</w:t>
      </w:r>
      <w:r w:rsidRPr="008910B8">
        <w:rPr>
          <w:b/>
          <w:i/>
        </w:rPr>
        <w:tab/>
        <w:t>Invoice Recipient Payment to ERCOT for CRR Auction Revenue Distribution</w:t>
      </w:r>
      <w:bookmarkEnd w:id="277"/>
      <w:bookmarkEnd w:id="278"/>
      <w:bookmarkEnd w:id="279"/>
      <w:bookmarkEnd w:id="280"/>
      <w:bookmarkEnd w:id="281"/>
      <w:bookmarkEnd w:id="282"/>
    </w:p>
    <w:p w14:paraId="71EAB6C4" w14:textId="77777777" w:rsidR="002F5868" w:rsidRDefault="00DD1AC6">
      <w:pPr>
        <w:pStyle w:val="BodyTextNumbered"/>
      </w:pPr>
      <w:r>
        <w:t>(1)</w:t>
      </w:r>
      <w:r>
        <w:tab/>
        <w:t xml:space="preserve">The payment due date and time for the </w:t>
      </w:r>
      <w:smartTag w:uri="urn:schemas-microsoft-com:office:smarttags" w:element="stockticker">
        <w:r>
          <w:t>CARD</w:t>
        </w:r>
      </w:smartTag>
      <w:r>
        <w:t xml:space="preserve"> Invoice, with funds owed by an Invoice Recipient, is 1700 on the fifth Bank Business Day after the </w:t>
      </w:r>
      <w:smartTag w:uri="urn:schemas-microsoft-com:office:smarttags" w:element="stockticker">
        <w:r>
          <w:t>CARD</w:t>
        </w:r>
      </w:smartTag>
      <w:r>
        <w:t xml:space="preserve"> Invoice date, unless the fifth</w:t>
      </w:r>
      <w:r>
        <w:rPr>
          <w:vertAlign w:val="superscript"/>
        </w:rPr>
        <w:t xml:space="preserve"> </w:t>
      </w:r>
      <w:r>
        <w:t>Bank Business Day is not a Business Day.  If the fifth Bank Business Day is not a Business Day, the payment is due by 1700 on the next Bank Business Day after the fifth Bank Business Day that is also a Business Day.</w:t>
      </w:r>
    </w:p>
    <w:p w14:paraId="5472802D" w14:textId="77777777" w:rsidR="002F5868" w:rsidRDefault="00C114BB" w:rsidP="00C114BB">
      <w:pPr>
        <w:pStyle w:val="List"/>
        <w:ind w:left="720"/>
      </w:pPr>
      <w:r>
        <w:t>(2)</w:t>
      </w:r>
      <w:r>
        <w:tab/>
        <w:t>All CARD Invoices due, with funds owed by an Invoice Recipient, must be paid to ERCOT in U.S. Dollars (USDs) by Electronic Funds Transfer (EFT) in immediately available or good funds (i.e., not subject to reversal) on or before the payment due date.</w:t>
      </w:r>
      <w:r w:rsidR="00DD1AC6">
        <w:t xml:space="preserve"> </w:t>
      </w:r>
    </w:p>
    <w:p w14:paraId="3880A942" w14:textId="77777777" w:rsidR="002F5868" w:rsidRPr="008910B8" w:rsidRDefault="00DD1AC6" w:rsidP="00F55173">
      <w:pPr>
        <w:pStyle w:val="H3"/>
        <w:rPr>
          <w:b/>
          <w:i/>
        </w:rPr>
      </w:pPr>
      <w:bookmarkStart w:id="283" w:name="_Toc309731074"/>
      <w:bookmarkStart w:id="284" w:name="_Toc405814045"/>
      <w:bookmarkStart w:id="285" w:name="_Toc422207935"/>
      <w:bookmarkStart w:id="286" w:name="_Toc438044846"/>
      <w:bookmarkStart w:id="287" w:name="_Toc447622629"/>
      <w:bookmarkStart w:id="288" w:name="_Toc80175279"/>
      <w:r w:rsidRPr="008910B8">
        <w:rPr>
          <w:b/>
          <w:i/>
        </w:rPr>
        <w:t>9.11.2</w:t>
      </w:r>
      <w:r w:rsidRPr="008910B8">
        <w:rPr>
          <w:b/>
          <w:i/>
        </w:rPr>
        <w:tab/>
        <w:t>ERCOT Payment to Invoice Recipients for CRR Auction Revenue Distribution</w:t>
      </w:r>
      <w:bookmarkEnd w:id="283"/>
      <w:bookmarkEnd w:id="284"/>
      <w:bookmarkEnd w:id="285"/>
      <w:bookmarkEnd w:id="286"/>
      <w:bookmarkEnd w:id="287"/>
      <w:bookmarkEnd w:id="288"/>
    </w:p>
    <w:p w14:paraId="3AEA19D3" w14:textId="77777777" w:rsidR="002F5868" w:rsidRDefault="00DD1AC6">
      <w:pPr>
        <w:pStyle w:val="BodyTextNumbered"/>
      </w:pPr>
      <w:r>
        <w:t>(1)</w:t>
      </w:r>
      <w:r>
        <w:tab/>
        <w:t xml:space="preserve">CARD Invoices with funds owed to an Invoice Recipient must be paid by ERCOT to the Invoice Recipient by 1700 on the next day that is both a Business Day and a Bank Business Day after the day that payments are due for that CARD Invoice under Section 9.11.1, Invoice Recipient Payment to ERCOT for CRR Auction Revenue Distribution, subject to ERCOT’s right to withhold payments under Section 16 and pursuant to common law. </w:t>
      </w:r>
    </w:p>
    <w:p w14:paraId="41ED8D1E" w14:textId="77777777" w:rsidR="002F5868" w:rsidRDefault="00DD1AC6">
      <w:pPr>
        <w:pStyle w:val="BodyTextNumbered"/>
      </w:pPr>
      <w:r>
        <w:t>(2)</w:t>
      </w:r>
      <w:r>
        <w:tab/>
        <w:t xml:space="preserve">ERCOT shall give irrevocable instructions to the ERCOT financial institution to remit, to each Invoice Recipient for same day value, the amounts owed to each Invoice Recipient. </w:t>
      </w:r>
    </w:p>
    <w:p w14:paraId="19D52C20" w14:textId="77777777" w:rsidR="002F5868" w:rsidRPr="008910B8" w:rsidRDefault="00DD1AC6" w:rsidP="00F55173">
      <w:pPr>
        <w:pStyle w:val="H3"/>
        <w:rPr>
          <w:b/>
          <w:i/>
        </w:rPr>
      </w:pPr>
      <w:bookmarkStart w:id="289" w:name="_Toc309731075"/>
      <w:bookmarkStart w:id="290" w:name="_Toc405814046"/>
      <w:bookmarkStart w:id="291" w:name="_Toc422207936"/>
      <w:bookmarkStart w:id="292" w:name="_Toc438044847"/>
      <w:bookmarkStart w:id="293" w:name="_Toc447622630"/>
      <w:bookmarkStart w:id="294" w:name="_Toc80175280"/>
      <w:r w:rsidRPr="008910B8">
        <w:rPr>
          <w:b/>
          <w:i/>
        </w:rPr>
        <w:lastRenderedPageBreak/>
        <w:t>9.11.3</w:t>
      </w:r>
      <w:r w:rsidRPr="008910B8">
        <w:rPr>
          <w:b/>
          <w:i/>
        </w:rPr>
        <w:tab/>
        <w:t>Partial Payments by Invoice Recipients for CRR Auction Revenue Distribution</w:t>
      </w:r>
      <w:bookmarkEnd w:id="289"/>
      <w:bookmarkEnd w:id="290"/>
      <w:bookmarkEnd w:id="291"/>
      <w:bookmarkEnd w:id="292"/>
      <w:bookmarkEnd w:id="293"/>
      <w:bookmarkEnd w:id="294"/>
    </w:p>
    <w:p w14:paraId="220A78C8" w14:textId="77777777" w:rsidR="002F5868" w:rsidRDefault="00AF146B" w:rsidP="00C342E1">
      <w:pPr>
        <w:pStyle w:val="BodyTextNumbered"/>
      </w:pPr>
      <w:r>
        <w:t>(1)</w:t>
      </w:r>
      <w:r>
        <w:tab/>
      </w:r>
      <w:r w:rsidR="00DD1AC6">
        <w:t>If at least one Invoice Recipient owing funds does not pay its CARD Invoice in full (short-pay), ERCOT shall follow the procedure set forth below:</w:t>
      </w:r>
    </w:p>
    <w:p w14:paraId="06C84A21" w14:textId="6672C1A1" w:rsidR="002F5868" w:rsidRDefault="00DD1AC6">
      <w:pPr>
        <w:pStyle w:val="List"/>
      </w:pPr>
      <w:r>
        <w:t>(a)</w:t>
      </w:r>
      <w:r>
        <w:tab/>
        <w:t xml:space="preserve">ERCOT shall make every reasonable attempt to collect payment from each short-paying Invoice Recipient before any payments owed by ERCOT for that month’s distribution of CRR Auction </w:t>
      </w:r>
      <w:r w:rsidR="00A16DB0">
        <w:t>r</w:t>
      </w:r>
      <w:r>
        <w:t xml:space="preserve">evenues is due to be paid to applicable Invoice Recipient(s). </w:t>
      </w:r>
    </w:p>
    <w:p w14:paraId="4CD093AD" w14:textId="77777777" w:rsidR="002F5868" w:rsidRDefault="00DD1AC6">
      <w:pPr>
        <w:pStyle w:val="List"/>
      </w:pPr>
      <w:r>
        <w:t>(b)</w:t>
      </w:r>
      <w:r>
        <w:tab/>
      </w:r>
      <w:r w:rsidR="00E82827">
        <w:t xml:space="preserve">ERCOT shall draw on any available security pledged to ERCOT by each short-paying Invoice Recipient that did not pay the amount due under paragraph (a) above.  If the amount of any such draw is greater than the amount of the </w:t>
      </w:r>
      <w:r w:rsidR="00E82827" w:rsidRPr="00BF0D35">
        <w:t xml:space="preserve">short-paying Invoice Recipient’s </w:t>
      </w:r>
      <w:r w:rsidR="00E82827">
        <w:t>cash collateral held in excess of that required to cover its Total Potential Exposure (TPE) (“Excess Collateral”), then a draw on available security for a short-paying Invoice Recipient shall be considered a Late Payment for purposes of Section 16.11.6, Payment Breach and Late Payments by Market Participants.</w:t>
      </w:r>
    </w:p>
    <w:p w14:paraId="47DCE8FF" w14:textId="77777777" w:rsidR="002F5868" w:rsidRDefault="00DD1AC6" w:rsidP="00F55173">
      <w:pPr>
        <w:pStyle w:val="List"/>
      </w:pPr>
      <w:r>
        <w:t>(c)</w:t>
      </w:r>
      <w:r>
        <w:tab/>
        <w:t>ERCOT shall offset or recoup any amounts owed, or to be owed, by ERCOT to a short-paying Invoice Recipient against amounts not paid by that Invoice Recipient and ERCOT shall apply the amount offset or recouped to cover payment shortages by that Invoice Recipient.</w:t>
      </w:r>
    </w:p>
    <w:p w14:paraId="00E35BED" w14:textId="77777777" w:rsidR="002F5868" w:rsidRDefault="00DD1AC6">
      <w:pPr>
        <w:pStyle w:val="BodyTextNumbered"/>
        <w:ind w:left="1440"/>
        <w:rPr>
          <w:rFonts w:ascii="TimesNewRomanPSMT" w:hAnsi="TimesNewRomanPSMT"/>
          <w:iCs/>
        </w:rPr>
      </w:pPr>
      <w:r>
        <w:rPr>
          <w:rFonts w:ascii="TimesNewRomanPSMT" w:hAnsi="TimesNewRomanPSMT"/>
          <w:iCs/>
        </w:rPr>
        <w:t>(d)</w:t>
      </w:r>
      <w:r>
        <w:rPr>
          <w:rFonts w:ascii="TimesNewRomanPSMT" w:hAnsi="TimesNewRomanPSMT"/>
          <w:iCs/>
        </w:rPr>
        <w:tab/>
        <w:t>If, after taking the actions set forth in paragraph</w:t>
      </w:r>
      <w:r w:rsidR="00AF146B">
        <w:rPr>
          <w:rFonts w:ascii="TimesNewRomanPSMT" w:hAnsi="TimesNewRomanPSMT"/>
          <w:iCs/>
        </w:rPr>
        <w:t xml:space="preserve">s </w:t>
      </w:r>
      <w:r>
        <w:rPr>
          <w:rFonts w:ascii="TimesNewRomanPSMT" w:hAnsi="TimesNewRomanPSMT"/>
          <w:iCs/>
        </w:rPr>
        <w:t>(a), (b) and (c), above, ERCOT still does not have sufficient funds to pay all amounts that it owes to CARD Invoice Recipients in full, ERCOT shall reduce payments to all CARD Invoice Recipients owed monies from ERCOT.  The reductions shall be based on a pro rata basis of monies owed to each CARD Invoice Recipient, to the extent necessary to clear ERCOT’s accounts on the payment due date to achieve revenue neutrality for ERCOT.  ERCOT shall provide to all Market Participants payment details on all short payments and subsequent reimbursements of short pays.  Details must include the identity of each short-paying Invoice Recipient and the dollar amount attributable to that Invoice Recipient, broken down by Invoice numbers.  In addition, ERCOT shall provide the aggregate total of all amounts due to all Invoice Recipients before applying the amount not paid on the CARD Invoice.</w:t>
      </w:r>
    </w:p>
    <w:p w14:paraId="2D4A4C0B" w14:textId="77777777" w:rsidR="002F5868" w:rsidRPr="008910B8" w:rsidRDefault="00DD1AC6">
      <w:pPr>
        <w:pStyle w:val="H3"/>
        <w:rPr>
          <w:b/>
          <w:i/>
        </w:rPr>
      </w:pPr>
      <w:bookmarkStart w:id="295" w:name="_Toc309731076"/>
      <w:bookmarkStart w:id="296" w:name="_Toc405814047"/>
      <w:bookmarkStart w:id="297" w:name="_Toc422207937"/>
      <w:bookmarkStart w:id="298" w:name="_Toc438044848"/>
      <w:bookmarkStart w:id="299" w:name="_Toc447622631"/>
      <w:bookmarkStart w:id="300" w:name="_Toc80175281"/>
      <w:r w:rsidRPr="008910B8">
        <w:rPr>
          <w:b/>
          <w:i/>
        </w:rPr>
        <w:t>9.11.4</w:t>
      </w:r>
      <w:r w:rsidRPr="008910B8">
        <w:rPr>
          <w:b/>
          <w:i/>
        </w:rPr>
        <w:tab/>
        <w:t>Enforcing the Security of a Short-Paying CARD Invoice Recipient</w:t>
      </w:r>
      <w:bookmarkEnd w:id="295"/>
      <w:bookmarkEnd w:id="296"/>
      <w:bookmarkEnd w:id="297"/>
      <w:bookmarkEnd w:id="298"/>
      <w:bookmarkEnd w:id="299"/>
      <w:bookmarkEnd w:id="300"/>
    </w:p>
    <w:p w14:paraId="16541DA3" w14:textId="77777777" w:rsidR="002F5868" w:rsidRDefault="00AF146B" w:rsidP="00C342E1">
      <w:pPr>
        <w:pStyle w:val="BodyTextNumbered"/>
      </w:pPr>
      <w:r>
        <w:t>(1)</w:t>
      </w:r>
      <w:r>
        <w:tab/>
      </w:r>
      <w:r w:rsidR="00DD1AC6">
        <w:t>ERCOT shall make reasonable efforts to enforce the security of the short-paying Invoice Recipient (pursuant to Section 16.11.6</w:t>
      </w:r>
      <w:r>
        <w:t xml:space="preserve">, </w:t>
      </w:r>
      <w:r w:rsidRPr="00BC07EB">
        <w:t>Payment Breach and Late Payments by Market Participants</w:t>
      </w:r>
      <w:r w:rsidR="00DD1AC6">
        <w:t>) to the extent necessary to cover the short-pay.  A short-paying Invoice Recipient shall restore the level of its security under Section 16</w:t>
      </w:r>
      <w:r>
        <w:t>, Registration and Qualification of Market Participants</w:t>
      </w:r>
      <w:r w:rsidR="00DD1AC6">
        <w:t>.</w:t>
      </w:r>
    </w:p>
    <w:p w14:paraId="3401BAD0" w14:textId="77777777" w:rsidR="002F5868" w:rsidRDefault="00DD1AC6">
      <w:pPr>
        <w:pStyle w:val="H2"/>
      </w:pPr>
      <w:bookmarkStart w:id="301" w:name="_Toc309731077"/>
      <w:bookmarkStart w:id="302" w:name="_Toc405814048"/>
      <w:bookmarkStart w:id="303" w:name="_Toc422207938"/>
      <w:bookmarkStart w:id="304" w:name="_Toc438044849"/>
      <w:bookmarkStart w:id="305" w:name="_Toc447622632"/>
      <w:bookmarkStart w:id="306" w:name="_Toc80175282"/>
      <w:r>
        <w:lastRenderedPageBreak/>
        <w:t>9.12</w:t>
      </w:r>
      <w:r>
        <w:tab/>
        <w:t>CRR Balancing Account Invoices</w:t>
      </w:r>
      <w:bookmarkEnd w:id="301"/>
      <w:bookmarkEnd w:id="302"/>
      <w:bookmarkEnd w:id="303"/>
      <w:bookmarkEnd w:id="304"/>
      <w:bookmarkEnd w:id="305"/>
      <w:bookmarkEnd w:id="306"/>
    </w:p>
    <w:p w14:paraId="41688F6C" w14:textId="6F6B576A" w:rsidR="002F5868" w:rsidRDefault="00DD1AC6">
      <w:pPr>
        <w:pStyle w:val="BodyTextNumbered"/>
      </w:pPr>
      <w:r>
        <w:t>(1)</w:t>
      </w:r>
      <w:r>
        <w:tab/>
      </w:r>
      <w:r w:rsidR="005902CB" w:rsidRPr="005B1106">
        <w:t xml:space="preserve">ERCOT shall prepare </w:t>
      </w:r>
      <w:r w:rsidR="005902CB">
        <w:t>I</w:t>
      </w:r>
      <w:r w:rsidR="005902CB" w:rsidRPr="005B1106">
        <w:t>nvoices for the Congestion Revenue Right (CRR) Balancing Account (CRRBA) on a monthly basis on the first Business Day following the Real-Time Market (RTM) Initial Settlement posting of the last day of the month on the date specified in the Settlement Calendar.</w:t>
      </w:r>
    </w:p>
    <w:p w14:paraId="6AF58D0B" w14:textId="431D9330" w:rsidR="0008638A" w:rsidRDefault="005902CB" w:rsidP="00CC5824">
      <w:pPr>
        <w:pStyle w:val="BodyTextNumbered"/>
      </w:pPr>
      <w:r w:rsidRPr="005B1106">
        <w:t>(2)</w:t>
      </w:r>
      <w:r w:rsidRPr="005B1106">
        <w:tab/>
        <w:t xml:space="preserve">ERCOT shall true up the distribution of monthly </w:t>
      </w:r>
      <w:r>
        <w:t xml:space="preserve">the </w:t>
      </w:r>
      <w:r w:rsidRPr="005B1106">
        <w:t>CRRBA by posting additional Settlement Invoices on the first Business Day following the RTM Final Settlement posting of the last day of the month on the date specified in the Settlement Calendar.  A trued up CRRBA Invoice will reflect differences to financial records generated on the previous CRRBA Invoice for a given month.</w:t>
      </w:r>
    </w:p>
    <w:p w14:paraId="04CBD9AF" w14:textId="42EF7842" w:rsidR="001012EA" w:rsidRDefault="001012EA" w:rsidP="00CC5824">
      <w:pPr>
        <w:pStyle w:val="BodyTextNumbered"/>
      </w:pPr>
      <w:r>
        <w:t>(</w:t>
      </w:r>
      <w:r w:rsidR="005902CB">
        <w:t>3</w:t>
      </w:r>
      <w:r>
        <w:t>)</w:t>
      </w:r>
      <w:r>
        <w:tab/>
      </w:r>
      <w:r w:rsidR="005902CB">
        <w:t xml:space="preserve">ERCOT shall prepare resettlement Invoices in the event that the balance in the CRRBA for the month changes due to a Day-Ahead Market (DAM) resettlement after the initial balancing account Invoices for that month have been posted as specified in the Settlement Calendar.  The Monthly Load Ratio Share (MLRS) as described in Section 7.9.3.5, </w:t>
      </w:r>
      <w:r w:rsidR="005902CB" w:rsidRPr="002025F1">
        <w:rPr>
          <w:bCs/>
        </w:rPr>
        <w:t>CRR Balancing Account Closure</w:t>
      </w:r>
      <w:r w:rsidR="005902CB">
        <w:rPr>
          <w:bCs/>
        </w:rPr>
        <w:t>, used for the resettlement CRRBA Invoice will be the same one used for the most recently posted balancing account Invoices.</w:t>
      </w:r>
      <w:r w:rsidR="005902CB" w:rsidRPr="003F6CE1">
        <w:t xml:space="preserve"> </w:t>
      </w:r>
      <w:r w:rsidR="005902CB">
        <w:t xml:space="preserve"> A resettlement CRRBA Invoice will reflect differences to financial records generated on the previous CRRBA Invoice for a given month.</w:t>
      </w:r>
    </w:p>
    <w:p w14:paraId="032C392D" w14:textId="77E5659F" w:rsidR="002F5868" w:rsidRDefault="00DD1AC6" w:rsidP="00CC5824">
      <w:pPr>
        <w:pStyle w:val="BodyTextNumbered"/>
      </w:pPr>
      <w:r>
        <w:t>(</w:t>
      </w:r>
      <w:r w:rsidR="005902CB">
        <w:t>4</w:t>
      </w:r>
      <w:r>
        <w:t>)</w:t>
      </w:r>
      <w:r>
        <w:tab/>
        <w:t xml:space="preserve">For each Invoice cycle, the Market Participant to whom the </w:t>
      </w:r>
      <w:r w:rsidR="001012EA">
        <w:t>CRRBA</w:t>
      </w:r>
      <w:r>
        <w:t xml:space="preserve"> Invoice is addressed (“Invoice Recipient”) is a payee.  The Invoice Recipient is responsible for accessing the </w:t>
      </w:r>
      <w:r w:rsidR="001012EA">
        <w:t>CRRBA</w:t>
      </w:r>
      <w:r>
        <w:t xml:space="preserve"> Invoice on the </w:t>
      </w:r>
      <w:r w:rsidR="00DF5A03">
        <w:t>Market Information System (</w:t>
      </w:r>
      <w:r>
        <w:t>MIS</w:t>
      </w:r>
      <w:r w:rsidR="00DF5A03">
        <w:t>)</w:t>
      </w:r>
      <w:r>
        <w:t xml:space="preserve"> Certified Area once posted by ERCOT.</w:t>
      </w:r>
    </w:p>
    <w:p w14:paraId="529A26AC" w14:textId="36788950" w:rsidR="002F5868" w:rsidRDefault="00DD1AC6" w:rsidP="0070210E">
      <w:pPr>
        <w:pStyle w:val="BodyTextNumbered"/>
      </w:pPr>
      <w:r>
        <w:t>(</w:t>
      </w:r>
      <w:r w:rsidR="005902CB">
        <w:t>5</w:t>
      </w:r>
      <w:r>
        <w:t>)</w:t>
      </w:r>
      <w:r>
        <w:tab/>
        <w:t>ERCOT shall post on the MIS Certified Area for each Invoice Recipient a CRR</w:t>
      </w:r>
      <w:r w:rsidR="005125D9">
        <w:t xml:space="preserve">BA </w:t>
      </w:r>
      <w:r>
        <w:t xml:space="preserve">Invoice based </w:t>
      </w:r>
      <w:r w:rsidR="00DF5A03">
        <w:t xml:space="preserve">on </w:t>
      </w:r>
      <w:r>
        <w:t>the calculations located</w:t>
      </w:r>
      <w:r w:rsidR="000C67FC">
        <w:t xml:space="preserve"> in</w:t>
      </w:r>
      <w:r w:rsidR="00DF5A03">
        <w:t xml:space="preserve"> </w:t>
      </w:r>
      <w:r>
        <w:t>Section</w:t>
      </w:r>
      <w:r w:rsidR="001012EA">
        <w:t>s</w:t>
      </w:r>
      <w:r>
        <w:t xml:space="preserve"> 7.9.3.4, Monthly Refunds to Short-Paid CRR Owners</w:t>
      </w:r>
      <w:r w:rsidR="005125D9">
        <w:t>,</w:t>
      </w:r>
      <w:r w:rsidR="001012EA">
        <w:t xml:space="preserve"> and 7</w:t>
      </w:r>
      <w:r>
        <w:t>.9.3.5.</w:t>
      </w:r>
    </w:p>
    <w:p w14:paraId="7ECA7E95" w14:textId="493881FA" w:rsidR="002F5868" w:rsidRDefault="00DD1AC6">
      <w:pPr>
        <w:pStyle w:val="BodyTextNumbered"/>
      </w:pPr>
      <w:r>
        <w:t>(</w:t>
      </w:r>
      <w:r w:rsidR="005902CB">
        <w:t>6</w:t>
      </w:r>
      <w:r>
        <w:t>)</w:t>
      </w:r>
      <w:r>
        <w:tab/>
        <w:t>CRR</w:t>
      </w:r>
      <w:r w:rsidR="001012EA">
        <w:t xml:space="preserve">BA </w:t>
      </w:r>
      <w:r>
        <w:t xml:space="preserve">Invoices must contain the following information: </w:t>
      </w:r>
    </w:p>
    <w:p w14:paraId="396712C4" w14:textId="77777777" w:rsidR="002F5868" w:rsidRDefault="00DD1AC6">
      <w:pPr>
        <w:pStyle w:val="List"/>
      </w:pPr>
      <w:r>
        <w:t>(a)</w:t>
      </w:r>
      <w:r>
        <w:tab/>
        <w:t>The Invoice Recipient’s name;</w:t>
      </w:r>
    </w:p>
    <w:p w14:paraId="4247ADC3" w14:textId="77777777" w:rsidR="002F5868" w:rsidRDefault="00DD1AC6">
      <w:pPr>
        <w:pStyle w:val="BodyTextNumbered"/>
        <w:ind w:left="1440"/>
      </w:pPr>
      <w:r>
        <w:t>(b)</w:t>
      </w:r>
      <w:r>
        <w:tab/>
        <w:t xml:space="preserve">The ERCOT identifier (Settlement identification number issued by ERCOT); </w:t>
      </w:r>
    </w:p>
    <w:p w14:paraId="52E1F365" w14:textId="77777777" w:rsidR="002F5868" w:rsidRDefault="00DD1AC6">
      <w:pPr>
        <w:pStyle w:val="BodyTextNumbered"/>
        <w:ind w:left="1440"/>
      </w:pPr>
      <w:r>
        <w:t>(c)</w:t>
      </w:r>
      <w:r>
        <w:tab/>
        <w:t>Net Amount Payable – the aggregate summary of all amounts owed to the Invoice Recipient summarized by month;</w:t>
      </w:r>
    </w:p>
    <w:p w14:paraId="41435690" w14:textId="77777777" w:rsidR="002F5868" w:rsidRDefault="00DD1AC6">
      <w:pPr>
        <w:pStyle w:val="List"/>
      </w:pPr>
      <w:r>
        <w:t>(d)</w:t>
      </w:r>
      <w:r>
        <w:tab/>
        <w:t>Time Period – the time period covered for each line item;</w:t>
      </w:r>
    </w:p>
    <w:p w14:paraId="4F5CA93B" w14:textId="77777777" w:rsidR="002F5868" w:rsidRDefault="00DD1AC6">
      <w:pPr>
        <w:pStyle w:val="List"/>
      </w:pPr>
      <w:r>
        <w:t>(e)</w:t>
      </w:r>
      <w:r>
        <w:tab/>
        <w:t>Run Date – the date on which the ERCOT created and published Invoice;</w:t>
      </w:r>
    </w:p>
    <w:p w14:paraId="30D50AE3" w14:textId="77777777" w:rsidR="002F5868" w:rsidRDefault="00DD1AC6">
      <w:pPr>
        <w:pStyle w:val="List"/>
      </w:pPr>
      <w:r>
        <w:t>(f)</w:t>
      </w:r>
      <w:r>
        <w:tab/>
        <w:t>Invoice Reference Number – a unique number generated by ERCOT for payment tracking purposes; and</w:t>
      </w:r>
    </w:p>
    <w:p w14:paraId="780F60C2" w14:textId="77777777" w:rsidR="002F5868" w:rsidRDefault="00DD1AC6">
      <w:pPr>
        <w:pStyle w:val="List"/>
      </w:pPr>
      <w:r>
        <w:t>(g)</w:t>
      </w:r>
      <w:r>
        <w:tab/>
        <w:t>Payment Date – the date and time that Invoice amounts are to be received.</w:t>
      </w:r>
    </w:p>
    <w:p w14:paraId="00FFD875" w14:textId="17DF2B57" w:rsidR="00C12F14" w:rsidRDefault="00DF5A03">
      <w:pPr>
        <w:pStyle w:val="List"/>
        <w:ind w:left="720"/>
      </w:pPr>
      <w:r>
        <w:lastRenderedPageBreak/>
        <w:t>(</w:t>
      </w:r>
      <w:r w:rsidR="005902CB">
        <w:t>7</w:t>
      </w:r>
      <w:r>
        <w:t>)</w:t>
      </w:r>
      <w:r>
        <w:tab/>
        <w:t xml:space="preserve">Each Invoice </w:t>
      </w:r>
      <w:r w:rsidRPr="00B73E11">
        <w:t xml:space="preserve">Recipient shall receive any credit shown on the </w:t>
      </w:r>
      <w:r>
        <w:t>CRR</w:t>
      </w:r>
      <w:r w:rsidR="001012EA">
        <w:t xml:space="preserve">BA </w:t>
      </w:r>
      <w:r>
        <w:t>Invoice</w:t>
      </w:r>
      <w:r w:rsidRPr="00B73E11">
        <w:t xml:space="preserve"> on the payment due date.  </w:t>
      </w:r>
      <w:r>
        <w:t>Credit shown on the CRR</w:t>
      </w:r>
      <w:r w:rsidR="001012EA">
        <w:t xml:space="preserve">BA </w:t>
      </w:r>
      <w:r>
        <w:t>I</w:t>
      </w:r>
      <w:r w:rsidRPr="00B73E11">
        <w:t xml:space="preserve">nvoice </w:t>
      </w:r>
      <w:r>
        <w:t>will be paid on due d</w:t>
      </w:r>
      <w:r w:rsidRPr="00B73E11">
        <w:t xml:space="preserve">ate whether or not there is any Settlement and </w:t>
      </w:r>
      <w:r>
        <w:t>b</w:t>
      </w:r>
      <w:r w:rsidRPr="00B73E11">
        <w:t>illing dispute regarding the amount of the payment.</w:t>
      </w:r>
    </w:p>
    <w:p w14:paraId="721FBC38" w14:textId="77777777" w:rsidR="002F5868" w:rsidRDefault="00DD1AC6">
      <w:pPr>
        <w:pStyle w:val="H2"/>
        <w:rPr>
          <w:lang w:val="en-US"/>
        </w:rPr>
      </w:pPr>
      <w:bookmarkStart w:id="307" w:name="_Toc309731078"/>
      <w:bookmarkStart w:id="308" w:name="_Toc405814049"/>
      <w:bookmarkStart w:id="309" w:name="_Toc422207939"/>
      <w:bookmarkStart w:id="310" w:name="_Toc438044850"/>
      <w:bookmarkStart w:id="311" w:name="_Toc447622633"/>
      <w:bookmarkStart w:id="312" w:name="_Toc80175283"/>
      <w:r>
        <w:t>9.13</w:t>
      </w:r>
      <w:r>
        <w:tab/>
        <w:t>Payment Process for the CRR Balancing Account</w:t>
      </w:r>
      <w:bookmarkEnd w:id="307"/>
      <w:bookmarkEnd w:id="308"/>
      <w:bookmarkEnd w:id="309"/>
      <w:bookmarkEnd w:id="310"/>
      <w:bookmarkEnd w:id="311"/>
      <w:bookmarkEnd w:id="312"/>
    </w:p>
    <w:p w14:paraId="4684A7A1" w14:textId="77777777" w:rsidR="001012EA" w:rsidRPr="0070210E" w:rsidRDefault="001012EA" w:rsidP="0070210E">
      <w:pPr>
        <w:pStyle w:val="BodyText"/>
        <w:spacing w:before="240"/>
        <w:ind w:left="1080" w:hanging="1080"/>
        <w:outlineLvl w:val="2"/>
        <w:rPr>
          <w:b/>
          <w:i/>
        </w:rPr>
      </w:pPr>
      <w:bookmarkStart w:id="313" w:name="_Toc405814050"/>
      <w:bookmarkStart w:id="314" w:name="_Toc422207940"/>
      <w:bookmarkStart w:id="315" w:name="_Toc438044851"/>
      <w:bookmarkStart w:id="316" w:name="_Toc447622634"/>
      <w:bookmarkStart w:id="317" w:name="_Toc80175284"/>
      <w:r w:rsidRPr="000F79B5">
        <w:rPr>
          <w:b/>
          <w:i/>
        </w:rPr>
        <w:t>9.13.1</w:t>
      </w:r>
      <w:r>
        <w:rPr>
          <w:b/>
          <w:i/>
        </w:rPr>
        <w:tab/>
      </w:r>
      <w:r w:rsidRPr="000F79B5">
        <w:rPr>
          <w:b/>
          <w:i/>
        </w:rPr>
        <w:t>Payment Process for the Initial CRR Balancing Account</w:t>
      </w:r>
      <w:bookmarkEnd w:id="313"/>
      <w:bookmarkEnd w:id="314"/>
      <w:bookmarkEnd w:id="315"/>
      <w:bookmarkEnd w:id="316"/>
      <w:bookmarkEnd w:id="317"/>
    </w:p>
    <w:p w14:paraId="6A1FB775" w14:textId="77777777" w:rsidR="002F5868" w:rsidRDefault="00EB11F5" w:rsidP="008436F5">
      <w:pPr>
        <w:pStyle w:val="ListIntroduction"/>
        <w:ind w:left="720" w:hanging="720"/>
      </w:pPr>
      <w:r>
        <w:t>(1)</w:t>
      </w:r>
      <w:r>
        <w:tab/>
      </w:r>
      <w:r w:rsidR="00DD1AC6">
        <w:t xml:space="preserve">Payments for the </w:t>
      </w:r>
      <w:r w:rsidR="000253C4">
        <w:t>Congestion Revenue Right (</w:t>
      </w:r>
      <w:r w:rsidR="00DD1AC6">
        <w:t>CRR</w:t>
      </w:r>
      <w:r w:rsidR="000253C4">
        <w:t>)</w:t>
      </w:r>
      <w:r w:rsidR="00DD1AC6">
        <w:t xml:space="preserve"> Balancing Account</w:t>
      </w:r>
      <w:r w:rsidR="00067966">
        <w:t xml:space="preserve"> (CRRBA)</w:t>
      </w:r>
      <w:r w:rsidR="00DD1AC6">
        <w:t xml:space="preserve"> are due on a Business Day and Bank Business Day basis in a one-day, one-step process, as detailed below.</w:t>
      </w:r>
    </w:p>
    <w:p w14:paraId="5DCDF9E4" w14:textId="77777777" w:rsidR="00082CB5" w:rsidRPr="00A06E01" w:rsidRDefault="00082CB5" w:rsidP="00082CB5">
      <w:pPr>
        <w:pStyle w:val="BodyTextNumbered"/>
        <w:ind w:left="1440"/>
        <w:rPr>
          <w:iCs/>
        </w:rPr>
      </w:pPr>
      <w:r w:rsidRPr="00A06E01">
        <w:rPr>
          <w:iCs/>
        </w:rPr>
        <w:t>(a)</w:t>
      </w:r>
      <w:r w:rsidRPr="00A06E01">
        <w:rPr>
          <w:iCs/>
        </w:rPr>
        <w:tab/>
        <w:t xml:space="preserve">By 1700 on the first day that is both a Business Day and a Bank Business Day following the due date of the Settlement Invoice that includes the Real-Time Market (RTM) Initial Settlement </w:t>
      </w:r>
      <w:r w:rsidR="00A327D9">
        <w:rPr>
          <w:iCs/>
        </w:rPr>
        <w:t>S</w:t>
      </w:r>
      <w:r w:rsidRPr="00A06E01">
        <w:rPr>
          <w:iCs/>
        </w:rPr>
        <w:t xml:space="preserve">tatement for the last day of the month and subject to ERCOT’s right to withhold payments under Section 16, Registration and Qualification of Market Participants, and pursuant to common law, ERCOT shall pay on a net credit shown on the </w:t>
      </w:r>
      <w:r w:rsidR="005125D9">
        <w:rPr>
          <w:iCs/>
        </w:rPr>
        <w:t>CRRBA</w:t>
      </w:r>
      <w:r w:rsidRPr="00A06E01">
        <w:rPr>
          <w:iCs/>
        </w:rPr>
        <w:t xml:space="preserve"> Invoice based on amounts due:</w:t>
      </w:r>
    </w:p>
    <w:p w14:paraId="41F8795E" w14:textId="77777777" w:rsidR="00082CB5" w:rsidRDefault="00082CB5" w:rsidP="00082CB5">
      <w:pPr>
        <w:pStyle w:val="List"/>
        <w:ind w:left="2160"/>
      </w:pPr>
      <w:r>
        <w:t>(i)</w:t>
      </w:r>
      <w:r>
        <w:tab/>
        <w:t xml:space="preserve">To each short-paid </w:t>
      </w:r>
      <w:smartTag w:uri="urn:schemas-microsoft-com:office:smarttags" w:element="stockticker">
        <w:r>
          <w:t>CRR</w:t>
        </w:r>
      </w:smartTag>
      <w:r>
        <w:t xml:space="preserve"> Owner a monthly refund from the positive balance in the CRR</w:t>
      </w:r>
      <w:r w:rsidR="00A327D9">
        <w:t>BA</w:t>
      </w:r>
      <w:r>
        <w:t xml:space="preserve">, with the amount paid to each </w:t>
      </w:r>
      <w:smartTag w:uri="urn:schemas-microsoft-com:office:smarttags" w:element="stockticker">
        <w:r>
          <w:t>CRR</w:t>
        </w:r>
      </w:smartTag>
      <w:r>
        <w:t xml:space="preserve"> Owner as calculated in Section 7.9.3.4, Monthly Refunds to Short-Paid CRR Owners; and  </w:t>
      </w:r>
    </w:p>
    <w:p w14:paraId="7454E74F" w14:textId="77777777" w:rsidR="00625828" w:rsidRDefault="00082CB5">
      <w:pPr>
        <w:pStyle w:val="BodyTextNumbered"/>
        <w:tabs>
          <w:tab w:val="left" w:pos="8010"/>
        </w:tabs>
        <w:ind w:left="2160"/>
      </w:pPr>
      <w:r w:rsidRPr="00A06E01">
        <w:rPr>
          <w:iCs/>
        </w:rPr>
        <w:t>(ii)</w:t>
      </w:r>
      <w:r w:rsidRPr="00A06E01">
        <w:rPr>
          <w:iCs/>
        </w:rPr>
        <w:tab/>
        <w:t xml:space="preserve">To each Qualified Scheduling Entity (QSE), any remaining positive balance in the </w:t>
      </w:r>
      <w:smartTag w:uri="urn:schemas-microsoft-com:office:smarttags" w:element="stockticker">
        <w:r w:rsidRPr="00A06E01">
          <w:rPr>
            <w:iCs/>
          </w:rPr>
          <w:t>CRR</w:t>
        </w:r>
      </w:smartTag>
      <w:r w:rsidR="00A327D9">
        <w:rPr>
          <w:iCs/>
        </w:rPr>
        <w:t>BA</w:t>
      </w:r>
      <w:r w:rsidRPr="00A06E01">
        <w:rPr>
          <w:iCs/>
        </w:rPr>
        <w:t>, with the amount paid to each QSE as calculated in Section 7.9.3.5, CRR Balancing Account Closure.</w:t>
      </w:r>
    </w:p>
    <w:p w14:paraId="783AAB92" w14:textId="77777777" w:rsidR="00625828" w:rsidRDefault="00DD1AC6">
      <w:pPr>
        <w:pStyle w:val="BodyTextNumbered"/>
        <w:ind w:left="1440"/>
      </w:pPr>
      <w:r>
        <w:t>(</w:t>
      </w:r>
      <w:r w:rsidR="000B7C5F">
        <w:t>b</w:t>
      </w:r>
      <w:r>
        <w:t>)</w:t>
      </w:r>
      <w:r>
        <w:tab/>
        <w:t>ERCOT shall give irrevocable instructions to the ERCOT financial institution to remit, to each CRR Owner or QSE, for same day value, the amounts determined by ERCOT to be available for payment.</w:t>
      </w:r>
      <w:r w:rsidR="0054792C">
        <w:t xml:space="preserve"> </w:t>
      </w:r>
    </w:p>
    <w:p w14:paraId="7555AB12" w14:textId="77777777" w:rsidR="00A327D9" w:rsidRPr="000F79B5" w:rsidRDefault="00A327D9" w:rsidP="00F55173">
      <w:pPr>
        <w:pStyle w:val="BodyTextNumbered"/>
        <w:spacing w:before="240"/>
        <w:ind w:left="1080" w:hanging="1080"/>
        <w:outlineLvl w:val="2"/>
        <w:rPr>
          <w:b/>
          <w:i/>
        </w:rPr>
      </w:pPr>
      <w:bookmarkStart w:id="318" w:name="_Toc405814051"/>
      <w:bookmarkStart w:id="319" w:name="_Toc422207941"/>
      <w:bookmarkStart w:id="320" w:name="_Toc438044852"/>
      <w:bookmarkStart w:id="321" w:name="_Toc447622635"/>
      <w:bookmarkStart w:id="322" w:name="_Toc80175285"/>
      <w:r w:rsidRPr="000F79B5">
        <w:rPr>
          <w:b/>
          <w:i/>
        </w:rPr>
        <w:t xml:space="preserve">9.13.2 </w:t>
      </w:r>
      <w:r w:rsidRPr="000F79B5">
        <w:rPr>
          <w:b/>
          <w:i/>
        </w:rPr>
        <w:tab/>
        <w:t>Payment Process for Resettlement of the CRR Balancing Account</w:t>
      </w:r>
      <w:bookmarkEnd w:id="318"/>
      <w:bookmarkEnd w:id="319"/>
      <w:bookmarkEnd w:id="320"/>
      <w:bookmarkEnd w:id="321"/>
      <w:bookmarkEnd w:id="322"/>
    </w:p>
    <w:p w14:paraId="7290CE24" w14:textId="77777777" w:rsidR="00A327D9" w:rsidRDefault="00A0123C" w:rsidP="00660ED3">
      <w:pPr>
        <w:pStyle w:val="BodyTextNumbered"/>
      </w:pPr>
      <w:r>
        <w:rPr>
          <w:iCs/>
        </w:rPr>
        <w:t>(1)</w:t>
      </w:r>
      <w:r>
        <w:rPr>
          <w:iCs/>
        </w:rPr>
        <w:tab/>
      </w:r>
      <w:r w:rsidR="00A327D9">
        <w:t xml:space="preserve">In the event that a resettlement CRRBA Invoice is required, </w:t>
      </w:r>
      <w:bookmarkStart w:id="323" w:name="_Toc314466033"/>
      <w:r w:rsidR="00A327D9">
        <w:t>payments for the resettlement CRRBA</w:t>
      </w:r>
      <w:r w:rsidR="00A327D9" w:rsidRPr="00F31353">
        <w:t xml:space="preserve"> </w:t>
      </w:r>
      <w:r w:rsidR="00A327D9">
        <w:t xml:space="preserve">Invoice are due on a Business Day and Bank Business Day basis in a two-day, two-step process as detailed below in Section 9.13.2.1, Invoice Recipient </w:t>
      </w:r>
      <w:r w:rsidR="00A327D9" w:rsidRPr="005D6650">
        <w:t>Payment</w:t>
      </w:r>
      <w:r w:rsidR="00A327D9">
        <w:t xml:space="preserve"> to ERCOT</w:t>
      </w:r>
      <w:r w:rsidR="00A327D9" w:rsidRPr="005D6650">
        <w:t xml:space="preserve"> for Resettlement of the CRR</w:t>
      </w:r>
      <w:r w:rsidR="005125D9">
        <w:t xml:space="preserve"> Balancing Account</w:t>
      </w:r>
      <w:r w:rsidR="00A327D9">
        <w:t xml:space="preserve">. </w:t>
      </w:r>
    </w:p>
    <w:p w14:paraId="38413DFB" w14:textId="77777777" w:rsidR="00A327D9" w:rsidRPr="005125D9" w:rsidRDefault="00A327D9" w:rsidP="005125D9">
      <w:pPr>
        <w:pStyle w:val="H4"/>
      </w:pPr>
      <w:bookmarkStart w:id="324" w:name="_Toc405814052"/>
      <w:bookmarkStart w:id="325" w:name="_Toc422207942"/>
      <w:bookmarkStart w:id="326" w:name="_Toc438044853"/>
      <w:bookmarkStart w:id="327" w:name="_Toc447622636"/>
      <w:bookmarkStart w:id="328" w:name="_Toc80175286"/>
      <w:bookmarkEnd w:id="323"/>
      <w:r w:rsidRPr="005125D9">
        <w:t>9.13.2.1</w:t>
      </w:r>
      <w:r w:rsidRPr="005125D9">
        <w:tab/>
        <w:t>Invoice Recipient Payment to ERCOT</w:t>
      </w:r>
      <w:r w:rsidRPr="005125D9">
        <w:rPr>
          <w:b w:val="0"/>
        </w:rPr>
        <w:t xml:space="preserve"> </w:t>
      </w:r>
      <w:r w:rsidRPr="005125D9">
        <w:t xml:space="preserve">for Resettlement of the CRR Balancing </w:t>
      </w:r>
      <w:r w:rsidRPr="005125D9">
        <w:lastRenderedPageBreak/>
        <w:t>Account</w:t>
      </w:r>
      <w:bookmarkEnd w:id="324"/>
      <w:bookmarkEnd w:id="325"/>
      <w:bookmarkEnd w:id="326"/>
      <w:bookmarkEnd w:id="327"/>
      <w:bookmarkEnd w:id="328"/>
    </w:p>
    <w:p w14:paraId="39F3863F" w14:textId="77777777" w:rsidR="00A327D9" w:rsidRDefault="00A327D9" w:rsidP="00A327D9">
      <w:pPr>
        <w:pStyle w:val="BodyTextNumbered"/>
      </w:pPr>
      <w:r>
        <w:t>(1)</w:t>
      </w:r>
      <w:r>
        <w:tab/>
        <w:t>The payment due date and time for the resettlement CRRBA Invoice, with funds owed by an Invoice Recipient, is 1700 on the fifth Bank Business Day after the resettlement CRRBA Invoice date, unless the fifth</w:t>
      </w:r>
      <w:r>
        <w:rPr>
          <w:vertAlign w:val="superscript"/>
        </w:rPr>
        <w:t xml:space="preserve"> </w:t>
      </w:r>
      <w:r>
        <w:t>Bank Business Day is not a Business Day.  If the fifth Bank Business Day is not a Business Day, the payment is due by 1700 on the next Bank Business Day after the fifth Bank Business Day that is also a Business Day.</w:t>
      </w:r>
    </w:p>
    <w:p w14:paraId="4E720457" w14:textId="77777777" w:rsidR="00A327D9" w:rsidRDefault="00A327D9" w:rsidP="0070210E">
      <w:pPr>
        <w:pStyle w:val="List"/>
        <w:ind w:left="720"/>
      </w:pPr>
      <w:r>
        <w:t>(2)</w:t>
      </w:r>
      <w:r>
        <w:tab/>
        <w:t xml:space="preserve">All resettlement CRRBA Invoices due, with funds owed by an Invoice Recipient, must be paid to ERCOT in U.S. Dollars (USDs) by Electronic Funds Transfer (EFT) in immediately available or good funds (i.e., not subject to reversal) on or before the payment due date. </w:t>
      </w:r>
    </w:p>
    <w:p w14:paraId="6E159ABE" w14:textId="77777777" w:rsidR="00A327D9" w:rsidRPr="005125D9" w:rsidRDefault="00A327D9" w:rsidP="00F55173">
      <w:pPr>
        <w:pStyle w:val="H4"/>
      </w:pPr>
      <w:bookmarkStart w:id="329" w:name="_Toc405814053"/>
      <w:bookmarkStart w:id="330" w:name="_Toc422207943"/>
      <w:bookmarkStart w:id="331" w:name="_Toc438044854"/>
      <w:bookmarkStart w:id="332" w:name="_Toc447622637"/>
      <w:bookmarkStart w:id="333" w:name="_Toc80175287"/>
      <w:r w:rsidRPr="005125D9">
        <w:t>9.13.2.2</w:t>
      </w:r>
      <w:r w:rsidRPr="005125D9">
        <w:tab/>
        <w:t>ERCOT Payment to Invoice Recipients for Resettlement of the CRR Balancing Account</w:t>
      </w:r>
      <w:bookmarkEnd w:id="329"/>
      <w:bookmarkEnd w:id="330"/>
      <w:bookmarkEnd w:id="331"/>
      <w:bookmarkEnd w:id="332"/>
      <w:bookmarkEnd w:id="333"/>
    </w:p>
    <w:p w14:paraId="4DDE53B3" w14:textId="77777777" w:rsidR="00A327D9" w:rsidRDefault="00A327D9" w:rsidP="00A327D9">
      <w:pPr>
        <w:pStyle w:val="BodyTextNumbered"/>
      </w:pPr>
      <w:r>
        <w:t>(1)</w:t>
      </w:r>
      <w:r>
        <w:tab/>
        <w:t>Resettlement CRRBA Invoices with funds owed to an Invoice Recipient must be paid by ERCOT to the Invoice Recipient by 1700 on the next day that is both a Business Day and a Bank Business Day after the day that payments are due for that resettlement CRRBA Invoice as described in paragraph (1) of Section 9.13.2.1, Invoice Recipient Payment to ERCOT for Resettlement of CRR Balancing Accoun</w:t>
      </w:r>
      <w:r w:rsidRPr="0047609A">
        <w:t>t.</w:t>
      </w:r>
      <w:r>
        <w:t xml:space="preserve">  The Invoice Recipient payment to ERCOT for resettlement of the CRRBA </w:t>
      </w:r>
      <w:r w:rsidRPr="0047609A">
        <w:t>is</w:t>
      </w:r>
      <w:r>
        <w:t xml:space="preserve"> subject to ERCOT’s right to withhold payments under Section 16, Registration and Qualification of Market Participants.</w:t>
      </w:r>
    </w:p>
    <w:p w14:paraId="653DCA6C" w14:textId="77777777" w:rsidR="00A327D9" w:rsidRDefault="00A327D9" w:rsidP="00A327D9">
      <w:pPr>
        <w:pStyle w:val="BodyTextNumbered"/>
      </w:pPr>
      <w:r>
        <w:t>(2)</w:t>
      </w:r>
      <w:r>
        <w:tab/>
        <w:t xml:space="preserve">ERCOT shall give irrevocable instructions to the ERCOT financial institution to remit to each Invoice Recipient for same day value, the amounts owed to each Invoice Recipient. </w:t>
      </w:r>
    </w:p>
    <w:p w14:paraId="3BBF3351" w14:textId="77777777" w:rsidR="00A327D9" w:rsidRPr="005125D9" w:rsidRDefault="00A327D9" w:rsidP="00F55173">
      <w:pPr>
        <w:pStyle w:val="H4"/>
      </w:pPr>
      <w:bookmarkStart w:id="334" w:name="_Toc314466035"/>
      <w:bookmarkStart w:id="335" w:name="_Toc405814054"/>
      <w:bookmarkStart w:id="336" w:name="_Toc422207944"/>
      <w:bookmarkStart w:id="337" w:name="_Toc438044855"/>
      <w:bookmarkStart w:id="338" w:name="_Toc447622638"/>
      <w:bookmarkStart w:id="339" w:name="_Toc80175288"/>
      <w:r w:rsidRPr="005125D9">
        <w:t>9.13.2.3</w:t>
      </w:r>
      <w:r w:rsidRPr="00CC2C42">
        <w:tab/>
      </w:r>
      <w:bookmarkEnd w:id="334"/>
      <w:r w:rsidRPr="005125D9">
        <w:t>Partial Payments by Invoice Recipients for Resettlement of CRR Balancing Account</w:t>
      </w:r>
      <w:bookmarkEnd w:id="335"/>
      <w:bookmarkEnd w:id="336"/>
      <w:bookmarkEnd w:id="337"/>
      <w:bookmarkEnd w:id="338"/>
      <w:bookmarkEnd w:id="339"/>
    </w:p>
    <w:p w14:paraId="31208577" w14:textId="77777777" w:rsidR="00A327D9" w:rsidRDefault="00A327D9" w:rsidP="00A327D9">
      <w:pPr>
        <w:pStyle w:val="ListIntroduction"/>
        <w:ind w:left="720" w:hanging="720"/>
      </w:pPr>
      <w:r>
        <w:t>(1)</w:t>
      </w:r>
      <w:r>
        <w:tab/>
        <w:t>If at least one Invoice Recipient owing funds does not pay its resettlement CRRBA Invoice in full (short-pay), ERCOT shall follow the procedure set forth below:</w:t>
      </w:r>
    </w:p>
    <w:p w14:paraId="47ACF44E" w14:textId="77777777" w:rsidR="00A327D9" w:rsidRDefault="00A327D9" w:rsidP="00A327D9">
      <w:pPr>
        <w:pStyle w:val="List"/>
      </w:pPr>
      <w:r>
        <w:t>(a)</w:t>
      </w:r>
      <w:r>
        <w:tab/>
        <w:t xml:space="preserve">ERCOT shall make every reasonable attempt to collect payment from each short-paying Invoice Recipient before any payments owed by ERCOT for that month’s distribution of resettlement CRRBA revenues is due to be paid to applicable Invoice Recipient(s). </w:t>
      </w:r>
    </w:p>
    <w:p w14:paraId="51253884" w14:textId="77777777" w:rsidR="00A327D9" w:rsidRDefault="00A327D9" w:rsidP="00A327D9">
      <w:pPr>
        <w:pStyle w:val="List"/>
      </w:pPr>
      <w:r>
        <w:t>(b)</w:t>
      </w:r>
      <w:r>
        <w:tab/>
      </w:r>
      <w:r w:rsidR="00E82827">
        <w:t xml:space="preserve">ERCOT shall draw on any available security pledged to ERCOT by each short-paying Invoice Recipient that did not pay the amount due under paragraph (a) above.  If the amount of any such draw is greater than the amount of </w:t>
      </w:r>
      <w:r w:rsidR="00E82827" w:rsidRPr="00BF0D35">
        <w:t xml:space="preserve">the short-paying Invoice Recipient’s </w:t>
      </w:r>
      <w:r w:rsidR="00E82827">
        <w:t>cash collateral held in excess of that required to cover its Total Potential Exposure (TPE) (“Excess Collateral”), then a draw on available security for a short-paying Invoice Recipient shall be considered a Late Payment for purposes of Section 16.11.6, Payment Breach and Late Payments by Market Participants.</w:t>
      </w:r>
    </w:p>
    <w:p w14:paraId="7C17355B" w14:textId="77777777" w:rsidR="00A327D9" w:rsidRDefault="00A327D9" w:rsidP="00F55173">
      <w:pPr>
        <w:pStyle w:val="List"/>
      </w:pPr>
      <w:r>
        <w:lastRenderedPageBreak/>
        <w:t>(c)</w:t>
      </w:r>
      <w:r>
        <w:tab/>
        <w:t>ERCOT shall offset or recoup any amounts owed, or to be owed, by ERCOT to a short-paying Invoice Recipient against amounts not paid by that Invoice Recipient and ERCOT shall apply the amount offset or recouped to cover payment shortages by that Invoice Recipient.</w:t>
      </w:r>
    </w:p>
    <w:p w14:paraId="2166D1C1" w14:textId="77777777" w:rsidR="00A327D9" w:rsidRDefault="00A327D9" w:rsidP="00A327D9">
      <w:pPr>
        <w:pStyle w:val="BodyTextNumbered"/>
        <w:ind w:left="1440"/>
      </w:pPr>
      <w:r>
        <w:rPr>
          <w:rFonts w:ascii="TimesNewRomanPSMT" w:hAnsi="TimesNewRomanPSMT"/>
          <w:iCs/>
        </w:rPr>
        <w:t>(d)</w:t>
      </w:r>
      <w:r>
        <w:rPr>
          <w:rFonts w:ascii="TimesNewRomanPSMT" w:hAnsi="TimesNewRomanPSMT"/>
          <w:iCs/>
        </w:rPr>
        <w:tab/>
        <w:t xml:space="preserve">If, after taking the actions set forth in paragraphs (a), (b) and (c) above, ERCOT still does not have sufficient funds to pay all amounts that it owes to </w:t>
      </w:r>
      <w:r>
        <w:t>resettlement CRRBA</w:t>
      </w:r>
      <w:r>
        <w:rPr>
          <w:rFonts w:ascii="TimesNewRomanPSMT" w:hAnsi="TimesNewRomanPSMT"/>
          <w:iCs/>
        </w:rPr>
        <w:t xml:space="preserve"> Invoice Recipients in full, ERCOT shall reduce payments to all </w:t>
      </w:r>
      <w:r>
        <w:t>resettlement CRRBA</w:t>
      </w:r>
      <w:r>
        <w:rPr>
          <w:rFonts w:ascii="TimesNewRomanPSMT" w:hAnsi="TimesNewRomanPSMT"/>
          <w:iCs/>
        </w:rPr>
        <w:t xml:space="preserve"> Invoice Recipients owed monies from ERCOT.  The reductions shall be based on a pro rata basis of monies owed to each </w:t>
      </w:r>
      <w:r>
        <w:t>resettlement CRRBA</w:t>
      </w:r>
      <w:r>
        <w:rPr>
          <w:rFonts w:ascii="TimesNewRomanPSMT" w:hAnsi="TimesNewRomanPSMT"/>
          <w:iCs/>
        </w:rPr>
        <w:t xml:space="preserve"> Invoice Recipient, to the extent necessary to clear ERCOT’s accounts on the payment due date to achieve revenue neutrality for ERCOT.  ERCOT shall provide to all Market Participants payment details on all short payments and subsequent reimbursements of short pays.  Details must include the identity of each short-paying Invoice Recipient and the dollar amount attributable to that Invoice Recipient, broken down by Invoice numbers.  In addition, ERCOT shall provide the aggregate total of all amounts due to all Invoice Recipients before applying the amount not paid on the </w:t>
      </w:r>
      <w:r>
        <w:t>resettlement CRRBA</w:t>
      </w:r>
      <w:r>
        <w:rPr>
          <w:rFonts w:ascii="TimesNewRomanPSMT" w:hAnsi="TimesNewRomanPSMT"/>
          <w:iCs/>
        </w:rPr>
        <w:t xml:space="preserve"> Invoice.</w:t>
      </w:r>
    </w:p>
    <w:p w14:paraId="0089AFF6" w14:textId="77777777" w:rsidR="002F5868" w:rsidRDefault="00DD1AC6">
      <w:pPr>
        <w:pStyle w:val="H2"/>
      </w:pPr>
      <w:bookmarkStart w:id="340" w:name="_Toc309731079"/>
      <w:bookmarkStart w:id="341" w:name="_Toc405814055"/>
      <w:bookmarkStart w:id="342" w:name="_Toc422207945"/>
      <w:bookmarkStart w:id="343" w:name="_Toc438044856"/>
      <w:bookmarkStart w:id="344" w:name="_Toc447622639"/>
      <w:bookmarkStart w:id="345" w:name="_Toc80175289"/>
      <w:r>
        <w:t>9.14</w:t>
      </w:r>
      <w:r>
        <w:tab/>
        <w:t>Settlement and Billing Dispute Process</w:t>
      </w:r>
      <w:bookmarkEnd w:id="340"/>
      <w:bookmarkEnd w:id="341"/>
      <w:bookmarkEnd w:id="342"/>
      <w:bookmarkEnd w:id="343"/>
      <w:bookmarkEnd w:id="344"/>
      <w:bookmarkEnd w:id="345"/>
    </w:p>
    <w:p w14:paraId="3D30117C" w14:textId="77777777" w:rsidR="002F5868" w:rsidRPr="008910B8" w:rsidRDefault="00DD1AC6">
      <w:pPr>
        <w:pStyle w:val="H3"/>
        <w:rPr>
          <w:b/>
          <w:i/>
        </w:rPr>
      </w:pPr>
      <w:bookmarkStart w:id="346" w:name="_Toc309731080"/>
      <w:bookmarkStart w:id="347" w:name="_Toc405814056"/>
      <w:bookmarkStart w:id="348" w:name="_Toc422207946"/>
      <w:bookmarkStart w:id="349" w:name="_Toc438044857"/>
      <w:bookmarkStart w:id="350" w:name="_Toc447622640"/>
      <w:bookmarkStart w:id="351" w:name="_Toc80175290"/>
      <w:r w:rsidRPr="008910B8">
        <w:rPr>
          <w:b/>
          <w:i/>
        </w:rPr>
        <w:t>9.14.1</w:t>
      </w:r>
      <w:r w:rsidRPr="008910B8">
        <w:rPr>
          <w:b/>
          <w:i/>
        </w:rPr>
        <w:tab/>
        <w:t>Data Review, Validation, Confirmation, and Dispute of Settlement Statements</w:t>
      </w:r>
      <w:bookmarkEnd w:id="346"/>
      <w:bookmarkEnd w:id="347"/>
      <w:bookmarkEnd w:id="348"/>
      <w:bookmarkEnd w:id="349"/>
      <w:bookmarkEnd w:id="350"/>
      <w:bookmarkEnd w:id="351"/>
    </w:p>
    <w:p w14:paraId="781BA6D3" w14:textId="4D191507" w:rsidR="002F5868" w:rsidRDefault="00A0123C" w:rsidP="00660ED3">
      <w:pPr>
        <w:pStyle w:val="BodyTextNumbered"/>
      </w:pPr>
      <w:r>
        <w:t>(1)</w:t>
      </w:r>
      <w:r>
        <w:tab/>
      </w:r>
      <w:r w:rsidR="00DF5A03">
        <w:t xml:space="preserve">Settlement </w:t>
      </w:r>
      <w:r w:rsidR="00DD1AC6">
        <w:t>Statement Recipients and Invoice Recipients for the Day-Ahead Market (DAM)</w:t>
      </w:r>
      <w:r w:rsidR="00DF5A03">
        <w:t xml:space="preserve">, </w:t>
      </w:r>
      <w:r w:rsidR="00DD1AC6">
        <w:t>Real-Time Market (RTM)</w:t>
      </w:r>
      <w:r w:rsidR="00DF5A03">
        <w:t>, and Congestion Revenue Right (CRR) Auction</w:t>
      </w:r>
      <w:r w:rsidR="00DD1AC6">
        <w:t xml:space="preserve"> are responsible for reviewing their Settlement Statements and Settlement Invoices to verify the accuracy of the data used to produce them.  </w:t>
      </w:r>
      <w:r w:rsidRPr="00A47FD4">
        <w:t xml:space="preserve">Other than disputes related to resettlement arising from a completed Alternative Dispute Resolution (ADR) proceeding, </w:t>
      </w:r>
      <w:r w:rsidR="00DF5A03">
        <w:t xml:space="preserve">Settlement </w:t>
      </w:r>
      <w:r w:rsidR="00DD1AC6">
        <w:t>Statement Recipients and Invoice Recipients must submit any dispute related to a Settlement Statement or Settlement Invoice pursuant to this Section.</w:t>
      </w:r>
      <w:r w:rsidRPr="00A0123C">
        <w:t xml:space="preserve"> </w:t>
      </w:r>
      <w:r>
        <w:t xml:space="preserve"> </w:t>
      </w:r>
      <w:r w:rsidRPr="00A47FD4">
        <w:t>A Market Participant who wishes to dispute a resettlement arising from a completed ADR proceeding must appeal ERCOT’s disposition of that proceeding in accordance with paragraph (</w:t>
      </w:r>
      <w:r w:rsidR="003A7B7F">
        <w:t>4</w:t>
      </w:r>
      <w:r w:rsidRPr="00A47FD4">
        <w:t>) of Section 20.</w:t>
      </w:r>
      <w:r w:rsidR="00A46174">
        <w:t>9</w:t>
      </w:r>
      <w:r w:rsidRPr="00A47FD4">
        <w:t>, Resolution of Alternative Dispute Resolution Proceedings and Notification to Market Participants.</w:t>
      </w:r>
    </w:p>
    <w:p w14:paraId="57DBDDB8" w14:textId="77777777" w:rsidR="002F5868" w:rsidRPr="008910B8" w:rsidRDefault="00DD1AC6">
      <w:pPr>
        <w:pStyle w:val="H3"/>
        <w:rPr>
          <w:b/>
          <w:i/>
        </w:rPr>
      </w:pPr>
      <w:bookmarkStart w:id="352" w:name="_Toc309731081"/>
      <w:bookmarkStart w:id="353" w:name="_Toc405814057"/>
      <w:bookmarkStart w:id="354" w:name="_Toc422207947"/>
      <w:bookmarkStart w:id="355" w:name="_Toc438044858"/>
      <w:bookmarkStart w:id="356" w:name="_Toc447622641"/>
      <w:bookmarkStart w:id="357" w:name="_Toc80175291"/>
      <w:r w:rsidRPr="008910B8">
        <w:rPr>
          <w:b/>
          <w:i/>
        </w:rPr>
        <w:t>9.14.2</w:t>
      </w:r>
      <w:r w:rsidRPr="008910B8">
        <w:rPr>
          <w:b/>
          <w:i/>
        </w:rPr>
        <w:tab/>
        <w:t>Notice of Dispute</w:t>
      </w:r>
      <w:bookmarkEnd w:id="352"/>
      <w:bookmarkEnd w:id="353"/>
      <w:bookmarkEnd w:id="354"/>
      <w:bookmarkEnd w:id="355"/>
      <w:bookmarkEnd w:id="356"/>
      <w:bookmarkEnd w:id="357"/>
    </w:p>
    <w:p w14:paraId="28D5B96E" w14:textId="77777777" w:rsidR="002F5868" w:rsidRDefault="00DD1AC6">
      <w:pPr>
        <w:pStyle w:val="BodyTextNumbered"/>
      </w:pPr>
      <w:r>
        <w:t>(1)</w:t>
      </w:r>
      <w:r>
        <w:tab/>
        <w:t xml:space="preserve">A Settlement Statement Recipient may dispute items or calculations in the most recently issued Settlement Statement for an Operating Day, except as limited for RTM True-Up Statements in paragraph (3) below.  The dispute will apply to the Operating Day in question, not to the associated Settlement Statement.  The Market Participant must enter the Settlement and billing dispute electronically through the ERCOT dispute tool provided on the Market Information System (MIS) Certified Area.  In processing disputes under this Section, ERCOT will analyze the latest Settlement Statement issued.    </w:t>
      </w:r>
    </w:p>
    <w:p w14:paraId="2A3785C8" w14:textId="77777777" w:rsidR="002F5868" w:rsidRDefault="00082CB5">
      <w:pPr>
        <w:pStyle w:val="BodyTextNumbered"/>
      </w:pPr>
      <w:r w:rsidRPr="00A06E01">
        <w:rPr>
          <w:iCs/>
        </w:rPr>
        <w:lastRenderedPageBreak/>
        <w:t>(2)</w:t>
      </w:r>
      <w:r w:rsidRPr="00A06E01">
        <w:rPr>
          <w:iCs/>
        </w:rPr>
        <w:tab/>
        <w:t>An Invoice Recipient may dispute elements of an Invoice that are not the result of a Settlement Statement that are contained on the Invoice.  The Invoice Recipient must file the Invoice dispute within ten Business Days of the date on which ERCOT posted the Invoice.</w:t>
      </w:r>
    </w:p>
    <w:p w14:paraId="2F1414D0" w14:textId="77777777" w:rsidR="002F5868" w:rsidRDefault="00DD1AC6" w:rsidP="00DF5A03">
      <w:pPr>
        <w:pStyle w:val="BodyTextNumbered"/>
      </w:pPr>
      <w:r>
        <w:t>(3)</w:t>
      </w:r>
      <w:r>
        <w:tab/>
        <w:t xml:space="preserve">The </w:t>
      </w:r>
      <w:r w:rsidR="00DF5A03">
        <w:t xml:space="preserve">Settlement </w:t>
      </w:r>
      <w:r>
        <w:t xml:space="preserve">Statement Recipient is deemed to have validated each RTM True-Up Statement or Resettlement Statement arising from the True-Up Statement unless it has raised a Settlement and billing dispute or reported an exception within ten Business Days of the date on which ERCOT issued the Settlement Statement.  With respect to an RTM True-Up Statement or any subsequent Resettlement Statement after ERCOT issued the True-Up Statement, ERCOT will consider only Settlement and billing disputes associated with incremental changes between the RTM True-Up Statement or Resettlement Statement, and the most recent previous Settlement Statement for that Operating Day.  The </w:t>
      </w:r>
      <w:r w:rsidR="00DF5A03">
        <w:t xml:space="preserve">Settlement </w:t>
      </w:r>
      <w:r>
        <w:t xml:space="preserve">Statement Recipient may recover only the amounts associated with the incremental monetary change between the prior </w:t>
      </w:r>
      <w:r w:rsidR="00DF5A03">
        <w:t>s</w:t>
      </w:r>
      <w:r>
        <w:t xml:space="preserve">tatement and the </w:t>
      </w:r>
      <w:r w:rsidR="00DF5A03">
        <w:t>s</w:t>
      </w:r>
      <w:r>
        <w:t xml:space="preserve">tatement from which the dispute arose.  ERCOT shall reject late-filed Settlement and billing disputes.  Once the deadline for filing a dispute has passed, </w:t>
      </w:r>
      <w:r w:rsidR="00DF5A03">
        <w:t>the</w:t>
      </w:r>
      <w:r>
        <w:t xml:space="preserve"> RTM True-Up Statement binds the </w:t>
      </w:r>
      <w:r w:rsidR="005C29D8">
        <w:t xml:space="preserve">Settlement </w:t>
      </w:r>
      <w:r>
        <w:t xml:space="preserve">Statement Recipient to which it relates unless ERCOT issues a subsequent Resettlement Statement pursuant to this Section.    </w:t>
      </w:r>
    </w:p>
    <w:p w14:paraId="306F2A28" w14:textId="77777777" w:rsidR="002F5868" w:rsidRDefault="00DD1AC6">
      <w:pPr>
        <w:pStyle w:val="BodyTextNumbered"/>
      </w:pPr>
      <w:r>
        <w:t>(</w:t>
      </w:r>
      <w:r w:rsidR="00DF5A03">
        <w:t>4</w:t>
      </w:r>
      <w:r>
        <w:t>)</w:t>
      </w:r>
      <w:r>
        <w:tab/>
        <w:t xml:space="preserve">ERCOT shall reject Settlement and billing disputes for a given Operating Day during the 20 Business Days before the scheduled date for issuance of the RTM True-Up Statement for that Operating Day. </w:t>
      </w:r>
    </w:p>
    <w:p w14:paraId="33B11C05" w14:textId="77777777" w:rsidR="002F5868" w:rsidRDefault="00DD1AC6">
      <w:pPr>
        <w:pStyle w:val="BodyTextNumbered"/>
      </w:pPr>
      <w:r>
        <w:t>(</w:t>
      </w:r>
      <w:r w:rsidR="00DF5A03">
        <w:t>5</w:t>
      </w:r>
      <w:r>
        <w:t>)</w:t>
      </w:r>
      <w:r>
        <w:tab/>
        <w:t>However, to the extent a disputing party claims that the Settlement or billing dispute relates to information made available under Section 1.3.3, Expiration of Confidentiality, the disputing party must register the Settlement and billing dispute with ERCOT by electronic means within 60 days after the date the information became available.  All communication to and from ERCOT concerning disputes must be made through either the MIS Certified Area or other electronic communication.</w:t>
      </w:r>
    </w:p>
    <w:p w14:paraId="2C8CBD57" w14:textId="77777777" w:rsidR="00DF5A03" w:rsidRDefault="00DF5A03" w:rsidP="00DF5A03">
      <w:pPr>
        <w:pStyle w:val="BodyTextNumbered"/>
      </w:pPr>
      <w:r>
        <w:t>(6)</w:t>
      </w:r>
      <w:r>
        <w:tab/>
        <w:t>The Settlement Statement Recipient is deemed to have validated each DAM Settlement or Resettlement Statement unless it has raised a Settlement and billing dispute or reported an exception within ten Business Days of the date on which ERCOT issued the Settlement or Resettlement Statement.  With respect to a DAM Resettlement Statement, ERCOT will consider only Settlement and billing disputes associated with incremental changes between the DAM Resettlement Statement and the most recent previous Settlement Statement for that Operating Day.  The Settlement Statement Recipient may recover only the amounts associated with the incremental monetary change between the prior statement and the statement from which the dispute arose.  ERCOT shall reject late-filed Settlement and billing disputes.  Once the deadline for filing a dispute has passed, a DAM Statement binds the Settlement Statement Recipient to which it relates unless ERCOT issues a subsequent Resettlement Statement.</w:t>
      </w:r>
    </w:p>
    <w:p w14:paraId="2E487E0F" w14:textId="1A5D5862" w:rsidR="00DF5A03" w:rsidRDefault="00DF5A03" w:rsidP="00DF5A03">
      <w:pPr>
        <w:pStyle w:val="BodyTextNumbered"/>
      </w:pPr>
      <w:r>
        <w:t>(7)</w:t>
      </w:r>
      <w:r>
        <w:tab/>
        <w:t xml:space="preserve">A CRR Auction </w:t>
      </w:r>
      <w:r w:rsidRPr="00C05B64">
        <w:t>Invoice</w:t>
      </w:r>
      <w:r>
        <w:t xml:space="preserve">, CRR Auction Revenue Distribution (CARD) Invoice, or CRR Balancing Account </w:t>
      </w:r>
      <w:r w:rsidR="00A16DB0">
        <w:t xml:space="preserve">(CRRBA) </w:t>
      </w:r>
      <w:r>
        <w:t xml:space="preserve">Invoice </w:t>
      </w:r>
      <w:r w:rsidRPr="00C05B64">
        <w:t>Recipient</w:t>
      </w:r>
      <w:r>
        <w:t xml:space="preserve"> </w:t>
      </w:r>
      <w:r w:rsidRPr="00C05B64">
        <w:t xml:space="preserve">may dispute elements of an Invoice that </w:t>
      </w:r>
      <w:r w:rsidRPr="00C05B64">
        <w:lastRenderedPageBreak/>
        <w:t xml:space="preserve">are contained on the Invoice.  The Invoice Recipient must file the </w:t>
      </w:r>
      <w:r>
        <w:t xml:space="preserve">CRR </w:t>
      </w:r>
      <w:r w:rsidRPr="00C05B64">
        <w:t>Invoice dispute within ten Business Days of the date on which ERCOT posted the Invoice.</w:t>
      </w:r>
    </w:p>
    <w:p w14:paraId="2E18DBEB" w14:textId="77777777" w:rsidR="002F5868" w:rsidRPr="008910B8" w:rsidRDefault="00DD1AC6">
      <w:pPr>
        <w:pStyle w:val="H3"/>
        <w:rPr>
          <w:b/>
          <w:i/>
        </w:rPr>
      </w:pPr>
      <w:bookmarkStart w:id="358" w:name="_Toc309731082"/>
      <w:bookmarkStart w:id="359" w:name="_Toc405814058"/>
      <w:bookmarkStart w:id="360" w:name="_Toc422207948"/>
      <w:bookmarkStart w:id="361" w:name="_Toc438044859"/>
      <w:bookmarkStart w:id="362" w:name="_Toc447622642"/>
      <w:bookmarkStart w:id="363" w:name="_Toc80175292"/>
      <w:r w:rsidRPr="008910B8">
        <w:rPr>
          <w:b/>
          <w:i/>
        </w:rPr>
        <w:t>9.14.3</w:t>
      </w:r>
      <w:r w:rsidRPr="008910B8">
        <w:rPr>
          <w:b/>
          <w:i/>
        </w:rPr>
        <w:tab/>
        <w:t>Contents of Notice</w:t>
      </w:r>
      <w:bookmarkEnd w:id="358"/>
      <w:bookmarkEnd w:id="359"/>
      <w:bookmarkEnd w:id="360"/>
      <w:bookmarkEnd w:id="361"/>
      <w:bookmarkEnd w:id="362"/>
      <w:bookmarkEnd w:id="363"/>
    </w:p>
    <w:p w14:paraId="0AB99161" w14:textId="77777777" w:rsidR="002F5868" w:rsidRDefault="00DD1AC6">
      <w:pPr>
        <w:pStyle w:val="BodyTextNumbered"/>
      </w:pPr>
      <w:r>
        <w:t>(1)</w:t>
      </w:r>
      <w:r>
        <w:tab/>
        <w:t xml:space="preserve">ERCOT shall reject a dispute that does not contain the </w:t>
      </w:r>
      <w:r w:rsidR="00DF5A03">
        <w:t>data elements</w:t>
      </w:r>
      <w:r>
        <w:t xml:space="preserve"> listed in this Section.</w:t>
      </w:r>
    </w:p>
    <w:p w14:paraId="0C0AE2E6" w14:textId="77777777" w:rsidR="002F5868" w:rsidRDefault="00DD1AC6">
      <w:pPr>
        <w:pStyle w:val="BodyTextNumbered"/>
      </w:pPr>
      <w:r>
        <w:t>(2)</w:t>
      </w:r>
      <w:r>
        <w:tab/>
        <w:t>ERCOT shall provide automatic field population techniques or drop-down boxes for appropriate data elements below.  The notice of Settlement and billing dispute must state clearly:</w:t>
      </w:r>
    </w:p>
    <w:p w14:paraId="18AF4EEC" w14:textId="77777777" w:rsidR="002F5868" w:rsidRDefault="00DD1AC6">
      <w:pPr>
        <w:pStyle w:val="List"/>
      </w:pPr>
      <w:r>
        <w:t>(a)</w:t>
      </w:r>
      <w:r>
        <w:tab/>
        <w:t>Disputing Entity;</w:t>
      </w:r>
    </w:p>
    <w:p w14:paraId="18738483" w14:textId="77777777" w:rsidR="002F5868" w:rsidRDefault="00DD1AC6">
      <w:pPr>
        <w:pStyle w:val="List"/>
      </w:pPr>
      <w:r>
        <w:t>(b)</w:t>
      </w:r>
      <w:r>
        <w:tab/>
        <w:t>Dispute contact person(s);</w:t>
      </w:r>
    </w:p>
    <w:p w14:paraId="22AF41BA" w14:textId="77777777" w:rsidR="002F5868" w:rsidRDefault="00DD1AC6">
      <w:pPr>
        <w:pStyle w:val="List"/>
      </w:pPr>
      <w:r>
        <w:t>(c)</w:t>
      </w:r>
      <w:r>
        <w:tab/>
        <w:t>Dispute contact information;</w:t>
      </w:r>
    </w:p>
    <w:p w14:paraId="38792F86" w14:textId="77777777" w:rsidR="002F5868" w:rsidRDefault="00DD1AC6">
      <w:pPr>
        <w:pStyle w:val="List"/>
      </w:pPr>
      <w:r>
        <w:t>(d)</w:t>
      </w:r>
      <w:r>
        <w:tab/>
        <w:t xml:space="preserve">Operating Day </w:t>
      </w:r>
      <w:r w:rsidR="00DF5A03">
        <w:t xml:space="preserve">or Invoice date </w:t>
      </w:r>
      <w:r>
        <w:t>in dispute;</w:t>
      </w:r>
    </w:p>
    <w:p w14:paraId="1C20EEF0" w14:textId="77777777" w:rsidR="002F5868" w:rsidRDefault="00DD1AC6">
      <w:pPr>
        <w:pStyle w:val="List"/>
      </w:pPr>
      <w:r>
        <w:t>(</w:t>
      </w:r>
      <w:r w:rsidR="00DF5A03">
        <w:t>e</w:t>
      </w:r>
      <w:r>
        <w:t>)</w:t>
      </w:r>
      <w:r>
        <w:tab/>
        <w:t>Charge Type;</w:t>
      </w:r>
    </w:p>
    <w:p w14:paraId="367B3D10" w14:textId="77777777" w:rsidR="002F5868" w:rsidRDefault="00DD1AC6">
      <w:pPr>
        <w:pStyle w:val="List"/>
      </w:pPr>
      <w:r>
        <w:t>(</w:t>
      </w:r>
      <w:r w:rsidR="00DF5A03">
        <w:t>f</w:t>
      </w:r>
      <w:r>
        <w:t>)</w:t>
      </w:r>
      <w:r>
        <w:tab/>
        <w:t>Time period in dispute;</w:t>
      </w:r>
    </w:p>
    <w:p w14:paraId="30E25A6B" w14:textId="77777777" w:rsidR="002F5868" w:rsidRDefault="00DD1AC6">
      <w:pPr>
        <w:pStyle w:val="List"/>
      </w:pPr>
      <w:r>
        <w:t>(</w:t>
      </w:r>
      <w:r w:rsidR="00DF5A03">
        <w:t>g</w:t>
      </w:r>
      <w:r>
        <w:t>)</w:t>
      </w:r>
      <w:r>
        <w:tab/>
        <w:t>Amount in dispute;</w:t>
      </w:r>
    </w:p>
    <w:p w14:paraId="76B378E9" w14:textId="77777777" w:rsidR="002F5868" w:rsidRDefault="00DD1AC6">
      <w:pPr>
        <w:pStyle w:val="List"/>
      </w:pPr>
      <w:r>
        <w:t>(</w:t>
      </w:r>
      <w:r w:rsidR="00DF5A03">
        <w:t>h</w:t>
      </w:r>
      <w:r>
        <w:t>)</w:t>
      </w:r>
      <w:r>
        <w:tab/>
        <w:t>Settlement and billing dispute type; and</w:t>
      </w:r>
    </w:p>
    <w:p w14:paraId="5E326BC4" w14:textId="77777777" w:rsidR="002F5868" w:rsidRDefault="00DD1AC6">
      <w:pPr>
        <w:pStyle w:val="List"/>
      </w:pPr>
      <w:r>
        <w:t>(</w:t>
      </w:r>
      <w:r w:rsidR="00DF5A03">
        <w:t>i</w:t>
      </w:r>
      <w:r>
        <w:t>)</w:t>
      </w:r>
      <w:r>
        <w:tab/>
        <w:t>Reasons for the dispute.</w:t>
      </w:r>
    </w:p>
    <w:p w14:paraId="4F5D3869" w14:textId="77777777" w:rsidR="002F5868" w:rsidRDefault="00DD1AC6">
      <w:pPr>
        <w:pStyle w:val="BodyTextNumbered"/>
      </w:pPr>
      <w:r>
        <w:t>(3)</w:t>
      </w:r>
      <w:r>
        <w:tab/>
        <w:t xml:space="preserve">Each Settlement and billing dispute must specify an Operating Day </w:t>
      </w:r>
      <w:r w:rsidR="00DF5A03">
        <w:t xml:space="preserve">or Invoice date </w:t>
      </w:r>
      <w:r>
        <w:t xml:space="preserve">and a Charge Type.  If a condition causing a dispute affects multiple Operating Days or Charge Types, a Settlement Statement </w:t>
      </w:r>
      <w:r w:rsidR="005E45CD">
        <w:t xml:space="preserve">Recipient </w:t>
      </w:r>
      <w:r>
        <w:t>or Invoice Recipient may file a dispute form for each Charge Type for one or more Operating Days affected on a single dispute that are all in the same calendar month.</w:t>
      </w:r>
    </w:p>
    <w:p w14:paraId="4649F7CD" w14:textId="77777777" w:rsidR="002F5868" w:rsidRDefault="00DD1AC6">
      <w:pPr>
        <w:pStyle w:val="BodyTextNumbered"/>
      </w:pPr>
      <w:r>
        <w:t>(4)</w:t>
      </w:r>
      <w:r>
        <w:tab/>
        <w:t xml:space="preserve">A Settlement Statement </w:t>
      </w:r>
      <w:r w:rsidR="005E45CD">
        <w:t xml:space="preserve">Recipient </w:t>
      </w:r>
      <w:r>
        <w:t>or Invoice Recipient may pursue the dispute through any process provided by ERCOT for resolving differences in Settlement determinants.</w:t>
      </w:r>
    </w:p>
    <w:p w14:paraId="1EB43D48" w14:textId="77777777" w:rsidR="002F5868" w:rsidRDefault="00DD1AC6">
      <w:pPr>
        <w:pStyle w:val="BodyTextNumbered"/>
      </w:pPr>
      <w:r>
        <w:t>(5)</w:t>
      </w:r>
      <w:r>
        <w:tab/>
        <w:t>Forms for entering a Settlement and billing dispute must be provided on the MIS Certified Area.</w:t>
      </w:r>
    </w:p>
    <w:p w14:paraId="039FA36A" w14:textId="77777777" w:rsidR="002F5868" w:rsidRDefault="00DD1AC6">
      <w:pPr>
        <w:pStyle w:val="BodyTextNumbered"/>
      </w:pPr>
      <w:r>
        <w:t>(6)</w:t>
      </w:r>
      <w:r>
        <w:tab/>
        <w:t xml:space="preserve">The Market Participant must submit the Settlement and billing dispute to ERCOT with sufficient evidence to support the claim.  </w:t>
      </w:r>
    </w:p>
    <w:p w14:paraId="1E4CCC16" w14:textId="77777777" w:rsidR="002F5868" w:rsidRDefault="00DD1AC6">
      <w:pPr>
        <w:pStyle w:val="BodyTextNumbered"/>
      </w:pPr>
      <w:r>
        <w:t>(7)</w:t>
      </w:r>
      <w:r>
        <w:tab/>
        <w:t xml:space="preserve">The Market Participant must submit a dispute using an ERCOT-approved electronic format.  ERCOT shall provide a dispute tracking identifier to the </w:t>
      </w:r>
      <w:r w:rsidR="005E45CD">
        <w:t xml:space="preserve">Settlement </w:t>
      </w:r>
      <w:r>
        <w:t>Statement Recipient or Invoice Recipient.</w:t>
      </w:r>
    </w:p>
    <w:p w14:paraId="033E32C6" w14:textId="4BE49B39" w:rsidR="002F5868" w:rsidRPr="008910B8" w:rsidRDefault="00DD1AC6">
      <w:pPr>
        <w:pStyle w:val="H3"/>
        <w:rPr>
          <w:b/>
          <w:i/>
        </w:rPr>
      </w:pPr>
      <w:bookmarkStart w:id="364" w:name="_Toc309731083"/>
      <w:bookmarkStart w:id="365" w:name="_Toc405814059"/>
      <w:bookmarkStart w:id="366" w:name="_Toc422207949"/>
      <w:bookmarkStart w:id="367" w:name="_Toc438044860"/>
      <w:bookmarkStart w:id="368" w:name="_Toc447622643"/>
      <w:bookmarkStart w:id="369" w:name="_Toc80175293"/>
      <w:r w:rsidRPr="008910B8">
        <w:rPr>
          <w:b/>
          <w:i/>
        </w:rPr>
        <w:lastRenderedPageBreak/>
        <w:t>9.14.4</w:t>
      </w:r>
      <w:r w:rsidRPr="008910B8">
        <w:rPr>
          <w:b/>
          <w:i/>
        </w:rPr>
        <w:tab/>
        <w:t>ERCOT Processing of Disputes</w:t>
      </w:r>
      <w:bookmarkEnd w:id="364"/>
      <w:bookmarkEnd w:id="365"/>
      <w:bookmarkEnd w:id="366"/>
      <w:bookmarkEnd w:id="367"/>
      <w:bookmarkEnd w:id="368"/>
      <w:bookmarkEnd w:id="369"/>
    </w:p>
    <w:p w14:paraId="042E940D" w14:textId="77777777" w:rsidR="002F5868" w:rsidRDefault="00DD1AC6">
      <w:pPr>
        <w:pStyle w:val="BodyTextNumbered"/>
      </w:pPr>
      <w:r>
        <w:t>(1)</w:t>
      </w:r>
      <w:r>
        <w:tab/>
        <w:t>ERCOT shall process disputes in accordance with this Section, Section 9.14.2, Notice of Dispute, and the required data in Section 9.14.3, Contents of Notice.</w:t>
      </w:r>
    </w:p>
    <w:p w14:paraId="09F25A18" w14:textId="77777777" w:rsidR="002F5868" w:rsidRDefault="00DD1AC6">
      <w:pPr>
        <w:pStyle w:val="BodyTextNumbered"/>
      </w:pPr>
      <w:r>
        <w:t>(2)</w:t>
      </w:r>
      <w:r>
        <w:tab/>
        <w:t xml:space="preserve">If ERCOT requires additional data to resolve the dispute, ERCOT shall send the </w:t>
      </w:r>
      <w:r w:rsidR="00A739B7">
        <w:t xml:space="preserve">Settlement </w:t>
      </w:r>
      <w:r>
        <w:t xml:space="preserve">Statement </w:t>
      </w:r>
      <w:r w:rsidR="00A739B7">
        <w:t xml:space="preserve">Recipient </w:t>
      </w:r>
      <w:r>
        <w:t xml:space="preserve">or Invoice Recipient a list of the required additional data within seven Business Days of the date the dispute was filed.  The </w:t>
      </w:r>
      <w:r w:rsidR="00A739B7">
        <w:t xml:space="preserve">Settlement </w:t>
      </w:r>
      <w:r>
        <w:t>Statement</w:t>
      </w:r>
      <w:r w:rsidR="00A739B7">
        <w:t xml:space="preserve"> Recipient</w:t>
      </w:r>
      <w:r>
        <w:t xml:space="preserve"> or Invoice Recipient shall respond with the entire set of required data within five Business Days of ERCOT’s request or by a date agreed upon by ERCOT and the Market Participant that is no later than eight Business Days prior to the posting of the True-Up Settlement Statement for the disputed Operating Day.  If ERCOT does not receive the data within that time frame, ERCOT shall deny the dispute.</w:t>
      </w:r>
    </w:p>
    <w:p w14:paraId="31770B00" w14:textId="77777777" w:rsidR="002F5868" w:rsidRDefault="00DD1AC6">
      <w:pPr>
        <w:pStyle w:val="BodyTextNumbered"/>
      </w:pPr>
      <w:r>
        <w:t>(3)</w:t>
      </w:r>
      <w:r>
        <w:tab/>
        <w:t xml:space="preserve">On each Business Day, ERCOT shall issue an aggregated Settlement and </w:t>
      </w:r>
      <w:r w:rsidR="00A739B7">
        <w:t>b</w:t>
      </w:r>
      <w:r>
        <w:t xml:space="preserve">illing dispute resolution report on the MIS Secure Area containing information related to all disputes that are not yet closed or that have been closed recently.  Additionally, on each Business Day and for each </w:t>
      </w:r>
      <w:r w:rsidR="00A739B7">
        <w:t xml:space="preserve">Settlement </w:t>
      </w:r>
      <w:r>
        <w:t>Statement</w:t>
      </w:r>
      <w:r w:rsidR="00A739B7">
        <w:t xml:space="preserve"> Recipient</w:t>
      </w:r>
      <w:r>
        <w:t xml:space="preserve"> or Invoice Recipient, ERCOT shall issue a report on the MIS Certified Area containing </w:t>
      </w:r>
      <w:r w:rsidR="00587BE3">
        <w:t>the status of</w:t>
      </w:r>
      <w:r>
        <w:t xml:space="preserve"> each </w:t>
      </w:r>
      <w:r w:rsidR="00587BE3">
        <w:t xml:space="preserve">submitted </w:t>
      </w:r>
      <w:r>
        <w:t>dispute.</w:t>
      </w:r>
      <w:r w:rsidR="00587BE3" w:rsidRPr="00587BE3">
        <w:t xml:space="preserve"> </w:t>
      </w:r>
      <w:r w:rsidR="00587BE3">
        <w:t xml:space="preserve"> The report </w:t>
      </w:r>
      <w:r w:rsidR="00A0123C">
        <w:t>shall</w:t>
      </w:r>
      <w:r w:rsidR="00587BE3">
        <w:t xml:space="preserve"> identify the disputed charge type(s), status of the dispute, resolution</w:t>
      </w:r>
      <w:r w:rsidR="00A0123C">
        <w:t xml:space="preserve"> and resolution date</w:t>
      </w:r>
      <w:r w:rsidR="00587BE3">
        <w:t>, if applicable, and a financial impact in dollars of the dispute as submitted by disputing Entity.</w:t>
      </w:r>
    </w:p>
    <w:p w14:paraId="3EEDC3BD" w14:textId="77777777" w:rsidR="002F5868" w:rsidRDefault="00DD1AC6">
      <w:pPr>
        <w:pStyle w:val="BodyTextNumbered"/>
      </w:pPr>
      <w:r>
        <w:t>(4)</w:t>
      </w:r>
      <w:r>
        <w:tab/>
        <w:t xml:space="preserve">ERCOT shall make all reasonable attempts to complete all RTM Settlement and </w:t>
      </w:r>
      <w:r w:rsidR="00A739B7">
        <w:t>b</w:t>
      </w:r>
      <w:r>
        <w:t>illing disputes submitted within 15 Business Days of the issuance of the RTM Initial Statement in time for inclusion on the RTM Final Statement for the relevant Operating Day.</w:t>
      </w:r>
    </w:p>
    <w:p w14:paraId="427AFA35" w14:textId="77777777" w:rsidR="002F5868" w:rsidRDefault="00DD1AC6">
      <w:pPr>
        <w:pStyle w:val="BodyTextNumbered"/>
      </w:pPr>
      <w:r>
        <w:t>(5)</w:t>
      </w:r>
      <w:r>
        <w:tab/>
        <w:t xml:space="preserve">All complete disputes of the DAM received within ten Business Days after ERCOT posts that day’s DAM Settlement Statement </w:t>
      </w:r>
      <w:r w:rsidR="00A0123C">
        <w:t>shall</w:t>
      </w:r>
      <w:r>
        <w:t xml:space="preserve"> be included in a Resettlement of the DAM Operating Day under Section 9.2.5, DAM Resettlement Statement.  </w:t>
      </w:r>
    </w:p>
    <w:p w14:paraId="02DDA736" w14:textId="77777777" w:rsidR="002F5868" w:rsidRDefault="00DD1AC6">
      <w:pPr>
        <w:pStyle w:val="BodyTextNumbered"/>
      </w:pPr>
      <w:r>
        <w:t>(6)</w:t>
      </w:r>
      <w:r>
        <w:tab/>
        <w:t xml:space="preserve">For Settlement and billing disputes requiring complex research or additional time for resolution, ERCOT shall notify the Invoice Recipient or </w:t>
      </w:r>
      <w:r w:rsidR="00A739B7">
        <w:t xml:space="preserve">Settlement </w:t>
      </w:r>
      <w:r>
        <w:t xml:space="preserve">Statement Recipient of the length of time expected to research and resolve those disputes and, if ERCOT grants a portion or all of the dispute, ERCOT shall post the necessary adjustments on the next available Settlement Statement for the Operating Day.  </w:t>
      </w:r>
    </w:p>
    <w:p w14:paraId="0C6481EF" w14:textId="0651CCAB" w:rsidR="002F5868" w:rsidRDefault="00DD1AC6">
      <w:pPr>
        <w:pStyle w:val="BodyTextNumbered"/>
      </w:pPr>
      <w:r>
        <w:t>(7)</w:t>
      </w:r>
      <w:r>
        <w:tab/>
      </w:r>
      <w:r w:rsidR="00A739B7">
        <w:t xml:space="preserve">Settlement </w:t>
      </w:r>
      <w:r>
        <w:t>Statement</w:t>
      </w:r>
      <w:r w:rsidR="00A739B7">
        <w:t xml:space="preserve"> Recipients</w:t>
      </w:r>
      <w:r>
        <w:t xml:space="preserve"> or Invoice Recipients have the right to proceed to the ADR process in Section 20, Alternative Dispute Resolution Procedure</w:t>
      </w:r>
      <w:r w:rsidR="0064455F">
        <w:t xml:space="preserve"> and Procedure for Return of Settlement Funds</w:t>
      </w:r>
      <w:r>
        <w:t>, for filed disputes that cannot be resolved through the Settlement and billing dispute process outlined in Section 9.14, Settlement and Billing Dispute Process.</w:t>
      </w:r>
    </w:p>
    <w:p w14:paraId="06D973F7" w14:textId="77777777" w:rsidR="00A739B7" w:rsidRDefault="00A739B7" w:rsidP="00A739B7">
      <w:pPr>
        <w:pStyle w:val="BodyTextNumbered"/>
      </w:pPr>
      <w:r>
        <w:t>(8)</w:t>
      </w:r>
      <w:r>
        <w:tab/>
        <w:t xml:space="preserve">All complete disputes of the CRR Market received within ten Business Days after ERCOT posts that day’s CRR Settlement Statement </w:t>
      </w:r>
      <w:r w:rsidR="00A0123C">
        <w:t>shall</w:t>
      </w:r>
      <w:r>
        <w:t xml:space="preserve"> be resolved as soon as practicable.  </w:t>
      </w:r>
    </w:p>
    <w:p w14:paraId="5F426F6F" w14:textId="77777777" w:rsidR="002F5868" w:rsidRDefault="00DD1AC6">
      <w:pPr>
        <w:pStyle w:val="H4"/>
      </w:pPr>
      <w:r>
        <w:lastRenderedPageBreak/>
        <w:t xml:space="preserve"> </w:t>
      </w:r>
      <w:bookmarkStart w:id="370" w:name="_Toc309731084"/>
      <w:bookmarkStart w:id="371" w:name="_Toc405814060"/>
      <w:bookmarkStart w:id="372" w:name="_Toc422207950"/>
      <w:bookmarkStart w:id="373" w:name="_Toc438044861"/>
      <w:bookmarkStart w:id="374" w:name="_Toc447622644"/>
      <w:bookmarkStart w:id="375" w:name="_Toc80175294"/>
      <w:r>
        <w:t>9.14.4.1</w:t>
      </w:r>
      <w:r>
        <w:tab/>
        <w:t>Status of Dispute</w:t>
      </w:r>
      <w:bookmarkEnd w:id="370"/>
      <w:bookmarkEnd w:id="371"/>
      <w:bookmarkEnd w:id="372"/>
      <w:bookmarkEnd w:id="373"/>
      <w:bookmarkEnd w:id="374"/>
      <w:bookmarkEnd w:id="375"/>
      <w:r>
        <w:t xml:space="preserve"> </w:t>
      </w:r>
    </w:p>
    <w:p w14:paraId="12B9E66C" w14:textId="77777777" w:rsidR="002F5868" w:rsidRDefault="00A0123C" w:rsidP="00660ED3">
      <w:pPr>
        <w:pStyle w:val="BodyTextNumbered"/>
      </w:pPr>
      <w:r>
        <w:rPr>
          <w:iCs/>
        </w:rPr>
        <w:t>(1)</w:t>
      </w:r>
      <w:r>
        <w:rPr>
          <w:iCs/>
        </w:rPr>
        <w:tab/>
      </w:r>
      <w:r w:rsidR="00DD1AC6">
        <w:t>ERCOT will assign a status to each dispute as defined in the following Sections.</w:t>
      </w:r>
    </w:p>
    <w:p w14:paraId="00C97BCE" w14:textId="77777777" w:rsidR="002F5868" w:rsidRDefault="00DD1AC6">
      <w:pPr>
        <w:pStyle w:val="H5"/>
      </w:pPr>
      <w:bookmarkStart w:id="376" w:name="_Toc309731085"/>
      <w:bookmarkStart w:id="377" w:name="_Toc405814061"/>
      <w:bookmarkStart w:id="378" w:name="_Toc422207951"/>
      <w:bookmarkStart w:id="379" w:name="_Toc438044862"/>
      <w:bookmarkStart w:id="380" w:name="_Toc447622645"/>
      <w:bookmarkStart w:id="381" w:name="_Toc80175295"/>
      <w:r>
        <w:t>9.14.4.1.1</w:t>
      </w:r>
      <w:r>
        <w:tab/>
        <w:t>Not Started</w:t>
      </w:r>
      <w:bookmarkEnd w:id="376"/>
      <w:bookmarkEnd w:id="377"/>
      <w:bookmarkEnd w:id="378"/>
      <w:bookmarkEnd w:id="379"/>
      <w:bookmarkEnd w:id="380"/>
      <w:bookmarkEnd w:id="381"/>
    </w:p>
    <w:p w14:paraId="4C9F34A6" w14:textId="77777777" w:rsidR="002F5868" w:rsidRDefault="00A0123C" w:rsidP="00660ED3">
      <w:pPr>
        <w:pStyle w:val="BodyTextNumbered"/>
      </w:pPr>
      <w:r>
        <w:rPr>
          <w:iCs/>
        </w:rPr>
        <w:t>(1)</w:t>
      </w:r>
      <w:r>
        <w:rPr>
          <w:iCs/>
        </w:rPr>
        <w:tab/>
      </w:r>
      <w:r w:rsidR="00DD1AC6">
        <w:t xml:space="preserve">The status of a Settlement and billing dispute will initially be set to “Not Started” when the Market Participant enters the dispute into the ERCOT dispute resolution system. </w:t>
      </w:r>
    </w:p>
    <w:p w14:paraId="12B3A198" w14:textId="77777777" w:rsidR="002F5868" w:rsidRDefault="00DD1AC6">
      <w:pPr>
        <w:pStyle w:val="H5"/>
      </w:pPr>
      <w:bookmarkStart w:id="382" w:name="_Toc309731086"/>
      <w:bookmarkStart w:id="383" w:name="_Toc405814062"/>
      <w:bookmarkStart w:id="384" w:name="_Toc422207952"/>
      <w:bookmarkStart w:id="385" w:name="_Toc438044863"/>
      <w:bookmarkStart w:id="386" w:name="_Toc447622646"/>
      <w:bookmarkStart w:id="387" w:name="_Toc80175296"/>
      <w:r>
        <w:t>9.14.4.1.2</w:t>
      </w:r>
      <w:r>
        <w:tab/>
        <w:t>Open</w:t>
      </w:r>
      <w:bookmarkEnd w:id="382"/>
      <w:bookmarkEnd w:id="383"/>
      <w:bookmarkEnd w:id="384"/>
      <w:bookmarkEnd w:id="385"/>
      <w:bookmarkEnd w:id="386"/>
      <w:bookmarkEnd w:id="387"/>
      <w:r>
        <w:t xml:space="preserve"> </w:t>
      </w:r>
    </w:p>
    <w:p w14:paraId="104B08A2" w14:textId="77777777" w:rsidR="002F5868" w:rsidRDefault="00A0123C" w:rsidP="00660ED3">
      <w:pPr>
        <w:pStyle w:val="BodyTextNumbered"/>
      </w:pPr>
      <w:r>
        <w:rPr>
          <w:iCs/>
        </w:rPr>
        <w:t>(1)</w:t>
      </w:r>
      <w:r>
        <w:rPr>
          <w:iCs/>
        </w:rPr>
        <w:tab/>
      </w:r>
      <w:r w:rsidR="00DD1AC6">
        <w:t xml:space="preserve">The status of a Settlement and billing dispute is set to “Open” when the Settlement Statement or Invoice Recipient submits a dispute to ERCOT and ERCOT begins the resolution process. </w:t>
      </w:r>
    </w:p>
    <w:p w14:paraId="2996DC1C" w14:textId="77777777" w:rsidR="002F5868" w:rsidRDefault="00DD1AC6">
      <w:pPr>
        <w:pStyle w:val="H5"/>
      </w:pPr>
      <w:bookmarkStart w:id="388" w:name="_Toc309731087"/>
      <w:bookmarkStart w:id="389" w:name="_Toc405814063"/>
      <w:bookmarkStart w:id="390" w:name="_Toc422207953"/>
      <w:bookmarkStart w:id="391" w:name="_Toc438044864"/>
      <w:bookmarkStart w:id="392" w:name="_Toc447622647"/>
      <w:bookmarkStart w:id="393" w:name="_Toc80175297"/>
      <w:r>
        <w:t>9.14.4.1.3</w:t>
      </w:r>
      <w:r>
        <w:tab/>
        <w:t>Closed</w:t>
      </w:r>
      <w:bookmarkEnd w:id="388"/>
      <w:bookmarkEnd w:id="389"/>
      <w:bookmarkEnd w:id="390"/>
      <w:bookmarkEnd w:id="391"/>
      <w:bookmarkEnd w:id="392"/>
      <w:bookmarkEnd w:id="393"/>
    </w:p>
    <w:p w14:paraId="1B86ECED" w14:textId="77777777" w:rsidR="002F5868" w:rsidRDefault="00A0123C" w:rsidP="00660ED3">
      <w:pPr>
        <w:pStyle w:val="BodyTextNumbered"/>
      </w:pPr>
      <w:r>
        <w:rPr>
          <w:iCs/>
        </w:rPr>
        <w:t>(1)</w:t>
      </w:r>
      <w:r>
        <w:rPr>
          <w:iCs/>
        </w:rPr>
        <w:tab/>
      </w:r>
      <w:r w:rsidR="00DD1AC6">
        <w:t>When the status is set to “Closed,” no updates or additions are permitted to the dispute record.  The status of the dispute is “Closed” when one of the following conditions occurs:</w:t>
      </w:r>
    </w:p>
    <w:p w14:paraId="223BEFE7" w14:textId="77777777" w:rsidR="00C12F14" w:rsidRDefault="00DD1AC6">
      <w:pPr>
        <w:pStyle w:val="BodyTextNumbered"/>
        <w:ind w:left="1440"/>
      </w:pPr>
      <w:r>
        <w:t>(</w:t>
      </w:r>
      <w:r w:rsidR="00A739B7">
        <w:t>a</w:t>
      </w:r>
      <w:r>
        <w:t>)</w:t>
      </w:r>
      <w:r>
        <w:tab/>
        <w:t xml:space="preserve">If, after 45 days from receiving notice of a denied dispute, the Settlement Statement </w:t>
      </w:r>
      <w:r w:rsidR="00A739B7">
        <w:t xml:space="preserve">Recipient </w:t>
      </w:r>
      <w:r>
        <w:t xml:space="preserve">or Invoice Recipient does not begin the ADR process, ERCOT will close the dispute.  </w:t>
      </w:r>
    </w:p>
    <w:p w14:paraId="706F4669" w14:textId="77777777" w:rsidR="00C12F14" w:rsidRDefault="00DD1AC6">
      <w:pPr>
        <w:pStyle w:val="BodyTextNumbered"/>
        <w:ind w:left="1440"/>
      </w:pPr>
      <w:r>
        <w:t>(</w:t>
      </w:r>
      <w:r w:rsidR="00A739B7">
        <w:t>b</w:t>
      </w:r>
      <w:r>
        <w:t>)</w:t>
      </w:r>
      <w:r>
        <w:tab/>
        <w:t xml:space="preserve">If ERCOT grants a Settlement and billing dispute, ERCOT will close the dispute no sooner than </w:t>
      </w:r>
      <w:r w:rsidR="00A739B7">
        <w:t xml:space="preserve">the date ERCOT publishes the next available Settlement Statement or Invoice for the associated Operating Day.  </w:t>
      </w:r>
    </w:p>
    <w:p w14:paraId="77ED0DA5" w14:textId="1551C657" w:rsidR="00C12F14" w:rsidRDefault="00DD1AC6">
      <w:pPr>
        <w:pStyle w:val="BodyTextNumbered"/>
        <w:ind w:left="1440"/>
      </w:pPr>
      <w:r>
        <w:t>(</w:t>
      </w:r>
      <w:r w:rsidR="00A739B7">
        <w:t>c</w:t>
      </w:r>
      <w:r>
        <w:t>)</w:t>
      </w:r>
      <w:r>
        <w:tab/>
        <w:t xml:space="preserve">If ERCOT grants a dispute with exceptions, ERCOT will close the dispute no sooner than </w:t>
      </w:r>
      <w:r w:rsidR="00A739B7">
        <w:t xml:space="preserve">ten Business Days after ERCOT publishes the resolution.  </w:t>
      </w:r>
      <w:r>
        <w:t>If the Settlement Statement Recipient or Invoice Recipient disagrees with ERCOT’s exceptions, ERCOT will close dispute upon completion of further investigation and resolution in accordance with Section 9.14.4.2.3, Granted with Exceptions.</w:t>
      </w:r>
    </w:p>
    <w:p w14:paraId="5C317B89" w14:textId="77777777" w:rsidR="00A739B7" w:rsidRDefault="00A739B7" w:rsidP="00A739B7">
      <w:pPr>
        <w:pStyle w:val="H5"/>
      </w:pPr>
      <w:bookmarkStart w:id="394" w:name="_Toc309731088"/>
      <w:bookmarkStart w:id="395" w:name="_Toc405814064"/>
      <w:bookmarkStart w:id="396" w:name="_Toc422207954"/>
      <w:bookmarkStart w:id="397" w:name="_Toc438044865"/>
      <w:bookmarkStart w:id="398" w:name="_Toc447622648"/>
      <w:bookmarkStart w:id="399" w:name="_Toc80175298"/>
      <w:r>
        <w:t>9.14.4.1.4</w:t>
      </w:r>
      <w:r>
        <w:tab/>
        <w:t>Rejected</w:t>
      </w:r>
      <w:bookmarkEnd w:id="394"/>
      <w:bookmarkEnd w:id="395"/>
      <w:bookmarkEnd w:id="396"/>
      <w:bookmarkEnd w:id="397"/>
      <w:bookmarkEnd w:id="398"/>
      <w:bookmarkEnd w:id="399"/>
    </w:p>
    <w:p w14:paraId="715D15B3" w14:textId="77777777" w:rsidR="00A739B7" w:rsidRDefault="00A0123C" w:rsidP="00660ED3">
      <w:pPr>
        <w:pStyle w:val="BodyTextNumbered"/>
      </w:pPr>
      <w:r>
        <w:rPr>
          <w:iCs/>
        </w:rPr>
        <w:t>(1)</w:t>
      </w:r>
      <w:r>
        <w:rPr>
          <w:iCs/>
        </w:rPr>
        <w:tab/>
      </w:r>
      <w:r w:rsidR="00A739B7">
        <w:t>ERCOT shall set the status of a Settlement and billing dispute to “Rejected” when one of the following circumstances is met:</w:t>
      </w:r>
    </w:p>
    <w:p w14:paraId="1B16798D" w14:textId="77777777" w:rsidR="00C12F14" w:rsidRDefault="00A739B7">
      <w:pPr>
        <w:pStyle w:val="BodyText"/>
        <w:ind w:left="1440" w:hanging="720"/>
      </w:pPr>
      <w:r>
        <w:t xml:space="preserve">(a) </w:t>
      </w:r>
      <w:r>
        <w:tab/>
        <w:t xml:space="preserve">The dispute is filed late, unless filed in accordance with paragraph (5) of Section 9.14.2, Notice of Dispute, due to an expiration of confidentiality as defined under Section 1.3.3, Expiration of Confidentiality. </w:t>
      </w:r>
    </w:p>
    <w:p w14:paraId="4841E413" w14:textId="77777777" w:rsidR="00C12F14" w:rsidRDefault="00A739B7">
      <w:pPr>
        <w:pStyle w:val="BodyText"/>
        <w:ind w:left="1440" w:hanging="720"/>
      </w:pPr>
      <w:r>
        <w:lastRenderedPageBreak/>
        <w:t>(b)</w:t>
      </w:r>
      <w:r>
        <w:tab/>
        <w:t xml:space="preserve">During the 20 Business Days before the scheduled date for issuance of the RTM True-Up Statement for that Operating Day. </w:t>
      </w:r>
    </w:p>
    <w:p w14:paraId="22D77C2E" w14:textId="77777777" w:rsidR="00C12F14" w:rsidRDefault="00A739B7">
      <w:pPr>
        <w:pStyle w:val="BodyTextNumbered"/>
        <w:ind w:left="1440"/>
      </w:pPr>
      <w:r>
        <w:t>(c)</w:t>
      </w:r>
      <w:r>
        <w:tab/>
        <w:t xml:space="preserve">The dispute does not contain the required data as set forth in Section 9.14.3, Contents of Notice.  </w:t>
      </w:r>
      <w:r w:rsidRPr="005A498B">
        <w:rPr>
          <w:iCs/>
        </w:rPr>
        <w:t xml:space="preserve">ERCOT shall provide specific Protocol language supporting the reasons that data provided by the Settlement Statement </w:t>
      </w:r>
      <w:r>
        <w:rPr>
          <w:iCs/>
        </w:rPr>
        <w:t xml:space="preserve">Recipient </w:t>
      </w:r>
      <w:r w:rsidRPr="005A498B">
        <w:rPr>
          <w:iCs/>
        </w:rPr>
        <w:t>or Invoice Recipient is insufficient.  If able to do so timely, an Invoice Recipient or Settlement Statement Recipient may resubmit the dispute with addition</w:t>
      </w:r>
      <w:r>
        <w:rPr>
          <w:iCs/>
        </w:rPr>
        <w:t>al information under Section 9.14</w:t>
      </w:r>
      <w:r w:rsidRPr="005A498B">
        <w:rPr>
          <w:iCs/>
        </w:rPr>
        <w:t xml:space="preserve">.2.  Once the </w:t>
      </w:r>
      <w:r>
        <w:rPr>
          <w:iCs/>
        </w:rPr>
        <w:t xml:space="preserve">Settlement </w:t>
      </w:r>
      <w:r w:rsidRPr="005A498B">
        <w:rPr>
          <w:iCs/>
        </w:rPr>
        <w:t xml:space="preserve">Statement </w:t>
      </w:r>
      <w:r>
        <w:rPr>
          <w:iCs/>
        </w:rPr>
        <w:t xml:space="preserve">Recipient </w:t>
      </w:r>
      <w:r w:rsidRPr="005A498B">
        <w:rPr>
          <w:iCs/>
        </w:rPr>
        <w:t>or Invoice Recipient submits the required information and ERCOT determines the Settlement and billing dispute is timely and complete, the dispute status is</w:t>
      </w:r>
      <w:r>
        <w:rPr>
          <w:iCs/>
        </w:rPr>
        <w:t xml:space="preserve"> changed to</w:t>
      </w:r>
      <w:r w:rsidRPr="005A498B">
        <w:rPr>
          <w:iCs/>
        </w:rPr>
        <w:t xml:space="preserve"> “Open</w:t>
      </w:r>
      <w:r w:rsidR="00866CD3">
        <w:rPr>
          <w:iCs/>
        </w:rPr>
        <w:t>.</w:t>
      </w:r>
      <w:r w:rsidRPr="005A498B">
        <w:rPr>
          <w:iCs/>
        </w:rPr>
        <w:t>”</w:t>
      </w:r>
    </w:p>
    <w:p w14:paraId="3FC3AAEE" w14:textId="77777777" w:rsidR="002F5868" w:rsidRDefault="00DD1AC6">
      <w:pPr>
        <w:pStyle w:val="H5"/>
      </w:pPr>
      <w:bookmarkStart w:id="400" w:name="_Toc309731089"/>
      <w:bookmarkStart w:id="401" w:name="_Toc405814065"/>
      <w:bookmarkStart w:id="402" w:name="_Toc422207955"/>
      <w:bookmarkStart w:id="403" w:name="_Toc438044866"/>
      <w:bookmarkStart w:id="404" w:name="_Toc447622649"/>
      <w:bookmarkStart w:id="405" w:name="_Toc80175299"/>
      <w:r>
        <w:t>9.14.4.1.</w:t>
      </w:r>
      <w:r w:rsidR="00A739B7">
        <w:t>5</w:t>
      </w:r>
      <w:r>
        <w:tab/>
        <w:t>Withdrawn</w:t>
      </w:r>
      <w:bookmarkEnd w:id="400"/>
      <w:bookmarkEnd w:id="401"/>
      <w:bookmarkEnd w:id="402"/>
      <w:bookmarkEnd w:id="403"/>
      <w:bookmarkEnd w:id="404"/>
      <w:bookmarkEnd w:id="405"/>
    </w:p>
    <w:p w14:paraId="50814B78" w14:textId="77777777" w:rsidR="002F5868" w:rsidRDefault="00A0123C" w:rsidP="00660ED3">
      <w:pPr>
        <w:pStyle w:val="BodyTextNumbered"/>
      </w:pPr>
      <w:r>
        <w:rPr>
          <w:iCs/>
        </w:rPr>
        <w:t>(1)</w:t>
      </w:r>
      <w:r>
        <w:rPr>
          <w:iCs/>
        </w:rPr>
        <w:tab/>
      </w:r>
      <w:r w:rsidR="00DD1AC6">
        <w:t xml:space="preserve">A Market Participant who submitted a Settlement and billing dispute may withdraw that dispute at any time.  If withdrawal occurs, the Dispute status is set to “Withdrawn” and any research and resolution activities on that dispute will cease. </w:t>
      </w:r>
    </w:p>
    <w:p w14:paraId="0B3920B9" w14:textId="77777777" w:rsidR="002F5868" w:rsidRDefault="00DD1AC6">
      <w:pPr>
        <w:pStyle w:val="H5"/>
      </w:pPr>
      <w:bookmarkStart w:id="406" w:name="_Toc309731090"/>
      <w:bookmarkStart w:id="407" w:name="_Toc405814066"/>
      <w:bookmarkStart w:id="408" w:name="_Toc422207956"/>
      <w:bookmarkStart w:id="409" w:name="_Toc438044867"/>
      <w:bookmarkStart w:id="410" w:name="_Toc447622650"/>
      <w:bookmarkStart w:id="411" w:name="_Toc80175300"/>
      <w:r>
        <w:t>9.14.4.1.</w:t>
      </w:r>
      <w:r w:rsidR="00A739B7">
        <w:t>6</w:t>
      </w:r>
      <w:r>
        <w:tab/>
        <w:t>ADR</w:t>
      </w:r>
      <w:bookmarkEnd w:id="406"/>
      <w:bookmarkEnd w:id="407"/>
      <w:bookmarkEnd w:id="408"/>
      <w:bookmarkEnd w:id="409"/>
      <w:bookmarkEnd w:id="410"/>
      <w:bookmarkEnd w:id="411"/>
    </w:p>
    <w:p w14:paraId="29A922CA" w14:textId="5CF3E5D5" w:rsidR="002F5868" w:rsidRDefault="00A0123C" w:rsidP="00660ED3">
      <w:pPr>
        <w:pStyle w:val="BodyTextNumbered"/>
      </w:pPr>
      <w:r>
        <w:t>(1)</w:t>
      </w:r>
      <w:r>
        <w:tab/>
        <w:t xml:space="preserve">Requests for ADR shall be considered Protected Information in accordance with paragraph </w:t>
      </w:r>
      <w:r w:rsidR="00A46174">
        <w:t>(1)</w:t>
      </w:r>
      <w:r>
        <w:t>(ff)</w:t>
      </w:r>
      <w:r w:rsidRPr="0058740E">
        <w:t xml:space="preserve"> </w:t>
      </w:r>
      <w:r>
        <w:t>of Section 1.3.1.1, Items Considered Protected Information, and Section 20, Alternative Dispute Resolution Procedure</w:t>
      </w:r>
      <w:r w:rsidR="0064455F">
        <w:t xml:space="preserve"> and Procedure for Return of Settlement Funds</w:t>
      </w:r>
      <w:r>
        <w:t xml:space="preserve">.  As soon as practicable after ERCOT receives a </w:t>
      </w:r>
      <w:r w:rsidRPr="00BB1869">
        <w:t>written request for ADR pursuant to Section 20.4, Initiation of ADR Proceedings,</w:t>
      </w:r>
      <w:r>
        <w:t xml:space="preserve"> ERCOT shall post a Settlement and billing dispute status of “ADR” to the aggregated Settlement and billing dispute resolution report on the MIS Secure Area</w:t>
      </w:r>
      <w:r w:rsidR="00DD1AC6">
        <w:t xml:space="preserve">.  The dispute will remain in the ADR status as long as the Market Participant has an active ADR.  At the end of the ADR process, ERCOT </w:t>
      </w:r>
      <w:r>
        <w:t>shall post a Settlement and billing dispute status of</w:t>
      </w:r>
      <w:r w:rsidR="00DD1AC6">
        <w:t xml:space="preserve"> “Closed”</w:t>
      </w:r>
      <w:r>
        <w:t xml:space="preserve"> to the aggregated Settlement and billing dispute resolution report on the MIS Secure Area</w:t>
      </w:r>
      <w:r w:rsidR="00DD1AC6">
        <w:t>.</w:t>
      </w:r>
    </w:p>
    <w:p w14:paraId="58A86118" w14:textId="77777777" w:rsidR="002F5868" w:rsidRDefault="00DD1AC6">
      <w:pPr>
        <w:pStyle w:val="H4"/>
      </w:pPr>
      <w:bookmarkStart w:id="412" w:name="_Toc309731091"/>
      <w:bookmarkStart w:id="413" w:name="_Toc405814067"/>
      <w:bookmarkStart w:id="414" w:name="_Toc422207957"/>
      <w:bookmarkStart w:id="415" w:name="_Toc438044868"/>
      <w:bookmarkStart w:id="416" w:name="_Toc447622651"/>
      <w:bookmarkStart w:id="417" w:name="_Toc80175301"/>
      <w:r>
        <w:t>9.14.4.2</w:t>
      </w:r>
      <w:r>
        <w:tab/>
        <w:t>Resolution of Dispute</w:t>
      </w:r>
      <w:bookmarkEnd w:id="412"/>
      <w:bookmarkEnd w:id="413"/>
      <w:bookmarkEnd w:id="414"/>
      <w:bookmarkEnd w:id="415"/>
      <w:bookmarkEnd w:id="416"/>
      <w:bookmarkEnd w:id="417"/>
    </w:p>
    <w:p w14:paraId="4EA1BB05" w14:textId="77777777" w:rsidR="002F5868" w:rsidRDefault="00A0123C">
      <w:pPr>
        <w:pStyle w:val="BodyTextNumbered"/>
      </w:pPr>
      <w:r>
        <w:rPr>
          <w:iCs/>
        </w:rPr>
        <w:t>(1)</w:t>
      </w:r>
      <w:r>
        <w:rPr>
          <w:iCs/>
        </w:rPr>
        <w:tab/>
      </w:r>
      <w:r w:rsidR="00DD1AC6">
        <w:t>Each resolved dispute will have a resolution as defined in the following Sections.</w:t>
      </w:r>
    </w:p>
    <w:p w14:paraId="2D909ED6" w14:textId="77777777" w:rsidR="002F5868" w:rsidRDefault="00DD1AC6">
      <w:pPr>
        <w:pStyle w:val="H5"/>
      </w:pPr>
      <w:bookmarkStart w:id="418" w:name="_Toc309731092"/>
      <w:bookmarkStart w:id="419" w:name="_Toc405814068"/>
      <w:bookmarkStart w:id="420" w:name="_Toc422207958"/>
      <w:bookmarkStart w:id="421" w:name="_Toc438044869"/>
      <w:bookmarkStart w:id="422" w:name="_Toc447622652"/>
      <w:bookmarkStart w:id="423" w:name="_Toc80175302"/>
      <w:r>
        <w:t>9.14.4.2.1</w:t>
      </w:r>
      <w:r>
        <w:tab/>
        <w:t>Denied</w:t>
      </w:r>
      <w:bookmarkEnd w:id="418"/>
      <w:bookmarkEnd w:id="419"/>
      <w:bookmarkEnd w:id="420"/>
      <w:bookmarkEnd w:id="421"/>
      <w:bookmarkEnd w:id="422"/>
      <w:bookmarkEnd w:id="423"/>
    </w:p>
    <w:p w14:paraId="202A406D" w14:textId="77777777" w:rsidR="002F5868" w:rsidRDefault="00DD1AC6">
      <w:pPr>
        <w:pStyle w:val="BodyTextNumbered"/>
      </w:pPr>
      <w:r>
        <w:t>(</w:t>
      </w:r>
      <w:r w:rsidR="00A739B7">
        <w:t>1</w:t>
      </w:r>
      <w:r>
        <w:t>)</w:t>
      </w:r>
      <w:r>
        <w:tab/>
        <w:t xml:space="preserve">If ERCOT concludes that the Settlement Statement or Invoice is correct, ERCOT shall deny the Settlement and billing dispute.  ERCOT shall notify the Settlement Statement </w:t>
      </w:r>
      <w:r w:rsidR="00A739B7">
        <w:t xml:space="preserve">Recipient </w:t>
      </w:r>
      <w:r>
        <w:t xml:space="preserve">or Invoice Recipient when it denies a Settlement and billing dispute and provide the </w:t>
      </w:r>
      <w:r w:rsidR="00A739B7">
        <w:t xml:space="preserve">Settlement </w:t>
      </w:r>
      <w:r>
        <w:t xml:space="preserve">Statement </w:t>
      </w:r>
      <w:r w:rsidR="00A739B7">
        <w:t xml:space="preserve">Recipient </w:t>
      </w:r>
      <w:r>
        <w:t xml:space="preserve">or Invoice Recipient the reasons and supporting data for the denial, while maintaining the confidentiality of Protected Information.  </w:t>
      </w:r>
    </w:p>
    <w:p w14:paraId="0FF6506B" w14:textId="0ACD46F8" w:rsidR="002F5868" w:rsidRDefault="00DD1AC6">
      <w:pPr>
        <w:pStyle w:val="BodyTextNumbered"/>
      </w:pPr>
      <w:r>
        <w:lastRenderedPageBreak/>
        <w:t>(</w:t>
      </w:r>
      <w:r w:rsidR="00A739B7">
        <w:t>2</w:t>
      </w:r>
      <w:r>
        <w:t>)</w:t>
      </w:r>
      <w:r>
        <w:tab/>
        <w:t xml:space="preserve">If the Settlement Statement </w:t>
      </w:r>
      <w:r w:rsidR="00A739B7">
        <w:t xml:space="preserve">Recipient </w:t>
      </w:r>
      <w:r>
        <w:t xml:space="preserve">or Invoice Recipient is not satisfied with the outcome of a denied Settlement and billing dispute, the Settlement Statement </w:t>
      </w:r>
      <w:r w:rsidR="00A739B7">
        <w:t xml:space="preserve">Recipient </w:t>
      </w:r>
      <w:r>
        <w:t>or Invoice Recipient may proceed to ADR as described in Section 20</w:t>
      </w:r>
      <w:r w:rsidR="00ED793D">
        <w:t>, Alternative Dispute Resolution Procedure</w:t>
      </w:r>
      <w:r w:rsidR="0064455F" w:rsidRPr="0064455F">
        <w:t xml:space="preserve"> </w:t>
      </w:r>
      <w:r w:rsidR="0064455F">
        <w:t>and Procedure for Return of Settlement Funds</w:t>
      </w:r>
      <w:r>
        <w:t xml:space="preserve">.  </w:t>
      </w:r>
    </w:p>
    <w:p w14:paraId="7777E2E6" w14:textId="77777777" w:rsidR="002F5868" w:rsidRDefault="00DD1AC6">
      <w:pPr>
        <w:pStyle w:val="H5"/>
      </w:pPr>
      <w:bookmarkStart w:id="424" w:name="_Toc309731093"/>
      <w:bookmarkStart w:id="425" w:name="_Toc405814069"/>
      <w:bookmarkStart w:id="426" w:name="_Toc422207959"/>
      <w:bookmarkStart w:id="427" w:name="_Toc438044870"/>
      <w:bookmarkStart w:id="428" w:name="_Toc447622653"/>
      <w:bookmarkStart w:id="429" w:name="_Toc80175303"/>
      <w:r>
        <w:t>9.14.4.2.2</w:t>
      </w:r>
      <w:r>
        <w:tab/>
        <w:t>Granted</w:t>
      </w:r>
      <w:bookmarkEnd w:id="424"/>
      <w:bookmarkEnd w:id="425"/>
      <w:bookmarkEnd w:id="426"/>
      <w:bookmarkEnd w:id="427"/>
      <w:bookmarkEnd w:id="428"/>
      <w:bookmarkEnd w:id="429"/>
    </w:p>
    <w:p w14:paraId="4D487D14" w14:textId="77777777" w:rsidR="002F5868" w:rsidRDefault="00A0123C" w:rsidP="00660ED3">
      <w:pPr>
        <w:pStyle w:val="BodyTextNumbered"/>
      </w:pPr>
      <w:r>
        <w:rPr>
          <w:iCs/>
        </w:rPr>
        <w:t>(1)</w:t>
      </w:r>
      <w:r>
        <w:rPr>
          <w:iCs/>
        </w:rPr>
        <w:tab/>
      </w:r>
      <w:r w:rsidR="00DD1AC6">
        <w:t xml:space="preserve">When ERCOT determines that the disputed Settlement Statement or Invoice are in error as alleged in the Settlement and billing dispute, ERCOT shall grant the Settlement and billing dispute and notify the Settlement Statement or Invoice Recipient of the resolution and provide it the reasons and supporting data for resolution, while maintaining the confidentiality of Protected Information.  ERCOT shall </w:t>
      </w:r>
      <w:r w:rsidR="00587BE3">
        <w:t>make available to</w:t>
      </w:r>
      <w:r w:rsidR="00DD1AC6">
        <w:t xml:space="preserve"> all other Settlement Statement or Invoice Recipients the financial impact</w:t>
      </w:r>
      <w:r w:rsidR="00587BE3">
        <w:t>,</w:t>
      </w:r>
      <w:r w:rsidR="00DD1AC6">
        <w:t xml:space="preserve"> </w:t>
      </w:r>
      <w:r w:rsidR="00587BE3">
        <w:t xml:space="preserve">as submitted by disputing Entity, on the Settlement and billing dispute resolution report per paragraph (3) of Section 9.14.4, </w:t>
      </w:r>
      <w:r w:rsidR="00587BE3" w:rsidRPr="000F33E7">
        <w:rPr>
          <w:bCs/>
        </w:rPr>
        <w:t>ERCOT Processing of Disputes</w:t>
      </w:r>
      <w:r w:rsidR="00DD1AC6">
        <w:t>.  Upon resolution of the issue, ERCOT shall process the dispute’s resolution on the next available Settlement Statement for the affected Operating Day.</w:t>
      </w:r>
    </w:p>
    <w:p w14:paraId="70F334EA" w14:textId="77777777" w:rsidR="002F5868" w:rsidRDefault="00DD1AC6">
      <w:pPr>
        <w:pStyle w:val="H5"/>
      </w:pPr>
      <w:bookmarkStart w:id="430" w:name="_Toc309731094"/>
      <w:bookmarkStart w:id="431" w:name="_Toc405814070"/>
      <w:bookmarkStart w:id="432" w:name="_Toc422207960"/>
      <w:bookmarkStart w:id="433" w:name="_Toc438044871"/>
      <w:bookmarkStart w:id="434" w:name="_Toc447622654"/>
      <w:bookmarkStart w:id="435" w:name="_Toc80175304"/>
      <w:r>
        <w:t>9.14.4.2.3</w:t>
      </w:r>
      <w:r>
        <w:tab/>
        <w:t>Granted with Exceptions</w:t>
      </w:r>
      <w:bookmarkEnd w:id="430"/>
      <w:bookmarkEnd w:id="431"/>
      <w:bookmarkEnd w:id="432"/>
      <w:bookmarkEnd w:id="433"/>
      <w:bookmarkEnd w:id="434"/>
      <w:bookmarkEnd w:id="435"/>
    </w:p>
    <w:p w14:paraId="3D41EE3E" w14:textId="77777777" w:rsidR="002F5868" w:rsidRDefault="00DD1AC6">
      <w:pPr>
        <w:pStyle w:val="BodyTextNumbered"/>
      </w:pPr>
      <w:r>
        <w:t>(1)</w:t>
      </w:r>
      <w:r>
        <w:tab/>
        <w:t xml:space="preserve">ERCOT may determine that a Settlement and billing dispute is “Granted with Exceptions” when ERCOT deems the basis for the Settlement and billing dispute partially correct.  ERCOT shall provide the exception information to the Settlement Statement or Invoice Recipient.  ERCOT shall notify the Settlement Statement or Invoice Recipient of the “Granted with Exceptions” resolution and shall provide the reasons and supporting data, while maintaining the confidentiality of Protected Information for the resolution.  ERCOT shall </w:t>
      </w:r>
      <w:r w:rsidR="00587BE3">
        <w:t>make available to</w:t>
      </w:r>
      <w:r>
        <w:t xml:space="preserve"> all other </w:t>
      </w:r>
      <w:r w:rsidR="00587BE3">
        <w:t xml:space="preserve">Settlement Statement or Invoice Recipients </w:t>
      </w:r>
      <w:r>
        <w:t>the financial impact</w:t>
      </w:r>
      <w:r w:rsidR="00587BE3">
        <w:t xml:space="preserve">, as submitted by the disputing Entity, on the Settlement and billing dispute resolution report per paragraph (3) of Section 9.14.4, </w:t>
      </w:r>
      <w:r w:rsidR="00587BE3" w:rsidRPr="000F33E7">
        <w:rPr>
          <w:bCs/>
        </w:rPr>
        <w:t>ERCOT Processing of Disputes</w:t>
      </w:r>
      <w:r>
        <w:t xml:space="preserve">.  The Settlement Statement or Invoice Recipient of the dispute granted with exceptions shall acknowledge receipt of the notice within ten Business Days after ERCOT publishes the resolution as “Granted with Exceptions”.  The acknowledgement must indicate acceptance or rejection of the documented exceptions to the granting of the dispute.  If the Settlement Statement or Invoice Recipient does not timely reject the dispute outcome, it shall be deemed accepted.  If the Market Participant accepts the exceptions, ERCOT shall post the necessary adjustments on the next available Settlement Statement for the affected Operating Day. </w:t>
      </w:r>
    </w:p>
    <w:p w14:paraId="255D9678" w14:textId="522792C5" w:rsidR="002F5868" w:rsidRDefault="00DD1AC6">
      <w:pPr>
        <w:pStyle w:val="BodyTextNumbered"/>
      </w:pPr>
      <w:r>
        <w:t>(2)</w:t>
      </w:r>
      <w:r>
        <w:tab/>
        <w:t xml:space="preserve">If a Settlement Invoice or Statement Recipient rejects the outcome of a dispute “Granted with Exceptions,” ERCOT must investigate the dispute further.  ERCOT must include the granted portion of the dispute on the next Settlement Statement for the affected Operating Day.  After further investigation, if ERCOT subsequently grants the Settlement and billing dispute, ERCOT must process the dispute on the next available Settlement Statement for the affected Operating Day.  If exceptions to the dispute still exist, the Settlement Statement or Invoice Recipient may either accept the dispute for resolution as </w:t>
      </w:r>
      <w:r>
        <w:lastRenderedPageBreak/>
        <w:t>“Granted with Exceptions” or begin ADR according to Section 20, Alternative Dispute Resolution Procedure</w:t>
      </w:r>
      <w:r w:rsidR="0064455F" w:rsidRPr="0064455F">
        <w:t xml:space="preserve"> </w:t>
      </w:r>
      <w:r w:rsidR="0064455F">
        <w:t>and Procedure for Return of Settlement Funds</w:t>
      </w:r>
      <w:r>
        <w:t>.</w:t>
      </w:r>
    </w:p>
    <w:p w14:paraId="12623A2F" w14:textId="77777777" w:rsidR="00C027E8" w:rsidRPr="00C83EFD" w:rsidRDefault="00C027E8" w:rsidP="00C027E8">
      <w:pPr>
        <w:keepNext/>
        <w:tabs>
          <w:tab w:val="left" w:pos="1080"/>
        </w:tabs>
        <w:spacing w:before="240" w:after="240"/>
        <w:ind w:left="1080" w:hanging="1080"/>
        <w:outlineLvl w:val="2"/>
        <w:rPr>
          <w:b/>
          <w:bCs/>
          <w:i/>
        </w:rPr>
      </w:pPr>
      <w:bookmarkStart w:id="436" w:name="_Toc405814071"/>
      <w:bookmarkStart w:id="437" w:name="_Toc422207961"/>
      <w:bookmarkStart w:id="438" w:name="_Toc438044872"/>
      <w:bookmarkStart w:id="439" w:name="_Toc447622655"/>
      <w:bookmarkStart w:id="440" w:name="_Toc80175305"/>
      <w:bookmarkStart w:id="441" w:name="_Toc309731095"/>
      <w:r w:rsidRPr="00C83EFD">
        <w:rPr>
          <w:b/>
          <w:bCs/>
          <w:i/>
        </w:rPr>
        <w:t>9.14.5</w:t>
      </w:r>
      <w:r w:rsidRPr="00C83EFD">
        <w:rPr>
          <w:b/>
          <w:bCs/>
          <w:i/>
        </w:rPr>
        <w:tab/>
        <w:t>Settlement of Emergency Response Service</w:t>
      </w:r>
      <w:bookmarkEnd w:id="436"/>
      <w:bookmarkEnd w:id="437"/>
      <w:bookmarkEnd w:id="438"/>
      <w:bookmarkEnd w:id="439"/>
      <w:bookmarkEnd w:id="440"/>
    </w:p>
    <w:p w14:paraId="5D5EE694" w14:textId="77777777" w:rsidR="00C027E8" w:rsidRDefault="00D26C2F" w:rsidP="00C027E8">
      <w:pPr>
        <w:spacing w:after="240"/>
        <w:ind w:left="720" w:hanging="720"/>
        <w:rPr>
          <w:iCs/>
        </w:rPr>
      </w:pPr>
      <w:r w:rsidRPr="00C83EFD">
        <w:rPr>
          <w:iCs/>
        </w:rPr>
        <w:t>(1)</w:t>
      </w:r>
      <w:r w:rsidRPr="00C83EFD">
        <w:rPr>
          <w:iCs/>
        </w:rPr>
        <w:tab/>
        <w:t xml:space="preserve">ERCOT shall post the settlement for each Emergency Response Service (ERS) </w:t>
      </w:r>
      <w:r>
        <w:rPr>
          <w:iCs/>
        </w:rPr>
        <w:t xml:space="preserve">type and </w:t>
      </w:r>
      <w:r w:rsidRPr="00C83EFD">
        <w:rPr>
          <w:iCs/>
        </w:rPr>
        <w:t>Time Period in an ERS Contract Period 20 days after the final Settlement of the last Operating Day of the ERS Standard Contract Term is posted, as described in paragraph (1) of Section 9.5.5, RTM Final Statement.  If the 20th day is not a Business Day, ERCOT will post the ERS Settlement on the next Business Day thereafter.  All disputes for the Settlement of the ERS Contract Period are due ten Business Days after the date that the ERS settlement was posted.  ERCOT shall resolve any approved disputes upon resettlement of the ERS Contract Period, as described in paragraph (2) below.</w:t>
      </w:r>
    </w:p>
    <w:p w14:paraId="1CC09CE0" w14:textId="1D9B8266" w:rsidR="008E54D9" w:rsidRDefault="00D26C2F" w:rsidP="00FE2CC5">
      <w:pPr>
        <w:pStyle w:val="BodyText"/>
        <w:ind w:left="720" w:hanging="720"/>
      </w:pPr>
      <w:r w:rsidRPr="00DF24EE">
        <w:t>(2)</w:t>
      </w:r>
      <w:r w:rsidRPr="00DF24EE">
        <w:tab/>
        <w:t xml:space="preserve">ERCOT shall post the resettlement for each ERS </w:t>
      </w:r>
      <w:r>
        <w:t xml:space="preserve">type and </w:t>
      </w:r>
      <w:r w:rsidRPr="00DF24EE">
        <w:t>Time Period in an ERS Contract Period on the True-Up Settlement for the Operating Day on which the charge was first settled as described in paragraph (1) above.  ERS disputes filed based on a change in Load after the True-Up Settlement will be</w:t>
      </w:r>
      <w:r w:rsidRPr="005908C4">
        <w:rPr>
          <w:b/>
          <w:i/>
        </w:rPr>
        <w:t xml:space="preserve"> </w:t>
      </w:r>
      <w:r w:rsidRPr="00DF24EE">
        <w:t xml:space="preserve">approved only if the </w:t>
      </w:r>
      <w:r w:rsidR="00EE443F">
        <w:t>Qualified Scheduling Entity’s (</w:t>
      </w:r>
      <w:r w:rsidRPr="00DF24EE">
        <w:t>QSE’s</w:t>
      </w:r>
      <w:r w:rsidR="00EE443F">
        <w:t>)</w:t>
      </w:r>
      <w:r w:rsidRPr="00DF24EE">
        <w:t xml:space="preserve"> Load changes by 10% or more.  ERCOT shall resolve any approved ERS disputes no later than 30 Business Days after the date that the ERS resettlement was posted.</w:t>
      </w:r>
      <w:bookmarkEnd w:id="441"/>
      <w:r w:rsidR="00585AFA" w:rsidRPr="00C027E8" w:rsidDel="00585AFA">
        <w:t xml:space="preserve"> </w:t>
      </w:r>
    </w:p>
    <w:p w14:paraId="244F0070" w14:textId="77777777" w:rsidR="008E54D9" w:rsidRPr="008910B8" w:rsidRDefault="00DD1AC6" w:rsidP="00FE2CC5">
      <w:pPr>
        <w:pStyle w:val="H3"/>
        <w:rPr>
          <w:b/>
          <w:i/>
        </w:rPr>
      </w:pPr>
      <w:bookmarkStart w:id="442" w:name="_Toc309731096"/>
      <w:bookmarkStart w:id="443" w:name="_Toc405814072"/>
      <w:bookmarkStart w:id="444" w:name="_Toc422207962"/>
      <w:bookmarkStart w:id="445" w:name="_Toc438044873"/>
      <w:bookmarkStart w:id="446" w:name="_Toc447622656"/>
      <w:bookmarkStart w:id="447" w:name="_Toc80175306"/>
      <w:r w:rsidRPr="008910B8">
        <w:rPr>
          <w:b/>
          <w:i/>
        </w:rPr>
        <w:t>9.14.6</w:t>
      </w:r>
      <w:r w:rsidRPr="008910B8">
        <w:rPr>
          <w:b/>
          <w:i/>
        </w:rPr>
        <w:tab/>
        <w:t>Disputes for Operations Decisions</w:t>
      </w:r>
      <w:bookmarkEnd w:id="442"/>
      <w:bookmarkEnd w:id="443"/>
      <w:bookmarkEnd w:id="444"/>
      <w:bookmarkEnd w:id="445"/>
      <w:bookmarkEnd w:id="446"/>
      <w:bookmarkEnd w:id="447"/>
    </w:p>
    <w:p w14:paraId="05D091F9" w14:textId="77777777" w:rsidR="002F5868" w:rsidRDefault="00A0123C" w:rsidP="00660ED3">
      <w:pPr>
        <w:pStyle w:val="BodyText"/>
        <w:ind w:left="720" w:hanging="720"/>
      </w:pPr>
      <w:r>
        <w:rPr>
          <w:iCs w:val="0"/>
        </w:rPr>
        <w:t>(1)</w:t>
      </w:r>
      <w:r>
        <w:rPr>
          <w:iCs w:val="0"/>
        </w:rPr>
        <w:tab/>
      </w:r>
      <w:r w:rsidR="00DD1AC6">
        <w:t>Settlement Statement or Invoice Recipients may not dispute a Settlement Statement or Invoice due to a decision made by ERCOT in its operation of the ERCOT System, unless the Market Participant alleged the decision violated these Protocols.  Inquiries or disputes concerning such decisions, Protocols, or Operating Guides must be handled through the Protocol change process set forth in Section 21</w:t>
      </w:r>
      <w:r w:rsidR="00E77A0E">
        <w:t xml:space="preserve">, </w:t>
      </w:r>
      <w:r w:rsidR="00B10197">
        <w:t>Revision Request Process</w:t>
      </w:r>
      <w:r w:rsidR="00DD1AC6">
        <w:t>.</w:t>
      </w:r>
    </w:p>
    <w:p w14:paraId="2D7CA34C" w14:textId="77777777" w:rsidR="00EA0D20" w:rsidRPr="008910B8" w:rsidRDefault="00EA0D20" w:rsidP="00EA0D20">
      <w:pPr>
        <w:pStyle w:val="H3"/>
        <w:rPr>
          <w:b/>
          <w:i/>
        </w:rPr>
      </w:pPr>
      <w:bookmarkStart w:id="448" w:name="_Toc309731097"/>
      <w:bookmarkStart w:id="449" w:name="_Toc405814073"/>
      <w:bookmarkStart w:id="450" w:name="_Toc422207963"/>
      <w:bookmarkStart w:id="451" w:name="_Toc438044874"/>
      <w:bookmarkStart w:id="452" w:name="_Toc447622657"/>
      <w:bookmarkStart w:id="453" w:name="_Toc80175307"/>
      <w:r w:rsidRPr="008910B8">
        <w:rPr>
          <w:b/>
          <w:i/>
        </w:rPr>
        <w:t>9.14.7</w:t>
      </w:r>
      <w:r w:rsidRPr="008910B8">
        <w:rPr>
          <w:b/>
          <w:i/>
        </w:rPr>
        <w:tab/>
        <w:t>Disputes for RUC Make</w:t>
      </w:r>
      <w:r w:rsidR="00E60681" w:rsidRPr="008910B8">
        <w:rPr>
          <w:b/>
          <w:i/>
        </w:rPr>
        <w:t>-</w:t>
      </w:r>
      <w:r w:rsidRPr="008910B8">
        <w:rPr>
          <w:b/>
          <w:i/>
        </w:rPr>
        <w:t>Whole Payment for Fuel Costs</w:t>
      </w:r>
      <w:bookmarkEnd w:id="448"/>
      <w:bookmarkEnd w:id="449"/>
      <w:bookmarkEnd w:id="450"/>
      <w:bookmarkEnd w:id="451"/>
      <w:bookmarkEnd w:id="452"/>
      <w:bookmarkEnd w:id="453"/>
    </w:p>
    <w:p w14:paraId="21916A09" w14:textId="61BC72CB" w:rsidR="0014132B" w:rsidRDefault="0071686C">
      <w:pPr>
        <w:pStyle w:val="BodyText"/>
        <w:ind w:left="720" w:hanging="720"/>
      </w:pPr>
      <w:r>
        <w:t>(1)</w:t>
      </w:r>
      <w:r>
        <w:tab/>
      </w:r>
      <w:r w:rsidR="00EA0D20">
        <w:t xml:space="preserve">If the actual price paid for delivered natural gas for a specific Resource during a </w:t>
      </w:r>
      <w:r w:rsidR="00E60681">
        <w:t>Reliability Unit Commitment (</w:t>
      </w:r>
      <w:r w:rsidR="00EA0D20">
        <w:t>RUC</w:t>
      </w:r>
      <w:r w:rsidR="00E60681">
        <w:t>)-</w:t>
      </w:r>
      <w:r w:rsidR="00EA0D20">
        <w:t xml:space="preserve">Committed Interval is greater than </w:t>
      </w:r>
      <w:r w:rsidR="00E60681">
        <w:t xml:space="preserve">Fuel Index Price </w:t>
      </w:r>
      <w:r w:rsidR="00635D3F">
        <w:rPr>
          <w:iCs w:val="0"/>
        </w:rPr>
        <w:t>(FIP) adjusted by the proxy fuel adder, X, defined in the Verifiable Cost Manual</w:t>
      </w:r>
      <w:r w:rsidR="00635D3F" w:rsidRPr="005C53C9">
        <w:rPr>
          <w:iCs w:val="0"/>
        </w:rPr>
        <w:t xml:space="preserve"> </w:t>
      </w:r>
      <w:r w:rsidR="00635D3F">
        <w:rPr>
          <w:iCs w:val="0"/>
        </w:rPr>
        <w:t xml:space="preserve">(i.e., </w:t>
      </w:r>
      <w:r w:rsidR="00635D3F" w:rsidRPr="005C53C9">
        <w:rPr>
          <w:iCs w:val="0"/>
        </w:rPr>
        <w:t xml:space="preserve">FIP * </w:t>
      </w:r>
      <w:r w:rsidR="00635D3F">
        <w:rPr>
          <w:iCs w:val="0"/>
        </w:rPr>
        <w:t>(</w:t>
      </w:r>
      <w:r w:rsidR="00635D3F" w:rsidRPr="005C53C9">
        <w:rPr>
          <w:iCs w:val="0"/>
        </w:rPr>
        <w:t>1</w:t>
      </w:r>
      <w:r w:rsidR="00635D3F">
        <w:rPr>
          <w:iCs w:val="0"/>
        </w:rPr>
        <w:t>+</w:t>
      </w:r>
      <w:r w:rsidR="00635D3F" w:rsidRPr="005C53C9">
        <w:rPr>
          <w:iCs w:val="0"/>
        </w:rPr>
        <w:t>X</w:t>
      </w:r>
      <w:r w:rsidR="00635D3F">
        <w:rPr>
          <w:iCs w:val="0"/>
        </w:rPr>
        <w:t>))</w:t>
      </w:r>
      <w:r w:rsidR="00EA0D20">
        <w:t xml:space="preserve">, then the QSE may file a </w:t>
      </w:r>
      <w:r w:rsidR="00E60681">
        <w:t>S</w:t>
      </w:r>
      <w:r w:rsidR="00EA0D20">
        <w:t xml:space="preserve">ettlement dispute for that Resource’s RUC Make-Whole Payment.  The maximum amount that may be recovered through this dispute process is the difference between the RUC Guarantee based on the actual price paid and </w:t>
      </w:r>
      <w:r w:rsidR="00635D3F">
        <w:t>the</w:t>
      </w:r>
      <w:r w:rsidR="00EA0D20">
        <w:t xml:space="preserve"> </w:t>
      </w:r>
      <w:r w:rsidR="00B214A7">
        <w:t xml:space="preserve">RUC Guarantee based on the </w:t>
      </w:r>
      <w:r w:rsidR="00EA0D20">
        <w:t xml:space="preserve">fuel </w:t>
      </w:r>
      <w:r w:rsidR="00B214A7">
        <w:t xml:space="preserve">index </w:t>
      </w:r>
      <w:r w:rsidR="00EA0D20">
        <w:t xml:space="preserve">price FIP * </w:t>
      </w:r>
      <w:r w:rsidR="00635D3F">
        <w:t>(</w:t>
      </w:r>
      <w:r w:rsidR="00EA0D20">
        <w:t>1</w:t>
      </w:r>
      <w:r w:rsidR="00635D3F">
        <w:t>+</w:t>
      </w:r>
      <w:r w:rsidR="00EA0D20">
        <w:t>X</w:t>
      </w:r>
      <w:r w:rsidR="00635D3F">
        <w:t>)</w:t>
      </w:r>
      <w:r w:rsidR="00EA0D20">
        <w:t>.</w:t>
      </w:r>
      <w:r w:rsidR="0012035F">
        <w:t xml:space="preserve">  </w:t>
      </w:r>
      <w:r w:rsidR="00B214A7" w:rsidRPr="00AD02D5">
        <w:t xml:space="preserve">When calculating the RUC Guarantee based on the actual price paid for Resources with approved </w:t>
      </w:r>
      <w:r w:rsidR="00B214A7">
        <w:t>v</w:t>
      </w:r>
      <w:r w:rsidR="00B214A7" w:rsidRPr="00AD02D5">
        <w:t xml:space="preserve">erifiable </w:t>
      </w:r>
      <w:r w:rsidR="00B214A7">
        <w:t>c</w:t>
      </w:r>
      <w:r w:rsidR="00B214A7" w:rsidRPr="00AD02D5">
        <w:t xml:space="preserve">osts, the RUC Guarantee may be adjusted to reflect the cost difference between the fuel burned and the fuel calculated based on </w:t>
      </w:r>
      <w:r w:rsidR="00B214A7">
        <w:t>v</w:t>
      </w:r>
      <w:r w:rsidR="00B214A7" w:rsidRPr="00AD02D5">
        <w:t xml:space="preserve">erifiable </w:t>
      </w:r>
      <w:r w:rsidR="00B214A7">
        <w:t>c</w:t>
      </w:r>
      <w:r w:rsidR="00B214A7" w:rsidRPr="00AD02D5">
        <w:t xml:space="preserve">ost rates. </w:t>
      </w:r>
      <w:r w:rsidR="00282FA6">
        <w:t xml:space="preserve"> </w:t>
      </w:r>
      <w:r w:rsidR="00B214A7" w:rsidRPr="00AD02D5">
        <w:t xml:space="preserve">This adjustment will allow for the RUC Guarantee to include the fuel cost of the actual fuel burned, as documented by an invoice or equivalent document, up to 120% of the fuel quantity calculated based on </w:t>
      </w:r>
      <w:r w:rsidR="00B214A7">
        <w:t>v</w:t>
      </w:r>
      <w:r w:rsidR="00B214A7" w:rsidRPr="00AD02D5">
        <w:t xml:space="preserve">erifiable </w:t>
      </w:r>
      <w:r w:rsidR="00B214A7">
        <w:t>c</w:t>
      </w:r>
      <w:r w:rsidR="00B214A7" w:rsidRPr="00AD02D5">
        <w:t xml:space="preserve">ost data. </w:t>
      </w:r>
      <w:r w:rsidR="00A827A7">
        <w:t xml:space="preserve"> </w:t>
      </w:r>
      <w:r w:rsidR="00B214A7" w:rsidRPr="00AD02D5">
        <w:t xml:space="preserve">If due to extraordinary circumstances the fuel burned exceeded </w:t>
      </w:r>
      <w:r w:rsidR="00B214A7" w:rsidRPr="00AD02D5">
        <w:lastRenderedPageBreak/>
        <w:t xml:space="preserve">120% of the fuel quantity calculated based on </w:t>
      </w:r>
      <w:r w:rsidR="00B214A7">
        <w:t>v</w:t>
      </w:r>
      <w:r w:rsidR="00B214A7" w:rsidRPr="00AD02D5">
        <w:t xml:space="preserve">erifiable </w:t>
      </w:r>
      <w:r w:rsidR="00B214A7">
        <w:t>c</w:t>
      </w:r>
      <w:r w:rsidR="00B214A7" w:rsidRPr="00AD02D5">
        <w:t xml:space="preserve">ost data, the QSE may submit an attestation attesting to the accuracy of the fuel data along with an explanation for the higher fuel quantities. </w:t>
      </w:r>
      <w:r w:rsidR="00A827A7">
        <w:t xml:space="preserve"> </w:t>
      </w:r>
      <w:r w:rsidR="00B214A7" w:rsidRPr="00AD02D5">
        <w:t xml:space="preserve">ERCOT may include the cost of this additional fuel in the adjustment to the RUC Guarantee.  </w:t>
      </w:r>
      <w:r w:rsidR="0012035F">
        <w:t>The QSE must provide documentation (invoices</w:t>
      </w:r>
      <w:r w:rsidR="00B214A7" w:rsidRPr="00B214A7">
        <w:t xml:space="preserve"> </w:t>
      </w:r>
      <w:r w:rsidR="00B214A7">
        <w:t>or contracts, as applicable</w:t>
      </w:r>
      <w:r w:rsidR="0012035F">
        <w:t>) that identifies intra-day</w:t>
      </w:r>
      <w:r w:rsidR="00176EAC">
        <w:t>,</w:t>
      </w:r>
      <w:r w:rsidR="00176EAC" w:rsidRPr="008B66F2">
        <w:t xml:space="preserve"> same-day</w:t>
      </w:r>
      <w:r w:rsidR="00176EAC">
        <w:t>, or spot market</w:t>
      </w:r>
      <w:r w:rsidR="0012035F">
        <w:t xml:space="preserve"> costs of natural gas consumed during the RUC-Committed Interval.  Such documentation is necessary to justify recovery of natural gas costs, which is limited to the actual fuel amount (MMBtus) consumed during RUC-Committed Intervals.  All documentation submitted by the QSE for natural gas costs incurred intra-day</w:t>
      </w:r>
      <w:r w:rsidR="00176EAC">
        <w:t>,</w:t>
      </w:r>
      <w:r w:rsidR="00176EAC" w:rsidRPr="008B66F2">
        <w:t xml:space="preserve"> same-day</w:t>
      </w:r>
      <w:r w:rsidR="00176EAC">
        <w:t>, or via spot market</w:t>
      </w:r>
      <w:r w:rsidR="0012035F">
        <w:t xml:space="preserve"> must show a nexus from the seller or distributor of natural gas products to the QSE, Resource Entity or Generation Entity as the ultimate buyer.  The QSE must demonstrate that the seller or distributor has procured natural gas fuel intra-day</w:t>
      </w:r>
      <w:r w:rsidR="00176EAC">
        <w:t>,</w:t>
      </w:r>
      <w:r w:rsidR="00176EAC" w:rsidRPr="008B66F2">
        <w:t xml:space="preserve"> same-day</w:t>
      </w:r>
      <w:r w:rsidR="00176EAC">
        <w:t>, or via spot market</w:t>
      </w:r>
      <w:r w:rsidR="0012035F">
        <w:t xml:space="preserve">.  </w:t>
      </w:r>
      <w:r w:rsidR="00635D3F">
        <w:t xml:space="preserve">A </w:t>
      </w:r>
      <w:r w:rsidR="0012035F">
        <w:t xml:space="preserve">Power Purchase or Tolling Agreement (PPA) filed as documentation of proof of fuel costs will not be accepted unless </w:t>
      </w:r>
      <w:r w:rsidR="00635D3F">
        <w:rPr>
          <w:iCs w:val="0"/>
        </w:rPr>
        <w:t>the PPA was signed prior to July 16, 2008, and is not between Affiliates, subsidiaries, or partners</w:t>
      </w:r>
      <w:r w:rsidR="0012035F">
        <w:t>.</w:t>
      </w:r>
    </w:p>
    <w:p w14:paraId="1E1CCAED" w14:textId="610370D3" w:rsidR="00B214A7" w:rsidRDefault="00B214A7" w:rsidP="00B214A7">
      <w:pPr>
        <w:pStyle w:val="BodyText"/>
        <w:ind w:left="720" w:hanging="720"/>
      </w:pPr>
      <w:r>
        <w:t>(2)</w:t>
      </w:r>
      <w:r>
        <w:tab/>
        <w:t xml:space="preserve">If the QSE submitting a Settlement dispute </w:t>
      </w:r>
      <w:r w:rsidRPr="00882B9A">
        <w:t>under paragraph</w:t>
      </w:r>
      <w:r>
        <w:t xml:space="preserve"> (1) above, or the Resource Entity for the Resource, has an </w:t>
      </w:r>
      <w:r w:rsidRPr="004A51E0">
        <w:t>executed an</w:t>
      </w:r>
      <w:r>
        <w:t>d</w:t>
      </w:r>
      <w:r w:rsidRPr="004A51E0">
        <w:t xml:space="preserve"> enforceable </w:t>
      </w:r>
      <w:r>
        <w:t xml:space="preserve">transportation contract </w:t>
      </w:r>
      <w:r w:rsidRPr="009A204A">
        <w:t>(</w:t>
      </w:r>
      <w:r w:rsidRPr="00F91A72">
        <w:t>together with any associated statement of operating conditions</w:t>
      </w:r>
      <w:r w:rsidRPr="009A204A">
        <w:t>)</w:t>
      </w:r>
      <w:r>
        <w:t xml:space="preserve">, on </w:t>
      </w:r>
      <w:r w:rsidRPr="004A51E0">
        <w:t>an interstate or intrastate pipeline</w:t>
      </w:r>
      <w:r>
        <w:t xml:space="preserve">, for the Generation Resource that received the RUC instruction, the QSE </w:t>
      </w:r>
      <w:r w:rsidRPr="007654B4">
        <w:t xml:space="preserve">must show proof that </w:t>
      </w:r>
      <w:r>
        <w:t>the QSE or Resource Entity (or another entity acting on behalf of the Resource Entity with respect to fuel procurement)</w:t>
      </w:r>
      <w:r w:rsidRPr="007654B4">
        <w:t xml:space="preserve"> purchased and nominated fuel in sufficient quantities </w:t>
      </w:r>
      <w:r w:rsidRPr="0043148E">
        <w:t>to sta</w:t>
      </w:r>
      <w:r>
        <w:t xml:space="preserve">rt and operate the Resource at its Low Sustained Limit (LSL) during the RUC-Committed Intervals. </w:t>
      </w:r>
    </w:p>
    <w:p w14:paraId="51A1ABB5" w14:textId="77777777" w:rsidR="00B214A7" w:rsidRDefault="00B214A7" w:rsidP="00B214A7">
      <w:pPr>
        <w:pStyle w:val="BodyText"/>
        <w:ind w:left="720" w:hanging="720"/>
      </w:pPr>
      <w:r>
        <w:t>(3)</w:t>
      </w:r>
      <w:r>
        <w:tab/>
        <w:t>The QSE or Resource Entity must purchase and nominate fuel as described in paragraph (2) above unless one or more of the conditions below applies:</w:t>
      </w:r>
    </w:p>
    <w:p w14:paraId="42450EC7" w14:textId="77777777" w:rsidR="00B214A7" w:rsidRDefault="00B214A7" w:rsidP="00B214A7">
      <w:pPr>
        <w:pStyle w:val="BodyText"/>
        <w:ind w:left="1440" w:hanging="720"/>
      </w:pPr>
      <w:r>
        <w:t>(a)</w:t>
      </w:r>
      <w:r>
        <w:tab/>
        <w:t xml:space="preserve">The Resource received an initial RUC instruction for less </w:t>
      </w:r>
      <w:r w:rsidRPr="00860677">
        <w:t xml:space="preserve">than </w:t>
      </w:r>
      <w:r>
        <w:t xml:space="preserve">12 </w:t>
      </w:r>
      <w:r w:rsidRPr="00F5780D">
        <w:t>contiguous</w:t>
      </w:r>
      <w:r>
        <w:t xml:space="preserve"> hours within the same gas delivery day;</w:t>
      </w:r>
    </w:p>
    <w:p w14:paraId="6E54C1D4" w14:textId="5C0C4783" w:rsidR="00B214A7" w:rsidRDefault="00B214A7" w:rsidP="00B214A7">
      <w:pPr>
        <w:pStyle w:val="BodyText"/>
        <w:ind w:left="1440" w:hanging="720"/>
      </w:pPr>
      <w:r>
        <w:t>(b)</w:t>
      </w:r>
      <w:r>
        <w:tab/>
        <w:t>The QSE or Resource Entity did not have sufficient time to procure and nominate fuel after receiving the RUC instruction;</w:t>
      </w:r>
    </w:p>
    <w:p w14:paraId="449CE48A" w14:textId="77777777" w:rsidR="00B214A7" w:rsidRDefault="00B214A7" w:rsidP="00B214A7">
      <w:pPr>
        <w:pStyle w:val="BodyText"/>
        <w:ind w:left="1440" w:hanging="720"/>
      </w:pPr>
      <w:r>
        <w:t>(c)</w:t>
      </w:r>
      <w:r>
        <w:tab/>
        <w:t xml:space="preserve">The RUC instruction was instructed outside of Business Hours or otherwise at a time when the Resource was unable to procure fuel.  </w:t>
      </w:r>
    </w:p>
    <w:p w14:paraId="51F86C28" w14:textId="77777777" w:rsidR="00B214A7" w:rsidRDefault="00B214A7" w:rsidP="00B214A7">
      <w:pPr>
        <w:pStyle w:val="BodyText"/>
        <w:ind w:left="720" w:hanging="720"/>
      </w:pPr>
      <w:r>
        <w:t>(4)</w:t>
      </w:r>
      <w:r>
        <w:tab/>
      </w:r>
      <w:r w:rsidRPr="00344FFC">
        <w:t xml:space="preserve">If the </w:t>
      </w:r>
      <w:r>
        <w:t>QSE or Resource</w:t>
      </w:r>
      <w:r w:rsidRPr="00344FFC">
        <w:t xml:space="preserve"> </w:t>
      </w:r>
      <w:r>
        <w:t xml:space="preserve">Entity </w:t>
      </w:r>
      <w:r w:rsidRPr="00344FFC">
        <w:t xml:space="preserve">did not or was not able to nominate fuel </w:t>
      </w:r>
      <w:r>
        <w:t>for</w:t>
      </w:r>
      <w:r w:rsidRPr="00344FFC">
        <w:t xml:space="preserve"> the </w:t>
      </w:r>
      <w:r>
        <w:t>RUC-Committed Intervals</w:t>
      </w:r>
      <w:r w:rsidRPr="00344FFC">
        <w:t xml:space="preserve">, </w:t>
      </w:r>
      <w:r>
        <w:t xml:space="preserve">ERCOT may require </w:t>
      </w:r>
      <w:r w:rsidRPr="00344FFC">
        <w:t xml:space="preserve">proof that </w:t>
      </w:r>
      <w:r>
        <w:t>following a reasonable effort to secure fuel, the QSE or Resource</w:t>
      </w:r>
      <w:r w:rsidRPr="00344FFC">
        <w:t xml:space="preserve"> </w:t>
      </w:r>
      <w:r>
        <w:t>Entity was not able</w:t>
      </w:r>
      <w:r w:rsidRPr="00344FFC">
        <w:t xml:space="preserve"> </w:t>
      </w:r>
      <w:r>
        <w:t xml:space="preserve">to both purchase and </w:t>
      </w:r>
      <w:r w:rsidRPr="003E2601">
        <w:t xml:space="preserve">nominate fuel </w:t>
      </w:r>
      <w:r>
        <w:t>for reasons beyond the QSE’s or Resource Entity’s control, or that nominating such fuel would have resulted in higher overall fuel costs</w:t>
      </w:r>
      <w:r w:rsidRPr="00915757">
        <w:t>.</w:t>
      </w:r>
      <w:r w:rsidRPr="003E2601">
        <w:t xml:space="preserve"> </w:t>
      </w:r>
      <w:r>
        <w:t xml:space="preserve"> </w:t>
      </w:r>
      <w:r w:rsidRPr="003E2601">
        <w:t>ERCOT may require an attestation signed by an officer or executive with authority to bind the</w:t>
      </w:r>
      <w:r w:rsidRPr="00363947">
        <w:t xml:space="preserve"> QSE stating that the information contained in the dispute is accurate</w:t>
      </w:r>
      <w:r>
        <w:t xml:space="preserve"> and that the costs included are variable based on the dispatch of the Resource, to the best of knowledge and belief. </w:t>
      </w:r>
    </w:p>
    <w:p w14:paraId="425A1532" w14:textId="77777777" w:rsidR="00B214A7" w:rsidRDefault="00B214A7" w:rsidP="00B214A7">
      <w:pPr>
        <w:pStyle w:val="BodyText"/>
        <w:ind w:left="1440" w:hanging="720"/>
      </w:pPr>
      <w:r>
        <w:lastRenderedPageBreak/>
        <w:t>(a)</w:t>
      </w:r>
      <w:r>
        <w:tab/>
        <w:t>A QSE or Resource Entity is not required to procure and nominate fuel after the initial RUC instruction for incremental RUC instructed hours unless the extended RUC instruction individually meets the requirements under paragraphs (2) and (3) above.</w:t>
      </w:r>
    </w:p>
    <w:p w14:paraId="14EBF0C4" w14:textId="77777777" w:rsidR="00B214A7" w:rsidRPr="00020834" w:rsidRDefault="00B214A7" w:rsidP="00B214A7">
      <w:pPr>
        <w:spacing w:after="240"/>
        <w:ind w:left="720" w:hanging="720"/>
      </w:pPr>
      <w:r>
        <w:t>(5)</w:t>
      </w:r>
      <w:r>
        <w:tab/>
        <w:t>Notwithstanding the provision in paragraph (1) above, t</w:t>
      </w:r>
      <w:r w:rsidRPr="00845B39">
        <w:t>he cost of fuel may also include penalties for fuel delivery outside of RUC-Committed Intervals in accordance with the ratable delivery obligations and costs as specified in the enforceable transportation agreement.</w:t>
      </w:r>
      <w:r>
        <w:t xml:space="preserve">  In addition, if the QSE or Resource Entity (or another entity acting on behalf of the Resource with respect to fuel procurement) has purchased sufficient fuel </w:t>
      </w:r>
      <w:r w:rsidRPr="00845B39">
        <w:t>quantities to start and operate the Resource at its LSL during the RUC-Committed Intervals</w:t>
      </w:r>
      <w:r>
        <w:t xml:space="preserve"> and is eligible to receive a Startup Cost, as described in Section 5.6.2, RUC Startup Cost Eligibility, or Section 5.6.3, Forced Outage of a RUC-Committed Resource, but </w:t>
      </w:r>
      <w:r w:rsidRPr="00845B39">
        <w:t>trip</w:t>
      </w:r>
      <w:r>
        <w:t>s</w:t>
      </w:r>
      <w:r w:rsidRPr="00845B39">
        <w:t xml:space="preserve"> </w:t>
      </w:r>
      <w:r>
        <w:t>O</w:t>
      </w:r>
      <w:r w:rsidRPr="00845B39">
        <w:t>ff</w:t>
      </w:r>
      <w:r>
        <w:t>-L</w:t>
      </w:r>
      <w:r w:rsidRPr="00845B39">
        <w:t>ine</w:t>
      </w:r>
      <w:r>
        <w:t xml:space="preserve">, the QSE is eligible to recover associated fuel </w:t>
      </w:r>
      <w:r w:rsidRPr="00845B39">
        <w:t xml:space="preserve">penalties </w:t>
      </w:r>
      <w:r>
        <w:t xml:space="preserve">incurred </w:t>
      </w:r>
      <w:r w:rsidRPr="00845B39">
        <w:t>through the end of the gas</w:t>
      </w:r>
      <w:r>
        <w:t xml:space="preserve"> </w:t>
      </w:r>
      <w:r w:rsidRPr="00845B39">
        <w:t>day</w:t>
      </w:r>
      <w:r>
        <w:t xml:space="preserve">, including the net cost of fuel that was purchased and nominated for the gas delivery day to operate the Resource at </w:t>
      </w:r>
      <w:r w:rsidRPr="00C60524">
        <w:t>LSL</w:t>
      </w:r>
      <w:r>
        <w:t xml:space="preserve"> for the </w:t>
      </w:r>
      <w:r w:rsidRPr="00C60524">
        <w:t>RUC-Instructed</w:t>
      </w:r>
      <w:r>
        <w:t xml:space="preserve"> hours, but was not used.  A QSE or Resource Entity shall make a commercially reasonable effort to sell the fuel that was not used and shall provide the residual value for any fuel not used or sold.</w:t>
      </w:r>
    </w:p>
    <w:p w14:paraId="629DA36C" w14:textId="77C81368" w:rsidR="0014132B" w:rsidRDefault="0071686C">
      <w:pPr>
        <w:pStyle w:val="BodyText"/>
        <w:ind w:left="720" w:hanging="720"/>
      </w:pPr>
      <w:r>
        <w:t>(</w:t>
      </w:r>
      <w:r w:rsidR="00B214A7">
        <w:t>6</w:t>
      </w:r>
      <w:r>
        <w:t>)</w:t>
      </w:r>
      <w:r>
        <w:tab/>
        <w:t>If the actual price paid for the delivered fuel oil used to replace oil consumed during a RUC</w:t>
      </w:r>
      <w:r w:rsidR="00E60681">
        <w:t>-</w:t>
      </w:r>
      <w:r>
        <w:t xml:space="preserve">Committed Interval is greater than </w:t>
      </w:r>
      <w:r w:rsidR="00E60681">
        <w:t>Fuel Oil Price (</w:t>
      </w:r>
      <w:r>
        <w:t>FOP</w:t>
      </w:r>
      <w:r w:rsidR="00E60681">
        <w:t>)</w:t>
      </w:r>
      <w:r w:rsidR="00635D3F" w:rsidRPr="00635D3F">
        <w:rPr>
          <w:iCs w:val="0"/>
        </w:rPr>
        <w:t xml:space="preserve"> </w:t>
      </w:r>
      <w:r w:rsidR="00635D3F" w:rsidRPr="00DA038C">
        <w:rPr>
          <w:iCs w:val="0"/>
        </w:rPr>
        <w:t>adjusted by the proxy fuel adder, X, defined in the Verifiable Cost Manual (i.e., FOP * (1+X)), then the QSE may file a Settlement dispute for the Resource’s RUC Make-Whole Payment.  The maximum amount that may be recovered through this dispute process is the difference between the RUC Guarantee based on the actual price paid and the adjusted price, FOP * (1+X)</w:t>
      </w:r>
      <w:r>
        <w:t xml:space="preserve">.  </w:t>
      </w:r>
    </w:p>
    <w:p w14:paraId="5493635D" w14:textId="5F335646" w:rsidR="0014132B" w:rsidRDefault="0071686C">
      <w:pPr>
        <w:pStyle w:val="BodyText"/>
        <w:ind w:left="720" w:hanging="720"/>
      </w:pPr>
      <w:r>
        <w:t>(</w:t>
      </w:r>
      <w:r w:rsidR="00B214A7">
        <w:t>7</w:t>
      </w:r>
      <w:r>
        <w:t>)</w:t>
      </w:r>
      <w:r>
        <w:tab/>
        <w:t xml:space="preserve">If the </w:t>
      </w:r>
      <w:r w:rsidR="00B176DE">
        <w:t xml:space="preserve">QSE representing the </w:t>
      </w:r>
      <w:r>
        <w:t>G</w:t>
      </w:r>
      <w:r w:rsidR="00E60681">
        <w:t>eneration Resource made a Three-</w:t>
      </w:r>
      <w:r>
        <w:t xml:space="preserve">Part Supply Offer into the DAM based on FIP and </w:t>
      </w:r>
      <w:r w:rsidR="00E60681">
        <w:t>had to run on fuel oil in a RUC-</w:t>
      </w:r>
      <w:r>
        <w:t>Committed Hour</w:t>
      </w:r>
      <w:r w:rsidR="00635D3F" w:rsidRPr="00635D3F">
        <w:rPr>
          <w:iCs w:val="0"/>
        </w:rPr>
        <w:t xml:space="preserve"> </w:t>
      </w:r>
      <w:r w:rsidR="00635D3F">
        <w:rPr>
          <w:iCs w:val="0"/>
        </w:rPr>
        <w:t xml:space="preserve">with an active </w:t>
      </w:r>
      <w:r w:rsidR="00635D3F" w:rsidRPr="005C53C9">
        <w:rPr>
          <w:iCs w:val="0"/>
        </w:rPr>
        <w:t xml:space="preserve">Three-Part Supply Offer </w:t>
      </w:r>
      <w:r w:rsidR="00635D3F">
        <w:rPr>
          <w:iCs w:val="0"/>
        </w:rPr>
        <w:t>based on the adjusted FIP</w:t>
      </w:r>
      <w:r>
        <w:t>,</w:t>
      </w:r>
      <w:r w:rsidR="00E60681">
        <w:t xml:space="preserve"> the QSE may file a Settlement d</w:t>
      </w:r>
      <w:r>
        <w:t>ispute to recover the difference between the RUC Guarantee based actual price paid fo</w:t>
      </w:r>
      <w:r w:rsidR="00E60681">
        <w:t xml:space="preserve">r delivered fuel oil </w:t>
      </w:r>
      <w:r w:rsidR="00635D3F" w:rsidRPr="00DA038C">
        <w:rPr>
          <w:iCs w:val="0"/>
        </w:rPr>
        <w:t>an</w:t>
      </w:r>
      <w:r w:rsidR="00635D3F">
        <w:rPr>
          <w:iCs w:val="0"/>
        </w:rPr>
        <w:t>d the fuel price of FIP * (1+X)</w:t>
      </w:r>
      <w:r>
        <w:t xml:space="preserve">.  </w:t>
      </w:r>
    </w:p>
    <w:p w14:paraId="3557CDAA" w14:textId="4DC63FF5" w:rsidR="00635D3F" w:rsidRDefault="00635D3F" w:rsidP="00635D3F">
      <w:pPr>
        <w:spacing w:after="240"/>
        <w:ind w:left="720" w:hanging="720"/>
        <w:rPr>
          <w:iCs/>
        </w:rPr>
      </w:pPr>
      <w:r>
        <w:rPr>
          <w:iCs/>
        </w:rPr>
        <w:t>(</w:t>
      </w:r>
      <w:r w:rsidR="00B214A7">
        <w:rPr>
          <w:iCs/>
        </w:rPr>
        <w:t>8</w:t>
      </w:r>
      <w:r>
        <w:rPr>
          <w:iCs/>
        </w:rPr>
        <w:t>)</w:t>
      </w:r>
      <w:r>
        <w:rPr>
          <w:iCs/>
        </w:rPr>
        <w:tab/>
      </w:r>
      <w:r w:rsidRPr="00882B9A">
        <w:rPr>
          <w:iCs/>
        </w:rPr>
        <w:t>When filing a Settlement dispute under paragraph (</w:t>
      </w:r>
      <w:r w:rsidR="00B214A7">
        <w:rPr>
          <w:iCs/>
        </w:rPr>
        <w:t>6</w:t>
      </w:r>
      <w:r w:rsidRPr="00882B9A">
        <w:rPr>
          <w:iCs/>
        </w:rPr>
        <w:t>) or (</w:t>
      </w:r>
      <w:r w:rsidR="00B214A7">
        <w:rPr>
          <w:iCs/>
        </w:rPr>
        <w:t>7</w:t>
      </w:r>
      <w:r w:rsidRPr="00882B9A">
        <w:rPr>
          <w:iCs/>
        </w:rPr>
        <w:t>) above, the QSE must provide documentation (invoices) that identifies purchases of fuel oil by the QSE, Resource Entity, or Generation Entity to replace oil consumed for a RUC-Committed Interval.  In addition, the QSE must provide proof that the Resource actually consumed fuel oil during the RUC-Committed Interval.  Proof of actual consumption may be based on the Resource’s technical specifications or flow meters as appropriate.  Documentation of fuel oil purchases must show that these were made no later than seven Business Days after the end of the last consecutive RUC-Committed Interval.  Replacement fuel oil costs are limited to the actual gallons/barrels of fuel oil consumed during RUC-Committed Intervals.</w:t>
      </w:r>
    </w:p>
    <w:p w14:paraId="09115019" w14:textId="0D063A94" w:rsidR="00C6585B" w:rsidRDefault="00635D3F" w:rsidP="00C6585B">
      <w:pPr>
        <w:spacing w:after="240"/>
        <w:ind w:left="720" w:hanging="720"/>
        <w:rPr>
          <w:iCs/>
        </w:rPr>
      </w:pPr>
      <w:r>
        <w:rPr>
          <w:iCs/>
        </w:rPr>
        <w:t>(</w:t>
      </w:r>
      <w:r w:rsidR="00B214A7">
        <w:rPr>
          <w:iCs/>
        </w:rPr>
        <w:t>9</w:t>
      </w:r>
      <w:r>
        <w:rPr>
          <w:iCs/>
        </w:rPr>
        <w:t>)</w:t>
      </w:r>
      <w:r>
        <w:rPr>
          <w:iCs/>
        </w:rPr>
        <w:tab/>
        <w:t>ERCOT may, in its sole discretion, consider documentation types other than those specifically listed in paragraphs (1) and (</w:t>
      </w:r>
      <w:r w:rsidR="00B214A7">
        <w:rPr>
          <w:iCs/>
        </w:rPr>
        <w:t>8</w:t>
      </w:r>
      <w:r>
        <w:rPr>
          <w:iCs/>
        </w:rPr>
        <w:t>) above when offered by a QSE in support of its recovery of fuel costs for RUC deployments.</w:t>
      </w:r>
      <w:r w:rsidR="00176EAC" w:rsidRPr="00176EAC">
        <w:rPr>
          <w:iCs/>
        </w:rPr>
        <w:t xml:space="preserve"> </w:t>
      </w:r>
      <w:r w:rsidR="00176EAC">
        <w:rPr>
          <w:iCs/>
        </w:rPr>
        <w:t xml:space="preserve"> </w:t>
      </w:r>
      <w:r w:rsidR="00176EAC" w:rsidRPr="00C014BD">
        <w:rPr>
          <w:iCs/>
        </w:rPr>
        <w:t xml:space="preserve">For example, ERCOT may require the </w:t>
      </w:r>
      <w:r w:rsidR="00176EAC" w:rsidRPr="00C014BD">
        <w:rPr>
          <w:iCs/>
        </w:rPr>
        <w:lastRenderedPageBreak/>
        <w:t xml:space="preserve">Resource </w:t>
      </w:r>
      <w:r w:rsidR="00176EAC">
        <w:rPr>
          <w:iCs/>
        </w:rPr>
        <w:t>i</w:t>
      </w:r>
      <w:r w:rsidR="00176EAC" w:rsidRPr="00C014BD">
        <w:rPr>
          <w:iCs/>
        </w:rPr>
        <w:t>nput-output equation or average heat rate curve that allows for verification of fuel consumption for operation at and above</w:t>
      </w:r>
      <w:r w:rsidR="00E27A9C" w:rsidRPr="00C014BD">
        <w:rPr>
          <w:iCs/>
        </w:rPr>
        <w:t xml:space="preserve"> LSL</w:t>
      </w:r>
      <w:r w:rsidR="00176EAC" w:rsidRPr="00C014BD">
        <w:rPr>
          <w:iCs/>
        </w:rPr>
        <w:t>.</w:t>
      </w:r>
    </w:p>
    <w:p w14:paraId="0479B54C" w14:textId="27B0E993" w:rsidR="00635D3F" w:rsidRDefault="00C6585B" w:rsidP="00C6585B">
      <w:pPr>
        <w:spacing w:after="240"/>
        <w:ind w:left="720" w:hanging="720"/>
        <w:rPr>
          <w:iCs/>
        </w:rPr>
      </w:pPr>
      <w:r>
        <w:rPr>
          <w:iCs/>
        </w:rPr>
        <w:t>(</w:t>
      </w:r>
      <w:r w:rsidR="00B214A7">
        <w:rPr>
          <w:iCs/>
        </w:rPr>
        <w:t>10</w:t>
      </w:r>
      <w:r>
        <w:rPr>
          <w:iCs/>
        </w:rPr>
        <w:t>)</w:t>
      </w:r>
      <w:r>
        <w:rPr>
          <w:iCs/>
        </w:rPr>
        <w:tab/>
        <w:t xml:space="preserve">When calculating the </w:t>
      </w:r>
      <w:r>
        <w:t xml:space="preserve">RUC Guarantee as described in </w:t>
      </w:r>
      <w:r w:rsidRPr="00882B9A">
        <w:rPr>
          <w:iCs/>
        </w:rPr>
        <w:t xml:space="preserve">paragraph </w:t>
      </w:r>
      <w:r>
        <w:rPr>
          <w:iCs/>
        </w:rPr>
        <w:t xml:space="preserve">(1), </w:t>
      </w:r>
      <w:r w:rsidRPr="00882B9A">
        <w:rPr>
          <w:iCs/>
        </w:rPr>
        <w:t>(</w:t>
      </w:r>
      <w:r w:rsidR="00B214A7">
        <w:rPr>
          <w:iCs/>
        </w:rPr>
        <w:t>6</w:t>
      </w:r>
      <w:r w:rsidRPr="00882B9A">
        <w:rPr>
          <w:iCs/>
        </w:rPr>
        <w:t>) or (</w:t>
      </w:r>
      <w:r w:rsidR="00B214A7">
        <w:rPr>
          <w:iCs/>
        </w:rPr>
        <w:t>7</w:t>
      </w:r>
      <w:r w:rsidRPr="00882B9A">
        <w:rPr>
          <w:iCs/>
        </w:rPr>
        <w:t>) above</w:t>
      </w:r>
      <w:r>
        <w:rPr>
          <w:iCs/>
        </w:rPr>
        <w:t>, the Startup Price per start (SUPR) and the Minimum-Energy Price (MEPR), as defined in paragraph (6) of Section 5.7.1.1, RUC Guarantee, will be set to the Startup Cap (SUCAP) and Minimum-Energy Cap (MECAP), respectively, utilizing the actual fuel price paid.</w:t>
      </w:r>
    </w:p>
    <w:p w14:paraId="5290FCBF" w14:textId="210E02C2" w:rsidR="00176EAC" w:rsidRPr="00C014BD" w:rsidRDefault="00176EAC" w:rsidP="00176EAC">
      <w:pPr>
        <w:spacing w:after="240"/>
        <w:ind w:left="720" w:hanging="720"/>
      </w:pPr>
      <w:bookmarkStart w:id="454" w:name="_Toc278262322"/>
      <w:bookmarkStart w:id="455" w:name="_Toc309731098"/>
      <w:bookmarkStart w:id="456" w:name="_Toc405814074"/>
      <w:bookmarkStart w:id="457" w:name="_Toc422207965"/>
      <w:bookmarkStart w:id="458" w:name="_Toc438044876"/>
      <w:bookmarkStart w:id="459" w:name="_Toc447622659"/>
      <w:bookmarkStart w:id="460" w:name="_Toc80175308"/>
      <w:r w:rsidRPr="00C014BD">
        <w:rPr>
          <w:iCs/>
        </w:rPr>
        <w:t>(</w:t>
      </w:r>
      <w:r w:rsidR="00B214A7">
        <w:rPr>
          <w:iCs/>
        </w:rPr>
        <w:t>11</w:t>
      </w:r>
      <w:r w:rsidRPr="00C014BD">
        <w:rPr>
          <w:iCs/>
        </w:rPr>
        <w:t>)</w:t>
      </w:r>
      <w:r w:rsidRPr="00C014BD">
        <w:rPr>
          <w:iCs/>
        </w:rPr>
        <w:tab/>
      </w:r>
      <w:r>
        <w:rPr>
          <w:iCs/>
        </w:rPr>
        <w:t xml:space="preserve">In </w:t>
      </w:r>
      <w:r w:rsidRPr="006D0E4C">
        <w:rPr>
          <w:iCs/>
        </w:rPr>
        <w:t xml:space="preserve">order to recover fuel costs above LSL for a </w:t>
      </w:r>
      <w:r w:rsidRPr="006D0E4C">
        <w:t>RUC-Committed Interval</w:t>
      </w:r>
      <w:r w:rsidRPr="006D0E4C">
        <w:rPr>
          <w:iCs/>
        </w:rPr>
        <w:t xml:space="preserve">, </w:t>
      </w:r>
      <w:r w:rsidRPr="006D0E4C">
        <w:t xml:space="preserve">the QSE </w:t>
      </w:r>
      <w:r w:rsidRPr="005C3AB3">
        <w:t xml:space="preserve">must also submit </w:t>
      </w:r>
      <w:r>
        <w:t>proof</w:t>
      </w:r>
      <w:r w:rsidRPr="005C79EE">
        <w:t xml:space="preserve"> of the </w:t>
      </w:r>
      <w:r>
        <w:t>volume-</w:t>
      </w:r>
      <w:r w:rsidRPr="00832D43">
        <w:t xml:space="preserve">weighted </w:t>
      </w:r>
      <w:r w:rsidRPr="0041500B">
        <w:t>average actual price paid for fuel c</w:t>
      </w:r>
      <w:r w:rsidRPr="000659A0">
        <w:t xml:space="preserve">onsumed by the Resource during a </w:t>
      </w:r>
      <w:r w:rsidRPr="005C3AB3">
        <w:t>RUC-Committed Interval for generation above LSL.  ERCOT will adjust the RUC Guarantee (RUCG) to include the additional fuel costs above LSL filed by the QSE.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76EAC" w:rsidRPr="004B32CF" w14:paraId="4E2E12FB" w14:textId="77777777" w:rsidTr="001C5A31">
        <w:trPr>
          <w:trHeight w:val="656"/>
        </w:trPr>
        <w:tc>
          <w:tcPr>
            <w:tcW w:w="9350" w:type="dxa"/>
            <w:shd w:val="pct12" w:color="auto" w:fill="auto"/>
          </w:tcPr>
          <w:p w14:paraId="1F3D0F1E" w14:textId="0211B157" w:rsidR="00176EAC" w:rsidRPr="006D0E4C" w:rsidRDefault="00176EAC" w:rsidP="001C5A31">
            <w:pPr>
              <w:spacing w:after="240"/>
              <w:rPr>
                <w:b/>
                <w:i/>
                <w:iCs/>
              </w:rPr>
            </w:pPr>
            <w:r w:rsidRPr="006D0E4C">
              <w:rPr>
                <w:b/>
                <w:i/>
                <w:iCs/>
              </w:rPr>
              <w:t>[NPRR1140: Replace paragraph (</w:t>
            </w:r>
            <w:r w:rsidR="00B214A7">
              <w:rPr>
                <w:b/>
                <w:i/>
                <w:iCs/>
              </w:rPr>
              <w:t>11</w:t>
            </w:r>
            <w:r w:rsidRPr="006D0E4C">
              <w:rPr>
                <w:b/>
                <w:i/>
                <w:iCs/>
              </w:rPr>
              <w:t>) above with the following upon system implementation:]</w:t>
            </w:r>
          </w:p>
          <w:p w14:paraId="0479C2AD" w14:textId="44AF00ED" w:rsidR="00176EAC" w:rsidRPr="00FA3373" w:rsidRDefault="00176EAC" w:rsidP="001C5A31">
            <w:pPr>
              <w:spacing w:after="240"/>
              <w:ind w:left="720" w:hanging="720"/>
            </w:pPr>
            <w:r w:rsidRPr="006D0E4C">
              <w:rPr>
                <w:iCs/>
              </w:rPr>
              <w:t>(</w:t>
            </w:r>
            <w:r w:rsidR="00B214A7">
              <w:rPr>
                <w:iCs/>
              </w:rPr>
              <w:t>11</w:t>
            </w:r>
            <w:r w:rsidRPr="006D0E4C">
              <w:rPr>
                <w:iCs/>
              </w:rPr>
              <w:t>)</w:t>
            </w:r>
            <w:r w:rsidRPr="006D0E4C">
              <w:rPr>
                <w:iCs/>
              </w:rPr>
              <w:tab/>
            </w:r>
            <w:r w:rsidRPr="005C3AB3">
              <w:rPr>
                <w:iCs/>
              </w:rPr>
              <w:t xml:space="preserve">In order to recover fuel costs above LSL for a </w:t>
            </w:r>
            <w:r w:rsidRPr="006D0E4C">
              <w:t>RUC-Committed Interval</w:t>
            </w:r>
            <w:r w:rsidRPr="006D0E4C">
              <w:rPr>
                <w:iCs/>
              </w:rPr>
              <w:t xml:space="preserve">, </w:t>
            </w:r>
            <w:r w:rsidRPr="006D0E4C">
              <w:t xml:space="preserve">the QSE </w:t>
            </w:r>
            <w:r w:rsidRPr="005C3AB3">
              <w:t xml:space="preserve">must also submit </w:t>
            </w:r>
            <w:r>
              <w:t>proof</w:t>
            </w:r>
            <w:r w:rsidRPr="005C79EE">
              <w:t xml:space="preserve"> of the </w:t>
            </w:r>
            <w:r>
              <w:t>volume-</w:t>
            </w:r>
            <w:r w:rsidRPr="00832D43">
              <w:t>weighted</w:t>
            </w:r>
            <w:r w:rsidRPr="0041500B">
              <w:t xml:space="preserve"> average actual price paid for f</w:t>
            </w:r>
            <w:r w:rsidRPr="000659A0">
              <w:t xml:space="preserve">uel consumed by the Resource during a </w:t>
            </w:r>
            <w:r w:rsidRPr="005C3AB3">
              <w:t>RUC-Committed Interval for generation above LSL.</w:t>
            </w:r>
            <w:r>
              <w:t xml:space="preserve">  </w:t>
            </w:r>
          </w:p>
        </w:tc>
      </w:tr>
    </w:tbl>
    <w:p w14:paraId="4C2CE379" w14:textId="77777777" w:rsidR="0012035F" w:rsidRPr="008910B8" w:rsidRDefault="0012035F" w:rsidP="007E3C4D">
      <w:pPr>
        <w:pStyle w:val="H3"/>
        <w:spacing w:before="480"/>
        <w:rPr>
          <w:b/>
          <w:i/>
        </w:rPr>
      </w:pPr>
      <w:r w:rsidRPr="008910B8">
        <w:rPr>
          <w:b/>
          <w:i/>
        </w:rPr>
        <w:t>9.14.8</w:t>
      </w:r>
      <w:r w:rsidRPr="008910B8">
        <w:rPr>
          <w:b/>
          <w:i/>
        </w:rPr>
        <w:tab/>
        <w:t xml:space="preserve">Disputes for Settlement Application of </w:t>
      </w:r>
      <w:bookmarkEnd w:id="454"/>
      <w:r w:rsidRPr="008910B8">
        <w:rPr>
          <w:b/>
          <w:i/>
        </w:rPr>
        <w:t>Integrated Telemetry for Split Generation Resources</w:t>
      </w:r>
      <w:bookmarkEnd w:id="455"/>
      <w:bookmarkEnd w:id="456"/>
      <w:bookmarkEnd w:id="457"/>
      <w:bookmarkEnd w:id="458"/>
      <w:bookmarkEnd w:id="459"/>
      <w:bookmarkEnd w:id="460"/>
    </w:p>
    <w:p w14:paraId="711F8201" w14:textId="77777777" w:rsidR="0012035F" w:rsidRDefault="00A0123C" w:rsidP="00660ED3">
      <w:pPr>
        <w:pStyle w:val="BodyTextNumbered"/>
        <w:rPr>
          <w:iCs/>
        </w:rPr>
      </w:pPr>
      <w:r>
        <w:rPr>
          <w:iCs/>
        </w:rPr>
        <w:t>(1)</w:t>
      </w:r>
      <w:r>
        <w:rPr>
          <w:iCs/>
        </w:rPr>
        <w:tab/>
      </w:r>
      <w:r w:rsidR="0012035F" w:rsidRPr="00D26DCF">
        <w:rPr>
          <w:iCs/>
        </w:rPr>
        <w:t xml:space="preserve">Settlement and billing disputes related to application of integrated Real-Time telemetry of MW or MVAr from a </w:t>
      </w:r>
      <w:r w:rsidR="0012035F" w:rsidRPr="00A0123C">
        <w:t>Generation</w:t>
      </w:r>
      <w:r w:rsidR="0012035F" w:rsidRPr="00D26DCF">
        <w:rPr>
          <w:iCs/>
        </w:rPr>
        <w:t xml:space="preserve"> Resource that has been split to function as two or more Split Generation Resources require a signed affidavit by all QSEs representing associated Split Generation Resources.  Data values submitted with the affidavit must be integrated to the applicable Settlement Interval format related to the Settlement and billing charge type in dispute.</w:t>
      </w:r>
    </w:p>
    <w:p w14:paraId="60CB5387" w14:textId="77777777" w:rsidR="00970361" w:rsidRPr="00A959CA" w:rsidRDefault="00970361" w:rsidP="00970361">
      <w:pPr>
        <w:pStyle w:val="H3"/>
        <w:rPr>
          <w:b/>
          <w:bCs/>
        </w:rPr>
      </w:pPr>
      <w:bookmarkStart w:id="461" w:name="_Toc80175309"/>
      <w:r w:rsidRPr="00A959CA">
        <w:rPr>
          <w:b/>
          <w:i/>
        </w:rPr>
        <w:t>9.14.9</w:t>
      </w:r>
      <w:r w:rsidRPr="00A959CA">
        <w:rPr>
          <w:b/>
          <w:i/>
        </w:rPr>
        <w:tab/>
        <w:t>Incremental Fuel Costs for Switchable Generation Make-Whole Payment Disputes</w:t>
      </w:r>
      <w:bookmarkEnd w:id="461"/>
      <w:r w:rsidRPr="00A959CA">
        <w:rPr>
          <w:b/>
          <w:bCs/>
        </w:rPr>
        <w:t xml:space="preserve"> </w:t>
      </w:r>
    </w:p>
    <w:p w14:paraId="735042EC" w14:textId="77777777" w:rsidR="00970361" w:rsidRPr="00A959CA" w:rsidRDefault="00970361" w:rsidP="00970361">
      <w:pPr>
        <w:spacing w:after="240"/>
        <w:ind w:left="720" w:hanging="720"/>
        <w:rPr>
          <w:szCs w:val="24"/>
        </w:rPr>
      </w:pPr>
      <w:r w:rsidRPr="00A959CA">
        <w:rPr>
          <w:szCs w:val="24"/>
        </w:rPr>
        <w:t>(1)</w:t>
      </w:r>
      <w:r w:rsidRPr="00A959CA">
        <w:rPr>
          <w:szCs w:val="24"/>
        </w:rPr>
        <w:tab/>
        <w:t xml:space="preserve">For the purposes of any Settlement and billing dispute submitted pursuant to paragraph (1)(c) of Section 6.6.12, Make-Whole Payment for Switchable Generation </w:t>
      </w:r>
      <w:r>
        <w:rPr>
          <w:szCs w:val="24"/>
        </w:rPr>
        <w:t xml:space="preserve">Resources </w:t>
      </w:r>
      <w:r w:rsidRPr="00A959CA">
        <w:rPr>
          <w:szCs w:val="24"/>
        </w:rPr>
        <w:t xml:space="preserve">Committed for Energy Emergency Alert (EEA), if the actual price paid for delivered natural gas for a specific Switchable Generation Resource (SWGR) for an instructed hour is greater than FIP plus the fuel adder, then the QSE may recover the fuel costs incurred for that SWGR in the Settlement and billing dispute.  The QSE must provide documentation (invoices) that identifies intra-day costs of natural gas consumed.  All documentation submitted by the QSE for natural gas costs incurred intra-day must show a nexus from the seller or distributor of natural gas products to the QSE, Resource Entity or Generation Entity as the ultimate buyer.  The QSE must demonstrate that the seller or distributor has procured natural gas fuel intra-day.  </w:t>
      </w:r>
    </w:p>
    <w:p w14:paraId="6924529D" w14:textId="77777777" w:rsidR="00970361" w:rsidRPr="00A959CA" w:rsidRDefault="00970361" w:rsidP="00970361">
      <w:pPr>
        <w:spacing w:after="240"/>
        <w:ind w:left="720" w:hanging="720"/>
        <w:rPr>
          <w:szCs w:val="24"/>
        </w:rPr>
      </w:pPr>
      <w:r w:rsidRPr="00A959CA">
        <w:rPr>
          <w:szCs w:val="24"/>
        </w:rPr>
        <w:lastRenderedPageBreak/>
        <w:t>(2)</w:t>
      </w:r>
      <w:r w:rsidRPr="00A959CA">
        <w:rPr>
          <w:szCs w:val="24"/>
        </w:rPr>
        <w:tab/>
        <w:t>For the purposes of any Settlement and billing dispute submitted pursuant to paragraph (1)(c) of Section 6.6.12</w:t>
      </w:r>
      <w:r w:rsidR="00297FF1">
        <w:rPr>
          <w:szCs w:val="24"/>
        </w:rPr>
        <w:t>,</w:t>
      </w:r>
      <w:r w:rsidRPr="00A959CA">
        <w:rPr>
          <w:szCs w:val="24"/>
        </w:rPr>
        <w:t xml:space="preserve"> if the actual price paid for the delivered fuel oil used to replace oil consumed for an instructed hour is greater than FOP plus the fuel adder, then the QSE may recover the fuel costs incurred for that SWGR in the dispute.  The QSE must provide documentation that identifies purchases of fuel oil by the QSE, Resource Entity, or Generation Entity to replace oil consumed.  In addition, the QSE must provide proof that the SWGR actually consumed fuel oil for the instructed hour.  Proof of actual consumption may be based on the Resource’s technical specifications or flow meters as appropriate.  Documentation of fuel oil purchases must show that these were made no later than seven Business Days after the end of the last consecutive instructed hour. </w:t>
      </w:r>
    </w:p>
    <w:p w14:paraId="31824D0B" w14:textId="77777777" w:rsidR="00970361" w:rsidRDefault="00970361" w:rsidP="00970361">
      <w:pPr>
        <w:pStyle w:val="BodyTextNumbered"/>
      </w:pPr>
      <w:r w:rsidRPr="00A959CA">
        <w:rPr>
          <w:szCs w:val="24"/>
        </w:rPr>
        <w:t>(3)</w:t>
      </w:r>
      <w:r w:rsidRPr="00A959CA">
        <w:rPr>
          <w:szCs w:val="24"/>
        </w:rPr>
        <w:tab/>
        <w:t xml:space="preserve">A QSE submitting documents for the recovery of RUC-related fuel costs other than those specifically discussed in paragraph (1) or (2) above </w:t>
      </w:r>
      <w:r w:rsidRPr="00A959CA">
        <w:rPr>
          <w:color w:val="000000"/>
          <w:szCs w:val="24"/>
        </w:rPr>
        <w:t xml:space="preserve">must request to have such documents approved by the ERCOT Board during an </w:t>
      </w:r>
      <w:r w:rsidRPr="00A959CA">
        <w:rPr>
          <w:szCs w:val="24"/>
        </w:rPr>
        <w:t>Executive</w:t>
      </w:r>
      <w:r w:rsidRPr="00A959CA">
        <w:rPr>
          <w:color w:val="000000"/>
          <w:szCs w:val="24"/>
        </w:rPr>
        <w:t xml:space="preserve"> Session at the next regularly scheduled meeting of the ERCOT Board.  If the ERCOT Board approves the inclusion of such documentation as proof of fuel purchases, the QSE must file a</w:t>
      </w:r>
      <w:r w:rsidR="00297FF1">
        <w:rPr>
          <w:color w:val="000000"/>
          <w:szCs w:val="24"/>
        </w:rPr>
        <w:t xml:space="preserve">n </w:t>
      </w:r>
      <w:r w:rsidRPr="00A959CA">
        <w:rPr>
          <w:color w:val="000000"/>
          <w:szCs w:val="24"/>
        </w:rPr>
        <w:t>NPRR</w:t>
      </w:r>
      <w:r w:rsidR="00297FF1">
        <w:rPr>
          <w:color w:val="000000"/>
          <w:szCs w:val="24"/>
        </w:rPr>
        <w:t xml:space="preserve"> </w:t>
      </w:r>
      <w:r w:rsidRPr="00A959CA">
        <w:rPr>
          <w:color w:val="000000"/>
          <w:szCs w:val="24"/>
        </w:rPr>
        <w:t>in accordance with Section 21, Revision Request Process, to add this category of documentation to the process for approval of Switchable Generation Make-Whole Payments.</w:t>
      </w:r>
    </w:p>
    <w:p w14:paraId="0FA3A167" w14:textId="77777777" w:rsidR="00A26DE0" w:rsidRPr="00A26DE0" w:rsidRDefault="00A26DE0" w:rsidP="00A26DE0">
      <w:pPr>
        <w:pStyle w:val="H3"/>
        <w:rPr>
          <w:b/>
          <w:i/>
        </w:rPr>
      </w:pPr>
      <w:bookmarkStart w:id="462" w:name="_Toc9590849"/>
      <w:bookmarkStart w:id="463" w:name="_Toc80175310"/>
      <w:bookmarkStart w:id="464" w:name="_Toc309731099"/>
      <w:bookmarkStart w:id="465" w:name="_Toc405814075"/>
      <w:bookmarkStart w:id="466" w:name="_Toc422207966"/>
      <w:bookmarkStart w:id="467" w:name="_Toc438044877"/>
      <w:bookmarkStart w:id="468" w:name="_Toc447622660"/>
      <w:r w:rsidRPr="00A26DE0">
        <w:rPr>
          <w:b/>
          <w:bCs/>
          <w:i/>
        </w:rPr>
        <w:t>9.14.10</w:t>
      </w:r>
      <w:r w:rsidRPr="00A26DE0">
        <w:rPr>
          <w:b/>
          <w:bCs/>
          <w:i/>
        </w:rPr>
        <w:tab/>
      </w:r>
      <w:bookmarkEnd w:id="462"/>
      <w:r w:rsidRPr="00A26DE0">
        <w:rPr>
          <w:b/>
          <w:bCs/>
          <w:i/>
        </w:rPr>
        <w:t>Settlement for Market Participants Impacted by Omitted Procedures or Manual Actions to Resolve the DAM</w:t>
      </w:r>
      <w:bookmarkEnd w:id="463"/>
      <w:r w:rsidRPr="00A26DE0">
        <w:rPr>
          <w:b/>
          <w:i/>
        </w:rPr>
        <w:t xml:space="preserve"> </w:t>
      </w:r>
    </w:p>
    <w:p w14:paraId="1373B16E" w14:textId="77777777" w:rsidR="00A26DE0" w:rsidRPr="00A26DE0" w:rsidRDefault="00A26DE0" w:rsidP="00A26DE0">
      <w:pPr>
        <w:spacing w:after="240"/>
        <w:ind w:left="720" w:hanging="720"/>
        <w:rPr>
          <w:iCs/>
          <w:szCs w:val="24"/>
        </w:rPr>
      </w:pPr>
      <w:r w:rsidRPr="00A26DE0">
        <w:rPr>
          <w:iCs/>
          <w:szCs w:val="24"/>
        </w:rPr>
        <w:t>(1)</w:t>
      </w:r>
      <w:r w:rsidRPr="00A26DE0">
        <w:rPr>
          <w:iCs/>
          <w:szCs w:val="24"/>
        </w:rPr>
        <w:tab/>
        <w:t>A Market Participant that has been directly impacted by an action or omission by ERCOT to resolve the DAM, as described in paragraph (4) of Section 4.1.2, Day-Ahead Process and Timing Deviations, may seek recovery by filing a Settlement and billing dispute as defined in Section 9.14.  Where ERCOT determines that the Market Participant seeking recovery has been directly impacted by such ERCOT action or omission, the following provisions apply:</w:t>
      </w:r>
    </w:p>
    <w:p w14:paraId="586A879A" w14:textId="77777777" w:rsidR="00A26DE0" w:rsidRPr="00A26DE0" w:rsidRDefault="00A26DE0" w:rsidP="00A26DE0">
      <w:pPr>
        <w:spacing w:after="240"/>
        <w:ind w:left="1440" w:hanging="720"/>
      </w:pPr>
      <w:r w:rsidRPr="00A26DE0">
        <w:t>(a)</w:t>
      </w:r>
      <w:r w:rsidRPr="00A26DE0">
        <w:tab/>
        <w:t>No resettlement of the DAM will occur as a result of a Market Participant’s recovery under this Section;</w:t>
      </w:r>
    </w:p>
    <w:p w14:paraId="09E0F318" w14:textId="69F2C80C" w:rsidR="00A26DE0" w:rsidRPr="00A26DE0" w:rsidRDefault="00A26DE0" w:rsidP="00A26DE0">
      <w:pPr>
        <w:spacing w:after="240"/>
        <w:ind w:left="1440" w:hanging="720"/>
      </w:pPr>
      <w:r w:rsidRPr="00A26DE0">
        <w:t>(b)</w:t>
      </w:r>
      <w:r w:rsidRPr="00A26DE0">
        <w:tab/>
        <w:t xml:space="preserve">Where a Market Participant’s submissions were not cleared in the DAM, ERCOT will establish a set of DAM Energy Bids, DAM Energy Offers, Ancillary Service Offers, and Point-to-Point </w:t>
      </w:r>
      <w:r w:rsidR="00EE443F">
        <w:t xml:space="preserve">(PTP) </w:t>
      </w:r>
      <w:r w:rsidRPr="00A26DE0">
        <w:t>bids that would have cleared given the settled prices of the DAM;</w:t>
      </w:r>
    </w:p>
    <w:p w14:paraId="15DA9286" w14:textId="77777777" w:rsidR="00A26DE0" w:rsidRPr="00A26DE0" w:rsidRDefault="00A26DE0" w:rsidP="00A26DE0">
      <w:pPr>
        <w:spacing w:after="240"/>
        <w:ind w:left="1440" w:hanging="720"/>
      </w:pPr>
      <w:r w:rsidRPr="00A26DE0">
        <w:t>(c)</w:t>
      </w:r>
      <w:r w:rsidRPr="00A26DE0">
        <w:tab/>
        <w:t>Startup Costs and minimum energy costs will not be considered for recovery;</w:t>
      </w:r>
    </w:p>
    <w:p w14:paraId="7D33D7FF" w14:textId="77777777" w:rsidR="00A26DE0" w:rsidRPr="00A26DE0" w:rsidRDefault="00A26DE0" w:rsidP="00A26DE0">
      <w:pPr>
        <w:spacing w:after="240"/>
        <w:ind w:left="1440" w:hanging="720"/>
      </w:pPr>
      <w:r w:rsidRPr="00A26DE0">
        <w:t>(d)</w:t>
      </w:r>
      <w:r w:rsidRPr="00A26DE0">
        <w:tab/>
        <w:t>For linked offers of energy and Ancillary Services, the available capacity will be allocated to the offers that would have created the greatest value for the Market Participant seeking recovery;</w:t>
      </w:r>
    </w:p>
    <w:p w14:paraId="48F2501E" w14:textId="77777777" w:rsidR="00A26DE0" w:rsidRPr="00A26DE0" w:rsidRDefault="00A26DE0" w:rsidP="00A26DE0">
      <w:pPr>
        <w:spacing w:after="240"/>
        <w:ind w:left="1440" w:hanging="720"/>
      </w:pPr>
      <w:r w:rsidRPr="00A26DE0">
        <w:t>(e)</w:t>
      </w:r>
      <w:r w:rsidRPr="00A26DE0">
        <w:tab/>
        <w:t>All impacted positions will be summed based on their positive or negative value with respect to Real-Time prices;</w:t>
      </w:r>
    </w:p>
    <w:p w14:paraId="12F859C1" w14:textId="77777777" w:rsidR="00A26DE0" w:rsidRPr="00A26DE0" w:rsidRDefault="00A26DE0" w:rsidP="00A26DE0">
      <w:pPr>
        <w:spacing w:after="240"/>
        <w:ind w:left="720" w:firstLine="720"/>
        <w:rPr>
          <w:iCs/>
          <w:szCs w:val="24"/>
        </w:rPr>
      </w:pPr>
      <w:r w:rsidRPr="00A26DE0">
        <w:rPr>
          <w:iCs/>
          <w:szCs w:val="24"/>
        </w:rPr>
        <w:lastRenderedPageBreak/>
        <w:t>Day-Ahead Energy Sales Impact</w:t>
      </w:r>
    </w:p>
    <w:p w14:paraId="5C980632" w14:textId="77777777" w:rsidR="00A26DE0" w:rsidRPr="00A26DE0" w:rsidRDefault="00A26DE0" w:rsidP="00A26DE0">
      <w:pPr>
        <w:spacing w:after="240"/>
        <w:ind w:left="720" w:firstLine="720"/>
        <w:rPr>
          <w:iCs/>
          <w:szCs w:val="24"/>
        </w:rPr>
      </w:pPr>
      <w:r w:rsidRPr="00A26DE0">
        <w:rPr>
          <w:iCs/>
          <w:szCs w:val="24"/>
        </w:rPr>
        <w:t>DAMSQSEAMT</w:t>
      </w:r>
      <w:r w:rsidRPr="00A26DE0">
        <w:rPr>
          <w:i/>
          <w:iCs/>
          <w:szCs w:val="24"/>
          <w:vertAlign w:val="subscript"/>
        </w:rPr>
        <w:t xml:space="preserve"> q</w:t>
      </w:r>
      <w:r w:rsidRPr="00A26DE0">
        <w:rPr>
          <w:iCs/>
          <w:szCs w:val="24"/>
        </w:rPr>
        <w:t xml:space="preserve"> = (-1) *  </w:t>
      </w:r>
      <w:r w:rsidRPr="00A26DE0">
        <w:rPr>
          <w:iCs/>
          <w:position w:val="-22"/>
          <w:szCs w:val="24"/>
        </w:rPr>
        <w:object w:dxaOrig="220" w:dyaOrig="460" w14:anchorId="72C642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4pt;height:21.6pt" o:ole="">
            <v:imagedata r:id="rId14" o:title=""/>
          </v:shape>
          <o:OLEObject Type="Embed" ProgID="Equation.3" ShapeID="_x0000_i1025" DrawAspect="Content" ObjectID="_1788847257" r:id="rId15"/>
        </w:object>
      </w:r>
      <w:r w:rsidRPr="00A26DE0">
        <w:rPr>
          <w:iCs/>
          <w:szCs w:val="24"/>
        </w:rPr>
        <w:t xml:space="preserve"> ((DASPP </w:t>
      </w:r>
      <w:r w:rsidRPr="00A26DE0">
        <w:rPr>
          <w:i/>
          <w:iCs/>
          <w:szCs w:val="24"/>
          <w:vertAlign w:val="subscript"/>
        </w:rPr>
        <w:t>p</w:t>
      </w:r>
      <w:r w:rsidRPr="00A26DE0">
        <w:rPr>
          <w:iCs/>
          <w:szCs w:val="24"/>
        </w:rPr>
        <w:t xml:space="preserve"> – RTSPP</w:t>
      </w:r>
      <w:r w:rsidRPr="00A26DE0">
        <w:rPr>
          <w:i/>
          <w:iCs/>
          <w:szCs w:val="24"/>
          <w:vertAlign w:val="subscript"/>
        </w:rPr>
        <w:t xml:space="preserve"> p</w:t>
      </w:r>
      <w:r w:rsidRPr="00A26DE0">
        <w:rPr>
          <w:iCs/>
          <w:szCs w:val="24"/>
        </w:rPr>
        <w:t>) * (1/4)* DAES</w:t>
      </w:r>
      <w:r w:rsidRPr="00A26DE0">
        <w:rPr>
          <w:i/>
          <w:iCs/>
          <w:szCs w:val="24"/>
          <w:vertAlign w:val="subscript"/>
        </w:rPr>
        <w:t xml:space="preserve"> q,</w:t>
      </w:r>
      <w:r w:rsidRPr="00A26DE0">
        <w:rPr>
          <w:iCs/>
          <w:szCs w:val="24"/>
          <w:vertAlign w:val="subscript"/>
        </w:rPr>
        <w:t xml:space="preserve"> </w:t>
      </w:r>
      <w:r w:rsidRPr="00A26DE0">
        <w:rPr>
          <w:i/>
          <w:iCs/>
          <w:szCs w:val="24"/>
          <w:vertAlign w:val="subscript"/>
        </w:rPr>
        <w:t>p</w:t>
      </w:r>
      <w:r w:rsidRPr="00A26DE0">
        <w:rPr>
          <w:iCs/>
          <w:szCs w:val="24"/>
        </w:rPr>
        <w:t>)</w:t>
      </w:r>
    </w:p>
    <w:p w14:paraId="4F329823" w14:textId="77777777" w:rsidR="00A26DE0" w:rsidRPr="00A26DE0" w:rsidRDefault="00A26DE0" w:rsidP="00A26DE0">
      <w:pPr>
        <w:spacing w:after="240"/>
        <w:ind w:left="720" w:firstLine="720"/>
        <w:rPr>
          <w:iCs/>
          <w:szCs w:val="24"/>
        </w:rPr>
      </w:pPr>
      <w:r w:rsidRPr="00A26DE0">
        <w:rPr>
          <w:iCs/>
          <w:szCs w:val="24"/>
        </w:rPr>
        <w:t>Day-Ahead Energy Purchase Impact</w:t>
      </w:r>
    </w:p>
    <w:p w14:paraId="630346BD" w14:textId="77777777" w:rsidR="00A26DE0" w:rsidRPr="00A26DE0" w:rsidRDefault="00A26DE0" w:rsidP="00A26DE0">
      <w:pPr>
        <w:spacing w:after="240"/>
        <w:ind w:left="720" w:firstLine="720"/>
        <w:rPr>
          <w:iCs/>
          <w:szCs w:val="24"/>
        </w:rPr>
      </w:pPr>
      <w:r w:rsidRPr="00A26DE0">
        <w:rPr>
          <w:iCs/>
          <w:szCs w:val="24"/>
        </w:rPr>
        <w:t>DAMPQSEAMT</w:t>
      </w:r>
      <w:r w:rsidRPr="00A26DE0">
        <w:rPr>
          <w:i/>
          <w:iCs/>
          <w:szCs w:val="24"/>
          <w:vertAlign w:val="subscript"/>
        </w:rPr>
        <w:t xml:space="preserve"> q</w:t>
      </w:r>
      <w:r w:rsidRPr="00A26DE0">
        <w:rPr>
          <w:iCs/>
          <w:szCs w:val="24"/>
        </w:rPr>
        <w:t xml:space="preserve"> = (-1) * </w:t>
      </w:r>
      <w:r w:rsidRPr="00A26DE0">
        <w:rPr>
          <w:iCs/>
          <w:position w:val="-22"/>
          <w:szCs w:val="24"/>
        </w:rPr>
        <w:object w:dxaOrig="220" w:dyaOrig="460" w14:anchorId="3AF940BD">
          <v:shape id="_x0000_i1026" type="#_x0000_t75" style="width:14.4pt;height:21.6pt" o:ole="">
            <v:imagedata r:id="rId14" o:title=""/>
          </v:shape>
          <o:OLEObject Type="Embed" ProgID="Equation.3" ShapeID="_x0000_i1026" DrawAspect="Content" ObjectID="_1788847258" r:id="rId16"/>
        </w:object>
      </w:r>
      <w:r w:rsidRPr="00A26DE0">
        <w:rPr>
          <w:iCs/>
          <w:szCs w:val="24"/>
        </w:rPr>
        <w:t xml:space="preserve"> ((RTSPP</w:t>
      </w:r>
      <w:r w:rsidRPr="00A26DE0">
        <w:rPr>
          <w:i/>
          <w:iCs/>
          <w:szCs w:val="24"/>
          <w:vertAlign w:val="subscript"/>
        </w:rPr>
        <w:t xml:space="preserve"> p</w:t>
      </w:r>
      <w:r w:rsidRPr="00A26DE0">
        <w:rPr>
          <w:iCs/>
          <w:szCs w:val="24"/>
        </w:rPr>
        <w:t xml:space="preserve"> – DASPP </w:t>
      </w:r>
      <w:r w:rsidRPr="00A26DE0">
        <w:rPr>
          <w:i/>
          <w:iCs/>
          <w:szCs w:val="24"/>
          <w:vertAlign w:val="subscript"/>
        </w:rPr>
        <w:t>p</w:t>
      </w:r>
      <w:r w:rsidRPr="00A26DE0">
        <w:rPr>
          <w:iCs/>
          <w:szCs w:val="24"/>
        </w:rPr>
        <w:t>) * (1/4)* DAEP</w:t>
      </w:r>
      <w:r w:rsidRPr="00A26DE0">
        <w:rPr>
          <w:i/>
          <w:iCs/>
          <w:szCs w:val="24"/>
          <w:vertAlign w:val="subscript"/>
        </w:rPr>
        <w:t xml:space="preserve"> q,</w:t>
      </w:r>
      <w:r w:rsidRPr="00A26DE0">
        <w:rPr>
          <w:iCs/>
          <w:szCs w:val="24"/>
          <w:vertAlign w:val="subscript"/>
        </w:rPr>
        <w:t xml:space="preserve"> </w:t>
      </w:r>
      <w:r w:rsidRPr="00A26DE0">
        <w:rPr>
          <w:i/>
          <w:iCs/>
          <w:szCs w:val="24"/>
          <w:vertAlign w:val="subscript"/>
        </w:rPr>
        <w:t>p</w:t>
      </w:r>
      <w:r w:rsidRPr="00A26DE0">
        <w:rPr>
          <w:iCs/>
          <w:szCs w:val="24"/>
        </w:rPr>
        <w:t>)</w:t>
      </w:r>
    </w:p>
    <w:p w14:paraId="0FBD9A34" w14:textId="77777777" w:rsidR="00A26DE0" w:rsidRPr="00A26DE0" w:rsidRDefault="00A26DE0" w:rsidP="00A26DE0">
      <w:pPr>
        <w:spacing w:after="240"/>
        <w:ind w:left="720" w:firstLine="720"/>
        <w:rPr>
          <w:iCs/>
          <w:szCs w:val="24"/>
        </w:rPr>
      </w:pPr>
      <w:r w:rsidRPr="00A26DE0">
        <w:rPr>
          <w:iCs/>
          <w:szCs w:val="24"/>
        </w:rPr>
        <w:t>Day-Ahead Ancillary Services Sales Impact</w:t>
      </w:r>
    </w:p>
    <w:p w14:paraId="56255FD4" w14:textId="15E45218" w:rsidR="00434F7C" w:rsidRPr="00A26DE0" w:rsidRDefault="00434F7C" w:rsidP="00434F7C">
      <w:pPr>
        <w:spacing w:after="240"/>
        <w:ind w:left="2160" w:hanging="720"/>
        <w:rPr>
          <w:iCs/>
          <w:szCs w:val="24"/>
        </w:rPr>
      </w:pPr>
      <w:r w:rsidRPr="00A26DE0">
        <w:rPr>
          <w:iCs/>
          <w:szCs w:val="24"/>
        </w:rPr>
        <w:t>DAMASQSEAMT</w:t>
      </w:r>
      <w:r w:rsidRPr="00A26DE0">
        <w:rPr>
          <w:i/>
          <w:iCs/>
          <w:szCs w:val="24"/>
          <w:vertAlign w:val="subscript"/>
        </w:rPr>
        <w:t xml:space="preserve"> q</w:t>
      </w:r>
      <w:r w:rsidRPr="00A26DE0">
        <w:rPr>
          <w:iCs/>
          <w:szCs w:val="24"/>
        </w:rPr>
        <w:t xml:space="preserve"> = (-1) * </w:t>
      </w:r>
      <w:r>
        <w:rPr>
          <w:iCs/>
          <w:noProof/>
          <w:position w:val="-18"/>
          <w:szCs w:val="24"/>
        </w:rPr>
        <w:drawing>
          <wp:inline distT="0" distB="0" distL="0" distR="0" wp14:anchorId="409CB054" wp14:editId="0FBE62E3">
            <wp:extent cx="180975" cy="2762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0975" cy="276225"/>
                    </a:xfrm>
                    <a:prstGeom prst="rect">
                      <a:avLst/>
                    </a:prstGeom>
                    <a:noFill/>
                    <a:ln>
                      <a:noFill/>
                    </a:ln>
                  </pic:spPr>
                </pic:pic>
              </a:graphicData>
            </a:graphic>
          </wp:inline>
        </w:drawing>
      </w:r>
      <w:r w:rsidRPr="00A26DE0">
        <w:rPr>
          <w:iCs/>
          <w:szCs w:val="24"/>
        </w:rPr>
        <w:t xml:space="preserve"> (((MCPCRU </w:t>
      </w:r>
      <w:r w:rsidRPr="00A26DE0">
        <w:rPr>
          <w:i/>
          <w:iCs/>
          <w:szCs w:val="24"/>
          <w:vertAlign w:val="subscript"/>
        </w:rPr>
        <w:t>DAM</w:t>
      </w:r>
      <w:r w:rsidRPr="00A26DE0">
        <w:rPr>
          <w:iCs/>
          <w:szCs w:val="24"/>
        </w:rPr>
        <w:t xml:space="preserve"> – RUOPR </w:t>
      </w:r>
      <w:r w:rsidRPr="00A26DE0">
        <w:rPr>
          <w:i/>
          <w:iCs/>
          <w:szCs w:val="24"/>
          <w:vertAlign w:val="subscript"/>
        </w:rPr>
        <w:t>q,</w:t>
      </w:r>
      <w:r>
        <w:rPr>
          <w:i/>
          <w:iCs/>
          <w:szCs w:val="24"/>
          <w:vertAlign w:val="subscript"/>
        </w:rPr>
        <w:t xml:space="preserve"> </w:t>
      </w:r>
      <w:r w:rsidRPr="00A26DE0">
        <w:rPr>
          <w:i/>
          <w:iCs/>
          <w:szCs w:val="24"/>
          <w:vertAlign w:val="subscript"/>
        </w:rPr>
        <w:t>r,</w:t>
      </w:r>
      <w:r>
        <w:rPr>
          <w:i/>
          <w:iCs/>
          <w:szCs w:val="24"/>
          <w:vertAlign w:val="subscript"/>
        </w:rPr>
        <w:t xml:space="preserve"> </w:t>
      </w:r>
      <w:r w:rsidRPr="00A26DE0">
        <w:rPr>
          <w:i/>
          <w:iCs/>
          <w:szCs w:val="24"/>
          <w:vertAlign w:val="subscript"/>
        </w:rPr>
        <w:t>DAM</w:t>
      </w:r>
      <w:r w:rsidRPr="00A26DE0">
        <w:rPr>
          <w:iCs/>
          <w:szCs w:val="24"/>
        </w:rPr>
        <w:t xml:space="preserve">) * PCRUR </w:t>
      </w:r>
      <w:r w:rsidRPr="00A26DE0">
        <w:rPr>
          <w:i/>
          <w:iCs/>
          <w:szCs w:val="24"/>
          <w:vertAlign w:val="subscript"/>
        </w:rPr>
        <w:t>q,</w:t>
      </w:r>
      <w:r>
        <w:rPr>
          <w:i/>
          <w:iCs/>
          <w:szCs w:val="24"/>
          <w:vertAlign w:val="subscript"/>
        </w:rPr>
        <w:t xml:space="preserve"> </w:t>
      </w:r>
      <w:r w:rsidRPr="00A26DE0">
        <w:rPr>
          <w:i/>
          <w:iCs/>
          <w:szCs w:val="24"/>
          <w:vertAlign w:val="subscript"/>
        </w:rPr>
        <w:t>r,</w:t>
      </w:r>
      <w:r>
        <w:rPr>
          <w:i/>
          <w:iCs/>
          <w:szCs w:val="24"/>
          <w:vertAlign w:val="subscript"/>
        </w:rPr>
        <w:t xml:space="preserve"> </w:t>
      </w:r>
      <w:r w:rsidRPr="00A26DE0">
        <w:rPr>
          <w:i/>
          <w:iCs/>
          <w:szCs w:val="24"/>
          <w:vertAlign w:val="subscript"/>
        </w:rPr>
        <w:t>DAM</w:t>
      </w:r>
      <w:r w:rsidRPr="00A26DE0">
        <w:rPr>
          <w:iCs/>
          <w:szCs w:val="24"/>
        </w:rPr>
        <w:t>)</w:t>
      </w:r>
      <w:r w:rsidRPr="00A26DE0" w:rsidDel="007B2A73">
        <w:rPr>
          <w:iCs/>
          <w:szCs w:val="24"/>
        </w:rPr>
        <w:t xml:space="preserve"> </w:t>
      </w:r>
    </w:p>
    <w:p w14:paraId="72DA35A2" w14:textId="77777777" w:rsidR="00434F7C" w:rsidRPr="00A26DE0" w:rsidRDefault="00434F7C" w:rsidP="00434F7C">
      <w:pPr>
        <w:spacing w:after="240"/>
        <w:ind w:left="2160"/>
        <w:rPr>
          <w:i/>
          <w:iCs/>
          <w:szCs w:val="24"/>
          <w:vertAlign w:val="subscript"/>
        </w:rPr>
      </w:pPr>
      <w:r w:rsidRPr="00A26DE0">
        <w:rPr>
          <w:iCs/>
          <w:szCs w:val="24"/>
        </w:rPr>
        <w:t xml:space="preserve">+ ((MCPCRD </w:t>
      </w:r>
      <w:r w:rsidRPr="00A26DE0">
        <w:rPr>
          <w:i/>
          <w:iCs/>
          <w:szCs w:val="24"/>
          <w:vertAlign w:val="subscript"/>
        </w:rPr>
        <w:t>DAM</w:t>
      </w:r>
      <w:r w:rsidRPr="00A26DE0">
        <w:rPr>
          <w:iCs/>
          <w:szCs w:val="24"/>
        </w:rPr>
        <w:t xml:space="preserve"> – RDOPR </w:t>
      </w:r>
      <w:r w:rsidRPr="00A26DE0">
        <w:rPr>
          <w:i/>
          <w:iCs/>
          <w:szCs w:val="24"/>
          <w:vertAlign w:val="subscript"/>
        </w:rPr>
        <w:t>q,</w:t>
      </w:r>
      <w:r>
        <w:rPr>
          <w:i/>
          <w:iCs/>
          <w:szCs w:val="24"/>
          <w:vertAlign w:val="subscript"/>
        </w:rPr>
        <w:t xml:space="preserve"> </w:t>
      </w:r>
      <w:r w:rsidRPr="00A26DE0">
        <w:rPr>
          <w:i/>
          <w:iCs/>
          <w:szCs w:val="24"/>
          <w:vertAlign w:val="subscript"/>
        </w:rPr>
        <w:t>r,</w:t>
      </w:r>
      <w:r>
        <w:rPr>
          <w:i/>
          <w:iCs/>
          <w:szCs w:val="24"/>
          <w:vertAlign w:val="subscript"/>
        </w:rPr>
        <w:t xml:space="preserve"> </w:t>
      </w:r>
      <w:r w:rsidRPr="00A26DE0">
        <w:rPr>
          <w:i/>
          <w:iCs/>
          <w:szCs w:val="24"/>
          <w:vertAlign w:val="subscript"/>
        </w:rPr>
        <w:t>DAM</w:t>
      </w:r>
      <w:r w:rsidRPr="00A26DE0">
        <w:rPr>
          <w:iCs/>
          <w:szCs w:val="24"/>
        </w:rPr>
        <w:t xml:space="preserve">) * PCRDR </w:t>
      </w:r>
      <w:r w:rsidRPr="00A26DE0">
        <w:rPr>
          <w:i/>
          <w:iCs/>
          <w:szCs w:val="24"/>
          <w:vertAlign w:val="subscript"/>
        </w:rPr>
        <w:t>q,</w:t>
      </w:r>
      <w:r>
        <w:rPr>
          <w:i/>
          <w:iCs/>
          <w:szCs w:val="24"/>
          <w:vertAlign w:val="subscript"/>
        </w:rPr>
        <w:t xml:space="preserve"> </w:t>
      </w:r>
      <w:r w:rsidRPr="00A26DE0">
        <w:rPr>
          <w:i/>
          <w:iCs/>
          <w:szCs w:val="24"/>
          <w:vertAlign w:val="subscript"/>
        </w:rPr>
        <w:t>r,</w:t>
      </w:r>
      <w:r>
        <w:rPr>
          <w:i/>
          <w:iCs/>
          <w:szCs w:val="24"/>
          <w:vertAlign w:val="subscript"/>
        </w:rPr>
        <w:t xml:space="preserve"> </w:t>
      </w:r>
      <w:r w:rsidRPr="00A26DE0">
        <w:rPr>
          <w:i/>
          <w:iCs/>
          <w:szCs w:val="24"/>
          <w:vertAlign w:val="subscript"/>
        </w:rPr>
        <w:t>DAM</w:t>
      </w:r>
      <w:r w:rsidRPr="00A26DE0">
        <w:rPr>
          <w:iCs/>
          <w:szCs w:val="24"/>
        </w:rPr>
        <w:t>)</w:t>
      </w:r>
    </w:p>
    <w:p w14:paraId="38487E17" w14:textId="77777777" w:rsidR="00434F7C" w:rsidRPr="00A26DE0" w:rsidRDefault="00434F7C" w:rsidP="00434F7C">
      <w:pPr>
        <w:spacing w:after="240"/>
        <w:ind w:left="2160"/>
        <w:rPr>
          <w:iCs/>
          <w:szCs w:val="24"/>
        </w:rPr>
      </w:pPr>
      <w:r w:rsidRPr="00A26DE0">
        <w:rPr>
          <w:iCs/>
          <w:szCs w:val="24"/>
        </w:rPr>
        <w:t xml:space="preserve">+ ((MCPCRR </w:t>
      </w:r>
      <w:r w:rsidRPr="00A26DE0">
        <w:rPr>
          <w:i/>
          <w:iCs/>
          <w:szCs w:val="24"/>
          <w:vertAlign w:val="subscript"/>
        </w:rPr>
        <w:t>DAM</w:t>
      </w:r>
      <w:r w:rsidRPr="00A26DE0">
        <w:rPr>
          <w:iCs/>
          <w:szCs w:val="24"/>
        </w:rPr>
        <w:t xml:space="preserve"> – RROPR </w:t>
      </w:r>
      <w:r w:rsidRPr="00A26DE0">
        <w:rPr>
          <w:i/>
          <w:iCs/>
          <w:szCs w:val="24"/>
          <w:vertAlign w:val="subscript"/>
        </w:rPr>
        <w:t>q,</w:t>
      </w:r>
      <w:r>
        <w:rPr>
          <w:i/>
          <w:iCs/>
          <w:szCs w:val="24"/>
          <w:vertAlign w:val="subscript"/>
        </w:rPr>
        <w:t xml:space="preserve"> </w:t>
      </w:r>
      <w:r w:rsidRPr="00A26DE0">
        <w:rPr>
          <w:i/>
          <w:iCs/>
          <w:szCs w:val="24"/>
          <w:vertAlign w:val="subscript"/>
        </w:rPr>
        <w:t>r,</w:t>
      </w:r>
      <w:r>
        <w:rPr>
          <w:i/>
          <w:iCs/>
          <w:szCs w:val="24"/>
          <w:vertAlign w:val="subscript"/>
        </w:rPr>
        <w:t xml:space="preserve"> </w:t>
      </w:r>
      <w:r w:rsidRPr="00A26DE0">
        <w:rPr>
          <w:i/>
          <w:iCs/>
          <w:szCs w:val="24"/>
          <w:vertAlign w:val="subscript"/>
        </w:rPr>
        <w:t>DAM</w:t>
      </w:r>
      <w:r w:rsidRPr="00A26DE0">
        <w:rPr>
          <w:iCs/>
          <w:szCs w:val="24"/>
        </w:rPr>
        <w:t xml:space="preserve">) * PCRRR </w:t>
      </w:r>
      <w:r w:rsidRPr="00A26DE0">
        <w:rPr>
          <w:i/>
          <w:iCs/>
          <w:szCs w:val="24"/>
          <w:vertAlign w:val="subscript"/>
        </w:rPr>
        <w:t>q,</w:t>
      </w:r>
      <w:r>
        <w:rPr>
          <w:i/>
          <w:iCs/>
          <w:szCs w:val="24"/>
          <w:vertAlign w:val="subscript"/>
        </w:rPr>
        <w:t xml:space="preserve"> </w:t>
      </w:r>
      <w:r w:rsidRPr="00A26DE0">
        <w:rPr>
          <w:i/>
          <w:iCs/>
          <w:szCs w:val="24"/>
          <w:vertAlign w:val="subscript"/>
        </w:rPr>
        <w:t>r,</w:t>
      </w:r>
      <w:r>
        <w:rPr>
          <w:i/>
          <w:iCs/>
          <w:szCs w:val="24"/>
          <w:vertAlign w:val="subscript"/>
        </w:rPr>
        <w:t xml:space="preserve"> </w:t>
      </w:r>
      <w:r w:rsidRPr="00A26DE0">
        <w:rPr>
          <w:i/>
          <w:iCs/>
          <w:szCs w:val="24"/>
          <w:vertAlign w:val="subscript"/>
        </w:rPr>
        <w:t>DAM</w:t>
      </w:r>
      <w:r w:rsidRPr="00A26DE0">
        <w:rPr>
          <w:iCs/>
          <w:szCs w:val="24"/>
        </w:rPr>
        <w:t>)</w:t>
      </w:r>
      <w:r w:rsidRPr="00A26DE0" w:rsidDel="007B2A73">
        <w:rPr>
          <w:iCs/>
          <w:szCs w:val="24"/>
        </w:rPr>
        <w:t xml:space="preserve"> </w:t>
      </w:r>
      <w:r w:rsidRPr="00A26DE0">
        <w:rPr>
          <w:iCs/>
          <w:szCs w:val="24"/>
        </w:rPr>
        <w:t xml:space="preserve"> </w:t>
      </w:r>
    </w:p>
    <w:p w14:paraId="501A041B" w14:textId="77777777" w:rsidR="00434F7C" w:rsidRPr="00A26DE0" w:rsidRDefault="00434F7C" w:rsidP="00434F7C">
      <w:pPr>
        <w:spacing w:after="240"/>
        <w:ind w:left="2160"/>
        <w:rPr>
          <w:iCs/>
          <w:szCs w:val="24"/>
        </w:rPr>
      </w:pPr>
      <w:r w:rsidRPr="00A26DE0">
        <w:rPr>
          <w:iCs/>
          <w:szCs w:val="24"/>
        </w:rPr>
        <w:t xml:space="preserve">+ ((MCPCECR </w:t>
      </w:r>
      <w:r w:rsidRPr="00A26DE0">
        <w:rPr>
          <w:i/>
          <w:iCs/>
          <w:szCs w:val="24"/>
          <w:vertAlign w:val="subscript"/>
        </w:rPr>
        <w:t>DAM</w:t>
      </w:r>
      <w:r w:rsidRPr="00A26DE0">
        <w:rPr>
          <w:iCs/>
          <w:szCs w:val="24"/>
        </w:rPr>
        <w:t xml:space="preserve"> – ECRSOPR </w:t>
      </w:r>
      <w:r w:rsidRPr="00A26DE0">
        <w:rPr>
          <w:i/>
          <w:iCs/>
          <w:szCs w:val="24"/>
          <w:vertAlign w:val="subscript"/>
        </w:rPr>
        <w:t>q,</w:t>
      </w:r>
      <w:r>
        <w:rPr>
          <w:i/>
          <w:iCs/>
          <w:szCs w:val="24"/>
          <w:vertAlign w:val="subscript"/>
        </w:rPr>
        <w:t xml:space="preserve"> </w:t>
      </w:r>
      <w:r w:rsidRPr="00A26DE0">
        <w:rPr>
          <w:i/>
          <w:iCs/>
          <w:szCs w:val="24"/>
          <w:vertAlign w:val="subscript"/>
        </w:rPr>
        <w:t>r,</w:t>
      </w:r>
      <w:r>
        <w:rPr>
          <w:i/>
          <w:iCs/>
          <w:szCs w:val="24"/>
          <w:vertAlign w:val="subscript"/>
        </w:rPr>
        <w:t xml:space="preserve"> </w:t>
      </w:r>
      <w:r w:rsidRPr="00A26DE0">
        <w:rPr>
          <w:i/>
          <w:iCs/>
          <w:szCs w:val="24"/>
          <w:vertAlign w:val="subscript"/>
        </w:rPr>
        <w:t>DAM</w:t>
      </w:r>
      <w:r w:rsidRPr="00A26DE0">
        <w:rPr>
          <w:iCs/>
          <w:szCs w:val="24"/>
        </w:rPr>
        <w:t xml:space="preserve">) * PCECRR </w:t>
      </w:r>
      <w:r w:rsidRPr="00A26DE0">
        <w:rPr>
          <w:i/>
          <w:iCs/>
          <w:szCs w:val="24"/>
          <w:vertAlign w:val="subscript"/>
        </w:rPr>
        <w:t>q,</w:t>
      </w:r>
      <w:r>
        <w:rPr>
          <w:i/>
          <w:iCs/>
          <w:szCs w:val="24"/>
          <w:vertAlign w:val="subscript"/>
        </w:rPr>
        <w:t xml:space="preserve"> </w:t>
      </w:r>
      <w:r w:rsidRPr="00A26DE0">
        <w:rPr>
          <w:i/>
          <w:iCs/>
          <w:szCs w:val="24"/>
          <w:vertAlign w:val="subscript"/>
        </w:rPr>
        <w:t>r,</w:t>
      </w:r>
      <w:r>
        <w:rPr>
          <w:i/>
          <w:iCs/>
          <w:szCs w:val="24"/>
          <w:vertAlign w:val="subscript"/>
        </w:rPr>
        <w:t xml:space="preserve"> </w:t>
      </w:r>
      <w:r w:rsidRPr="00A26DE0">
        <w:rPr>
          <w:i/>
          <w:iCs/>
          <w:szCs w:val="24"/>
          <w:vertAlign w:val="subscript"/>
        </w:rPr>
        <w:t>DAM</w:t>
      </w:r>
      <w:r w:rsidRPr="00A26DE0">
        <w:rPr>
          <w:iCs/>
          <w:szCs w:val="24"/>
        </w:rPr>
        <w:t>)</w:t>
      </w:r>
    </w:p>
    <w:p w14:paraId="38C87398" w14:textId="6D80D4A1" w:rsidR="00A26DE0" w:rsidRPr="00A26DE0" w:rsidRDefault="00434F7C" w:rsidP="00A26DE0">
      <w:pPr>
        <w:spacing w:after="240"/>
        <w:ind w:left="2160"/>
        <w:rPr>
          <w:iCs/>
          <w:szCs w:val="24"/>
        </w:rPr>
      </w:pPr>
      <w:r w:rsidRPr="00A26DE0">
        <w:rPr>
          <w:iCs/>
          <w:szCs w:val="24"/>
        </w:rPr>
        <w:t xml:space="preserve">+ ((MCPCNS </w:t>
      </w:r>
      <w:r w:rsidRPr="00A26DE0">
        <w:rPr>
          <w:i/>
          <w:iCs/>
          <w:szCs w:val="24"/>
          <w:vertAlign w:val="subscript"/>
        </w:rPr>
        <w:t>DAM</w:t>
      </w:r>
      <w:r w:rsidRPr="00A26DE0">
        <w:rPr>
          <w:iCs/>
          <w:szCs w:val="24"/>
        </w:rPr>
        <w:t xml:space="preserve"> – NSOPR </w:t>
      </w:r>
      <w:r w:rsidRPr="00A26DE0">
        <w:rPr>
          <w:i/>
          <w:iCs/>
          <w:szCs w:val="24"/>
          <w:vertAlign w:val="subscript"/>
        </w:rPr>
        <w:t>q,</w:t>
      </w:r>
      <w:r>
        <w:rPr>
          <w:i/>
          <w:iCs/>
          <w:szCs w:val="24"/>
          <w:vertAlign w:val="subscript"/>
        </w:rPr>
        <w:t xml:space="preserve"> </w:t>
      </w:r>
      <w:r w:rsidRPr="00A26DE0">
        <w:rPr>
          <w:i/>
          <w:iCs/>
          <w:szCs w:val="24"/>
          <w:vertAlign w:val="subscript"/>
        </w:rPr>
        <w:t>r,</w:t>
      </w:r>
      <w:r>
        <w:rPr>
          <w:i/>
          <w:iCs/>
          <w:szCs w:val="24"/>
          <w:vertAlign w:val="subscript"/>
        </w:rPr>
        <w:t xml:space="preserve"> </w:t>
      </w:r>
      <w:r w:rsidRPr="00A26DE0">
        <w:rPr>
          <w:i/>
          <w:iCs/>
          <w:szCs w:val="24"/>
          <w:vertAlign w:val="subscript"/>
        </w:rPr>
        <w:t>DAM</w:t>
      </w:r>
      <w:r w:rsidRPr="00A26DE0">
        <w:rPr>
          <w:iCs/>
          <w:szCs w:val="24"/>
        </w:rPr>
        <w:t xml:space="preserve">) * PCNSR </w:t>
      </w:r>
      <w:r w:rsidRPr="00A26DE0">
        <w:rPr>
          <w:i/>
          <w:iCs/>
          <w:szCs w:val="24"/>
          <w:vertAlign w:val="subscript"/>
        </w:rPr>
        <w:t>q,</w:t>
      </w:r>
      <w:r>
        <w:rPr>
          <w:i/>
          <w:iCs/>
          <w:szCs w:val="24"/>
          <w:vertAlign w:val="subscript"/>
        </w:rPr>
        <w:t xml:space="preserve"> </w:t>
      </w:r>
      <w:r w:rsidRPr="00A26DE0">
        <w:rPr>
          <w:i/>
          <w:iCs/>
          <w:szCs w:val="24"/>
          <w:vertAlign w:val="subscript"/>
        </w:rPr>
        <w:t>r,</w:t>
      </w:r>
      <w:r>
        <w:rPr>
          <w:i/>
          <w:iCs/>
          <w:szCs w:val="24"/>
          <w:vertAlign w:val="subscript"/>
        </w:rPr>
        <w:t xml:space="preserve"> </w:t>
      </w:r>
      <w:r w:rsidRPr="00A26DE0">
        <w:rPr>
          <w:i/>
          <w:iCs/>
          <w:szCs w:val="24"/>
          <w:vertAlign w:val="subscript"/>
        </w:rPr>
        <w:t>DAM</w:t>
      </w:r>
      <w:r w:rsidRPr="00A26DE0">
        <w:rPr>
          <w:iCs/>
          <w:szCs w:val="24"/>
        </w:rPr>
        <w:t>))</w:t>
      </w:r>
    </w:p>
    <w:p w14:paraId="2BA97787" w14:textId="77777777" w:rsidR="00A26DE0" w:rsidRPr="00A26DE0" w:rsidRDefault="00A26DE0" w:rsidP="00353B99">
      <w:pPr>
        <w:spacing w:after="240"/>
        <w:ind w:left="1440"/>
        <w:rPr>
          <w:iCs/>
          <w:szCs w:val="24"/>
        </w:rPr>
      </w:pPr>
      <w:r w:rsidRPr="00A26DE0">
        <w:rPr>
          <w:iCs/>
          <w:szCs w:val="24"/>
        </w:rPr>
        <w:t>Day-Ahead Point-to-Point Obligation Impact</w:t>
      </w:r>
    </w:p>
    <w:p w14:paraId="1F5B3F40" w14:textId="77777777" w:rsidR="00A26DE0" w:rsidRPr="00A26DE0" w:rsidRDefault="00A26DE0" w:rsidP="00A26DE0">
      <w:pPr>
        <w:spacing w:after="240"/>
        <w:ind w:left="1440"/>
        <w:rPr>
          <w:iCs/>
          <w:szCs w:val="24"/>
          <w:vertAlign w:val="subscript"/>
        </w:rPr>
      </w:pPr>
      <w:r w:rsidRPr="00A26DE0">
        <w:rPr>
          <w:iCs/>
          <w:szCs w:val="24"/>
        </w:rPr>
        <w:t>DAMRTPTPQSEAMT</w:t>
      </w:r>
      <w:r w:rsidRPr="00A26DE0">
        <w:rPr>
          <w:i/>
          <w:iCs/>
          <w:szCs w:val="24"/>
          <w:vertAlign w:val="subscript"/>
        </w:rPr>
        <w:t xml:space="preserve"> q</w:t>
      </w:r>
      <w:r w:rsidRPr="00A26DE0">
        <w:rPr>
          <w:iCs/>
          <w:szCs w:val="24"/>
        </w:rPr>
        <w:t xml:space="preserve"> = (-1) *  </w:t>
      </w:r>
      <w:r w:rsidRPr="00A26DE0">
        <w:rPr>
          <w:iCs/>
          <w:position w:val="-22"/>
          <w:szCs w:val="24"/>
        </w:rPr>
        <w:object w:dxaOrig="220" w:dyaOrig="460" w14:anchorId="6915E990">
          <v:shape id="_x0000_i1027" type="#_x0000_t75" style="width:14.4pt;height:21.6pt" o:ole="">
            <v:imagedata r:id="rId18" o:title=""/>
          </v:shape>
          <o:OLEObject Type="Embed" ProgID="Equation.3" ShapeID="_x0000_i1027" DrawAspect="Content" ObjectID="_1788847259" r:id="rId19"/>
        </w:object>
      </w:r>
      <w:r w:rsidRPr="00A26DE0">
        <w:rPr>
          <w:iCs/>
          <w:position w:val="-20"/>
          <w:szCs w:val="24"/>
        </w:rPr>
        <w:object w:dxaOrig="220" w:dyaOrig="440" w14:anchorId="08AE3001">
          <v:shape id="_x0000_i1028" type="#_x0000_t75" style="width:14.4pt;height:21.6pt" o:ole="">
            <v:imagedata r:id="rId20" o:title=""/>
          </v:shape>
          <o:OLEObject Type="Embed" ProgID="Equation.3" ShapeID="_x0000_i1028" DrawAspect="Content" ObjectID="_1788847260" r:id="rId21"/>
        </w:object>
      </w:r>
      <w:r w:rsidRPr="00A26DE0">
        <w:rPr>
          <w:iCs/>
          <w:szCs w:val="24"/>
        </w:rPr>
        <w:t xml:space="preserve"> ((</w:t>
      </w:r>
      <w:r w:rsidRPr="00A26DE0">
        <w:rPr>
          <w:iCs/>
          <w:szCs w:val="24"/>
          <w:lang w:val="sv-SE"/>
        </w:rPr>
        <w:t xml:space="preserve">RTOBLPR </w:t>
      </w:r>
      <w:r w:rsidRPr="00A26DE0">
        <w:rPr>
          <w:i/>
          <w:iCs/>
          <w:szCs w:val="24"/>
          <w:vertAlign w:val="subscript"/>
          <w:lang w:val="sv-SE"/>
        </w:rPr>
        <w:t>(j, k)</w:t>
      </w:r>
      <w:r w:rsidRPr="00A26DE0" w:rsidDel="003C61CB">
        <w:rPr>
          <w:iCs/>
          <w:szCs w:val="24"/>
        </w:rPr>
        <w:t xml:space="preserve"> </w:t>
      </w:r>
      <w:r w:rsidRPr="00A26DE0">
        <w:rPr>
          <w:iCs/>
          <w:szCs w:val="24"/>
        </w:rPr>
        <w:t xml:space="preserve">– DAOBLPR </w:t>
      </w:r>
      <w:r w:rsidRPr="00A26DE0">
        <w:rPr>
          <w:i/>
          <w:iCs/>
          <w:szCs w:val="24"/>
          <w:vertAlign w:val="subscript"/>
        </w:rPr>
        <w:t>(j, k)</w:t>
      </w:r>
      <w:r w:rsidRPr="00A26DE0">
        <w:rPr>
          <w:iCs/>
          <w:szCs w:val="24"/>
        </w:rPr>
        <w:t xml:space="preserve">) * RTOBL </w:t>
      </w:r>
      <w:r w:rsidRPr="00A26DE0">
        <w:rPr>
          <w:i/>
          <w:iCs/>
          <w:szCs w:val="24"/>
          <w:vertAlign w:val="subscript"/>
        </w:rPr>
        <w:t>q, (j, k)</w:t>
      </w:r>
      <w:r w:rsidRPr="00A26DE0">
        <w:rPr>
          <w:iCs/>
          <w:szCs w:val="24"/>
        </w:rPr>
        <w:t>)</w:t>
      </w:r>
    </w:p>
    <w:p w14:paraId="0A963F7D" w14:textId="77777777" w:rsidR="00A26DE0" w:rsidRPr="00A26DE0" w:rsidRDefault="00A26DE0" w:rsidP="00A26DE0">
      <w:pPr>
        <w:ind w:left="1440"/>
        <w:rPr>
          <w:iCs/>
          <w:szCs w:val="24"/>
          <w:lang w:val="sv-SE"/>
        </w:rPr>
      </w:pPr>
      <w:r w:rsidRPr="00A26DE0">
        <w:rPr>
          <w:iCs/>
          <w:szCs w:val="24"/>
          <w:lang w:val="sv-SE"/>
        </w:rPr>
        <w:t>Where:</w:t>
      </w:r>
    </w:p>
    <w:p w14:paraId="410E4B98" w14:textId="77777777" w:rsidR="00A26DE0" w:rsidRPr="00A26DE0" w:rsidRDefault="00A26DE0" w:rsidP="00A26DE0">
      <w:pPr>
        <w:ind w:left="2880" w:hanging="720"/>
        <w:rPr>
          <w:iCs/>
          <w:szCs w:val="24"/>
          <w:lang w:val="sv-SE"/>
        </w:rPr>
      </w:pPr>
      <w:r w:rsidRPr="00A26DE0">
        <w:rPr>
          <w:iCs/>
          <w:szCs w:val="24"/>
          <w:lang w:val="sv-SE"/>
        </w:rPr>
        <w:t xml:space="preserve">RTOBLPR </w:t>
      </w:r>
      <w:r w:rsidRPr="00A26DE0">
        <w:rPr>
          <w:i/>
          <w:iCs/>
          <w:szCs w:val="24"/>
          <w:vertAlign w:val="subscript"/>
          <w:lang w:val="sv-SE"/>
        </w:rPr>
        <w:t>(j, k)</w:t>
      </w:r>
      <w:r w:rsidRPr="00A26DE0">
        <w:rPr>
          <w:iCs/>
          <w:szCs w:val="24"/>
          <w:lang w:val="sv-SE"/>
        </w:rPr>
        <w:t xml:space="preserve">   = </w:t>
      </w:r>
      <w:r w:rsidRPr="00A26DE0">
        <w:rPr>
          <w:iCs/>
          <w:position w:val="-20"/>
          <w:szCs w:val="24"/>
        </w:rPr>
        <w:object w:dxaOrig="260" w:dyaOrig="580" w14:anchorId="1D743F0D">
          <v:shape id="_x0000_i1029" type="#_x0000_t75" style="width:14.4pt;height:27.6pt" o:ole="">
            <v:imagedata r:id="rId22" o:title=""/>
          </v:shape>
          <o:OLEObject Type="Embed" ProgID="Equation.3" ShapeID="_x0000_i1029" DrawAspect="Content" ObjectID="_1788847261" r:id="rId23"/>
        </w:object>
      </w:r>
      <w:r w:rsidRPr="00A26DE0">
        <w:rPr>
          <w:iCs/>
          <w:szCs w:val="24"/>
          <w:lang w:val="sv-SE"/>
        </w:rPr>
        <w:t xml:space="preserve">(RTSPP </w:t>
      </w:r>
      <w:r w:rsidRPr="00A26DE0">
        <w:rPr>
          <w:iCs/>
          <w:szCs w:val="24"/>
          <w:vertAlign w:val="subscript"/>
          <w:lang w:val="sv-SE"/>
        </w:rPr>
        <w:t>(</w:t>
      </w:r>
      <w:r w:rsidRPr="00A26DE0">
        <w:rPr>
          <w:i/>
          <w:iCs/>
          <w:szCs w:val="24"/>
          <w:vertAlign w:val="subscript"/>
          <w:lang w:val="sv-SE"/>
        </w:rPr>
        <w:t>k,i</w:t>
      </w:r>
      <w:r w:rsidRPr="00A26DE0">
        <w:rPr>
          <w:iCs/>
          <w:szCs w:val="24"/>
          <w:vertAlign w:val="subscript"/>
          <w:lang w:val="sv-SE"/>
        </w:rPr>
        <w:t>)</w:t>
      </w:r>
      <w:r w:rsidRPr="00A26DE0">
        <w:rPr>
          <w:iCs/>
          <w:szCs w:val="24"/>
          <w:lang w:val="sv-SE"/>
        </w:rPr>
        <w:t xml:space="preserve"> – RTSPP </w:t>
      </w:r>
      <w:r w:rsidRPr="00A26DE0">
        <w:rPr>
          <w:iCs/>
          <w:szCs w:val="24"/>
          <w:vertAlign w:val="subscript"/>
          <w:lang w:val="sv-SE"/>
        </w:rPr>
        <w:t>(</w:t>
      </w:r>
      <w:r w:rsidRPr="00A26DE0">
        <w:rPr>
          <w:i/>
          <w:iCs/>
          <w:szCs w:val="24"/>
          <w:vertAlign w:val="subscript"/>
          <w:lang w:val="sv-SE"/>
        </w:rPr>
        <w:t xml:space="preserve">j,i </w:t>
      </w:r>
      <w:r w:rsidRPr="00A26DE0">
        <w:rPr>
          <w:iCs/>
          <w:szCs w:val="24"/>
          <w:vertAlign w:val="subscript"/>
          <w:lang w:val="sv-SE"/>
        </w:rPr>
        <w:t>)</w:t>
      </w:r>
      <w:r w:rsidRPr="00A26DE0">
        <w:rPr>
          <w:iCs/>
          <w:szCs w:val="24"/>
        </w:rPr>
        <w:t>)</w:t>
      </w:r>
      <w:r w:rsidRPr="00A26DE0">
        <w:rPr>
          <w:iCs/>
          <w:szCs w:val="24"/>
          <w:lang w:val="sv-SE"/>
        </w:rPr>
        <w:t xml:space="preserve"> / 4</w:t>
      </w:r>
    </w:p>
    <w:p w14:paraId="5C76CE00" w14:textId="77777777" w:rsidR="00A26DE0" w:rsidRPr="00A26DE0" w:rsidRDefault="00A26DE0" w:rsidP="00A26DE0">
      <w:pPr>
        <w:tabs>
          <w:tab w:val="left" w:pos="2340"/>
          <w:tab w:val="left" w:pos="2700"/>
        </w:tabs>
        <w:spacing w:after="240"/>
        <w:ind w:left="4500" w:hanging="2340"/>
        <w:rPr>
          <w:bCs/>
          <w:szCs w:val="24"/>
          <w:lang w:val="x-none" w:eastAsia="x-none"/>
        </w:rPr>
      </w:pPr>
      <w:r w:rsidRPr="00A26DE0">
        <w:rPr>
          <w:bCs/>
          <w:szCs w:val="24"/>
          <w:lang w:val="x-none" w:eastAsia="x-none"/>
        </w:rPr>
        <w:t xml:space="preserve">DAOBLPR </w:t>
      </w:r>
      <w:r w:rsidRPr="00A26DE0">
        <w:rPr>
          <w:bCs/>
          <w:i/>
          <w:szCs w:val="24"/>
          <w:vertAlign w:val="subscript"/>
          <w:lang w:val="x-none" w:eastAsia="x-none"/>
        </w:rPr>
        <w:t>(j, k)</w:t>
      </w:r>
      <w:r w:rsidRPr="00A26DE0">
        <w:rPr>
          <w:bCs/>
          <w:szCs w:val="24"/>
          <w:lang w:val="x-none" w:eastAsia="x-none"/>
        </w:rPr>
        <w:t xml:space="preserve">  =</w:t>
      </w:r>
      <w:r w:rsidRPr="00A26DE0">
        <w:rPr>
          <w:bCs/>
          <w:szCs w:val="24"/>
          <w:lang w:eastAsia="x-none"/>
        </w:rPr>
        <w:t xml:space="preserve">  </w:t>
      </w:r>
      <w:r w:rsidRPr="00A26DE0">
        <w:rPr>
          <w:bCs/>
          <w:szCs w:val="24"/>
          <w:lang w:val="x-none" w:eastAsia="x-none"/>
        </w:rPr>
        <w:t xml:space="preserve">DASPP </w:t>
      </w:r>
      <w:r w:rsidRPr="00A26DE0">
        <w:rPr>
          <w:bCs/>
          <w:i/>
          <w:szCs w:val="24"/>
          <w:vertAlign w:val="subscript"/>
          <w:lang w:val="x-none" w:eastAsia="x-none"/>
        </w:rPr>
        <w:t>k</w:t>
      </w:r>
      <w:r w:rsidRPr="00A26DE0">
        <w:rPr>
          <w:bCs/>
          <w:szCs w:val="24"/>
          <w:lang w:val="x-none" w:eastAsia="x-none"/>
        </w:rPr>
        <w:t xml:space="preserve"> – DASPP </w:t>
      </w:r>
      <w:r w:rsidRPr="00A26DE0">
        <w:rPr>
          <w:bCs/>
          <w:i/>
          <w:szCs w:val="24"/>
          <w:vertAlign w:val="subscript"/>
          <w:lang w:val="x-none" w:eastAsia="x-none"/>
        </w:rPr>
        <w:t>j</w:t>
      </w:r>
    </w:p>
    <w:p w14:paraId="54C9B04A" w14:textId="77777777" w:rsidR="00A26DE0" w:rsidRPr="00A26DE0" w:rsidRDefault="00A26DE0" w:rsidP="00A26DE0">
      <w:pPr>
        <w:spacing w:after="240"/>
        <w:ind w:left="1440" w:hanging="720"/>
      </w:pPr>
      <w:r w:rsidRPr="00A26DE0">
        <w:t>(f)</w:t>
      </w:r>
      <w:r w:rsidRPr="00A26DE0">
        <w:tab/>
        <w:t>If any RUC short charges occur for any Operating Hour involved in a Market Participant’s recovery under this Section, ERCOT will evaluate the Market Participant’s revised position to determine if the Market Participant is entitled to a refund, or should be charged for RUC short charge;</w:t>
      </w:r>
    </w:p>
    <w:p w14:paraId="587CDC00" w14:textId="77777777" w:rsidR="00A26DE0" w:rsidRPr="00A26DE0" w:rsidRDefault="00A26DE0" w:rsidP="00A26DE0">
      <w:pPr>
        <w:spacing w:after="240"/>
        <w:ind w:left="1440" w:hanging="720"/>
      </w:pPr>
      <w:r w:rsidRPr="00A26DE0">
        <w:t>(g)</w:t>
      </w:r>
      <w:r w:rsidRPr="00A26DE0">
        <w:tab/>
        <w:t>Any resulting charge or payment to the Market Participant will be invoiced using a miscellaneous Invoice, but allocated with the method outlined in paragraphs (2) through (4) of Section 9.19.1, Default Uplift Invoices.</w:t>
      </w:r>
    </w:p>
    <w:p w14:paraId="4910D307" w14:textId="77777777" w:rsidR="00A26DE0" w:rsidRPr="00A26DE0" w:rsidRDefault="00A26DE0" w:rsidP="00A26DE0">
      <w:pPr>
        <w:rPr>
          <w:szCs w:val="24"/>
        </w:rPr>
      </w:pPr>
      <w:r w:rsidRPr="00A26DE0">
        <w:rPr>
          <w:szCs w:val="24"/>
        </w:rPr>
        <w:t>The above variables are defined as follows:</w:t>
      </w:r>
    </w:p>
    <w:tbl>
      <w:tblPr>
        <w:tblW w:w="54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5"/>
        <w:gridCol w:w="811"/>
        <w:gridCol w:w="7199"/>
      </w:tblGrid>
      <w:tr w:rsidR="00A26DE0" w:rsidRPr="00A26DE0" w14:paraId="6393652B" w14:textId="77777777" w:rsidTr="00353B99">
        <w:trPr>
          <w:trHeight w:val="359"/>
        </w:trPr>
        <w:tc>
          <w:tcPr>
            <w:tcW w:w="1060" w:type="pct"/>
            <w:shd w:val="clear" w:color="auto" w:fill="auto"/>
            <w:hideMark/>
          </w:tcPr>
          <w:p w14:paraId="257C8405" w14:textId="77777777" w:rsidR="00A26DE0" w:rsidRPr="00A26DE0" w:rsidRDefault="00A26DE0" w:rsidP="00A26DE0">
            <w:pPr>
              <w:spacing w:after="240"/>
              <w:rPr>
                <w:b/>
                <w:iCs/>
                <w:sz w:val="20"/>
              </w:rPr>
            </w:pPr>
            <w:r w:rsidRPr="00A26DE0">
              <w:rPr>
                <w:b/>
                <w:iCs/>
                <w:sz w:val="20"/>
              </w:rPr>
              <w:t>Variable</w:t>
            </w:r>
          </w:p>
        </w:tc>
        <w:tc>
          <w:tcPr>
            <w:tcW w:w="399" w:type="pct"/>
            <w:shd w:val="clear" w:color="auto" w:fill="auto"/>
            <w:hideMark/>
          </w:tcPr>
          <w:p w14:paraId="34E16A71" w14:textId="77777777" w:rsidR="00A26DE0" w:rsidRPr="00A26DE0" w:rsidRDefault="00A26DE0" w:rsidP="00A26DE0">
            <w:pPr>
              <w:spacing w:after="240"/>
              <w:jc w:val="center"/>
              <w:rPr>
                <w:b/>
                <w:iCs/>
                <w:sz w:val="20"/>
              </w:rPr>
            </w:pPr>
            <w:r w:rsidRPr="00A26DE0">
              <w:rPr>
                <w:b/>
                <w:iCs/>
                <w:sz w:val="20"/>
              </w:rPr>
              <w:t>Unit</w:t>
            </w:r>
          </w:p>
        </w:tc>
        <w:tc>
          <w:tcPr>
            <w:tcW w:w="3541" w:type="pct"/>
            <w:shd w:val="clear" w:color="auto" w:fill="auto"/>
            <w:hideMark/>
          </w:tcPr>
          <w:p w14:paraId="46BD347C" w14:textId="77777777" w:rsidR="00A26DE0" w:rsidRPr="00A26DE0" w:rsidRDefault="00A26DE0" w:rsidP="00A26DE0">
            <w:pPr>
              <w:spacing w:after="240"/>
              <w:rPr>
                <w:b/>
                <w:iCs/>
                <w:sz w:val="20"/>
              </w:rPr>
            </w:pPr>
            <w:r w:rsidRPr="00A26DE0">
              <w:rPr>
                <w:b/>
                <w:iCs/>
                <w:sz w:val="20"/>
              </w:rPr>
              <w:t>Definition</w:t>
            </w:r>
          </w:p>
        </w:tc>
      </w:tr>
      <w:tr w:rsidR="00A26DE0" w:rsidRPr="00A26DE0" w14:paraId="1921950F" w14:textId="77777777" w:rsidTr="00353B99">
        <w:tc>
          <w:tcPr>
            <w:tcW w:w="1060" w:type="pct"/>
            <w:shd w:val="clear" w:color="auto" w:fill="auto"/>
            <w:hideMark/>
          </w:tcPr>
          <w:p w14:paraId="289D0095" w14:textId="77777777" w:rsidR="00A26DE0" w:rsidRPr="00A26DE0" w:rsidRDefault="00A26DE0" w:rsidP="00A26DE0">
            <w:pPr>
              <w:spacing w:after="60"/>
              <w:rPr>
                <w:iCs/>
                <w:sz w:val="20"/>
              </w:rPr>
            </w:pPr>
            <w:r w:rsidRPr="00A26DE0">
              <w:rPr>
                <w:iCs/>
                <w:sz w:val="20"/>
              </w:rPr>
              <w:t>DAMSQSEAMT</w:t>
            </w:r>
            <w:r w:rsidRPr="00A26DE0">
              <w:rPr>
                <w:i/>
                <w:iCs/>
                <w:sz w:val="20"/>
                <w:vertAlign w:val="subscript"/>
              </w:rPr>
              <w:t xml:space="preserve"> q</w:t>
            </w:r>
          </w:p>
        </w:tc>
        <w:tc>
          <w:tcPr>
            <w:tcW w:w="399" w:type="pct"/>
            <w:shd w:val="clear" w:color="auto" w:fill="auto"/>
            <w:hideMark/>
          </w:tcPr>
          <w:p w14:paraId="2A2C256E" w14:textId="77777777" w:rsidR="00A26DE0" w:rsidRPr="00A26DE0" w:rsidRDefault="00A26DE0" w:rsidP="00A26DE0">
            <w:pPr>
              <w:spacing w:after="60"/>
              <w:jc w:val="center"/>
              <w:rPr>
                <w:iCs/>
                <w:sz w:val="20"/>
              </w:rPr>
            </w:pPr>
            <w:r w:rsidRPr="00A26DE0">
              <w:rPr>
                <w:iCs/>
                <w:sz w:val="20"/>
              </w:rPr>
              <w:t>$</w:t>
            </w:r>
          </w:p>
        </w:tc>
        <w:tc>
          <w:tcPr>
            <w:tcW w:w="3541" w:type="pct"/>
            <w:shd w:val="clear" w:color="auto" w:fill="auto"/>
            <w:hideMark/>
          </w:tcPr>
          <w:p w14:paraId="7AA4A381" w14:textId="77777777" w:rsidR="00A26DE0" w:rsidRPr="00A26DE0" w:rsidRDefault="00A26DE0" w:rsidP="00A26DE0">
            <w:pPr>
              <w:spacing w:after="60"/>
              <w:rPr>
                <w:iCs/>
                <w:sz w:val="20"/>
              </w:rPr>
            </w:pPr>
            <w:r w:rsidRPr="00A26DE0">
              <w:rPr>
                <w:i/>
                <w:iCs/>
                <w:sz w:val="20"/>
              </w:rPr>
              <w:t>Day-Ahead Market Energy Sales Amount by QSE</w:t>
            </w:r>
            <w:r w:rsidRPr="00A26DE0">
              <w:rPr>
                <w:iCs/>
                <w:sz w:val="20"/>
              </w:rPr>
              <w:t xml:space="preserve">—The sum of the DAM Energy Sales positions compared to Real-Time results, for the QSE </w:t>
            </w:r>
            <w:r w:rsidRPr="00A26DE0">
              <w:rPr>
                <w:i/>
                <w:iCs/>
                <w:sz w:val="20"/>
              </w:rPr>
              <w:t>q</w:t>
            </w:r>
            <w:r w:rsidRPr="00A26DE0">
              <w:rPr>
                <w:iCs/>
                <w:sz w:val="20"/>
              </w:rPr>
              <w:t xml:space="preserve">, for the 15-minute Settlement Interval.  </w:t>
            </w:r>
          </w:p>
        </w:tc>
      </w:tr>
      <w:tr w:rsidR="00A26DE0" w:rsidRPr="00A26DE0" w14:paraId="6563C40F" w14:textId="77777777" w:rsidTr="00353B99">
        <w:tc>
          <w:tcPr>
            <w:tcW w:w="1060" w:type="pct"/>
            <w:shd w:val="clear" w:color="auto" w:fill="auto"/>
          </w:tcPr>
          <w:p w14:paraId="38602A67" w14:textId="77777777" w:rsidR="00A26DE0" w:rsidRPr="00A26DE0" w:rsidRDefault="00A26DE0" w:rsidP="00A26DE0">
            <w:pPr>
              <w:spacing w:after="60"/>
              <w:rPr>
                <w:iCs/>
                <w:sz w:val="20"/>
              </w:rPr>
            </w:pPr>
            <w:r w:rsidRPr="00A26DE0">
              <w:rPr>
                <w:iCs/>
                <w:sz w:val="20"/>
              </w:rPr>
              <w:lastRenderedPageBreak/>
              <w:t>DAMPQSEAMT</w:t>
            </w:r>
            <w:r w:rsidRPr="00A26DE0">
              <w:rPr>
                <w:i/>
                <w:iCs/>
                <w:sz w:val="20"/>
                <w:vertAlign w:val="subscript"/>
              </w:rPr>
              <w:t xml:space="preserve"> q</w:t>
            </w:r>
          </w:p>
        </w:tc>
        <w:tc>
          <w:tcPr>
            <w:tcW w:w="399" w:type="pct"/>
            <w:shd w:val="clear" w:color="auto" w:fill="auto"/>
          </w:tcPr>
          <w:p w14:paraId="5C4795F8" w14:textId="77777777" w:rsidR="00A26DE0" w:rsidRPr="00A26DE0" w:rsidRDefault="00A26DE0" w:rsidP="00A26DE0">
            <w:pPr>
              <w:spacing w:after="60"/>
              <w:jc w:val="center"/>
              <w:rPr>
                <w:iCs/>
                <w:sz w:val="20"/>
              </w:rPr>
            </w:pPr>
            <w:r w:rsidRPr="00A26DE0">
              <w:rPr>
                <w:iCs/>
                <w:sz w:val="20"/>
              </w:rPr>
              <w:t>$</w:t>
            </w:r>
          </w:p>
        </w:tc>
        <w:tc>
          <w:tcPr>
            <w:tcW w:w="3541" w:type="pct"/>
            <w:shd w:val="clear" w:color="auto" w:fill="auto"/>
          </w:tcPr>
          <w:p w14:paraId="41514228" w14:textId="77777777" w:rsidR="00A26DE0" w:rsidRPr="00A26DE0" w:rsidRDefault="00A26DE0" w:rsidP="00A26DE0">
            <w:pPr>
              <w:spacing w:after="60"/>
              <w:rPr>
                <w:iCs/>
                <w:sz w:val="20"/>
              </w:rPr>
            </w:pPr>
            <w:r w:rsidRPr="00A26DE0">
              <w:rPr>
                <w:i/>
                <w:iCs/>
                <w:sz w:val="20"/>
              </w:rPr>
              <w:t>Day-Ahead Market Energy Purchases Amount by QSE</w:t>
            </w:r>
            <w:r w:rsidRPr="00A26DE0">
              <w:rPr>
                <w:iCs/>
                <w:sz w:val="20"/>
              </w:rPr>
              <w:t xml:space="preserve">—The sum of the DAM Energy purchases compared to Real-Time results, for the QSE </w:t>
            </w:r>
            <w:r w:rsidRPr="00A26DE0">
              <w:rPr>
                <w:i/>
                <w:iCs/>
                <w:sz w:val="20"/>
              </w:rPr>
              <w:t>q</w:t>
            </w:r>
            <w:r w:rsidRPr="00A26DE0">
              <w:rPr>
                <w:iCs/>
                <w:sz w:val="20"/>
              </w:rPr>
              <w:t xml:space="preserve">, for the 15-minute Settlement Interval.  </w:t>
            </w:r>
          </w:p>
        </w:tc>
      </w:tr>
      <w:tr w:rsidR="00A26DE0" w:rsidRPr="00A26DE0" w14:paraId="01D697C8" w14:textId="77777777" w:rsidTr="00353B99">
        <w:tc>
          <w:tcPr>
            <w:tcW w:w="1060" w:type="pct"/>
            <w:shd w:val="clear" w:color="auto" w:fill="auto"/>
          </w:tcPr>
          <w:p w14:paraId="3F6550E3" w14:textId="77777777" w:rsidR="00A26DE0" w:rsidRPr="00A26DE0" w:rsidRDefault="00A26DE0" w:rsidP="00A26DE0">
            <w:pPr>
              <w:spacing w:after="60"/>
              <w:rPr>
                <w:iCs/>
                <w:sz w:val="20"/>
              </w:rPr>
            </w:pPr>
            <w:r w:rsidRPr="00A26DE0">
              <w:rPr>
                <w:iCs/>
                <w:sz w:val="20"/>
              </w:rPr>
              <w:t>DAMASQSEAMT</w:t>
            </w:r>
            <w:r w:rsidRPr="00A26DE0">
              <w:rPr>
                <w:i/>
                <w:iCs/>
                <w:sz w:val="20"/>
                <w:vertAlign w:val="subscript"/>
              </w:rPr>
              <w:t xml:space="preserve"> q</w:t>
            </w:r>
          </w:p>
        </w:tc>
        <w:tc>
          <w:tcPr>
            <w:tcW w:w="399" w:type="pct"/>
            <w:shd w:val="clear" w:color="auto" w:fill="auto"/>
          </w:tcPr>
          <w:p w14:paraId="2CDCDB59" w14:textId="77777777" w:rsidR="00A26DE0" w:rsidRPr="00A26DE0" w:rsidRDefault="00A26DE0" w:rsidP="00A26DE0">
            <w:pPr>
              <w:spacing w:after="60"/>
              <w:jc w:val="center"/>
              <w:rPr>
                <w:iCs/>
                <w:sz w:val="20"/>
              </w:rPr>
            </w:pPr>
            <w:r w:rsidRPr="00A26DE0">
              <w:rPr>
                <w:iCs/>
                <w:sz w:val="20"/>
              </w:rPr>
              <w:t>$</w:t>
            </w:r>
          </w:p>
        </w:tc>
        <w:tc>
          <w:tcPr>
            <w:tcW w:w="3541" w:type="pct"/>
            <w:shd w:val="clear" w:color="auto" w:fill="auto"/>
          </w:tcPr>
          <w:p w14:paraId="2FD7B8BB" w14:textId="77777777" w:rsidR="00A26DE0" w:rsidRPr="00A26DE0" w:rsidRDefault="00A26DE0" w:rsidP="00A26DE0">
            <w:pPr>
              <w:spacing w:after="60"/>
              <w:rPr>
                <w:iCs/>
                <w:sz w:val="20"/>
              </w:rPr>
            </w:pPr>
            <w:r w:rsidRPr="00A26DE0">
              <w:rPr>
                <w:i/>
                <w:iCs/>
                <w:sz w:val="20"/>
              </w:rPr>
              <w:t>Day-Ahead Market Ancillary Service Amount by QSE</w:t>
            </w:r>
            <w:r w:rsidRPr="00A26DE0">
              <w:rPr>
                <w:iCs/>
                <w:sz w:val="20"/>
              </w:rPr>
              <w:t xml:space="preserve">—The sum of the DAM Ancillary Service awarded amounts compared to Real-Time results, for the QSE </w:t>
            </w:r>
            <w:r w:rsidRPr="00A26DE0">
              <w:rPr>
                <w:i/>
                <w:iCs/>
                <w:sz w:val="20"/>
              </w:rPr>
              <w:t>q</w:t>
            </w:r>
            <w:r w:rsidRPr="00A26DE0">
              <w:rPr>
                <w:iCs/>
                <w:sz w:val="20"/>
              </w:rPr>
              <w:t xml:space="preserve">, for the hour.  </w:t>
            </w:r>
          </w:p>
        </w:tc>
      </w:tr>
      <w:tr w:rsidR="00A26DE0" w:rsidRPr="00A26DE0" w14:paraId="657C3F15" w14:textId="77777777" w:rsidTr="00353B99">
        <w:tc>
          <w:tcPr>
            <w:tcW w:w="1060" w:type="pct"/>
            <w:shd w:val="clear" w:color="auto" w:fill="auto"/>
          </w:tcPr>
          <w:p w14:paraId="20898FD3" w14:textId="77777777" w:rsidR="00A26DE0" w:rsidRPr="00A26DE0" w:rsidRDefault="00A26DE0" w:rsidP="00A26DE0">
            <w:pPr>
              <w:spacing w:after="60"/>
              <w:rPr>
                <w:iCs/>
                <w:sz w:val="20"/>
              </w:rPr>
            </w:pPr>
            <w:r w:rsidRPr="00A26DE0">
              <w:rPr>
                <w:iCs/>
                <w:sz w:val="20"/>
              </w:rPr>
              <w:t>DAMRTPTPQSEAMT</w:t>
            </w:r>
            <w:r w:rsidRPr="00A26DE0">
              <w:rPr>
                <w:i/>
                <w:iCs/>
                <w:sz w:val="20"/>
                <w:vertAlign w:val="subscript"/>
              </w:rPr>
              <w:t xml:space="preserve"> q</w:t>
            </w:r>
          </w:p>
        </w:tc>
        <w:tc>
          <w:tcPr>
            <w:tcW w:w="399" w:type="pct"/>
            <w:shd w:val="clear" w:color="auto" w:fill="auto"/>
          </w:tcPr>
          <w:p w14:paraId="585F6606" w14:textId="77777777" w:rsidR="00A26DE0" w:rsidRPr="00A26DE0" w:rsidRDefault="00A26DE0" w:rsidP="00A26DE0">
            <w:pPr>
              <w:spacing w:after="60"/>
              <w:jc w:val="center"/>
              <w:rPr>
                <w:iCs/>
                <w:sz w:val="20"/>
              </w:rPr>
            </w:pPr>
            <w:r w:rsidRPr="00A26DE0">
              <w:rPr>
                <w:iCs/>
                <w:sz w:val="20"/>
              </w:rPr>
              <w:t>$</w:t>
            </w:r>
          </w:p>
        </w:tc>
        <w:tc>
          <w:tcPr>
            <w:tcW w:w="3541" w:type="pct"/>
            <w:shd w:val="clear" w:color="auto" w:fill="auto"/>
          </w:tcPr>
          <w:p w14:paraId="5ED9D2E3" w14:textId="426E5F65" w:rsidR="00A26DE0" w:rsidRPr="00A26DE0" w:rsidRDefault="00A26DE0" w:rsidP="00EE443F">
            <w:pPr>
              <w:spacing w:after="60"/>
              <w:rPr>
                <w:iCs/>
                <w:sz w:val="20"/>
              </w:rPr>
            </w:pPr>
            <w:r w:rsidRPr="00A26DE0">
              <w:rPr>
                <w:i/>
                <w:iCs/>
                <w:sz w:val="20"/>
              </w:rPr>
              <w:t>Day-Ahead Market Real-Time Point-to-Point Obligation Amount by QSE</w:t>
            </w:r>
            <w:r w:rsidRPr="00A26DE0">
              <w:rPr>
                <w:iCs/>
                <w:sz w:val="20"/>
              </w:rPr>
              <w:t xml:space="preserve">—The sum of the PTP Obligation bids cleared in the DAM compared to Real-Time results, for the QSE </w:t>
            </w:r>
            <w:r w:rsidRPr="00A26DE0">
              <w:rPr>
                <w:i/>
                <w:iCs/>
                <w:sz w:val="20"/>
              </w:rPr>
              <w:t>q</w:t>
            </w:r>
            <w:r w:rsidRPr="00A26DE0">
              <w:rPr>
                <w:iCs/>
                <w:sz w:val="20"/>
              </w:rPr>
              <w:t xml:space="preserve">, for the hour.  </w:t>
            </w:r>
          </w:p>
        </w:tc>
      </w:tr>
      <w:tr w:rsidR="00A26DE0" w:rsidRPr="00A26DE0" w14:paraId="4EA8588D" w14:textId="77777777" w:rsidTr="00353B99">
        <w:tc>
          <w:tcPr>
            <w:tcW w:w="1060" w:type="pct"/>
            <w:shd w:val="clear" w:color="auto" w:fill="auto"/>
          </w:tcPr>
          <w:p w14:paraId="6A8CE2B1" w14:textId="77777777" w:rsidR="00A26DE0" w:rsidRPr="00A26DE0" w:rsidRDefault="00A26DE0" w:rsidP="00A26DE0">
            <w:pPr>
              <w:spacing w:after="60"/>
              <w:rPr>
                <w:iCs/>
                <w:sz w:val="20"/>
              </w:rPr>
            </w:pPr>
            <w:r w:rsidRPr="00A26DE0">
              <w:rPr>
                <w:iCs/>
                <w:sz w:val="20"/>
              </w:rPr>
              <w:t>DASPP</w:t>
            </w:r>
            <w:r w:rsidRPr="00A26DE0">
              <w:rPr>
                <w:iCs/>
                <w:sz w:val="20"/>
                <w:vertAlign w:val="subscript"/>
              </w:rPr>
              <w:t xml:space="preserve"> </w:t>
            </w:r>
            <w:r w:rsidRPr="00A26DE0">
              <w:rPr>
                <w:i/>
                <w:iCs/>
                <w:sz w:val="20"/>
                <w:vertAlign w:val="subscript"/>
              </w:rPr>
              <w:t>p</w:t>
            </w:r>
          </w:p>
        </w:tc>
        <w:tc>
          <w:tcPr>
            <w:tcW w:w="399" w:type="pct"/>
            <w:shd w:val="clear" w:color="auto" w:fill="auto"/>
          </w:tcPr>
          <w:p w14:paraId="39E186E1" w14:textId="77777777" w:rsidR="00A26DE0" w:rsidRPr="00A26DE0" w:rsidRDefault="00A26DE0" w:rsidP="00A26DE0">
            <w:pPr>
              <w:spacing w:after="60"/>
              <w:jc w:val="center"/>
              <w:rPr>
                <w:iCs/>
                <w:sz w:val="20"/>
              </w:rPr>
            </w:pPr>
            <w:r w:rsidRPr="00A26DE0">
              <w:rPr>
                <w:iCs/>
                <w:sz w:val="20"/>
              </w:rPr>
              <w:t>$/MWh</w:t>
            </w:r>
          </w:p>
        </w:tc>
        <w:tc>
          <w:tcPr>
            <w:tcW w:w="3541" w:type="pct"/>
            <w:shd w:val="clear" w:color="auto" w:fill="auto"/>
          </w:tcPr>
          <w:p w14:paraId="1C0032C4" w14:textId="77777777" w:rsidR="00A26DE0" w:rsidRPr="00A26DE0" w:rsidRDefault="00A26DE0" w:rsidP="00A26DE0">
            <w:pPr>
              <w:spacing w:after="60"/>
              <w:rPr>
                <w:iCs/>
                <w:sz w:val="20"/>
              </w:rPr>
            </w:pPr>
            <w:r w:rsidRPr="00A26DE0">
              <w:rPr>
                <w:i/>
                <w:iCs/>
                <w:sz w:val="20"/>
              </w:rPr>
              <w:t>Day-Ahead Settlement Point Price per Settlement Point</w:t>
            </w:r>
            <w:r w:rsidRPr="00A26DE0">
              <w:rPr>
                <w:iCs/>
                <w:sz w:val="20"/>
              </w:rPr>
              <w:t xml:space="preserve">—The DAM Settlement Point Price at Settlement Point </w:t>
            </w:r>
            <w:r w:rsidRPr="00A26DE0">
              <w:rPr>
                <w:i/>
                <w:iCs/>
                <w:sz w:val="20"/>
              </w:rPr>
              <w:t>p</w:t>
            </w:r>
            <w:r w:rsidRPr="00A26DE0">
              <w:rPr>
                <w:iCs/>
                <w:sz w:val="20"/>
              </w:rPr>
              <w:t>, for the hour.</w:t>
            </w:r>
          </w:p>
        </w:tc>
      </w:tr>
      <w:tr w:rsidR="00A26DE0" w:rsidRPr="00A26DE0" w14:paraId="6690D004" w14:textId="77777777" w:rsidTr="00353B99">
        <w:tc>
          <w:tcPr>
            <w:tcW w:w="1060" w:type="pct"/>
            <w:shd w:val="clear" w:color="auto" w:fill="auto"/>
          </w:tcPr>
          <w:p w14:paraId="2B5A00C6" w14:textId="77777777" w:rsidR="00A26DE0" w:rsidRPr="00A26DE0" w:rsidRDefault="00A26DE0" w:rsidP="00A26DE0">
            <w:pPr>
              <w:spacing w:after="60"/>
              <w:rPr>
                <w:iCs/>
                <w:sz w:val="20"/>
              </w:rPr>
            </w:pPr>
            <w:r w:rsidRPr="00A26DE0">
              <w:rPr>
                <w:iCs/>
                <w:sz w:val="20"/>
              </w:rPr>
              <w:t xml:space="preserve">RTOBL </w:t>
            </w:r>
            <w:r w:rsidRPr="00A26DE0">
              <w:rPr>
                <w:i/>
                <w:iCs/>
                <w:sz w:val="20"/>
                <w:vertAlign w:val="subscript"/>
              </w:rPr>
              <w:t>q, (j, k)</w:t>
            </w:r>
          </w:p>
        </w:tc>
        <w:tc>
          <w:tcPr>
            <w:tcW w:w="399" w:type="pct"/>
            <w:shd w:val="clear" w:color="auto" w:fill="auto"/>
          </w:tcPr>
          <w:p w14:paraId="36DC86D2" w14:textId="77777777" w:rsidR="00A26DE0" w:rsidRPr="00A26DE0" w:rsidRDefault="00A26DE0" w:rsidP="00A26DE0">
            <w:pPr>
              <w:spacing w:after="60"/>
              <w:jc w:val="center"/>
              <w:rPr>
                <w:iCs/>
                <w:sz w:val="20"/>
              </w:rPr>
            </w:pPr>
            <w:r w:rsidRPr="00A26DE0">
              <w:rPr>
                <w:iCs/>
                <w:sz w:val="20"/>
              </w:rPr>
              <w:t>MW</w:t>
            </w:r>
          </w:p>
        </w:tc>
        <w:tc>
          <w:tcPr>
            <w:tcW w:w="3541" w:type="pct"/>
            <w:shd w:val="clear" w:color="auto" w:fill="auto"/>
          </w:tcPr>
          <w:p w14:paraId="452CE66D" w14:textId="77777777" w:rsidR="00A26DE0" w:rsidRPr="00A26DE0" w:rsidRDefault="00A26DE0" w:rsidP="00A26DE0">
            <w:pPr>
              <w:spacing w:after="60"/>
              <w:rPr>
                <w:iCs/>
                <w:sz w:val="20"/>
              </w:rPr>
            </w:pPr>
            <w:r w:rsidRPr="00A26DE0">
              <w:rPr>
                <w:i/>
                <w:iCs/>
                <w:sz w:val="20"/>
              </w:rPr>
              <w:t>Real-Time Obligation per QSE per pair of source and sink—</w:t>
            </w:r>
            <w:r w:rsidRPr="00A26DE0">
              <w:rPr>
                <w:iCs/>
                <w:sz w:val="20"/>
              </w:rPr>
              <w:t xml:space="preserve">The total MW of QSE </w:t>
            </w:r>
            <w:r w:rsidRPr="00A26DE0">
              <w:rPr>
                <w:i/>
                <w:iCs/>
                <w:sz w:val="20"/>
              </w:rPr>
              <w:t>q</w:t>
            </w:r>
            <w:r w:rsidRPr="00A26DE0">
              <w:rPr>
                <w:iCs/>
                <w:sz w:val="20"/>
              </w:rPr>
              <w:t xml:space="preserve">’s PTP Obligation bids that would have cleared in the DAM and settled in Real-Time for the source </w:t>
            </w:r>
            <w:r w:rsidRPr="00A26DE0">
              <w:rPr>
                <w:i/>
                <w:iCs/>
                <w:sz w:val="20"/>
              </w:rPr>
              <w:t>j,</w:t>
            </w:r>
            <w:r w:rsidRPr="00A26DE0">
              <w:rPr>
                <w:iCs/>
                <w:sz w:val="20"/>
              </w:rPr>
              <w:t xml:space="preserve"> and the sink </w:t>
            </w:r>
            <w:r w:rsidRPr="00A26DE0">
              <w:rPr>
                <w:i/>
                <w:iCs/>
                <w:sz w:val="20"/>
              </w:rPr>
              <w:t>k</w:t>
            </w:r>
            <w:r w:rsidRPr="00A26DE0">
              <w:rPr>
                <w:iCs/>
                <w:sz w:val="20"/>
              </w:rPr>
              <w:t>, for the hour.</w:t>
            </w:r>
          </w:p>
        </w:tc>
      </w:tr>
      <w:tr w:rsidR="00A26DE0" w:rsidRPr="00A26DE0" w14:paraId="6A87AAA5" w14:textId="77777777" w:rsidTr="00353B99">
        <w:tc>
          <w:tcPr>
            <w:tcW w:w="1060" w:type="pct"/>
            <w:shd w:val="clear" w:color="auto" w:fill="auto"/>
          </w:tcPr>
          <w:p w14:paraId="5C892349" w14:textId="77777777" w:rsidR="00A26DE0" w:rsidRPr="00A26DE0" w:rsidRDefault="00A26DE0" w:rsidP="00A26DE0">
            <w:pPr>
              <w:spacing w:after="60"/>
              <w:rPr>
                <w:iCs/>
                <w:sz w:val="20"/>
              </w:rPr>
            </w:pPr>
            <w:r w:rsidRPr="00A26DE0">
              <w:rPr>
                <w:iCs/>
                <w:sz w:val="20"/>
              </w:rPr>
              <w:t>RTSPP</w:t>
            </w:r>
            <w:r w:rsidRPr="00A26DE0">
              <w:rPr>
                <w:iCs/>
                <w:sz w:val="20"/>
                <w:vertAlign w:val="subscript"/>
              </w:rPr>
              <w:t xml:space="preserve"> </w:t>
            </w:r>
            <w:r w:rsidRPr="00A26DE0">
              <w:rPr>
                <w:i/>
                <w:iCs/>
                <w:sz w:val="20"/>
                <w:vertAlign w:val="subscript"/>
              </w:rPr>
              <w:t>p</w:t>
            </w:r>
          </w:p>
        </w:tc>
        <w:tc>
          <w:tcPr>
            <w:tcW w:w="399" w:type="pct"/>
            <w:shd w:val="clear" w:color="auto" w:fill="auto"/>
          </w:tcPr>
          <w:p w14:paraId="141B8EB3" w14:textId="77777777" w:rsidR="00A26DE0" w:rsidRPr="00A26DE0" w:rsidRDefault="00A26DE0" w:rsidP="00A26DE0">
            <w:pPr>
              <w:spacing w:after="60"/>
              <w:jc w:val="center"/>
              <w:rPr>
                <w:iCs/>
                <w:sz w:val="20"/>
              </w:rPr>
            </w:pPr>
            <w:r w:rsidRPr="00A26DE0">
              <w:rPr>
                <w:iCs/>
                <w:sz w:val="20"/>
              </w:rPr>
              <w:t>$/MWh</w:t>
            </w:r>
          </w:p>
        </w:tc>
        <w:tc>
          <w:tcPr>
            <w:tcW w:w="3541" w:type="pct"/>
            <w:shd w:val="clear" w:color="auto" w:fill="auto"/>
          </w:tcPr>
          <w:p w14:paraId="003E2114" w14:textId="77777777" w:rsidR="00A26DE0" w:rsidRPr="00A26DE0" w:rsidRDefault="00A26DE0" w:rsidP="00A26DE0">
            <w:pPr>
              <w:spacing w:after="60"/>
              <w:rPr>
                <w:iCs/>
                <w:sz w:val="20"/>
              </w:rPr>
            </w:pPr>
            <w:r w:rsidRPr="00A26DE0">
              <w:rPr>
                <w:i/>
                <w:iCs/>
                <w:sz w:val="20"/>
              </w:rPr>
              <w:t>Real-Time Settlement Point Price—</w:t>
            </w:r>
            <w:r w:rsidRPr="00A26DE0">
              <w:rPr>
                <w:iCs/>
                <w:sz w:val="20"/>
              </w:rPr>
              <w:t>The Real-Time Settlement Point Price at the Settlement Point for the 15-minute Settlement Interval within the hour.</w:t>
            </w:r>
          </w:p>
        </w:tc>
      </w:tr>
      <w:tr w:rsidR="00A26DE0" w:rsidRPr="00A26DE0" w14:paraId="49A9509A" w14:textId="77777777" w:rsidTr="00353B99">
        <w:tc>
          <w:tcPr>
            <w:tcW w:w="1060" w:type="pct"/>
            <w:shd w:val="clear" w:color="auto" w:fill="auto"/>
          </w:tcPr>
          <w:p w14:paraId="71AA667D" w14:textId="77777777" w:rsidR="00A26DE0" w:rsidRPr="00A26DE0" w:rsidRDefault="00A26DE0" w:rsidP="00A26DE0">
            <w:pPr>
              <w:spacing w:after="60"/>
              <w:rPr>
                <w:iCs/>
                <w:sz w:val="20"/>
              </w:rPr>
            </w:pPr>
            <w:r w:rsidRPr="00A26DE0">
              <w:rPr>
                <w:iCs/>
                <w:sz w:val="20"/>
              </w:rPr>
              <w:t>DAES</w:t>
            </w:r>
            <w:r w:rsidRPr="00A26DE0">
              <w:rPr>
                <w:iCs/>
                <w:sz w:val="20"/>
                <w:vertAlign w:val="subscript"/>
              </w:rPr>
              <w:t xml:space="preserve"> </w:t>
            </w:r>
            <w:r w:rsidRPr="00A26DE0">
              <w:rPr>
                <w:i/>
                <w:iCs/>
                <w:sz w:val="20"/>
                <w:vertAlign w:val="subscript"/>
              </w:rPr>
              <w:t>q, p</w:t>
            </w:r>
          </w:p>
        </w:tc>
        <w:tc>
          <w:tcPr>
            <w:tcW w:w="399" w:type="pct"/>
            <w:shd w:val="clear" w:color="auto" w:fill="auto"/>
          </w:tcPr>
          <w:p w14:paraId="312ABCE0" w14:textId="77777777" w:rsidR="00A26DE0" w:rsidRPr="00A26DE0" w:rsidRDefault="00A26DE0" w:rsidP="00A26DE0">
            <w:pPr>
              <w:spacing w:after="60"/>
              <w:jc w:val="center"/>
              <w:rPr>
                <w:iCs/>
                <w:sz w:val="20"/>
              </w:rPr>
            </w:pPr>
            <w:r w:rsidRPr="00A26DE0">
              <w:rPr>
                <w:iCs/>
                <w:sz w:val="20"/>
              </w:rPr>
              <w:t>MW</w:t>
            </w:r>
          </w:p>
        </w:tc>
        <w:tc>
          <w:tcPr>
            <w:tcW w:w="3541" w:type="pct"/>
            <w:shd w:val="clear" w:color="auto" w:fill="auto"/>
          </w:tcPr>
          <w:p w14:paraId="4F9CB3C4" w14:textId="77777777" w:rsidR="00A26DE0" w:rsidRPr="00A26DE0" w:rsidRDefault="00A26DE0" w:rsidP="00A26DE0">
            <w:pPr>
              <w:spacing w:after="60"/>
              <w:rPr>
                <w:iCs/>
                <w:sz w:val="20"/>
              </w:rPr>
            </w:pPr>
            <w:r w:rsidRPr="00A26DE0">
              <w:rPr>
                <w:i/>
                <w:iCs/>
                <w:sz w:val="20"/>
              </w:rPr>
              <w:t>Day-Ahead Energy Sale per QSE per Settlement Point</w:t>
            </w:r>
            <w:r w:rsidRPr="00A26DE0">
              <w:rPr>
                <w:iCs/>
                <w:sz w:val="20"/>
              </w:rPr>
              <w:sym w:font="Symbol" w:char="F0BE"/>
            </w:r>
            <w:r w:rsidRPr="00A26DE0">
              <w:rPr>
                <w:iCs/>
                <w:sz w:val="20"/>
              </w:rPr>
              <w:t xml:space="preserve">The total amount of energy represented by QSE </w:t>
            </w:r>
            <w:r w:rsidRPr="00A26DE0">
              <w:rPr>
                <w:i/>
                <w:iCs/>
                <w:sz w:val="20"/>
              </w:rPr>
              <w:t>q</w:t>
            </w:r>
            <w:r w:rsidRPr="00A26DE0">
              <w:rPr>
                <w:iCs/>
                <w:sz w:val="20"/>
              </w:rPr>
              <w:t xml:space="preserve">’s Three-Part Supply Offers that would have cleared in the DAM and DAM Energy-Only Offer Curves that would have cleared in the DAM at Settlement Point </w:t>
            </w:r>
            <w:r w:rsidRPr="00A26DE0">
              <w:rPr>
                <w:i/>
                <w:iCs/>
                <w:sz w:val="20"/>
              </w:rPr>
              <w:t>p</w:t>
            </w:r>
            <w:r w:rsidRPr="00A26DE0">
              <w:rPr>
                <w:iCs/>
                <w:sz w:val="20"/>
              </w:rPr>
              <w:t>, for the hour.</w:t>
            </w:r>
          </w:p>
        </w:tc>
      </w:tr>
      <w:tr w:rsidR="00A26DE0" w:rsidRPr="00A26DE0" w14:paraId="2405B0F8" w14:textId="77777777" w:rsidTr="00353B99">
        <w:tc>
          <w:tcPr>
            <w:tcW w:w="1060" w:type="pct"/>
            <w:shd w:val="clear" w:color="auto" w:fill="auto"/>
          </w:tcPr>
          <w:p w14:paraId="7F85FB15" w14:textId="77777777" w:rsidR="00A26DE0" w:rsidRPr="00A26DE0" w:rsidRDefault="00A26DE0" w:rsidP="00A26DE0">
            <w:pPr>
              <w:spacing w:after="60"/>
              <w:rPr>
                <w:iCs/>
                <w:sz w:val="20"/>
              </w:rPr>
            </w:pPr>
            <w:r w:rsidRPr="00A26DE0">
              <w:rPr>
                <w:iCs/>
                <w:sz w:val="20"/>
              </w:rPr>
              <w:t>DAEP</w:t>
            </w:r>
            <w:r w:rsidRPr="00A26DE0">
              <w:rPr>
                <w:iCs/>
                <w:sz w:val="20"/>
                <w:vertAlign w:val="subscript"/>
              </w:rPr>
              <w:t xml:space="preserve"> </w:t>
            </w:r>
            <w:r w:rsidRPr="00A26DE0">
              <w:rPr>
                <w:i/>
                <w:iCs/>
                <w:sz w:val="20"/>
                <w:vertAlign w:val="subscript"/>
              </w:rPr>
              <w:t>q, p</w:t>
            </w:r>
          </w:p>
        </w:tc>
        <w:tc>
          <w:tcPr>
            <w:tcW w:w="399" w:type="pct"/>
            <w:shd w:val="clear" w:color="auto" w:fill="auto"/>
          </w:tcPr>
          <w:p w14:paraId="51FE5E59" w14:textId="77777777" w:rsidR="00A26DE0" w:rsidRPr="00A26DE0" w:rsidRDefault="00A26DE0" w:rsidP="00A26DE0">
            <w:pPr>
              <w:spacing w:after="60"/>
              <w:jc w:val="center"/>
              <w:rPr>
                <w:iCs/>
                <w:sz w:val="20"/>
              </w:rPr>
            </w:pPr>
            <w:r w:rsidRPr="00A26DE0">
              <w:rPr>
                <w:iCs/>
                <w:sz w:val="20"/>
              </w:rPr>
              <w:t>MW</w:t>
            </w:r>
          </w:p>
        </w:tc>
        <w:tc>
          <w:tcPr>
            <w:tcW w:w="3541" w:type="pct"/>
            <w:shd w:val="clear" w:color="auto" w:fill="auto"/>
          </w:tcPr>
          <w:p w14:paraId="267650C7" w14:textId="77777777" w:rsidR="00A26DE0" w:rsidRPr="00A26DE0" w:rsidRDefault="00A26DE0" w:rsidP="00A26DE0">
            <w:pPr>
              <w:spacing w:after="60"/>
              <w:rPr>
                <w:iCs/>
                <w:sz w:val="20"/>
              </w:rPr>
            </w:pPr>
            <w:r w:rsidRPr="00A26DE0">
              <w:rPr>
                <w:i/>
                <w:iCs/>
                <w:sz w:val="20"/>
              </w:rPr>
              <w:t>Day-Ahead Energy Purchase per QSE per Settlement Point</w:t>
            </w:r>
            <w:r w:rsidRPr="00A26DE0">
              <w:rPr>
                <w:iCs/>
                <w:sz w:val="20"/>
              </w:rPr>
              <w:sym w:font="Symbol" w:char="F0BE"/>
            </w:r>
            <w:r w:rsidRPr="00A26DE0">
              <w:rPr>
                <w:iCs/>
                <w:sz w:val="20"/>
              </w:rPr>
              <w:t xml:space="preserve">The total amount of energy represented by QSE </w:t>
            </w:r>
            <w:r w:rsidRPr="00A26DE0">
              <w:rPr>
                <w:i/>
                <w:iCs/>
                <w:sz w:val="20"/>
              </w:rPr>
              <w:t>q</w:t>
            </w:r>
            <w:r w:rsidRPr="00A26DE0">
              <w:rPr>
                <w:iCs/>
                <w:sz w:val="20"/>
              </w:rPr>
              <w:t xml:space="preserve">’s DAM Energy Bids that would have cleared at Settlement Point </w:t>
            </w:r>
            <w:r w:rsidRPr="00A26DE0">
              <w:rPr>
                <w:i/>
                <w:iCs/>
                <w:sz w:val="20"/>
              </w:rPr>
              <w:t>p</w:t>
            </w:r>
            <w:r w:rsidRPr="00A26DE0">
              <w:rPr>
                <w:iCs/>
                <w:sz w:val="20"/>
              </w:rPr>
              <w:t>, for the hour.</w:t>
            </w:r>
          </w:p>
        </w:tc>
      </w:tr>
      <w:tr w:rsidR="00A26DE0" w:rsidRPr="00A26DE0" w14:paraId="41573A7A" w14:textId="77777777" w:rsidTr="00353B99">
        <w:tc>
          <w:tcPr>
            <w:tcW w:w="1060" w:type="pct"/>
            <w:shd w:val="clear" w:color="auto" w:fill="auto"/>
          </w:tcPr>
          <w:p w14:paraId="0962E94C" w14:textId="45FB80A0" w:rsidR="00A26DE0" w:rsidRPr="00A26DE0" w:rsidRDefault="00A26DE0" w:rsidP="00A26DE0">
            <w:pPr>
              <w:spacing w:after="60"/>
              <w:rPr>
                <w:iCs/>
                <w:sz w:val="20"/>
              </w:rPr>
            </w:pPr>
            <w:r w:rsidRPr="00A26DE0">
              <w:rPr>
                <w:iCs/>
                <w:sz w:val="20"/>
              </w:rPr>
              <w:t xml:space="preserve">PCRUR </w:t>
            </w:r>
            <w:r w:rsidRPr="00A26DE0">
              <w:rPr>
                <w:i/>
                <w:iCs/>
                <w:sz w:val="20"/>
                <w:vertAlign w:val="subscript"/>
              </w:rPr>
              <w:t>q,</w:t>
            </w:r>
            <w:r>
              <w:rPr>
                <w:i/>
                <w:iCs/>
                <w:sz w:val="20"/>
                <w:vertAlign w:val="subscript"/>
              </w:rPr>
              <w:t xml:space="preserve"> </w:t>
            </w:r>
            <w:r w:rsidRPr="00A26DE0">
              <w:rPr>
                <w:i/>
                <w:iCs/>
                <w:sz w:val="20"/>
                <w:vertAlign w:val="subscript"/>
              </w:rPr>
              <w:t>r,</w:t>
            </w:r>
            <w:r>
              <w:rPr>
                <w:i/>
                <w:iCs/>
                <w:sz w:val="20"/>
                <w:vertAlign w:val="subscript"/>
              </w:rPr>
              <w:t xml:space="preserve"> </w:t>
            </w:r>
            <w:r w:rsidRPr="00A26DE0">
              <w:rPr>
                <w:i/>
                <w:iCs/>
                <w:sz w:val="20"/>
                <w:vertAlign w:val="subscript"/>
              </w:rPr>
              <w:t>DAM</w:t>
            </w:r>
            <w:r w:rsidRPr="00A26DE0">
              <w:rPr>
                <w:i/>
                <w:iCs/>
                <w:sz w:val="20"/>
              </w:rPr>
              <w:t xml:space="preserve"> </w:t>
            </w:r>
          </w:p>
        </w:tc>
        <w:tc>
          <w:tcPr>
            <w:tcW w:w="399" w:type="pct"/>
            <w:shd w:val="clear" w:color="auto" w:fill="auto"/>
          </w:tcPr>
          <w:p w14:paraId="329CBBDD" w14:textId="77777777" w:rsidR="00A26DE0" w:rsidRPr="00A26DE0" w:rsidRDefault="00A26DE0" w:rsidP="00A26DE0">
            <w:pPr>
              <w:spacing w:after="60"/>
              <w:jc w:val="center"/>
              <w:rPr>
                <w:iCs/>
                <w:sz w:val="20"/>
              </w:rPr>
            </w:pPr>
            <w:r w:rsidRPr="00A26DE0">
              <w:rPr>
                <w:iCs/>
                <w:sz w:val="20"/>
              </w:rPr>
              <w:t>MW</w:t>
            </w:r>
          </w:p>
        </w:tc>
        <w:tc>
          <w:tcPr>
            <w:tcW w:w="3541" w:type="pct"/>
            <w:shd w:val="clear" w:color="auto" w:fill="auto"/>
          </w:tcPr>
          <w:p w14:paraId="41DFCA0D" w14:textId="77777777" w:rsidR="00A26DE0" w:rsidRPr="00A26DE0" w:rsidRDefault="00A26DE0" w:rsidP="00A26DE0">
            <w:pPr>
              <w:spacing w:after="60"/>
              <w:rPr>
                <w:iCs/>
                <w:sz w:val="20"/>
              </w:rPr>
            </w:pPr>
            <w:r w:rsidRPr="00A26DE0">
              <w:rPr>
                <w:i/>
                <w:iCs/>
                <w:sz w:val="20"/>
              </w:rPr>
              <w:t>Procured Capacity for Regulation Up from Resource per QSE per Resource in DAM</w:t>
            </w:r>
            <w:r w:rsidRPr="00A26DE0">
              <w:rPr>
                <w:iCs/>
                <w:sz w:val="20"/>
              </w:rPr>
              <w:t xml:space="preserve">—The Regulation Up Service (Reg-Up) capacity quantity that would have been awarded to QSE </w:t>
            </w:r>
            <w:r w:rsidRPr="00A26DE0">
              <w:rPr>
                <w:i/>
                <w:iCs/>
                <w:sz w:val="20"/>
              </w:rPr>
              <w:t>q</w:t>
            </w:r>
            <w:r w:rsidRPr="00A26DE0">
              <w:rPr>
                <w:iCs/>
                <w:sz w:val="20"/>
              </w:rPr>
              <w:t xml:space="preserve"> in the DAM for Resource </w:t>
            </w:r>
            <w:r w:rsidRPr="00A26DE0">
              <w:rPr>
                <w:i/>
                <w:iCs/>
                <w:sz w:val="20"/>
              </w:rPr>
              <w:t>r</w:t>
            </w:r>
            <w:r w:rsidRPr="00A26DE0">
              <w:rPr>
                <w:iCs/>
                <w:sz w:val="20"/>
              </w:rPr>
              <w:t xml:space="preserve">, for the hour.  Where for a Combined Cycle Train, the Resource </w:t>
            </w:r>
            <w:r w:rsidRPr="00A26DE0">
              <w:rPr>
                <w:i/>
                <w:iCs/>
                <w:sz w:val="20"/>
              </w:rPr>
              <w:t xml:space="preserve">r </w:t>
            </w:r>
            <w:r w:rsidRPr="00A26DE0">
              <w:rPr>
                <w:iCs/>
                <w:sz w:val="20"/>
              </w:rPr>
              <w:t>is a Combined Cycle Generation Resource within the Combined Cycle Train.</w:t>
            </w:r>
          </w:p>
        </w:tc>
      </w:tr>
      <w:tr w:rsidR="00A26DE0" w:rsidRPr="00A26DE0" w14:paraId="442305EE" w14:textId="77777777" w:rsidTr="00353B99">
        <w:tc>
          <w:tcPr>
            <w:tcW w:w="1060" w:type="pct"/>
            <w:shd w:val="clear" w:color="auto" w:fill="auto"/>
          </w:tcPr>
          <w:p w14:paraId="4A6B276C" w14:textId="11C47AE9" w:rsidR="00A26DE0" w:rsidRPr="00A26DE0" w:rsidRDefault="00A26DE0" w:rsidP="00A26DE0">
            <w:pPr>
              <w:spacing w:after="60"/>
              <w:rPr>
                <w:iCs/>
                <w:sz w:val="20"/>
              </w:rPr>
            </w:pPr>
            <w:r w:rsidRPr="00A26DE0">
              <w:rPr>
                <w:iCs/>
                <w:sz w:val="20"/>
              </w:rPr>
              <w:t>PCRDR</w:t>
            </w:r>
            <w:r w:rsidRPr="00A26DE0">
              <w:rPr>
                <w:i/>
                <w:iCs/>
                <w:sz w:val="20"/>
              </w:rPr>
              <w:t xml:space="preserve"> </w:t>
            </w:r>
            <w:r w:rsidRPr="00A26DE0">
              <w:rPr>
                <w:i/>
                <w:iCs/>
                <w:sz w:val="20"/>
                <w:vertAlign w:val="subscript"/>
              </w:rPr>
              <w:t>q,</w:t>
            </w:r>
            <w:r>
              <w:rPr>
                <w:i/>
                <w:iCs/>
                <w:sz w:val="20"/>
                <w:vertAlign w:val="subscript"/>
              </w:rPr>
              <w:t xml:space="preserve"> </w:t>
            </w:r>
            <w:r w:rsidRPr="00A26DE0">
              <w:rPr>
                <w:i/>
                <w:iCs/>
                <w:sz w:val="20"/>
                <w:vertAlign w:val="subscript"/>
              </w:rPr>
              <w:t>r,</w:t>
            </w:r>
            <w:r>
              <w:rPr>
                <w:i/>
                <w:iCs/>
                <w:sz w:val="20"/>
                <w:vertAlign w:val="subscript"/>
              </w:rPr>
              <w:t xml:space="preserve"> </w:t>
            </w:r>
            <w:r w:rsidRPr="00A26DE0">
              <w:rPr>
                <w:i/>
                <w:iCs/>
                <w:sz w:val="20"/>
                <w:vertAlign w:val="subscript"/>
              </w:rPr>
              <w:t>DAM</w:t>
            </w:r>
          </w:p>
        </w:tc>
        <w:tc>
          <w:tcPr>
            <w:tcW w:w="399" w:type="pct"/>
            <w:shd w:val="clear" w:color="auto" w:fill="auto"/>
          </w:tcPr>
          <w:p w14:paraId="0BD4308E" w14:textId="77777777" w:rsidR="00A26DE0" w:rsidRPr="00A26DE0" w:rsidRDefault="00A26DE0" w:rsidP="00A26DE0">
            <w:pPr>
              <w:spacing w:after="60"/>
              <w:jc w:val="center"/>
              <w:rPr>
                <w:iCs/>
                <w:sz w:val="20"/>
              </w:rPr>
            </w:pPr>
            <w:r w:rsidRPr="00A26DE0">
              <w:rPr>
                <w:iCs/>
                <w:sz w:val="20"/>
              </w:rPr>
              <w:t>MW</w:t>
            </w:r>
          </w:p>
        </w:tc>
        <w:tc>
          <w:tcPr>
            <w:tcW w:w="3541" w:type="pct"/>
            <w:shd w:val="clear" w:color="auto" w:fill="auto"/>
          </w:tcPr>
          <w:p w14:paraId="665774A7" w14:textId="77777777" w:rsidR="00A26DE0" w:rsidRPr="00A26DE0" w:rsidRDefault="00A26DE0" w:rsidP="00A26DE0">
            <w:pPr>
              <w:spacing w:after="60"/>
              <w:rPr>
                <w:iCs/>
                <w:sz w:val="20"/>
              </w:rPr>
            </w:pPr>
            <w:r w:rsidRPr="00A26DE0">
              <w:rPr>
                <w:i/>
                <w:iCs/>
                <w:sz w:val="20"/>
              </w:rPr>
              <w:t>Procured Capacity for Regulation Down from Resource per QSE per Resource in DAM</w:t>
            </w:r>
            <w:r w:rsidRPr="00A26DE0">
              <w:rPr>
                <w:iCs/>
                <w:sz w:val="20"/>
              </w:rPr>
              <w:t xml:space="preserve">—The Regulation Down Service (Reg-Down) capacity quantity that would have been awarded to QSE </w:t>
            </w:r>
            <w:r w:rsidRPr="00A26DE0">
              <w:rPr>
                <w:i/>
                <w:iCs/>
                <w:sz w:val="20"/>
              </w:rPr>
              <w:t>q</w:t>
            </w:r>
            <w:r w:rsidRPr="00A26DE0">
              <w:rPr>
                <w:iCs/>
                <w:sz w:val="20"/>
              </w:rPr>
              <w:t xml:space="preserve"> in the DAM for Resource </w:t>
            </w:r>
            <w:r w:rsidRPr="00A26DE0">
              <w:rPr>
                <w:i/>
                <w:iCs/>
                <w:sz w:val="20"/>
              </w:rPr>
              <w:t>r</w:t>
            </w:r>
            <w:r w:rsidRPr="00A26DE0">
              <w:rPr>
                <w:iCs/>
                <w:sz w:val="20"/>
              </w:rPr>
              <w:t xml:space="preserve">, for the hour.  Where for a Combined Cycle Train, the Resource </w:t>
            </w:r>
            <w:r w:rsidRPr="00A26DE0">
              <w:rPr>
                <w:i/>
                <w:iCs/>
                <w:sz w:val="20"/>
              </w:rPr>
              <w:t xml:space="preserve">r </w:t>
            </w:r>
            <w:r w:rsidRPr="00A26DE0">
              <w:rPr>
                <w:iCs/>
                <w:sz w:val="20"/>
              </w:rPr>
              <w:t>is a Combined Cycle Generation Resource within the Combined Cycle Train.</w:t>
            </w:r>
          </w:p>
        </w:tc>
      </w:tr>
      <w:tr w:rsidR="00A26DE0" w:rsidRPr="00A26DE0" w14:paraId="56EB46D7" w14:textId="77777777" w:rsidTr="00353B99">
        <w:tc>
          <w:tcPr>
            <w:tcW w:w="1060" w:type="pct"/>
            <w:shd w:val="clear" w:color="auto" w:fill="auto"/>
          </w:tcPr>
          <w:p w14:paraId="0EA75E72" w14:textId="151BFBF2" w:rsidR="00A26DE0" w:rsidRPr="00A26DE0" w:rsidRDefault="00A26DE0" w:rsidP="00A26DE0">
            <w:pPr>
              <w:spacing w:after="60"/>
              <w:rPr>
                <w:iCs/>
                <w:sz w:val="20"/>
              </w:rPr>
            </w:pPr>
            <w:r w:rsidRPr="00A26DE0">
              <w:rPr>
                <w:iCs/>
                <w:sz w:val="20"/>
              </w:rPr>
              <w:t xml:space="preserve">PCRRR </w:t>
            </w:r>
            <w:r w:rsidRPr="00A26DE0">
              <w:rPr>
                <w:i/>
                <w:iCs/>
                <w:sz w:val="20"/>
                <w:vertAlign w:val="subscript"/>
              </w:rPr>
              <w:t>q,</w:t>
            </w:r>
            <w:r>
              <w:rPr>
                <w:i/>
                <w:iCs/>
                <w:sz w:val="20"/>
                <w:vertAlign w:val="subscript"/>
              </w:rPr>
              <w:t xml:space="preserve"> </w:t>
            </w:r>
            <w:r w:rsidRPr="00A26DE0">
              <w:rPr>
                <w:i/>
                <w:iCs/>
                <w:sz w:val="20"/>
                <w:vertAlign w:val="subscript"/>
              </w:rPr>
              <w:t>r,</w:t>
            </w:r>
            <w:r>
              <w:rPr>
                <w:i/>
                <w:iCs/>
                <w:sz w:val="20"/>
                <w:vertAlign w:val="subscript"/>
              </w:rPr>
              <w:t xml:space="preserve"> </w:t>
            </w:r>
            <w:r w:rsidRPr="00A26DE0">
              <w:rPr>
                <w:i/>
                <w:iCs/>
                <w:sz w:val="20"/>
                <w:vertAlign w:val="subscript"/>
              </w:rPr>
              <w:t>DAM</w:t>
            </w:r>
            <w:r w:rsidRPr="00A26DE0">
              <w:rPr>
                <w:i/>
                <w:iCs/>
                <w:sz w:val="20"/>
              </w:rPr>
              <w:t xml:space="preserve"> </w:t>
            </w:r>
          </w:p>
        </w:tc>
        <w:tc>
          <w:tcPr>
            <w:tcW w:w="399" w:type="pct"/>
            <w:shd w:val="clear" w:color="auto" w:fill="auto"/>
          </w:tcPr>
          <w:p w14:paraId="45DEECDE" w14:textId="77777777" w:rsidR="00A26DE0" w:rsidRPr="00A26DE0" w:rsidRDefault="00A26DE0" w:rsidP="00A26DE0">
            <w:pPr>
              <w:spacing w:after="60"/>
              <w:jc w:val="center"/>
              <w:rPr>
                <w:iCs/>
                <w:sz w:val="20"/>
              </w:rPr>
            </w:pPr>
            <w:r w:rsidRPr="00A26DE0">
              <w:rPr>
                <w:iCs/>
                <w:sz w:val="20"/>
              </w:rPr>
              <w:t>MW</w:t>
            </w:r>
          </w:p>
        </w:tc>
        <w:tc>
          <w:tcPr>
            <w:tcW w:w="3541" w:type="pct"/>
            <w:shd w:val="clear" w:color="auto" w:fill="auto"/>
          </w:tcPr>
          <w:p w14:paraId="1431D5FF" w14:textId="77777777" w:rsidR="00A26DE0" w:rsidRPr="00A26DE0" w:rsidRDefault="00A26DE0" w:rsidP="00A26DE0">
            <w:pPr>
              <w:spacing w:after="60"/>
              <w:rPr>
                <w:iCs/>
                <w:sz w:val="20"/>
              </w:rPr>
            </w:pPr>
            <w:r w:rsidRPr="00A26DE0">
              <w:rPr>
                <w:i/>
                <w:iCs/>
                <w:sz w:val="20"/>
              </w:rPr>
              <w:t>Procured Capacity for Responsive Reserve from Resource per QSE per Resource in DAM</w:t>
            </w:r>
            <w:r w:rsidRPr="00A26DE0">
              <w:rPr>
                <w:iCs/>
                <w:sz w:val="20"/>
              </w:rPr>
              <w:t xml:space="preserve">—The Responsive Reserve (RRS) capacity quantity that would have been awarded to QSE </w:t>
            </w:r>
            <w:r w:rsidRPr="00A26DE0">
              <w:rPr>
                <w:i/>
                <w:iCs/>
                <w:sz w:val="20"/>
              </w:rPr>
              <w:t>q</w:t>
            </w:r>
            <w:r w:rsidRPr="00A26DE0">
              <w:rPr>
                <w:iCs/>
                <w:sz w:val="20"/>
              </w:rPr>
              <w:t xml:space="preserve"> in the DAM for Resource </w:t>
            </w:r>
            <w:r w:rsidRPr="00A26DE0">
              <w:rPr>
                <w:i/>
                <w:iCs/>
                <w:sz w:val="20"/>
              </w:rPr>
              <w:t>r</w:t>
            </w:r>
            <w:r w:rsidRPr="00A26DE0">
              <w:rPr>
                <w:iCs/>
                <w:sz w:val="20"/>
              </w:rPr>
              <w:t xml:space="preserve">, for the hour.  Where for a Combined Cycle Train, the Resource </w:t>
            </w:r>
            <w:r w:rsidRPr="00A26DE0">
              <w:rPr>
                <w:i/>
                <w:iCs/>
                <w:sz w:val="20"/>
              </w:rPr>
              <w:t xml:space="preserve">r </w:t>
            </w:r>
            <w:r w:rsidRPr="00A26DE0">
              <w:rPr>
                <w:iCs/>
                <w:sz w:val="20"/>
              </w:rPr>
              <w:t>is a Combined Cycle Generation Resource within the Combined Cycle Train.</w:t>
            </w:r>
          </w:p>
        </w:tc>
      </w:tr>
      <w:tr w:rsidR="00A26DE0" w:rsidRPr="00A26DE0" w14:paraId="71F55857" w14:textId="77777777" w:rsidTr="00353B99">
        <w:tc>
          <w:tcPr>
            <w:tcW w:w="1060" w:type="pct"/>
            <w:shd w:val="clear" w:color="auto" w:fill="auto"/>
          </w:tcPr>
          <w:p w14:paraId="1B099095" w14:textId="4004C571" w:rsidR="00A26DE0" w:rsidRPr="00A26DE0" w:rsidRDefault="00A26DE0" w:rsidP="00A26DE0">
            <w:pPr>
              <w:spacing w:after="60"/>
              <w:rPr>
                <w:iCs/>
                <w:sz w:val="20"/>
              </w:rPr>
            </w:pPr>
            <w:r w:rsidRPr="00A26DE0">
              <w:rPr>
                <w:iCs/>
                <w:sz w:val="20"/>
              </w:rPr>
              <w:t xml:space="preserve">PCNSR </w:t>
            </w:r>
            <w:r w:rsidRPr="00A26DE0">
              <w:rPr>
                <w:i/>
                <w:iCs/>
                <w:sz w:val="20"/>
                <w:vertAlign w:val="subscript"/>
              </w:rPr>
              <w:t>q,</w:t>
            </w:r>
            <w:r>
              <w:rPr>
                <w:i/>
                <w:iCs/>
                <w:sz w:val="20"/>
                <w:vertAlign w:val="subscript"/>
              </w:rPr>
              <w:t xml:space="preserve"> </w:t>
            </w:r>
            <w:r w:rsidRPr="00A26DE0">
              <w:rPr>
                <w:i/>
                <w:iCs/>
                <w:sz w:val="20"/>
                <w:vertAlign w:val="subscript"/>
              </w:rPr>
              <w:t>r,</w:t>
            </w:r>
            <w:r>
              <w:rPr>
                <w:i/>
                <w:iCs/>
                <w:sz w:val="20"/>
                <w:vertAlign w:val="subscript"/>
              </w:rPr>
              <w:t xml:space="preserve"> </w:t>
            </w:r>
            <w:r w:rsidRPr="00A26DE0">
              <w:rPr>
                <w:i/>
                <w:iCs/>
                <w:sz w:val="20"/>
                <w:vertAlign w:val="subscript"/>
              </w:rPr>
              <w:t>DAM</w:t>
            </w:r>
          </w:p>
        </w:tc>
        <w:tc>
          <w:tcPr>
            <w:tcW w:w="399" w:type="pct"/>
            <w:shd w:val="clear" w:color="auto" w:fill="auto"/>
          </w:tcPr>
          <w:p w14:paraId="58FC5BE0" w14:textId="77777777" w:rsidR="00A26DE0" w:rsidRPr="00A26DE0" w:rsidRDefault="00A26DE0" w:rsidP="00A26DE0">
            <w:pPr>
              <w:spacing w:after="60"/>
              <w:jc w:val="center"/>
              <w:rPr>
                <w:iCs/>
                <w:sz w:val="20"/>
              </w:rPr>
            </w:pPr>
            <w:r w:rsidRPr="00A26DE0">
              <w:rPr>
                <w:iCs/>
                <w:sz w:val="20"/>
              </w:rPr>
              <w:t>MW</w:t>
            </w:r>
          </w:p>
        </w:tc>
        <w:tc>
          <w:tcPr>
            <w:tcW w:w="3541" w:type="pct"/>
            <w:shd w:val="clear" w:color="auto" w:fill="auto"/>
          </w:tcPr>
          <w:p w14:paraId="645D7F9B" w14:textId="77777777" w:rsidR="00A26DE0" w:rsidRPr="00A26DE0" w:rsidRDefault="00A26DE0" w:rsidP="00A26DE0">
            <w:pPr>
              <w:spacing w:after="60"/>
              <w:rPr>
                <w:iCs/>
                <w:sz w:val="20"/>
              </w:rPr>
            </w:pPr>
            <w:r w:rsidRPr="00A26DE0">
              <w:rPr>
                <w:i/>
                <w:iCs/>
                <w:sz w:val="20"/>
              </w:rPr>
              <w:t>Procured Capacity for Non-Spinning Reserve from Resource per QSE per Resource in DAM</w:t>
            </w:r>
            <w:r w:rsidRPr="00A26DE0">
              <w:rPr>
                <w:iCs/>
                <w:sz w:val="20"/>
              </w:rPr>
              <w:t xml:space="preserve">—The Non-Spinning Reserve (Non-Spin) capacity quantity that would have been awarded to QSE </w:t>
            </w:r>
            <w:r w:rsidRPr="00A26DE0">
              <w:rPr>
                <w:i/>
                <w:iCs/>
                <w:sz w:val="20"/>
              </w:rPr>
              <w:t>q</w:t>
            </w:r>
            <w:r w:rsidRPr="00A26DE0">
              <w:rPr>
                <w:iCs/>
                <w:sz w:val="20"/>
              </w:rPr>
              <w:t xml:space="preserve"> in the DAM for Resource </w:t>
            </w:r>
            <w:r w:rsidRPr="00A26DE0">
              <w:rPr>
                <w:i/>
                <w:iCs/>
                <w:sz w:val="20"/>
              </w:rPr>
              <w:t>r</w:t>
            </w:r>
            <w:r w:rsidRPr="00A26DE0">
              <w:rPr>
                <w:iCs/>
                <w:sz w:val="20"/>
              </w:rPr>
              <w:t xml:space="preserve">, for the hour.  Where for a Combined Cycle Train, the Resource </w:t>
            </w:r>
            <w:r w:rsidRPr="00A26DE0">
              <w:rPr>
                <w:i/>
                <w:iCs/>
                <w:sz w:val="20"/>
              </w:rPr>
              <w:t xml:space="preserve">r </w:t>
            </w:r>
            <w:r w:rsidRPr="00A26DE0">
              <w:rPr>
                <w:iCs/>
                <w:sz w:val="20"/>
              </w:rPr>
              <w:t>is a Combined Cycle Generation Resource within the Combined Cycle Train.</w:t>
            </w:r>
          </w:p>
        </w:tc>
      </w:tr>
      <w:tr w:rsidR="00434F7C" w:rsidRPr="00A26DE0" w14:paraId="6141CF41" w14:textId="77777777" w:rsidTr="00353B99">
        <w:tc>
          <w:tcPr>
            <w:tcW w:w="1060" w:type="pct"/>
            <w:shd w:val="clear" w:color="auto" w:fill="auto"/>
          </w:tcPr>
          <w:p w14:paraId="34A798E0" w14:textId="1A3C507C" w:rsidR="00434F7C" w:rsidRPr="00A26DE0" w:rsidRDefault="00434F7C" w:rsidP="00434F7C">
            <w:pPr>
              <w:spacing w:after="60"/>
              <w:rPr>
                <w:iCs/>
                <w:sz w:val="20"/>
              </w:rPr>
            </w:pPr>
            <w:r w:rsidRPr="00A26DE0">
              <w:rPr>
                <w:iCs/>
                <w:sz w:val="20"/>
              </w:rPr>
              <w:t xml:space="preserve">PCECRR </w:t>
            </w:r>
            <w:r w:rsidRPr="00A26DE0">
              <w:rPr>
                <w:i/>
                <w:iCs/>
                <w:sz w:val="20"/>
                <w:vertAlign w:val="subscript"/>
              </w:rPr>
              <w:t>q,</w:t>
            </w:r>
            <w:r>
              <w:rPr>
                <w:i/>
                <w:iCs/>
                <w:sz w:val="20"/>
                <w:vertAlign w:val="subscript"/>
              </w:rPr>
              <w:t xml:space="preserve"> </w:t>
            </w:r>
            <w:r w:rsidRPr="00A26DE0">
              <w:rPr>
                <w:i/>
                <w:iCs/>
                <w:sz w:val="20"/>
                <w:vertAlign w:val="subscript"/>
              </w:rPr>
              <w:t>r,</w:t>
            </w:r>
            <w:r>
              <w:rPr>
                <w:i/>
                <w:iCs/>
                <w:sz w:val="20"/>
                <w:vertAlign w:val="subscript"/>
              </w:rPr>
              <w:t xml:space="preserve"> </w:t>
            </w:r>
            <w:r w:rsidRPr="00A26DE0">
              <w:rPr>
                <w:i/>
                <w:iCs/>
                <w:sz w:val="20"/>
                <w:vertAlign w:val="subscript"/>
              </w:rPr>
              <w:t>DAM</w:t>
            </w:r>
          </w:p>
        </w:tc>
        <w:tc>
          <w:tcPr>
            <w:tcW w:w="399" w:type="pct"/>
            <w:shd w:val="clear" w:color="auto" w:fill="auto"/>
          </w:tcPr>
          <w:p w14:paraId="1CA098CD" w14:textId="16E8742D" w:rsidR="00434F7C" w:rsidRPr="00A26DE0" w:rsidRDefault="00434F7C" w:rsidP="00434F7C">
            <w:pPr>
              <w:spacing w:after="60"/>
              <w:jc w:val="center"/>
              <w:rPr>
                <w:iCs/>
                <w:sz w:val="20"/>
              </w:rPr>
            </w:pPr>
            <w:r w:rsidRPr="00A26DE0">
              <w:rPr>
                <w:iCs/>
                <w:sz w:val="20"/>
              </w:rPr>
              <w:t>MW</w:t>
            </w:r>
          </w:p>
        </w:tc>
        <w:tc>
          <w:tcPr>
            <w:tcW w:w="3541" w:type="pct"/>
            <w:shd w:val="clear" w:color="auto" w:fill="auto"/>
          </w:tcPr>
          <w:p w14:paraId="5812B8A1" w14:textId="6EBD8EA1" w:rsidR="00434F7C" w:rsidRPr="00A26DE0" w:rsidRDefault="00434F7C" w:rsidP="00434F7C">
            <w:pPr>
              <w:spacing w:after="60"/>
              <w:rPr>
                <w:i/>
                <w:iCs/>
                <w:sz w:val="20"/>
              </w:rPr>
            </w:pPr>
            <w:r w:rsidRPr="00A26DE0">
              <w:rPr>
                <w:i/>
                <w:iCs/>
                <w:sz w:val="20"/>
              </w:rPr>
              <w:t>Procured Capacity for ERCOT Contingency Reserve Service from Resource per QSE per Resource in DAM</w:t>
            </w:r>
            <w:r w:rsidRPr="00A26DE0">
              <w:rPr>
                <w:iCs/>
                <w:sz w:val="20"/>
              </w:rPr>
              <w:t xml:space="preserve">—The ERCOT Contingency Reserve Service (ECRS) capacity quantity that would have been awarded to QSE </w:t>
            </w:r>
            <w:r w:rsidRPr="00A26DE0">
              <w:rPr>
                <w:i/>
                <w:iCs/>
                <w:sz w:val="20"/>
              </w:rPr>
              <w:t>q</w:t>
            </w:r>
            <w:r w:rsidRPr="00A26DE0">
              <w:rPr>
                <w:iCs/>
                <w:sz w:val="20"/>
              </w:rPr>
              <w:t xml:space="preserve"> in the DAM for Resource </w:t>
            </w:r>
            <w:r w:rsidRPr="00A26DE0">
              <w:rPr>
                <w:i/>
                <w:iCs/>
                <w:sz w:val="20"/>
              </w:rPr>
              <w:t>r</w:t>
            </w:r>
            <w:r w:rsidRPr="00A26DE0">
              <w:rPr>
                <w:iCs/>
                <w:sz w:val="20"/>
              </w:rPr>
              <w:t xml:space="preserve">, for the hour.  Where for a Combined Cycle Train, the Resource </w:t>
            </w:r>
            <w:r w:rsidRPr="00A26DE0">
              <w:rPr>
                <w:i/>
                <w:iCs/>
                <w:sz w:val="20"/>
              </w:rPr>
              <w:t xml:space="preserve">r </w:t>
            </w:r>
            <w:r w:rsidRPr="00A26DE0">
              <w:rPr>
                <w:iCs/>
                <w:sz w:val="20"/>
              </w:rPr>
              <w:t>is a Combined Cycle Generation Resource within the Combined Cycle Train.</w:t>
            </w:r>
          </w:p>
        </w:tc>
      </w:tr>
      <w:tr w:rsidR="00A26DE0" w:rsidRPr="00A26DE0" w14:paraId="025988DF" w14:textId="77777777" w:rsidTr="00353B99">
        <w:tc>
          <w:tcPr>
            <w:tcW w:w="1060" w:type="pct"/>
            <w:shd w:val="clear" w:color="auto" w:fill="auto"/>
          </w:tcPr>
          <w:p w14:paraId="323D2EE6" w14:textId="6D9B2320" w:rsidR="00A26DE0" w:rsidRPr="00A26DE0" w:rsidRDefault="00A26DE0" w:rsidP="00A26DE0">
            <w:pPr>
              <w:spacing w:after="60"/>
              <w:rPr>
                <w:iCs/>
                <w:sz w:val="20"/>
              </w:rPr>
            </w:pPr>
            <w:r w:rsidRPr="00A26DE0">
              <w:rPr>
                <w:iCs/>
                <w:sz w:val="20"/>
              </w:rPr>
              <w:t xml:space="preserve">RUOPR </w:t>
            </w:r>
            <w:r w:rsidRPr="00A26DE0">
              <w:rPr>
                <w:i/>
                <w:iCs/>
                <w:sz w:val="20"/>
                <w:vertAlign w:val="subscript"/>
              </w:rPr>
              <w:t>q,</w:t>
            </w:r>
            <w:r>
              <w:rPr>
                <w:i/>
                <w:iCs/>
                <w:sz w:val="20"/>
                <w:vertAlign w:val="subscript"/>
              </w:rPr>
              <w:t xml:space="preserve"> </w:t>
            </w:r>
            <w:r w:rsidRPr="00A26DE0">
              <w:rPr>
                <w:i/>
                <w:iCs/>
                <w:sz w:val="20"/>
                <w:vertAlign w:val="subscript"/>
              </w:rPr>
              <w:t>r,</w:t>
            </w:r>
            <w:r>
              <w:rPr>
                <w:i/>
                <w:iCs/>
                <w:sz w:val="20"/>
                <w:vertAlign w:val="subscript"/>
              </w:rPr>
              <w:t xml:space="preserve"> </w:t>
            </w:r>
            <w:r w:rsidRPr="00A26DE0">
              <w:rPr>
                <w:i/>
                <w:iCs/>
                <w:sz w:val="20"/>
                <w:vertAlign w:val="subscript"/>
              </w:rPr>
              <w:t>DAM</w:t>
            </w:r>
          </w:p>
          <w:p w14:paraId="703CF5C8" w14:textId="77777777" w:rsidR="00A26DE0" w:rsidRPr="00A26DE0" w:rsidRDefault="00A26DE0" w:rsidP="00A26DE0">
            <w:pPr>
              <w:spacing w:after="60"/>
              <w:rPr>
                <w:iCs/>
                <w:sz w:val="20"/>
              </w:rPr>
            </w:pPr>
          </w:p>
        </w:tc>
        <w:tc>
          <w:tcPr>
            <w:tcW w:w="399" w:type="pct"/>
            <w:shd w:val="clear" w:color="auto" w:fill="auto"/>
          </w:tcPr>
          <w:p w14:paraId="6DADFDC1" w14:textId="77777777" w:rsidR="00A26DE0" w:rsidRPr="00A26DE0" w:rsidRDefault="00A26DE0" w:rsidP="00A26DE0">
            <w:pPr>
              <w:spacing w:after="60"/>
              <w:jc w:val="center"/>
              <w:rPr>
                <w:iCs/>
                <w:sz w:val="20"/>
              </w:rPr>
            </w:pPr>
            <w:r w:rsidRPr="00A26DE0">
              <w:rPr>
                <w:iCs/>
                <w:sz w:val="20"/>
              </w:rPr>
              <w:t>$/MW per hour</w:t>
            </w:r>
          </w:p>
        </w:tc>
        <w:tc>
          <w:tcPr>
            <w:tcW w:w="3541" w:type="pct"/>
            <w:shd w:val="clear" w:color="auto" w:fill="auto"/>
          </w:tcPr>
          <w:p w14:paraId="46ECB7F2" w14:textId="77777777" w:rsidR="00A26DE0" w:rsidRPr="00A26DE0" w:rsidRDefault="00A26DE0" w:rsidP="00A26DE0">
            <w:pPr>
              <w:spacing w:after="60"/>
              <w:rPr>
                <w:iCs/>
                <w:sz w:val="20"/>
              </w:rPr>
            </w:pPr>
            <w:r w:rsidRPr="00A26DE0">
              <w:rPr>
                <w:i/>
                <w:iCs/>
                <w:sz w:val="20"/>
              </w:rPr>
              <w:t>Regulation Up Offer Price</w:t>
            </w:r>
            <w:r w:rsidRPr="00A26DE0">
              <w:rPr>
                <w:iCs/>
                <w:sz w:val="20"/>
              </w:rPr>
              <w:t xml:space="preserve">—The offer price for Resource </w:t>
            </w:r>
            <w:r w:rsidRPr="00A26DE0">
              <w:rPr>
                <w:i/>
                <w:iCs/>
                <w:sz w:val="20"/>
              </w:rPr>
              <w:t xml:space="preserve">r </w:t>
            </w:r>
            <w:r w:rsidRPr="00A26DE0">
              <w:rPr>
                <w:iCs/>
                <w:sz w:val="20"/>
              </w:rPr>
              <w:t xml:space="preserve">represented by QSE </w:t>
            </w:r>
            <w:r w:rsidRPr="00A26DE0">
              <w:rPr>
                <w:i/>
                <w:iCs/>
                <w:sz w:val="20"/>
              </w:rPr>
              <w:t xml:space="preserve">q, </w:t>
            </w:r>
            <w:r w:rsidRPr="00A26DE0">
              <w:rPr>
                <w:iCs/>
                <w:sz w:val="20"/>
              </w:rPr>
              <w:t xml:space="preserve">for the impacted Reg-Up Ancillary Service Offers.  Where for a Combined Cycle Train, </w:t>
            </w:r>
            <w:r w:rsidRPr="00A26DE0">
              <w:rPr>
                <w:iCs/>
                <w:sz w:val="20"/>
              </w:rPr>
              <w:lastRenderedPageBreak/>
              <w:t xml:space="preserve">the Resource </w:t>
            </w:r>
            <w:r w:rsidRPr="00A26DE0">
              <w:rPr>
                <w:i/>
                <w:iCs/>
                <w:sz w:val="20"/>
              </w:rPr>
              <w:t xml:space="preserve">r </w:t>
            </w:r>
            <w:r w:rsidRPr="00A26DE0">
              <w:rPr>
                <w:iCs/>
                <w:sz w:val="20"/>
              </w:rPr>
              <w:t>is a Combined Cycle Generation Resource within the Combined Cycle Train.</w:t>
            </w:r>
          </w:p>
        </w:tc>
      </w:tr>
      <w:tr w:rsidR="00A26DE0" w:rsidRPr="00A26DE0" w14:paraId="2ECFC956" w14:textId="77777777" w:rsidTr="00353B99">
        <w:trPr>
          <w:trHeight w:val="498"/>
        </w:trPr>
        <w:tc>
          <w:tcPr>
            <w:tcW w:w="1060" w:type="pct"/>
            <w:shd w:val="clear" w:color="auto" w:fill="auto"/>
          </w:tcPr>
          <w:p w14:paraId="3FE49134" w14:textId="4953D1CC" w:rsidR="00A26DE0" w:rsidRPr="00A26DE0" w:rsidRDefault="00A26DE0" w:rsidP="00A26DE0">
            <w:pPr>
              <w:spacing w:after="60"/>
              <w:rPr>
                <w:iCs/>
                <w:sz w:val="20"/>
              </w:rPr>
            </w:pPr>
            <w:r w:rsidRPr="00A26DE0">
              <w:rPr>
                <w:iCs/>
                <w:sz w:val="20"/>
              </w:rPr>
              <w:lastRenderedPageBreak/>
              <w:t>RDOPR</w:t>
            </w:r>
            <w:r w:rsidRPr="00A26DE0">
              <w:rPr>
                <w:iCs/>
                <w:sz w:val="20"/>
                <w:vertAlign w:val="subscript"/>
              </w:rPr>
              <w:t xml:space="preserve"> </w:t>
            </w:r>
            <w:r w:rsidRPr="00A26DE0">
              <w:rPr>
                <w:i/>
                <w:iCs/>
                <w:sz w:val="20"/>
                <w:vertAlign w:val="subscript"/>
              </w:rPr>
              <w:t>q,</w:t>
            </w:r>
            <w:r>
              <w:rPr>
                <w:i/>
                <w:iCs/>
                <w:sz w:val="20"/>
                <w:vertAlign w:val="subscript"/>
              </w:rPr>
              <w:t xml:space="preserve"> </w:t>
            </w:r>
            <w:r w:rsidRPr="00A26DE0">
              <w:rPr>
                <w:i/>
                <w:iCs/>
                <w:sz w:val="20"/>
                <w:vertAlign w:val="subscript"/>
              </w:rPr>
              <w:t>r,</w:t>
            </w:r>
            <w:r>
              <w:rPr>
                <w:i/>
                <w:iCs/>
                <w:sz w:val="20"/>
                <w:vertAlign w:val="subscript"/>
              </w:rPr>
              <w:t xml:space="preserve"> </w:t>
            </w:r>
            <w:r w:rsidRPr="00A26DE0">
              <w:rPr>
                <w:i/>
                <w:iCs/>
                <w:sz w:val="20"/>
                <w:vertAlign w:val="subscript"/>
              </w:rPr>
              <w:t>DAM</w:t>
            </w:r>
          </w:p>
        </w:tc>
        <w:tc>
          <w:tcPr>
            <w:tcW w:w="399" w:type="pct"/>
            <w:shd w:val="clear" w:color="auto" w:fill="auto"/>
          </w:tcPr>
          <w:p w14:paraId="3EA34897" w14:textId="77777777" w:rsidR="00A26DE0" w:rsidRPr="00A26DE0" w:rsidRDefault="00A26DE0" w:rsidP="00A26DE0">
            <w:pPr>
              <w:spacing w:after="60"/>
              <w:jc w:val="center"/>
              <w:rPr>
                <w:iCs/>
                <w:sz w:val="20"/>
              </w:rPr>
            </w:pPr>
            <w:r w:rsidRPr="00A26DE0">
              <w:rPr>
                <w:iCs/>
                <w:sz w:val="20"/>
              </w:rPr>
              <w:t>$/MW per hour</w:t>
            </w:r>
          </w:p>
        </w:tc>
        <w:tc>
          <w:tcPr>
            <w:tcW w:w="3541" w:type="pct"/>
            <w:shd w:val="clear" w:color="auto" w:fill="auto"/>
          </w:tcPr>
          <w:p w14:paraId="1924AB64" w14:textId="77777777" w:rsidR="00A26DE0" w:rsidRPr="00A26DE0" w:rsidRDefault="00A26DE0" w:rsidP="00A26DE0">
            <w:pPr>
              <w:spacing w:after="60"/>
              <w:rPr>
                <w:iCs/>
                <w:sz w:val="20"/>
              </w:rPr>
            </w:pPr>
            <w:r w:rsidRPr="00A26DE0">
              <w:rPr>
                <w:i/>
                <w:iCs/>
                <w:sz w:val="20"/>
              </w:rPr>
              <w:t>Regulation Down Offer Price</w:t>
            </w:r>
            <w:r w:rsidRPr="00A26DE0">
              <w:rPr>
                <w:iCs/>
                <w:sz w:val="20"/>
              </w:rPr>
              <w:t xml:space="preserve">—The offer price for Resource </w:t>
            </w:r>
            <w:r w:rsidRPr="00A26DE0">
              <w:rPr>
                <w:i/>
                <w:iCs/>
                <w:sz w:val="20"/>
              </w:rPr>
              <w:t xml:space="preserve">r </w:t>
            </w:r>
            <w:r w:rsidRPr="00A26DE0">
              <w:rPr>
                <w:iCs/>
                <w:sz w:val="20"/>
              </w:rPr>
              <w:t xml:space="preserve">represented by QSE </w:t>
            </w:r>
            <w:r w:rsidRPr="00A26DE0">
              <w:rPr>
                <w:i/>
                <w:iCs/>
                <w:sz w:val="20"/>
              </w:rPr>
              <w:t>q,</w:t>
            </w:r>
            <w:r w:rsidRPr="00A26DE0">
              <w:rPr>
                <w:iCs/>
                <w:sz w:val="20"/>
              </w:rPr>
              <w:t xml:space="preserve"> for the impacted Reg-Down Ancillary Service Offers.  Where for a Combined Cycle Train, the Resource </w:t>
            </w:r>
            <w:r w:rsidRPr="00A26DE0">
              <w:rPr>
                <w:i/>
                <w:iCs/>
                <w:sz w:val="20"/>
              </w:rPr>
              <w:t xml:space="preserve">r </w:t>
            </w:r>
            <w:r w:rsidRPr="00A26DE0">
              <w:rPr>
                <w:iCs/>
                <w:sz w:val="20"/>
              </w:rPr>
              <w:t>is a Combined Cycle Generation Resource within the Combined Cycle Train.</w:t>
            </w:r>
          </w:p>
        </w:tc>
      </w:tr>
      <w:tr w:rsidR="00A26DE0" w:rsidRPr="00A26DE0" w14:paraId="21139CF1" w14:textId="77777777" w:rsidTr="00353B99">
        <w:trPr>
          <w:trHeight w:val="525"/>
        </w:trPr>
        <w:tc>
          <w:tcPr>
            <w:tcW w:w="1060" w:type="pct"/>
            <w:shd w:val="clear" w:color="auto" w:fill="auto"/>
          </w:tcPr>
          <w:p w14:paraId="746BAFF2" w14:textId="4F2331E1" w:rsidR="00A26DE0" w:rsidRPr="00A26DE0" w:rsidRDefault="00A26DE0" w:rsidP="00A26DE0">
            <w:pPr>
              <w:spacing w:after="60"/>
              <w:rPr>
                <w:iCs/>
                <w:sz w:val="20"/>
              </w:rPr>
            </w:pPr>
            <w:r w:rsidRPr="00A26DE0">
              <w:rPr>
                <w:iCs/>
                <w:sz w:val="20"/>
              </w:rPr>
              <w:t>RROPR</w:t>
            </w:r>
            <w:r w:rsidRPr="00A26DE0">
              <w:rPr>
                <w:iCs/>
                <w:sz w:val="20"/>
                <w:vertAlign w:val="subscript"/>
              </w:rPr>
              <w:t xml:space="preserve"> </w:t>
            </w:r>
            <w:r w:rsidRPr="00A26DE0">
              <w:rPr>
                <w:i/>
                <w:iCs/>
                <w:sz w:val="20"/>
                <w:vertAlign w:val="subscript"/>
              </w:rPr>
              <w:t>q,</w:t>
            </w:r>
            <w:r>
              <w:rPr>
                <w:i/>
                <w:iCs/>
                <w:sz w:val="20"/>
                <w:vertAlign w:val="subscript"/>
              </w:rPr>
              <w:t xml:space="preserve"> </w:t>
            </w:r>
            <w:r w:rsidRPr="00A26DE0">
              <w:rPr>
                <w:i/>
                <w:iCs/>
                <w:sz w:val="20"/>
                <w:vertAlign w:val="subscript"/>
              </w:rPr>
              <w:t>r,</w:t>
            </w:r>
            <w:r>
              <w:rPr>
                <w:i/>
                <w:iCs/>
                <w:sz w:val="20"/>
                <w:vertAlign w:val="subscript"/>
              </w:rPr>
              <w:t xml:space="preserve"> </w:t>
            </w:r>
            <w:r w:rsidRPr="00A26DE0">
              <w:rPr>
                <w:i/>
                <w:iCs/>
                <w:sz w:val="20"/>
                <w:vertAlign w:val="subscript"/>
              </w:rPr>
              <w:t>DAM</w:t>
            </w:r>
          </w:p>
        </w:tc>
        <w:tc>
          <w:tcPr>
            <w:tcW w:w="399" w:type="pct"/>
            <w:shd w:val="clear" w:color="auto" w:fill="auto"/>
          </w:tcPr>
          <w:p w14:paraId="6249D099" w14:textId="77777777" w:rsidR="00A26DE0" w:rsidRPr="00A26DE0" w:rsidRDefault="00A26DE0" w:rsidP="00A26DE0">
            <w:pPr>
              <w:spacing w:after="60"/>
              <w:jc w:val="center"/>
              <w:rPr>
                <w:iCs/>
                <w:sz w:val="20"/>
              </w:rPr>
            </w:pPr>
            <w:r w:rsidRPr="00A26DE0">
              <w:rPr>
                <w:iCs/>
                <w:sz w:val="20"/>
              </w:rPr>
              <w:t>$/MW per hour</w:t>
            </w:r>
          </w:p>
        </w:tc>
        <w:tc>
          <w:tcPr>
            <w:tcW w:w="3541" w:type="pct"/>
            <w:shd w:val="clear" w:color="auto" w:fill="auto"/>
          </w:tcPr>
          <w:p w14:paraId="44D456D2" w14:textId="77777777" w:rsidR="00A26DE0" w:rsidRPr="00A26DE0" w:rsidRDefault="00A26DE0" w:rsidP="00A26DE0">
            <w:pPr>
              <w:spacing w:after="60"/>
              <w:rPr>
                <w:iCs/>
                <w:sz w:val="20"/>
              </w:rPr>
            </w:pPr>
            <w:r w:rsidRPr="00A26DE0">
              <w:rPr>
                <w:i/>
                <w:iCs/>
                <w:sz w:val="20"/>
              </w:rPr>
              <w:t>Responsive Reserve Offer Price</w:t>
            </w:r>
            <w:r w:rsidRPr="00A26DE0">
              <w:rPr>
                <w:iCs/>
                <w:sz w:val="20"/>
              </w:rPr>
              <w:t xml:space="preserve">—The offer price for Resource </w:t>
            </w:r>
            <w:r w:rsidRPr="00A26DE0">
              <w:rPr>
                <w:i/>
                <w:iCs/>
                <w:sz w:val="20"/>
              </w:rPr>
              <w:t xml:space="preserve">r </w:t>
            </w:r>
            <w:r w:rsidRPr="00A26DE0">
              <w:rPr>
                <w:iCs/>
                <w:sz w:val="20"/>
              </w:rPr>
              <w:t xml:space="preserve">represented by QSE </w:t>
            </w:r>
            <w:r w:rsidRPr="00A26DE0">
              <w:rPr>
                <w:i/>
                <w:iCs/>
                <w:sz w:val="20"/>
              </w:rPr>
              <w:t>q,</w:t>
            </w:r>
            <w:r w:rsidRPr="00A26DE0">
              <w:rPr>
                <w:iCs/>
                <w:sz w:val="20"/>
              </w:rPr>
              <w:t xml:space="preserve"> for the impacted RRS Ancillary Service Offers.  Where for a Combined Cycle Train, the Resource </w:t>
            </w:r>
            <w:r w:rsidRPr="00A26DE0">
              <w:rPr>
                <w:i/>
                <w:iCs/>
                <w:sz w:val="20"/>
              </w:rPr>
              <w:t xml:space="preserve">r </w:t>
            </w:r>
            <w:r w:rsidRPr="00A26DE0">
              <w:rPr>
                <w:iCs/>
                <w:sz w:val="20"/>
              </w:rPr>
              <w:t>is a Combined Cycle Generation Resource within the Combined Cycle Train.</w:t>
            </w:r>
          </w:p>
        </w:tc>
      </w:tr>
      <w:tr w:rsidR="00434F7C" w:rsidRPr="00A26DE0" w14:paraId="05337631" w14:textId="77777777" w:rsidTr="00353B99">
        <w:trPr>
          <w:trHeight w:val="525"/>
        </w:trPr>
        <w:tc>
          <w:tcPr>
            <w:tcW w:w="1060" w:type="pct"/>
            <w:shd w:val="clear" w:color="auto" w:fill="auto"/>
          </w:tcPr>
          <w:p w14:paraId="5679653D" w14:textId="4DD6469D" w:rsidR="00434F7C" w:rsidRPr="00A26DE0" w:rsidRDefault="00434F7C" w:rsidP="00434F7C">
            <w:pPr>
              <w:spacing w:after="60"/>
              <w:rPr>
                <w:iCs/>
                <w:sz w:val="20"/>
              </w:rPr>
            </w:pPr>
            <w:r w:rsidRPr="00A26DE0">
              <w:rPr>
                <w:iCs/>
                <w:sz w:val="20"/>
              </w:rPr>
              <w:t>ECRSOPR</w:t>
            </w:r>
            <w:r w:rsidRPr="00A26DE0">
              <w:rPr>
                <w:i/>
                <w:iCs/>
                <w:sz w:val="20"/>
                <w:vertAlign w:val="subscript"/>
              </w:rPr>
              <w:t xml:space="preserve"> q,</w:t>
            </w:r>
            <w:r>
              <w:rPr>
                <w:i/>
                <w:iCs/>
                <w:sz w:val="20"/>
                <w:vertAlign w:val="subscript"/>
              </w:rPr>
              <w:t xml:space="preserve"> </w:t>
            </w:r>
            <w:r w:rsidRPr="00A26DE0">
              <w:rPr>
                <w:i/>
                <w:iCs/>
                <w:sz w:val="20"/>
                <w:vertAlign w:val="subscript"/>
              </w:rPr>
              <w:t>r,</w:t>
            </w:r>
            <w:r w:rsidRPr="00A26DE0">
              <w:rPr>
                <w:iCs/>
                <w:sz w:val="20"/>
                <w:vertAlign w:val="subscript"/>
              </w:rPr>
              <w:t xml:space="preserve"> </w:t>
            </w:r>
            <w:r w:rsidRPr="00A26DE0">
              <w:rPr>
                <w:i/>
                <w:iCs/>
                <w:sz w:val="20"/>
                <w:vertAlign w:val="subscript"/>
              </w:rPr>
              <w:t>DAM</w:t>
            </w:r>
          </w:p>
        </w:tc>
        <w:tc>
          <w:tcPr>
            <w:tcW w:w="399" w:type="pct"/>
            <w:shd w:val="clear" w:color="auto" w:fill="auto"/>
          </w:tcPr>
          <w:p w14:paraId="0A2DB2E6" w14:textId="305FDC96" w:rsidR="00434F7C" w:rsidRPr="00A26DE0" w:rsidRDefault="00434F7C" w:rsidP="00434F7C">
            <w:pPr>
              <w:spacing w:after="60"/>
              <w:jc w:val="center"/>
              <w:rPr>
                <w:iCs/>
                <w:sz w:val="20"/>
              </w:rPr>
            </w:pPr>
            <w:r w:rsidRPr="00A26DE0">
              <w:rPr>
                <w:iCs/>
                <w:sz w:val="20"/>
              </w:rPr>
              <w:t>$/MW per hour</w:t>
            </w:r>
          </w:p>
        </w:tc>
        <w:tc>
          <w:tcPr>
            <w:tcW w:w="3541" w:type="pct"/>
            <w:shd w:val="clear" w:color="auto" w:fill="auto"/>
          </w:tcPr>
          <w:p w14:paraId="1634DDF3" w14:textId="689E4161" w:rsidR="00434F7C" w:rsidRPr="00A26DE0" w:rsidRDefault="00434F7C" w:rsidP="00434F7C">
            <w:pPr>
              <w:spacing w:after="60"/>
              <w:rPr>
                <w:i/>
                <w:iCs/>
                <w:sz w:val="20"/>
              </w:rPr>
            </w:pPr>
            <w:r w:rsidRPr="00A26DE0">
              <w:rPr>
                <w:i/>
                <w:iCs/>
                <w:sz w:val="20"/>
              </w:rPr>
              <w:t>ERCOT Contingency Reserve Service Offer Price</w:t>
            </w:r>
            <w:r w:rsidRPr="00A26DE0">
              <w:rPr>
                <w:iCs/>
                <w:sz w:val="20"/>
              </w:rPr>
              <w:t xml:space="preserve">—The offer price for Resource </w:t>
            </w:r>
            <w:r w:rsidRPr="00A26DE0">
              <w:rPr>
                <w:i/>
                <w:iCs/>
                <w:sz w:val="20"/>
              </w:rPr>
              <w:t xml:space="preserve">r </w:t>
            </w:r>
            <w:r w:rsidRPr="00A26DE0">
              <w:rPr>
                <w:iCs/>
                <w:sz w:val="20"/>
              </w:rPr>
              <w:t xml:space="preserve">represented by QSE </w:t>
            </w:r>
            <w:r w:rsidRPr="00A26DE0">
              <w:rPr>
                <w:i/>
                <w:iCs/>
                <w:sz w:val="20"/>
              </w:rPr>
              <w:t>q,</w:t>
            </w:r>
            <w:r w:rsidRPr="00A26DE0">
              <w:rPr>
                <w:iCs/>
                <w:sz w:val="20"/>
              </w:rPr>
              <w:t xml:space="preserve"> for the impacted ECRS Ancillary Service Offers.  Where for a Combined Cycle Train, the Resource </w:t>
            </w:r>
            <w:r w:rsidRPr="00A26DE0">
              <w:rPr>
                <w:i/>
                <w:iCs/>
                <w:sz w:val="20"/>
              </w:rPr>
              <w:t xml:space="preserve">r </w:t>
            </w:r>
            <w:r w:rsidRPr="00A26DE0">
              <w:rPr>
                <w:iCs/>
                <w:sz w:val="20"/>
              </w:rPr>
              <w:t>is a Combined Cycle Generation Resource within the Combined Cycle Train.</w:t>
            </w:r>
          </w:p>
        </w:tc>
      </w:tr>
      <w:tr w:rsidR="00A26DE0" w:rsidRPr="00A26DE0" w14:paraId="66F11C5F" w14:textId="77777777" w:rsidTr="00353B99">
        <w:trPr>
          <w:trHeight w:val="525"/>
        </w:trPr>
        <w:tc>
          <w:tcPr>
            <w:tcW w:w="1060" w:type="pct"/>
            <w:shd w:val="clear" w:color="auto" w:fill="auto"/>
          </w:tcPr>
          <w:p w14:paraId="1D7AC09C" w14:textId="6E347356" w:rsidR="00A26DE0" w:rsidRPr="00A26DE0" w:rsidRDefault="00A26DE0" w:rsidP="00A26DE0">
            <w:pPr>
              <w:spacing w:after="60"/>
              <w:rPr>
                <w:iCs/>
                <w:sz w:val="20"/>
              </w:rPr>
            </w:pPr>
            <w:r w:rsidRPr="00A26DE0">
              <w:rPr>
                <w:iCs/>
                <w:sz w:val="20"/>
              </w:rPr>
              <w:t>NSOPR</w:t>
            </w:r>
            <w:r w:rsidRPr="00A26DE0">
              <w:rPr>
                <w:iCs/>
                <w:sz w:val="20"/>
                <w:vertAlign w:val="subscript"/>
              </w:rPr>
              <w:t xml:space="preserve"> </w:t>
            </w:r>
            <w:r w:rsidRPr="00A26DE0">
              <w:rPr>
                <w:i/>
                <w:iCs/>
                <w:sz w:val="20"/>
                <w:vertAlign w:val="subscript"/>
              </w:rPr>
              <w:t>q,</w:t>
            </w:r>
            <w:r>
              <w:rPr>
                <w:i/>
                <w:iCs/>
                <w:sz w:val="20"/>
                <w:vertAlign w:val="subscript"/>
              </w:rPr>
              <w:t xml:space="preserve"> </w:t>
            </w:r>
            <w:r w:rsidRPr="00A26DE0">
              <w:rPr>
                <w:i/>
                <w:iCs/>
                <w:sz w:val="20"/>
                <w:vertAlign w:val="subscript"/>
              </w:rPr>
              <w:t>r,</w:t>
            </w:r>
            <w:r>
              <w:rPr>
                <w:i/>
                <w:iCs/>
                <w:sz w:val="20"/>
                <w:vertAlign w:val="subscript"/>
              </w:rPr>
              <w:t xml:space="preserve"> </w:t>
            </w:r>
            <w:r w:rsidRPr="00A26DE0">
              <w:rPr>
                <w:i/>
                <w:iCs/>
                <w:sz w:val="20"/>
                <w:vertAlign w:val="subscript"/>
              </w:rPr>
              <w:t>DAM</w:t>
            </w:r>
          </w:p>
        </w:tc>
        <w:tc>
          <w:tcPr>
            <w:tcW w:w="399" w:type="pct"/>
            <w:shd w:val="clear" w:color="auto" w:fill="auto"/>
          </w:tcPr>
          <w:p w14:paraId="093BE217" w14:textId="77777777" w:rsidR="00A26DE0" w:rsidRPr="00A26DE0" w:rsidRDefault="00A26DE0" w:rsidP="00A26DE0">
            <w:pPr>
              <w:spacing w:after="60"/>
              <w:jc w:val="center"/>
              <w:rPr>
                <w:iCs/>
                <w:sz w:val="20"/>
              </w:rPr>
            </w:pPr>
            <w:r w:rsidRPr="00A26DE0">
              <w:rPr>
                <w:iCs/>
                <w:sz w:val="20"/>
              </w:rPr>
              <w:t>$/MW per hour</w:t>
            </w:r>
          </w:p>
        </w:tc>
        <w:tc>
          <w:tcPr>
            <w:tcW w:w="3541" w:type="pct"/>
            <w:shd w:val="clear" w:color="auto" w:fill="auto"/>
          </w:tcPr>
          <w:p w14:paraId="595D2F6C" w14:textId="77777777" w:rsidR="00A26DE0" w:rsidRPr="00A26DE0" w:rsidRDefault="00A26DE0" w:rsidP="00A26DE0">
            <w:pPr>
              <w:spacing w:after="60"/>
              <w:rPr>
                <w:iCs/>
                <w:sz w:val="20"/>
              </w:rPr>
            </w:pPr>
            <w:r w:rsidRPr="00A26DE0">
              <w:rPr>
                <w:i/>
                <w:iCs/>
                <w:sz w:val="20"/>
              </w:rPr>
              <w:t>Non-Spinning Reserve Offer Price</w:t>
            </w:r>
            <w:r w:rsidRPr="00A26DE0">
              <w:rPr>
                <w:iCs/>
                <w:sz w:val="20"/>
              </w:rPr>
              <w:t xml:space="preserve">—The offer price for Resource </w:t>
            </w:r>
            <w:r w:rsidRPr="00A26DE0">
              <w:rPr>
                <w:i/>
                <w:iCs/>
                <w:sz w:val="20"/>
              </w:rPr>
              <w:t xml:space="preserve">r </w:t>
            </w:r>
            <w:r w:rsidRPr="00A26DE0">
              <w:rPr>
                <w:iCs/>
                <w:sz w:val="20"/>
              </w:rPr>
              <w:t xml:space="preserve">represented by QSE </w:t>
            </w:r>
            <w:r w:rsidRPr="00A26DE0">
              <w:rPr>
                <w:i/>
                <w:iCs/>
                <w:sz w:val="20"/>
              </w:rPr>
              <w:t>q,</w:t>
            </w:r>
            <w:r w:rsidRPr="00A26DE0">
              <w:rPr>
                <w:iCs/>
                <w:sz w:val="20"/>
              </w:rPr>
              <w:t xml:space="preserve"> for the impacted Non-Spin Ancillary Service Offers.  Where for a Combined Cycle Train, the Resource </w:t>
            </w:r>
            <w:r w:rsidRPr="00A26DE0">
              <w:rPr>
                <w:i/>
                <w:iCs/>
                <w:sz w:val="20"/>
              </w:rPr>
              <w:t xml:space="preserve">r </w:t>
            </w:r>
            <w:r w:rsidRPr="00A26DE0">
              <w:rPr>
                <w:iCs/>
                <w:sz w:val="20"/>
              </w:rPr>
              <w:t>is a Combined Cycle Generation Resource within the Combined Cycle Train.</w:t>
            </w:r>
          </w:p>
        </w:tc>
      </w:tr>
      <w:tr w:rsidR="00A26DE0" w:rsidRPr="00A26DE0" w14:paraId="1BDB3CB0" w14:textId="77777777" w:rsidTr="00353B99">
        <w:trPr>
          <w:trHeight w:val="525"/>
        </w:trPr>
        <w:tc>
          <w:tcPr>
            <w:tcW w:w="1060" w:type="pct"/>
            <w:shd w:val="clear" w:color="auto" w:fill="auto"/>
          </w:tcPr>
          <w:p w14:paraId="4ADA560E" w14:textId="77777777" w:rsidR="00A26DE0" w:rsidRPr="00A26DE0" w:rsidRDefault="00A26DE0" w:rsidP="00A26DE0">
            <w:pPr>
              <w:spacing w:after="60"/>
              <w:rPr>
                <w:iCs/>
                <w:sz w:val="20"/>
              </w:rPr>
            </w:pPr>
            <w:r w:rsidRPr="00A26DE0">
              <w:rPr>
                <w:iCs/>
                <w:sz w:val="20"/>
              </w:rPr>
              <w:t xml:space="preserve">MCPCRU </w:t>
            </w:r>
            <w:r w:rsidRPr="00A26DE0">
              <w:rPr>
                <w:i/>
                <w:iCs/>
                <w:sz w:val="20"/>
                <w:vertAlign w:val="subscript"/>
              </w:rPr>
              <w:t>DAM</w:t>
            </w:r>
          </w:p>
        </w:tc>
        <w:tc>
          <w:tcPr>
            <w:tcW w:w="399" w:type="pct"/>
            <w:shd w:val="clear" w:color="auto" w:fill="auto"/>
          </w:tcPr>
          <w:p w14:paraId="3524465B" w14:textId="77777777" w:rsidR="00A26DE0" w:rsidRPr="00A26DE0" w:rsidRDefault="00A26DE0" w:rsidP="00A26DE0">
            <w:pPr>
              <w:spacing w:after="60"/>
              <w:jc w:val="center"/>
              <w:rPr>
                <w:iCs/>
                <w:sz w:val="20"/>
              </w:rPr>
            </w:pPr>
            <w:r w:rsidRPr="00A26DE0">
              <w:rPr>
                <w:iCs/>
                <w:sz w:val="20"/>
              </w:rPr>
              <w:t>$/MW per hour</w:t>
            </w:r>
          </w:p>
        </w:tc>
        <w:tc>
          <w:tcPr>
            <w:tcW w:w="3541" w:type="pct"/>
            <w:shd w:val="clear" w:color="auto" w:fill="auto"/>
          </w:tcPr>
          <w:p w14:paraId="4BABE0C8" w14:textId="77777777" w:rsidR="00A26DE0" w:rsidRPr="00A26DE0" w:rsidRDefault="00A26DE0" w:rsidP="00A26DE0">
            <w:pPr>
              <w:spacing w:after="60"/>
              <w:rPr>
                <w:iCs/>
                <w:sz w:val="20"/>
              </w:rPr>
            </w:pPr>
            <w:r w:rsidRPr="00A26DE0">
              <w:rPr>
                <w:i/>
                <w:iCs/>
                <w:sz w:val="20"/>
              </w:rPr>
              <w:t>Market Clearing Price for Capacity for Regulation Up in DAM</w:t>
            </w:r>
            <w:r w:rsidRPr="00A26DE0">
              <w:rPr>
                <w:iCs/>
                <w:sz w:val="20"/>
              </w:rPr>
              <w:t>—The DAM Market Clearing Price for Capacity (MCPC) for Reg-Up, for the hour.</w:t>
            </w:r>
          </w:p>
        </w:tc>
      </w:tr>
      <w:tr w:rsidR="00A26DE0" w:rsidRPr="00A26DE0" w14:paraId="0C6C0B91" w14:textId="77777777" w:rsidTr="00353B99">
        <w:trPr>
          <w:trHeight w:val="525"/>
        </w:trPr>
        <w:tc>
          <w:tcPr>
            <w:tcW w:w="1060" w:type="pct"/>
            <w:shd w:val="clear" w:color="auto" w:fill="auto"/>
          </w:tcPr>
          <w:p w14:paraId="44B3F238" w14:textId="77777777" w:rsidR="00A26DE0" w:rsidRPr="00A26DE0" w:rsidRDefault="00A26DE0" w:rsidP="00A26DE0">
            <w:pPr>
              <w:spacing w:after="60"/>
              <w:rPr>
                <w:iCs/>
                <w:sz w:val="20"/>
              </w:rPr>
            </w:pPr>
            <w:r w:rsidRPr="00A26DE0">
              <w:rPr>
                <w:iCs/>
                <w:sz w:val="20"/>
              </w:rPr>
              <w:t xml:space="preserve">MCPCRD </w:t>
            </w:r>
            <w:r w:rsidRPr="00A26DE0">
              <w:rPr>
                <w:i/>
                <w:iCs/>
                <w:sz w:val="20"/>
                <w:vertAlign w:val="subscript"/>
              </w:rPr>
              <w:t>DAM</w:t>
            </w:r>
          </w:p>
        </w:tc>
        <w:tc>
          <w:tcPr>
            <w:tcW w:w="399" w:type="pct"/>
            <w:shd w:val="clear" w:color="auto" w:fill="auto"/>
          </w:tcPr>
          <w:p w14:paraId="466036B8" w14:textId="77777777" w:rsidR="00A26DE0" w:rsidRPr="00A26DE0" w:rsidRDefault="00A26DE0" w:rsidP="00A26DE0">
            <w:pPr>
              <w:spacing w:after="60"/>
              <w:jc w:val="center"/>
              <w:rPr>
                <w:iCs/>
                <w:sz w:val="20"/>
              </w:rPr>
            </w:pPr>
            <w:r w:rsidRPr="00A26DE0">
              <w:rPr>
                <w:iCs/>
                <w:sz w:val="20"/>
              </w:rPr>
              <w:t>$/MW per hour</w:t>
            </w:r>
          </w:p>
        </w:tc>
        <w:tc>
          <w:tcPr>
            <w:tcW w:w="3541" w:type="pct"/>
            <w:shd w:val="clear" w:color="auto" w:fill="auto"/>
          </w:tcPr>
          <w:p w14:paraId="74200BA7" w14:textId="77777777" w:rsidR="00A26DE0" w:rsidRPr="00A26DE0" w:rsidRDefault="00A26DE0" w:rsidP="00A26DE0">
            <w:pPr>
              <w:spacing w:after="60"/>
              <w:rPr>
                <w:iCs/>
                <w:sz w:val="20"/>
              </w:rPr>
            </w:pPr>
            <w:r w:rsidRPr="00A26DE0">
              <w:rPr>
                <w:i/>
                <w:iCs/>
                <w:sz w:val="20"/>
              </w:rPr>
              <w:t>Market Clearing Price for Capacity for Regulation Down in DAM</w:t>
            </w:r>
            <w:r w:rsidRPr="00A26DE0">
              <w:rPr>
                <w:iCs/>
                <w:sz w:val="20"/>
              </w:rPr>
              <w:t>—The DAM MCPC for Reg-Down, for the hour.</w:t>
            </w:r>
          </w:p>
        </w:tc>
      </w:tr>
      <w:tr w:rsidR="00A26DE0" w:rsidRPr="00A26DE0" w14:paraId="494E1301" w14:textId="77777777" w:rsidTr="00353B99">
        <w:trPr>
          <w:trHeight w:val="525"/>
        </w:trPr>
        <w:tc>
          <w:tcPr>
            <w:tcW w:w="1060" w:type="pct"/>
            <w:shd w:val="clear" w:color="auto" w:fill="auto"/>
          </w:tcPr>
          <w:p w14:paraId="280483EE" w14:textId="77777777" w:rsidR="00A26DE0" w:rsidRPr="00A26DE0" w:rsidRDefault="00A26DE0" w:rsidP="00A26DE0">
            <w:pPr>
              <w:spacing w:after="60"/>
              <w:rPr>
                <w:iCs/>
                <w:sz w:val="20"/>
              </w:rPr>
            </w:pPr>
            <w:r w:rsidRPr="00A26DE0">
              <w:rPr>
                <w:iCs/>
                <w:sz w:val="20"/>
              </w:rPr>
              <w:t xml:space="preserve">MCPCRR </w:t>
            </w:r>
            <w:r w:rsidRPr="00A26DE0">
              <w:rPr>
                <w:i/>
                <w:iCs/>
                <w:sz w:val="20"/>
                <w:vertAlign w:val="subscript"/>
              </w:rPr>
              <w:t>DAM</w:t>
            </w:r>
          </w:p>
        </w:tc>
        <w:tc>
          <w:tcPr>
            <w:tcW w:w="399" w:type="pct"/>
            <w:shd w:val="clear" w:color="auto" w:fill="auto"/>
          </w:tcPr>
          <w:p w14:paraId="50461B86" w14:textId="77777777" w:rsidR="00A26DE0" w:rsidRPr="00A26DE0" w:rsidRDefault="00A26DE0" w:rsidP="00A26DE0">
            <w:pPr>
              <w:spacing w:after="60"/>
              <w:jc w:val="center"/>
              <w:rPr>
                <w:iCs/>
                <w:sz w:val="20"/>
              </w:rPr>
            </w:pPr>
            <w:r w:rsidRPr="00A26DE0">
              <w:rPr>
                <w:iCs/>
                <w:sz w:val="20"/>
              </w:rPr>
              <w:t>$/MW per hour</w:t>
            </w:r>
          </w:p>
        </w:tc>
        <w:tc>
          <w:tcPr>
            <w:tcW w:w="3541" w:type="pct"/>
            <w:shd w:val="clear" w:color="auto" w:fill="auto"/>
          </w:tcPr>
          <w:p w14:paraId="2C9ACA42" w14:textId="77777777" w:rsidR="00A26DE0" w:rsidRPr="00A26DE0" w:rsidRDefault="00A26DE0" w:rsidP="00A26DE0">
            <w:pPr>
              <w:spacing w:after="60"/>
              <w:rPr>
                <w:iCs/>
                <w:sz w:val="20"/>
              </w:rPr>
            </w:pPr>
            <w:r w:rsidRPr="00A26DE0">
              <w:rPr>
                <w:i/>
                <w:iCs/>
                <w:sz w:val="20"/>
              </w:rPr>
              <w:t>Market Clearing Price for Capacity for Responsive Reserve in DAM</w:t>
            </w:r>
            <w:r w:rsidRPr="00A26DE0">
              <w:rPr>
                <w:iCs/>
                <w:sz w:val="20"/>
              </w:rPr>
              <w:t>—The DAM MCPC for RRS, for the hour.</w:t>
            </w:r>
          </w:p>
        </w:tc>
      </w:tr>
      <w:tr w:rsidR="00A26DE0" w:rsidRPr="00A26DE0" w14:paraId="7519833A" w14:textId="77777777" w:rsidTr="00353B99">
        <w:trPr>
          <w:trHeight w:val="525"/>
        </w:trPr>
        <w:tc>
          <w:tcPr>
            <w:tcW w:w="1060" w:type="pct"/>
            <w:shd w:val="clear" w:color="auto" w:fill="auto"/>
          </w:tcPr>
          <w:p w14:paraId="533BDCB6" w14:textId="77777777" w:rsidR="00A26DE0" w:rsidRPr="00A26DE0" w:rsidRDefault="00A26DE0" w:rsidP="00A26DE0">
            <w:pPr>
              <w:spacing w:after="60"/>
              <w:rPr>
                <w:iCs/>
                <w:sz w:val="20"/>
              </w:rPr>
            </w:pPr>
            <w:r w:rsidRPr="00A26DE0">
              <w:rPr>
                <w:iCs/>
                <w:sz w:val="20"/>
              </w:rPr>
              <w:t xml:space="preserve">MCPCNS </w:t>
            </w:r>
            <w:r w:rsidRPr="00A26DE0">
              <w:rPr>
                <w:i/>
                <w:iCs/>
                <w:sz w:val="20"/>
                <w:vertAlign w:val="subscript"/>
              </w:rPr>
              <w:t>DAM</w:t>
            </w:r>
          </w:p>
        </w:tc>
        <w:tc>
          <w:tcPr>
            <w:tcW w:w="399" w:type="pct"/>
            <w:shd w:val="clear" w:color="auto" w:fill="auto"/>
          </w:tcPr>
          <w:p w14:paraId="3A8F19AB" w14:textId="77777777" w:rsidR="00A26DE0" w:rsidRPr="00A26DE0" w:rsidRDefault="00A26DE0" w:rsidP="00A26DE0">
            <w:pPr>
              <w:spacing w:after="60"/>
              <w:jc w:val="center"/>
              <w:rPr>
                <w:iCs/>
                <w:sz w:val="20"/>
              </w:rPr>
            </w:pPr>
            <w:r w:rsidRPr="00A26DE0">
              <w:rPr>
                <w:iCs/>
                <w:sz w:val="20"/>
              </w:rPr>
              <w:t>$/MW per hour</w:t>
            </w:r>
          </w:p>
        </w:tc>
        <w:tc>
          <w:tcPr>
            <w:tcW w:w="3541" w:type="pct"/>
            <w:shd w:val="clear" w:color="auto" w:fill="auto"/>
          </w:tcPr>
          <w:p w14:paraId="1ED89003" w14:textId="77777777" w:rsidR="00A26DE0" w:rsidRPr="00A26DE0" w:rsidRDefault="00A26DE0" w:rsidP="00A26DE0">
            <w:pPr>
              <w:spacing w:after="60"/>
              <w:rPr>
                <w:iCs/>
                <w:sz w:val="20"/>
              </w:rPr>
            </w:pPr>
            <w:r w:rsidRPr="00A26DE0">
              <w:rPr>
                <w:i/>
                <w:iCs/>
                <w:sz w:val="20"/>
              </w:rPr>
              <w:t>Market Clearing Price for Capacity for Non-Spinning Reserve in DAM</w:t>
            </w:r>
            <w:r w:rsidRPr="00A26DE0">
              <w:rPr>
                <w:iCs/>
                <w:sz w:val="20"/>
              </w:rPr>
              <w:t>—The DAM MCPC for Non-Spin, for the hour.</w:t>
            </w:r>
          </w:p>
        </w:tc>
      </w:tr>
      <w:tr w:rsidR="00434F7C" w:rsidRPr="00A26DE0" w14:paraId="6433FB4A" w14:textId="77777777" w:rsidTr="00353B99">
        <w:trPr>
          <w:trHeight w:val="525"/>
        </w:trPr>
        <w:tc>
          <w:tcPr>
            <w:tcW w:w="1060" w:type="pct"/>
            <w:shd w:val="clear" w:color="auto" w:fill="auto"/>
          </w:tcPr>
          <w:p w14:paraId="5116AB4A" w14:textId="69CB64C5" w:rsidR="00434F7C" w:rsidRPr="00A26DE0" w:rsidRDefault="00434F7C" w:rsidP="00434F7C">
            <w:pPr>
              <w:spacing w:after="60"/>
              <w:rPr>
                <w:iCs/>
                <w:sz w:val="20"/>
              </w:rPr>
            </w:pPr>
            <w:r w:rsidRPr="00A26DE0">
              <w:rPr>
                <w:sz w:val="20"/>
              </w:rPr>
              <w:t xml:space="preserve">MCPCECR </w:t>
            </w:r>
            <w:r w:rsidRPr="00A26DE0">
              <w:rPr>
                <w:i/>
                <w:sz w:val="20"/>
                <w:vertAlign w:val="subscript"/>
              </w:rPr>
              <w:t>DAM</w:t>
            </w:r>
          </w:p>
        </w:tc>
        <w:tc>
          <w:tcPr>
            <w:tcW w:w="399" w:type="pct"/>
            <w:shd w:val="clear" w:color="auto" w:fill="auto"/>
          </w:tcPr>
          <w:p w14:paraId="6DB62646" w14:textId="3AE5BFB2" w:rsidR="00434F7C" w:rsidRPr="00A26DE0" w:rsidRDefault="00434F7C" w:rsidP="00434F7C">
            <w:pPr>
              <w:spacing w:after="60"/>
              <w:jc w:val="center"/>
              <w:rPr>
                <w:iCs/>
                <w:sz w:val="20"/>
              </w:rPr>
            </w:pPr>
            <w:r w:rsidRPr="00A26DE0">
              <w:rPr>
                <w:iCs/>
                <w:sz w:val="20"/>
              </w:rPr>
              <w:t>$/MW per hour</w:t>
            </w:r>
          </w:p>
        </w:tc>
        <w:tc>
          <w:tcPr>
            <w:tcW w:w="3541" w:type="pct"/>
            <w:shd w:val="clear" w:color="auto" w:fill="auto"/>
          </w:tcPr>
          <w:p w14:paraId="7FE736F3" w14:textId="1AF7D93F" w:rsidR="00434F7C" w:rsidRPr="00A26DE0" w:rsidRDefault="00434F7C" w:rsidP="00434F7C">
            <w:pPr>
              <w:spacing w:after="60"/>
              <w:rPr>
                <w:i/>
                <w:iCs/>
                <w:sz w:val="20"/>
              </w:rPr>
            </w:pPr>
            <w:r w:rsidRPr="00A26DE0">
              <w:rPr>
                <w:i/>
                <w:sz w:val="20"/>
              </w:rPr>
              <w:t>Market Clearing Price for Capacity for ERCOT Contingency Reserve Service in DAM</w:t>
            </w:r>
            <w:r w:rsidRPr="00A26DE0">
              <w:rPr>
                <w:sz w:val="20"/>
              </w:rPr>
              <w:t>—The DAM MCPC for ECRS, for the hour.</w:t>
            </w:r>
          </w:p>
        </w:tc>
      </w:tr>
    </w:tbl>
    <w:p w14:paraId="1D96CE67" w14:textId="77777777" w:rsidR="00A26DE0" w:rsidRPr="00A26DE0" w:rsidRDefault="00A26DE0" w:rsidP="00A26DE0">
      <w:pPr>
        <w:rPr>
          <w:vanish/>
          <w:szCs w:val="24"/>
        </w:rPr>
      </w:pPr>
    </w:p>
    <w:tbl>
      <w:tblPr>
        <w:tblW w:w="5439" w:type="pct"/>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2160"/>
        <w:gridCol w:w="810"/>
        <w:gridCol w:w="7201"/>
      </w:tblGrid>
      <w:tr w:rsidR="00A26DE0" w:rsidRPr="00A26DE0" w14:paraId="0E2C2159" w14:textId="77777777" w:rsidTr="00353B99">
        <w:trPr>
          <w:cantSplit/>
          <w:trHeight w:val="309"/>
        </w:trPr>
        <w:tc>
          <w:tcPr>
            <w:tcW w:w="1062" w:type="pct"/>
            <w:tcBorders>
              <w:top w:val="single" w:sz="6" w:space="0" w:color="auto"/>
              <w:left w:val="single" w:sz="4" w:space="0" w:color="auto"/>
              <w:bottom w:val="single" w:sz="6" w:space="0" w:color="auto"/>
              <w:right w:val="single" w:sz="6" w:space="0" w:color="auto"/>
            </w:tcBorders>
          </w:tcPr>
          <w:p w14:paraId="3D790B1A" w14:textId="77777777" w:rsidR="00A26DE0" w:rsidRPr="00A26DE0" w:rsidRDefault="00A26DE0" w:rsidP="00A26DE0">
            <w:pPr>
              <w:spacing w:after="60"/>
              <w:rPr>
                <w:sz w:val="20"/>
              </w:rPr>
            </w:pPr>
            <w:r w:rsidRPr="00A26DE0">
              <w:rPr>
                <w:sz w:val="20"/>
              </w:rPr>
              <w:t xml:space="preserve">DAOBLPR </w:t>
            </w:r>
            <w:r w:rsidRPr="00A26DE0">
              <w:rPr>
                <w:sz w:val="20"/>
                <w:vertAlign w:val="subscript"/>
              </w:rPr>
              <w:t>(</w:t>
            </w:r>
            <w:r w:rsidRPr="00A26DE0">
              <w:rPr>
                <w:i/>
                <w:sz w:val="20"/>
                <w:vertAlign w:val="subscript"/>
              </w:rPr>
              <w:t>j, k)</w:t>
            </w:r>
          </w:p>
        </w:tc>
        <w:tc>
          <w:tcPr>
            <w:tcW w:w="398" w:type="pct"/>
            <w:tcBorders>
              <w:top w:val="single" w:sz="6" w:space="0" w:color="auto"/>
              <w:left w:val="single" w:sz="6" w:space="0" w:color="auto"/>
              <w:bottom w:val="single" w:sz="6" w:space="0" w:color="auto"/>
              <w:right w:val="single" w:sz="6" w:space="0" w:color="auto"/>
            </w:tcBorders>
          </w:tcPr>
          <w:p w14:paraId="67ABBB6F" w14:textId="77777777" w:rsidR="00A26DE0" w:rsidRPr="00A26DE0" w:rsidRDefault="00A26DE0" w:rsidP="00A26DE0">
            <w:pPr>
              <w:spacing w:after="60"/>
              <w:jc w:val="center"/>
              <w:rPr>
                <w:sz w:val="20"/>
              </w:rPr>
            </w:pPr>
            <w:r w:rsidRPr="00A26DE0">
              <w:rPr>
                <w:bCs/>
                <w:iCs/>
                <w:sz w:val="20"/>
              </w:rPr>
              <w:t>$/MWh</w:t>
            </w:r>
          </w:p>
        </w:tc>
        <w:tc>
          <w:tcPr>
            <w:tcW w:w="3540" w:type="pct"/>
            <w:tcBorders>
              <w:top w:val="single" w:sz="6" w:space="0" w:color="auto"/>
              <w:left w:val="single" w:sz="6" w:space="0" w:color="auto"/>
              <w:bottom w:val="single" w:sz="6" w:space="0" w:color="auto"/>
              <w:right w:val="single" w:sz="4" w:space="0" w:color="auto"/>
            </w:tcBorders>
          </w:tcPr>
          <w:p w14:paraId="42428D1B" w14:textId="77777777" w:rsidR="00A26DE0" w:rsidRPr="00A26DE0" w:rsidRDefault="00A26DE0" w:rsidP="00A26DE0">
            <w:pPr>
              <w:spacing w:after="60"/>
              <w:rPr>
                <w:i/>
                <w:sz w:val="20"/>
              </w:rPr>
            </w:pPr>
            <w:r w:rsidRPr="00A26DE0">
              <w:rPr>
                <w:bCs/>
                <w:i/>
                <w:iCs/>
                <w:sz w:val="20"/>
              </w:rPr>
              <w:t>Day-Ahead Obligation Price per pair of source and sink</w:t>
            </w:r>
            <w:r w:rsidRPr="00A26DE0">
              <w:rPr>
                <w:bCs/>
                <w:iCs/>
                <w:sz w:val="20"/>
              </w:rPr>
              <w:sym w:font="Symbol" w:char="F0BE"/>
            </w:r>
            <w:r w:rsidRPr="00A26DE0">
              <w:rPr>
                <w:bCs/>
                <w:iCs/>
                <w:sz w:val="20"/>
              </w:rPr>
              <w:t xml:space="preserve">The DAM clearing price of a PTP Obligation bid with the source </w:t>
            </w:r>
            <w:r w:rsidRPr="00A26DE0">
              <w:rPr>
                <w:bCs/>
                <w:i/>
                <w:iCs/>
                <w:sz w:val="20"/>
              </w:rPr>
              <w:t>j,</w:t>
            </w:r>
            <w:r w:rsidRPr="00A26DE0">
              <w:rPr>
                <w:bCs/>
                <w:iCs/>
                <w:sz w:val="20"/>
              </w:rPr>
              <w:t xml:space="preserve"> and the sink </w:t>
            </w:r>
            <w:r w:rsidRPr="00A26DE0">
              <w:rPr>
                <w:bCs/>
                <w:i/>
                <w:iCs/>
                <w:sz w:val="20"/>
              </w:rPr>
              <w:t>k</w:t>
            </w:r>
            <w:r w:rsidRPr="00A26DE0">
              <w:rPr>
                <w:bCs/>
                <w:iCs/>
                <w:sz w:val="20"/>
              </w:rPr>
              <w:t xml:space="preserve">, for the </w:t>
            </w:r>
            <w:r w:rsidRPr="00A26DE0">
              <w:rPr>
                <w:iCs/>
                <w:sz w:val="20"/>
              </w:rPr>
              <w:t>hour</w:t>
            </w:r>
            <w:r w:rsidRPr="00A26DE0">
              <w:rPr>
                <w:bCs/>
                <w:iCs/>
                <w:sz w:val="20"/>
              </w:rPr>
              <w:t>.</w:t>
            </w:r>
          </w:p>
        </w:tc>
      </w:tr>
      <w:tr w:rsidR="00A26DE0" w:rsidRPr="00A26DE0" w14:paraId="190C6782" w14:textId="77777777" w:rsidTr="00353B99">
        <w:trPr>
          <w:cantSplit/>
          <w:trHeight w:val="309"/>
        </w:trPr>
        <w:tc>
          <w:tcPr>
            <w:tcW w:w="1062" w:type="pct"/>
            <w:tcBorders>
              <w:top w:val="single" w:sz="6" w:space="0" w:color="auto"/>
              <w:left w:val="single" w:sz="4" w:space="0" w:color="auto"/>
              <w:bottom w:val="single" w:sz="6" w:space="0" w:color="auto"/>
              <w:right w:val="single" w:sz="6" w:space="0" w:color="auto"/>
            </w:tcBorders>
          </w:tcPr>
          <w:p w14:paraId="4E081352" w14:textId="77777777" w:rsidR="00A26DE0" w:rsidRPr="00A26DE0" w:rsidRDefault="00A26DE0" w:rsidP="00A26DE0">
            <w:pPr>
              <w:spacing w:after="60"/>
              <w:rPr>
                <w:sz w:val="20"/>
              </w:rPr>
            </w:pPr>
            <w:r w:rsidRPr="00A26DE0">
              <w:rPr>
                <w:iCs/>
                <w:sz w:val="20"/>
                <w:lang w:val="sv-SE"/>
              </w:rPr>
              <w:t xml:space="preserve">RTOBLPR </w:t>
            </w:r>
            <w:r w:rsidRPr="00A26DE0">
              <w:rPr>
                <w:i/>
                <w:iCs/>
                <w:sz w:val="20"/>
                <w:vertAlign w:val="subscript"/>
                <w:lang w:val="sv-SE"/>
              </w:rPr>
              <w:t>(j, k)</w:t>
            </w:r>
            <w:r w:rsidRPr="00A26DE0">
              <w:rPr>
                <w:iCs/>
                <w:sz w:val="20"/>
                <w:lang w:val="sv-SE"/>
              </w:rPr>
              <w:t xml:space="preserve">   </w:t>
            </w:r>
          </w:p>
        </w:tc>
        <w:tc>
          <w:tcPr>
            <w:tcW w:w="398" w:type="pct"/>
            <w:tcBorders>
              <w:top w:val="single" w:sz="6" w:space="0" w:color="auto"/>
              <w:left w:val="single" w:sz="6" w:space="0" w:color="auto"/>
              <w:bottom w:val="single" w:sz="6" w:space="0" w:color="auto"/>
              <w:right w:val="single" w:sz="6" w:space="0" w:color="auto"/>
            </w:tcBorders>
          </w:tcPr>
          <w:p w14:paraId="26DA0F47" w14:textId="77777777" w:rsidR="00A26DE0" w:rsidRPr="00A26DE0" w:rsidRDefault="00A26DE0" w:rsidP="00A26DE0">
            <w:pPr>
              <w:spacing w:after="60"/>
              <w:jc w:val="center"/>
              <w:rPr>
                <w:bCs/>
                <w:iCs/>
                <w:sz w:val="20"/>
              </w:rPr>
            </w:pPr>
            <w:r w:rsidRPr="00A26DE0">
              <w:rPr>
                <w:bCs/>
                <w:iCs/>
                <w:sz w:val="20"/>
              </w:rPr>
              <w:t>$/MWh</w:t>
            </w:r>
          </w:p>
        </w:tc>
        <w:tc>
          <w:tcPr>
            <w:tcW w:w="3540" w:type="pct"/>
            <w:tcBorders>
              <w:top w:val="single" w:sz="6" w:space="0" w:color="auto"/>
              <w:left w:val="single" w:sz="6" w:space="0" w:color="auto"/>
              <w:bottom w:val="single" w:sz="6" w:space="0" w:color="auto"/>
              <w:right w:val="single" w:sz="4" w:space="0" w:color="auto"/>
            </w:tcBorders>
          </w:tcPr>
          <w:p w14:paraId="1688CC25" w14:textId="77777777" w:rsidR="00A26DE0" w:rsidRPr="00A26DE0" w:rsidRDefault="00A26DE0" w:rsidP="00A26DE0">
            <w:pPr>
              <w:spacing w:after="60"/>
              <w:rPr>
                <w:bCs/>
                <w:i/>
                <w:iCs/>
                <w:sz w:val="20"/>
              </w:rPr>
            </w:pPr>
            <w:r w:rsidRPr="00A26DE0">
              <w:rPr>
                <w:bCs/>
                <w:i/>
                <w:iCs/>
                <w:sz w:val="20"/>
              </w:rPr>
              <w:t>Real-Time Obligation Price per pair of source and sink</w:t>
            </w:r>
            <w:r w:rsidRPr="00A26DE0">
              <w:rPr>
                <w:bCs/>
                <w:iCs/>
                <w:sz w:val="20"/>
              </w:rPr>
              <w:sym w:font="Symbol" w:char="F0BE"/>
            </w:r>
            <w:r w:rsidRPr="00A26DE0">
              <w:rPr>
                <w:bCs/>
                <w:iCs/>
                <w:sz w:val="20"/>
              </w:rPr>
              <w:t xml:space="preserve">The Real-Time calculated price of a PTP Obligation bid with the source </w:t>
            </w:r>
            <w:r w:rsidRPr="00A26DE0">
              <w:rPr>
                <w:bCs/>
                <w:i/>
                <w:iCs/>
                <w:sz w:val="20"/>
              </w:rPr>
              <w:t>j,</w:t>
            </w:r>
            <w:r w:rsidRPr="00A26DE0">
              <w:rPr>
                <w:bCs/>
                <w:iCs/>
                <w:sz w:val="20"/>
              </w:rPr>
              <w:t xml:space="preserve"> and the sink </w:t>
            </w:r>
            <w:r w:rsidRPr="00A26DE0">
              <w:rPr>
                <w:bCs/>
                <w:i/>
                <w:iCs/>
                <w:sz w:val="20"/>
              </w:rPr>
              <w:t>k</w:t>
            </w:r>
            <w:r w:rsidRPr="00A26DE0">
              <w:rPr>
                <w:bCs/>
                <w:iCs/>
                <w:sz w:val="20"/>
              </w:rPr>
              <w:t xml:space="preserve">, for the </w:t>
            </w:r>
            <w:r w:rsidRPr="00A26DE0">
              <w:rPr>
                <w:iCs/>
                <w:sz w:val="20"/>
              </w:rPr>
              <w:t>15 minute period</w:t>
            </w:r>
            <w:r w:rsidRPr="00A26DE0">
              <w:rPr>
                <w:bCs/>
                <w:iCs/>
                <w:sz w:val="20"/>
              </w:rPr>
              <w:t>.</w:t>
            </w:r>
          </w:p>
        </w:tc>
      </w:tr>
      <w:tr w:rsidR="00A26DE0" w:rsidRPr="00A26DE0" w14:paraId="406C6B8B" w14:textId="77777777" w:rsidTr="00353B99">
        <w:trPr>
          <w:cantSplit/>
        </w:trPr>
        <w:tc>
          <w:tcPr>
            <w:tcW w:w="1062" w:type="pct"/>
            <w:tcBorders>
              <w:top w:val="single" w:sz="6" w:space="0" w:color="auto"/>
              <w:left w:val="single" w:sz="4" w:space="0" w:color="auto"/>
              <w:bottom w:val="single" w:sz="6" w:space="0" w:color="auto"/>
              <w:right w:val="single" w:sz="6" w:space="0" w:color="auto"/>
            </w:tcBorders>
          </w:tcPr>
          <w:p w14:paraId="0BEBA552" w14:textId="77777777" w:rsidR="00A26DE0" w:rsidRPr="00A26DE0" w:rsidRDefault="00A26DE0" w:rsidP="00A26DE0">
            <w:pPr>
              <w:spacing w:after="60"/>
              <w:rPr>
                <w:i/>
                <w:iCs/>
                <w:sz w:val="20"/>
              </w:rPr>
            </w:pPr>
            <w:r w:rsidRPr="00A26DE0">
              <w:rPr>
                <w:i/>
                <w:iCs/>
                <w:sz w:val="20"/>
              </w:rPr>
              <w:t>q</w:t>
            </w:r>
          </w:p>
        </w:tc>
        <w:tc>
          <w:tcPr>
            <w:tcW w:w="398" w:type="pct"/>
            <w:tcBorders>
              <w:top w:val="single" w:sz="6" w:space="0" w:color="auto"/>
              <w:left w:val="single" w:sz="6" w:space="0" w:color="auto"/>
              <w:bottom w:val="single" w:sz="6" w:space="0" w:color="auto"/>
              <w:right w:val="single" w:sz="6" w:space="0" w:color="auto"/>
            </w:tcBorders>
          </w:tcPr>
          <w:p w14:paraId="6A31EC04" w14:textId="77777777" w:rsidR="00A26DE0" w:rsidRPr="00A26DE0" w:rsidRDefault="00A26DE0" w:rsidP="00A26DE0">
            <w:pPr>
              <w:spacing w:after="60"/>
              <w:jc w:val="center"/>
              <w:rPr>
                <w:iCs/>
                <w:sz w:val="20"/>
              </w:rPr>
            </w:pPr>
            <w:r w:rsidRPr="00A26DE0">
              <w:rPr>
                <w:iCs/>
                <w:sz w:val="20"/>
              </w:rPr>
              <w:t>none</w:t>
            </w:r>
          </w:p>
        </w:tc>
        <w:tc>
          <w:tcPr>
            <w:tcW w:w="3540" w:type="pct"/>
            <w:tcBorders>
              <w:top w:val="single" w:sz="6" w:space="0" w:color="auto"/>
              <w:left w:val="single" w:sz="6" w:space="0" w:color="auto"/>
              <w:bottom w:val="single" w:sz="6" w:space="0" w:color="auto"/>
              <w:right w:val="single" w:sz="4" w:space="0" w:color="auto"/>
            </w:tcBorders>
          </w:tcPr>
          <w:p w14:paraId="18383C42" w14:textId="77777777" w:rsidR="00A26DE0" w:rsidRPr="00A26DE0" w:rsidRDefault="00A26DE0" w:rsidP="00A26DE0">
            <w:pPr>
              <w:spacing w:after="60"/>
              <w:rPr>
                <w:iCs/>
                <w:sz w:val="20"/>
              </w:rPr>
            </w:pPr>
            <w:r w:rsidRPr="00A26DE0">
              <w:rPr>
                <w:iCs/>
                <w:sz w:val="20"/>
              </w:rPr>
              <w:t>A QSE.</w:t>
            </w:r>
          </w:p>
        </w:tc>
      </w:tr>
      <w:tr w:rsidR="00A26DE0" w:rsidRPr="00A26DE0" w14:paraId="29300841" w14:textId="77777777" w:rsidTr="00353B99">
        <w:trPr>
          <w:cantSplit/>
        </w:trPr>
        <w:tc>
          <w:tcPr>
            <w:tcW w:w="1062" w:type="pct"/>
            <w:tcBorders>
              <w:top w:val="single" w:sz="6" w:space="0" w:color="auto"/>
              <w:left w:val="single" w:sz="4" w:space="0" w:color="auto"/>
              <w:bottom w:val="single" w:sz="6" w:space="0" w:color="auto"/>
              <w:right w:val="single" w:sz="6" w:space="0" w:color="auto"/>
            </w:tcBorders>
          </w:tcPr>
          <w:p w14:paraId="1A669CD9" w14:textId="77777777" w:rsidR="00A26DE0" w:rsidRPr="00A26DE0" w:rsidRDefault="00A26DE0" w:rsidP="00A26DE0">
            <w:pPr>
              <w:spacing w:after="60"/>
              <w:rPr>
                <w:i/>
                <w:iCs/>
                <w:sz w:val="20"/>
              </w:rPr>
            </w:pPr>
            <w:r w:rsidRPr="00A26DE0">
              <w:rPr>
                <w:i/>
                <w:iCs/>
                <w:sz w:val="20"/>
              </w:rPr>
              <w:t>r</w:t>
            </w:r>
          </w:p>
        </w:tc>
        <w:tc>
          <w:tcPr>
            <w:tcW w:w="398" w:type="pct"/>
            <w:tcBorders>
              <w:top w:val="single" w:sz="6" w:space="0" w:color="auto"/>
              <w:left w:val="single" w:sz="6" w:space="0" w:color="auto"/>
              <w:bottom w:val="single" w:sz="6" w:space="0" w:color="auto"/>
              <w:right w:val="single" w:sz="6" w:space="0" w:color="auto"/>
            </w:tcBorders>
          </w:tcPr>
          <w:p w14:paraId="6D9BF324" w14:textId="77777777" w:rsidR="00A26DE0" w:rsidRPr="00A26DE0" w:rsidRDefault="00A26DE0" w:rsidP="00A26DE0">
            <w:pPr>
              <w:spacing w:after="60"/>
              <w:jc w:val="center"/>
              <w:rPr>
                <w:iCs/>
                <w:sz w:val="20"/>
              </w:rPr>
            </w:pPr>
            <w:r w:rsidRPr="00A26DE0">
              <w:rPr>
                <w:iCs/>
                <w:sz w:val="20"/>
              </w:rPr>
              <w:t>none</w:t>
            </w:r>
          </w:p>
        </w:tc>
        <w:tc>
          <w:tcPr>
            <w:tcW w:w="3540" w:type="pct"/>
            <w:tcBorders>
              <w:top w:val="single" w:sz="6" w:space="0" w:color="auto"/>
              <w:left w:val="single" w:sz="6" w:space="0" w:color="auto"/>
              <w:bottom w:val="single" w:sz="6" w:space="0" w:color="auto"/>
              <w:right w:val="single" w:sz="4" w:space="0" w:color="auto"/>
            </w:tcBorders>
          </w:tcPr>
          <w:p w14:paraId="12CBA2C5" w14:textId="77777777" w:rsidR="00A26DE0" w:rsidRPr="00A26DE0" w:rsidRDefault="00A26DE0" w:rsidP="00A26DE0">
            <w:pPr>
              <w:spacing w:after="60"/>
              <w:rPr>
                <w:iCs/>
                <w:sz w:val="20"/>
              </w:rPr>
            </w:pPr>
            <w:r w:rsidRPr="00A26DE0">
              <w:rPr>
                <w:iCs/>
                <w:sz w:val="20"/>
              </w:rPr>
              <w:t>A Resource.</w:t>
            </w:r>
          </w:p>
        </w:tc>
      </w:tr>
      <w:tr w:rsidR="00A26DE0" w:rsidRPr="00A26DE0" w14:paraId="4CA4228B" w14:textId="77777777" w:rsidTr="00353B99">
        <w:trPr>
          <w:cantSplit/>
        </w:trPr>
        <w:tc>
          <w:tcPr>
            <w:tcW w:w="1062" w:type="pct"/>
            <w:tcBorders>
              <w:top w:val="single" w:sz="6" w:space="0" w:color="auto"/>
              <w:left w:val="single" w:sz="4" w:space="0" w:color="auto"/>
              <w:bottom w:val="single" w:sz="6" w:space="0" w:color="auto"/>
              <w:right w:val="single" w:sz="6" w:space="0" w:color="auto"/>
            </w:tcBorders>
          </w:tcPr>
          <w:p w14:paraId="32B9714B" w14:textId="77777777" w:rsidR="00A26DE0" w:rsidRPr="00A26DE0" w:rsidRDefault="00A26DE0" w:rsidP="00A26DE0">
            <w:pPr>
              <w:spacing w:after="60"/>
              <w:rPr>
                <w:i/>
                <w:iCs/>
                <w:sz w:val="20"/>
              </w:rPr>
            </w:pPr>
            <w:r w:rsidRPr="00A26DE0">
              <w:rPr>
                <w:i/>
                <w:iCs/>
                <w:sz w:val="20"/>
              </w:rPr>
              <w:t>i</w:t>
            </w:r>
          </w:p>
        </w:tc>
        <w:tc>
          <w:tcPr>
            <w:tcW w:w="398" w:type="pct"/>
            <w:tcBorders>
              <w:top w:val="single" w:sz="6" w:space="0" w:color="auto"/>
              <w:left w:val="single" w:sz="6" w:space="0" w:color="auto"/>
              <w:bottom w:val="single" w:sz="6" w:space="0" w:color="auto"/>
              <w:right w:val="single" w:sz="6" w:space="0" w:color="auto"/>
            </w:tcBorders>
          </w:tcPr>
          <w:p w14:paraId="0F3C0F42" w14:textId="77777777" w:rsidR="00A26DE0" w:rsidRPr="00A26DE0" w:rsidRDefault="00A26DE0" w:rsidP="00A26DE0">
            <w:pPr>
              <w:spacing w:after="60"/>
              <w:jc w:val="center"/>
              <w:rPr>
                <w:iCs/>
                <w:sz w:val="20"/>
              </w:rPr>
            </w:pPr>
            <w:r w:rsidRPr="00A26DE0">
              <w:rPr>
                <w:iCs/>
                <w:sz w:val="20"/>
              </w:rPr>
              <w:t>none</w:t>
            </w:r>
          </w:p>
        </w:tc>
        <w:tc>
          <w:tcPr>
            <w:tcW w:w="3540" w:type="pct"/>
            <w:tcBorders>
              <w:top w:val="single" w:sz="6" w:space="0" w:color="auto"/>
              <w:left w:val="single" w:sz="6" w:space="0" w:color="auto"/>
              <w:bottom w:val="single" w:sz="6" w:space="0" w:color="auto"/>
              <w:right w:val="single" w:sz="4" w:space="0" w:color="auto"/>
            </w:tcBorders>
          </w:tcPr>
          <w:p w14:paraId="0E22159F" w14:textId="77777777" w:rsidR="00A26DE0" w:rsidRPr="00A26DE0" w:rsidRDefault="00A26DE0" w:rsidP="00A26DE0">
            <w:pPr>
              <w:spacing w:after="60"/>
              <w:rPr>
                <w:iCs/>
                <w:sz w:val="20"/>
              </w:rPr>
            </w:pPr>
            <w:r w:rsidRPr="00A26DE0">
              <w:rPr>
                <w:iCs/>
                <w:sz w:val="20"/>
              </w:rPr>
              <w:t>A 15-minute Settlement Interval.</w:t>
            </w:r>
          </w:p>
        </w:tc>
      </w:tr>
      <w:tr w:rsidR="00A26DE0" w:rsidRPr="00A26DE0" w14:paraId="24E9C375" w14:textId="77777777" w:rsidTr="00353B99">
        <w:trPr>
          <w:cantSplit/>
        </w:trPr>
        <w:tc>
          <w:tcPr>
            <w:tcW w:w="1062" w:type="pct"/>
            <w:tcBorders>
              <w:top w:val="single" w:sz="6" w:space="0" w:color="auto"/>
              <w:left w:val="single" w:sz="4" w:space="0" w:color="auto"/>
              <w:bottom w:val="single" w:sz="6" w:space="0" w:color="auto"/>
              <w:right w:val="single" w:sz="6" w:space="0" w:color="auto"/>
            </w:tcBorders>
            <w:hideMark/>
          </w:tcPr>
          <w:p w14:paraId="4FCE07A9" w14:textId="77777777" w:rsidR="00A26DE0" w:rsidRPr="00A26DE0" w:rsidRDefault="00A26DE0" w:rsidP="00A26DE0">
            <w:pPr>
              <w:spacing w:after="60"/>
              <w:rPr>
                <w:i/>
                <w:iCs/>
                <w:sz w:val="20"/>
              </w:rPr>
            </w:pPr>
            <w:r w:rsidRPr="00A26DE0">
              <w:rPr>
                <w:i/>
                <w:iCs/>
                <w:sz w:val="20"/>
              </w:rPr>
              <w:t>k</w:t>
            </w:r>
          </w:p>
        </w:tc>
        <w:tc>
          <w:tcPr>
            <w:tcW w:w="398" w:type="pct"/>
            <w:tcBorders>
              <w:top w:val="single" w:sz="6" w:space="0" w:color="auto"/>
              <w:left w:val="single" w:sz="6" w:space="0" w:color="auto"/>
              <w:bottom w:val="single" w:sz="6" w:space="0" w:color="auto"/>
              <w:right w:val="single" w:sz="6" w:space="0" w:color="auto"/>
            </w:tcBorders>
            <w:hideMark/>
          </w:tcPr>
          <w:p w14:paraId="2E08BE14" w14:textId="77777777" w:rsidR="00A26DE0" w:rsidRPr="00A26DE0" w:rsidRDefault="00A26DE0" w:rsidP="00A26DE0">
            <w:pPr>
              <w:spacing w:after="60"/>
              <w:jc w:val="center"/>
              <w:rPr>
                <w:iCs/>
                <w:sz w:val="20"/>
              </w:rPr>
            </w:pPr>
            <w:r w:rsidRPr="00A26DE0">
              <w:rPr>
                <w:iCs/>
                <w:sz w:val="20"/>
              </w:rPr>
              <w:t>none</w:t>
            </w:r>
          </w:p>
        </w:tc>
        <w:tc>
          <w:tcPr>
            <w:tcW w:w="3540" w:type="pct"/>
            <w:tcBorders>
              <w:top w:val="single" w:sz="6" w:space="0" w:color="auto"/>
              <w:left w:val="single" w:sz="6" w:space="0" w:color="auto"/>
              <w:bottom w:val="single" w:sz="6" w:space="0" w:color="auto"/>
              <w:right w:val="single" w:sz="4" w:space="0" w:color="auto"/>
            </w:tcBorders>
          </w:tcPr>
          <w:p w14:paraId="2070DD62" w14:textId="77777777" w:rsidR="00A26DE0" w:rsidRPr="00A26DE0" w:rsidRDefault="00A26DE0" w:rsidP="00A26DE0">
            <w:pPr>
              <w:spacing w:after="60"/>
              <w:rPr>
                <w:iCs/>
                <w:sz w:val="20"/>
              </w:rPr>
            </w:pPr>
            <w:r w:rsidRPr="00A26DE0">
              <w:rPr>
                <w:iCs/>
                <w:sz w:val="20"/>
              </w:rPr>
              <w:t>A sink Settlement Point.</w:t>
            </w:r>
          </w:p>
        </w:tc>
      </w:tr>
      <w:tr w:rsidR="00A26DE0" w:rsidRPr="00A26DE0" w14:paraId="47DC5228" w14:textId="77777777" w:rsidTr="00353B99">
        <w:trPr>
          <w:cantSplit/>
        </w:trPr>
        <w:tc>
          <w:tcPr>
            <w:tcW w:w="1062" w:type="pct"/>
            <w:tcBorders>
              <w:top w:val="single" w:sz="6" w:space="0" w:color="auto"/>
              <w:left w:val="single" w:sz="4" w:space="0" w:color="auto"/>
              <w:bottom w:val="single" w:sz="6" w:space="0" w:color="auto"/>
              <w:right w:val="single" w:sz="6" w:space="0" w:color="auto"/>
            </w:tcBorders>
            <w:hideMark/>
          </w:tcPr>
          <w:p w14:paraId="36FC2497" w14:textId="77777777" w:rsidR="00A26DE0" w:rsidRPr="00A26DE0" w:rsidRDefault="00A26DE0" w:rsidP="00A26DE0">
            <w:pPr>
              <w:spacing w:after="60"/>
              <w:rPr>
                <w:i/>
                <w:iCs/>
                <w:sz w:val="20"/>
              </w:rPr>
            </w:pPr>
            <w:r w:rsidRPr="00A26DE0">
              <w:rPr>
                <w:i/>
                <w:iCs/>
                <w:sz w:val="20"/>
              </w:rPr>
              <w:t>p</w:t>
            </w:r>
          </w:p>
        </w:tc>
        <w:tc>
          <w:tcPr>
            <w:tcW w:w="398" w:type="pct"/>
            <w:tcBorders>
              <w:top w:val="single" w:sz="6" w:space="0" w:color="auto"/>
              <w:left w:val="single" w:sz="6" w:space="0" w:color="auto"/>
              <w:bottom w:val="single" w:sz="6" w:space="0" w:color="auto"/>
              <w:right w:val="single" w:sz="6" w:space="0" w:color="auto"/>
            </w:tcBorders>
            <w:hideMark/>
          </w:tcPr>
          <w:p w14:paraId="02147A78" w14:textId="77777777" w:rsidR="00A26DE0" w:rsidRPr="00A26DE0" w:rsidRDefault="00A26DE0" w:rsidP="00A26DE0">
            <w:pPr>
              <w:spacing w:after="60"/>
              <w:jc w:val="center"/>
              <w:rPr>
                <w:iCs/>
                <w:sz w:val="20"/>
              </w:rPr>
            </w:pPr>
            <w:r w:rsidRPr="00A26DE0">
              <w:rPr>
                <w:iCs/>
                <w:sz w:val="20"/>
              </w:rPr>
              <w:t>none</w:t>
            </w:r>
          </w:p>
        </w:tc>
        <w:tc>
          <w:tcPr>
            <w:tcW w:w="3540" w:type="pct"/>
            <w:tcBorders>
              <w:top w:val="single" w:sz="6" w:space="0" w:color="auto"/>
              <w:left w:val="single" w:sz="6" w:space="0" w:color="auto"/>
              <w:bottom w:val="single" w:sz="6" w:space="0" w:color="auto"/>
              <w:right w:val="single" w:sz="4" w:space="0" w:color="auto"/>
            </w:tcBorders>
            <w:hideMark/>
          </w:tcPr>
          <w:p w14:paraId="66AAF740" w14:textId="77777777" w:rsidR="00A26DE0" w:rsidRPr="00A26DE0" w:rsidRDefault="00A26DE0" w:rsidP="00A26DE0">
            <w:pPr>
              <w:spacing w:after="60"/>
              <w:rPr>
                <w:iCs/>
                <w:sz w:val="20"/>
              </w:rPr>
            </w:pPr>
            <w:r w:rsidRPr="00A26DE0">
              <w:rPr>
                <w:iCs/>
                <w:sz w:val="20"/>
              </w:rPr>
              <w:t>A Settlement Point.</w:t>
            </w:r>
          </w:p>
        </w:tc>
      </w:tr>
      <w:tr w:rsidR="00A26DE0" w:rsidRPr="00A26DE0" w14:paraId="32E11C40" w14:textId="77777777" w:rsidTr="00353B99">
        <w:trPr>
          <w:cantSplit/>
        </w:trPr>
        <w:tc>
          <w:tcPr>
            <w:tcW w:w="1062" w:type="pct"/>
            <w:tcBorders>
              <w:top w:val="single" w:sz="6" w:space="0" w:color="auto"/>
              <w:left w:val="single" w:sz="4" w:space="0" w:color="auto"/>
              <w:bottom w:val="single" w:sz="6" w:space="0" w:color="auto"/>
              <w:right w:val="single" w:sz="6" w:space="0" w:color="auto"/>
            </w:tcBorders>
          </w:tcPr>
          <w:p w14:paraId="6A489555" w14:textId="77777777" w:rsidR="00A26DE0" w:rsidRPr="00A26DE0" w:rsidRDefault="00A26DE0" w:rsidP="00A26DE0">
            <w:pPr>
              <w:spacing w:after="60"/>
              <w:rPr>
                <w:i/>
                <w:iCs/>
                <w:sz w:val="20"/>
              </w:rPr>
            </w:pPr>
            <w:r w:rsidRPr="00A26DE0">
              <w:rPr>
                <w:i/>
                <w:iCs/>
                <w:sz w:val="20"/>
              </w:rPr>
              <w:t>j</w:t>
            </w:r>
          </w:p>
        </w:tc>
        <w:tc>
          <w:tcPr>
            <w:tcW w:w="398" w:type="pct"/>
            <w:tcBorders>
              <w:top w:val="single" w:sz="6" w:space="0" w:color="auto"/>
              <w:left w:val="single" w:sz="6" w:space="0" w:color="auto"/>
              <w:bottom w:val="single" w:sz="6" w:space="0" w:color="auto"/>
              <w:right w:val="single" w:sz="6" w:space="0" w:color="auto"/>
            </w:tcBorders>
          </w:tcPr>
          <w:p w14:paraId="7D95BEAF" w14:textId="77777777" w:rsidR="00A26DE0" w:rsidRPr="00A26DE0" w:rsidRDefault="00A26DE0" w:rsidP="00A26DE0">
            <w:pPr>
              <w:spacing w:after="60"/>
              <w:jc w:val="center"/>
              <w:rPr>
                <w:iCs/>
                <w:sz w:val="20"/>
              </w:rPr>
            </w:pPr>
            <w:r w:rsidRPr="00A26DE0">
              <w:rPr>
                <w:iCs/>
                <w:sz w:val="20"/>
              </w:rPr>
              <w:t>none</w:t>
            </w:r>
          </w:p>
        </w:tc>
        <w:tc>
          <w:tcPr>
            <w:tcW w:w="3540" w:type="pct"/>
            <w:tcBorders>
              <w:top w:val="single" w:sz="6" w:space="0" w:color="auto"/>
              <w:left w:val="single" w:sz="6" w:space="0" w:color="auto"/>
              <w:bottom w:val="single" w:sz="6" w:space="0" w:color="auto"/>
              <w:right w:val="single" w:sz="4" w:space="0" w:color="auto"/>
            </w:tcBorders>
          </w:tcPr>
          <w:p w14:paraId="74C1337C" w14:textId="77777777" w:rsidR="00A26DE0" w:rsidRPr="00A26DE0" w:rsidRDefault="00A26DE0" w:rsidP="00A26DE0">
            <w:pPr>
              <w:spacing w:after="60"/>
              <w:rPr>
                <w:iCs/>
                <w:sz w:val="20"/>
              </w:rPr>
            </w:pPr>
            <w:r w:rsidRPr="00A26DE0">
              <w:rPr>
                <w:iCs/>
                <w:sz w:val="20"/>
              </w:rPr>
              <w:t>A source Settlement Point.</w:t>
            </w:r>
          </w:p>
        </w:tc>
      </w:tr>
    </w:tbl>
    <w:p w14:paraId="6ED26A12" w14:textId="77777777" w:rsidR="002F5868" w:rsidRDefault="00DD1AC6" w:rsidP="006A5EF0">
      <w:pPr>
        <w:pStyle w:val="H2"/>
        <w:spacing w:before="480"/>
      </w:pPr>
      <w:bookmarkStart w:id="469" w:name="_Toc80175311"/>
      <w:r>
        <w:lastRenderedPageBreak/>
        <w:t>9.15</w:t>
      </w:r>
      <w:r>
        <w:tab/>
        <w:t>Settlement Charges</w:t>
      </w:r>
      <w:bookmarkEnd w:id="464"/>
      <w:bookmarkEnd w:id="465"/>
      <w:bookmarkEnd w:id="466"/>
      <w:bookmarkEnd w:id="467"/>
      <w:bookmarkEnd w:id="468"/>
      <w:bookmarkEnd w:id="469"/>
    </w:p>
    <w:p w14:paraId="193C34E5" w14:textId="77777777" w:rsidR="002F5868" w:rsidRDefault="00A0123C" w:rsidP="00660ED3">
      <w:pPr>
        <w:pStyle w:val="BodyTextNumbered"/>
      </w:pPr>
      <w:r>
        <w:rPr>
          <w:iCs/>
        </w:rPr>
        <w:t>(1)</w:t>
      </w:r>
      <w:r>
        <w:rPr>
          <w:iCs/>
        </w:rPr>
        <w:tab/>
      </w:r>
      <w:r w:rsidR="00DD1AC6">
        <w:t xml:space="preserve">The calculations to be used for Settlement charges are contained in Section 4, Day-Ahead Operations, Section 5, Transmission Security Analysis and Reliability Unit Commitment, Section 6, Adjustment Period and Real-Time Operations, Section 7, Congestion Revenue Rights, and Section 9, Settlement and Billing.  </w:t>
      </w:r>
    </w:p>
    <w:p w14:paraId="35C5EE83" w14:textId="77777777" w:rsidR="002F5868" w:rsidRPr="008910B8" w:rsidRDefault="00DD1AC6">
      <w:pPr>
        <w:pStyle w:val="H3"/>
        <w:tabs>
          <w:tab w:val="center" w:pos="4680"/>
        </w:tabs>
        <w:rPr>
          <w:b/>
          <w:i/>
        </w:rPr>
      </w:pPr>
      <w:bookmarkStart w:id="470" w:name="_Toc309731100"/>
      <w:bookmarkStart w:id="471" w:name="_Toc405814076"/>
      <w:bookmarkStart w:id="472" w:name="_Toc422207967"/>
      <w:bookmarkStart w:id="473" w:name="_Toc438044878"/>
      <w:bookmarkStart w:id="474" w:name="_Toc447622661"/>
      <w:bookmarkStart w:id="475" w:name="_Toc80175312"/>
      <w:r w:rsidRPr="008910B8">
        <w:rPr>
          <w:b/>
          <w:i/>
        </w:rPr>
        <w:t>9.15.1</w:t>
      </w:r>
      <w:r w:rsidRPr="008910B8">
        <w:rPr>
          <w:b/>
          <w:i/>
        </w:rPr>
        <w:tab/>
        <w:t>Charge Type Matrix</w:t>
      </w:r>
      <w:bookmarkEnd w:id="470"/>
      <w:bookmarkEnd w:id="471"/>
      <w:bookmarkEnd w:id="472"/>
      <w:bookmarkEnd w:id="473"/>
      <w:bookmarkEnd w:id="474"/>
      <w:bookmarkEnd w:id="475"/>
      <w:r w:rsidRPr="008910B8">
        <w:rPr>
          <w:b/>
          <w:i/>
        </w:rPr>
        <w:tab/>
      </w:r>
    </w:p>
    <w:p w14:paraId="055BEFB6" w14:textId="1D18171C" w:rsidR="002F5868" w:rsidRDefault="00A0123C" w:rsidP="00660ED3">
      <w:pPr>
        <w:pStyle w:val="BodyTextNumbered"/>
      </w:pPr>
      <w:r>
        <w:rPr>
          <w:iCs/>
        </w:rPr>
        <w:t>(1)</w:t>
      </w:r>
      <w:r>
        <w:rPr>
          <w:iCs/>
        </w:rPr>
        <w:tab/>
      </w:r>
      <w:r w:rsidR="00DD1AC6">
        <w:t xml:space="preserve">ERCOT shall post a Charge Type Matrix on the </w:t>
      </w:r>
      <w:r w:rsidR="000A050F">
        <w:rPr>
          <w:iCs/>
        </w:rPr>
        <w:t>ERCOT website</w:t>
      </w:r>
      <w:r w:rsidR="00DD1AC6">
        <w:t xml:space="preserve"> that summarizes each Charge Type by variable name used in the Protocols, description, and Protocol section number reference.  ERCOT post changes to this Charge Type </w:t>
      </w:r>
      <w:r w:rsidR="00A46174">
        <w:t>M</w:t>
      </w:r>
      <w:r w:rsidR="00DD1AC6">
        <w:t xml:space="preserve">atrix at least ten days before implementation of change.  </w:t>
      </w:r>
    </w:p>
    <w:p w14:paraId="3307BD9C" w14:textId="77777777" w:rsidR="002F5868" w:rsidRDefault="00DD1AC6">
      <w:pPr>
        <w:pStyle w:val="H2"/>
        <w:tabs>
          <w:tab w:val="center" w:pos="4680"/>
        </w:tabs>
      </w:pPr>
      <w:bookmarkStart w:id="476" w:name="_Toc309731101"/>
      <w:bookmarkStart w:id="477" w:name="_Toc405814077"/>
      <w:bookmarkStart w:id="478" w:name="_Toc422207968"/>
      <w:bookmarkStart w:id="479" w:name="_Toc438044879"/>
      <w:bookmarkStart w:id="480" w:name="_Toc447622662"/>
      <w:bookmarkStart w:id="481" w:name="_Toc80175313"/>
      <w:r>
        <w:t>9.16</w:t>
      </w:r>
      <w:r>
        <w:tab/>
      </w:r>
      <w:r w:rsidR="00681A15" w:rsidRPr="00681A15">
        <w:t>ERCOT System Administration</w:t>
      </w:r>
      <w:r>
        <w:t xml:space="preserve"> </w:t>
      </w:r>
      <w:r w:rsidR="00681A15">
        <w:rPr>
          <w:lang w:val="en-US"/>
        </w:rPr>
        <w:t xml:space="preserve">and User </w:t>
      </w:r>
      <w:r>
        <w:t>Fees</w:t>
      </w:r>
      <w:bookmarkEnd w:id="476"/>
      <w:bookmarkEnd w:id="477"/>
      <w:bookmarkEnd w:id="478"/>
      <w:bookmarkEnd w:id="479"/>
      <w:bookmarkEnd w:id="480"/>
      <w:bookmarkEnd w:id="481"/>
      <w:r>
        <w:tab/>
      </w:r>
    </w:p>
    <w:p w14:paraId="4B01CEC1" w14:textId="77777777" w:rsidR="002F5868" w:rsidRPr="008910B8" w:rsidRDefault="00DD1AC6">
      <w:pPr>
        <w:pStyle w:val="H3"/>
        <w:rPr>
          <w:b/>
          <w:i/>
        </w:rPr>
      </w:pPr>
      <w:bookmarkStart w:id="482" w:name="_Toc309731102"/>
      <w:bookmarkStart w:id="483" w:name="_Toc405814078"/>
      <w:bookmarkStart w:id="484" w:name="_Toc422207969"/>
      <w:bookmarkStart w:id="485" w:name="_Toc438044880"/>
      <w:bookmarkStart w:id="486" w:name="_Toc447622663"/>
      <w:bookmarkStart w:id="487" w:name="_Toc80175314"/>
      <w:r w:rsidRPr="008910B8">
        <w:rPr>
          <w:b/>
          <w:i/>
        </w:rPr>
        <w:t>9.16.1</w:t>
      </w:r>
      <w:r w:rsidRPr="008910B8">
        <w:rPr>
          <w:b/>
          <w:i/>
        </w:rPr>
        <w:tab/>
        <w:t xml:space="preserve">ERCOT System Administration </w:t>
      </w:r>
      <w:bookmarkEnd w:id="482"/>
      <w:r w:rsidR="00681A15">
        <w:rPr>
          <w:b/>
          <w:i/>
        </w:rPr>
        <w:t>Fee</w:t>
      </w:r>
      <w:bookmarkEnd w:id="483"/>
      <w:bookmarkEnd w:id="484"/>
      <w:bookmarkEnd w:id="485"/>
      <w:bookmarkEnd w:id="486"/>
      <w:bookmarkEnd w:id="487"/>
    </w:p>
    <w:p w14:paraId="1F65AE16" w14:textId="77777777" w:rsidR="00681A15" w:rsidRDefault="00681A15" w:rsidP="00681A15">
      <w:pPr>
        <w:pStyle w:val="BodyTextNumbered"/>
      </w:pPr>
      <w:r>
        <w:t>(1)</w:t>
      </w:r>
      <w:r>
        <w:tab/>
        <w:t>The Public Uti</w:t>
      </w:r>
      <w:r w:rsidR="00505105">
        <w:t>l</w:t>
      </w:r>
      <w:r>
        <w:t>ity Commission of Texas (PUCT) has authorized ERCOT to charge the ERCOT System Administration fee to fund ERCOT’s budget.  ERCOT converts the fee into a charge to each Qualified Scheduling Entity (QSE) using the formula set forth in paragraph (3) below.</w:t>
      </w:r>
    </w:p>
    <w:p w14:paraId="1AD45205" w14:textId="3E315AB3" w:rsidR="00681A15" w:rsidRDefault="00681A15" w:rsidP="00681A15">
      <w:pPr>
        <w:pStyle w:val="BodyTextNumbered"/>
      </w:pPr>
      <w:r>
        <w:t>(2)</w:t>
      </w:r>
      <w:r>
        <w:tab/>
        <w:t xml:space="preserve">ERCOT shall post the ERCOT System Administration fee on the </w:t>
      </w:r>
      <w:r w:rsidR="004B2A63">
        <w:rPr>
          <w:iCs/>
        </w:rPr>
        <w:t>ERCOT website</w:t>
      </w:r>
      <w:r>
        <w:t>.  Within two Business Days following PUCT approval of</w:t>
      </w:r>
      <w:r w:rsidRPr="003E1211">
        <w:t xml:space="preserve"> </w:t>
      </w:r>
      <w:r>
        <w:t xml:space="preserve">a change in the ERCOT System Administration fee, ERCOT shall post the changed fee and effective date on the </w:t>
      </w:r>
      <w:r w:rsidR="004B2A63">
        <w:rPr>
          <w:iCs/>
        </w:rPr>
        <w:t>ERCOT website</w:t>
      </w:r>
      <w:r>
        <w:t>.</w:t>
      </w:r>
    </w:p>
    <w:p w14:paraId="5E5B3CFE" w14:textId="77777777" w:rsidR="002F5868" w:rsidRDefault="00681A15" w:rsidP="00681A15">
      <w:pPr>
        <w:pStyle w:val="List"/>
        <w:ind w:left="720"/>
      </w:pPr>
      <w:r>
        <w:t>(3)</w:t>
      </w:r>
      <w:r>
        <w:tab/>
      </w:r>
      <w:r w:rsidR="00DD1AC6">
        <w:t xml:space="preserve">Each QSE shall pay </w:t>
      </w:r>
      <w:r>
        <w:t>the</w:t>
      </w:r>
      <w:r w:rsidR="00DD1AC6">
        <w:t xml:space="preserve"> ERCOT System Administration </w:t>
      </w:r>
      <w:r>
        <w:t>fee</w:t>
      </w:r>
      <w:r w:rsidR="00DD1AC6">
        <w:t xml:space="preserve">.  The ERCOT System Administration </w:t>
      </w:r>
      <w:r>
        <w:t>fee</w:t>
      </w:r>
      <w:r w:rsidR="00DD1AC6">
        <w:t xml:space="preserve"> is for each 15-minute Settlement Interval for each QSE.</w:t>
      </w:r>
    </w:p>
    <w:p w14:paraId="6D3FB86F" w14:textId="77777777" w:rsidR="002F5868" w:rsidRPr="006A6713" w:rsidRDefault="00DD1AC6" w:rsidP="00D465F5">
      <w:pPr>
        <w:pStyle w:val="FormulaBold"/>
        <w:rPr>
          <w:lang w:val="en-US"/>
        </w:rPr>
      </w:pPr>
      <w:r w:rsidRPr="00214538">
        <w:t>ESACAMT</w:t>
      </w:r>
      <w:r w:rsidRPr="00214538">
        <w:rPr>
          <w:i/>
          <w:vertAlign w:val="subscript"/>
        </w:rPr>
        <w:t xml:space="preserve"> q</w:t>
      </w:r>
      <w:r w:rsidRPr="00214538">
        <w:tab/>
        <w:t>=</w:t>
      </w:r>
      <w:r w:rsidRPr="00214538">
        <w:tab/>
      </w:r>
      <w:r w:rsidRPr="00214538">
        <w:tab/>
        <w:t xml:space="preserve">LAFF * </w:t>
      </w:r>
      <w:r w:rsidR="006A6713" w:rsidRPr="006A6713">
        <w:rPr>
          <w:szCs w:val="24"/>
        </w:rPr>
        <w:t>max(0,</w:t>
      </w:r>
      <w:r w:rsidR="002F5868" w:rsidRPr="000035E6">
        <w:rPr>
          <w:position w:val="-22"/>
        </w:rPr>
        <w:object w:dxaOrig="220" w:dyaOrig="460" w14:anchorId="152A5E27">
          <v:shape id="_x0000_i1030" type="#_x0000_t75" style="width:14.4pt;height:21.6pt" o:ole="">
            <v:imagedata r:id="rId24" o:title=""/>
          </v:shape>
          <o:OLEObject Type="Embed" ProgID="Equation.3" ShapeID="_x0000_i1030" DrawAspect="Content" ObjectID="_1788847262" r:id="rId25"/>
        </w:object>
      </w:r>
      <w:r w:rsidRPr="00CD010C">
        <w:t>RTAML</w:t>
      </w:r>
      <w:r w:rsidRPr="00CD010C">
        <w:rPr>
          <w:i/>
          <w:vertAlign w:val="subscript"/>
        </w:rPr>
        <w:t xml:space="preserve"> q, p</w:t>
      </w:r>
      <w:r w:rsidR="006A6713">
        <w:rPr>
          <w:szCs w:val="24"/>
          <w:lang w:val="en-US"/>
        </w:rPr>
        <w:t>)</w:t>
      </w:r>
    </w:p>
    <w:p w14:paraId="40936433" w14:textId="77777777" w:rsidR="002F5868" w:rsidRDefault="00DD1AC6" w:rsidP="000035E6">
      <w:pPr>
        <w:pStyle w:val="BodyText"/>
        <w:spacing w:after="0"/>
      </w:pPr>
      <w: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638"/>
        <w:gridCol w:w="851"/>
        <w:gridCol w:w="6861"/>
      </w:tblGrid>
      <w:tr w:rsidR="002F5868" w14:paraId="37794428" w14:textId="77777777">
        <w:trPr>
          <w:tblHeader/>
        </w:trPr>
        <w:tc>
          <w:tcPr>
            <w:tcW w:w="876" w:type="pct"/>
          </w:tcPr>
          <w:p w14:paraId="7177C553" w14:textId="77777777" w:rsidR="002F5868" w:rsidRDefault="00DD1AC6">
            <w:pPr>
              <w:pStyle w:val="TableHead"/>
            </w:pPr>
            <w:r>
              <w:t>Variable</w:t>
            </w:r>
          </w:p>
        </w:tc>
        <w:tc>
          <w:tcPr>
            <w:tcW w:w="455" w:type="pct"/>
          </w:tcPr>
          <w:p w14:paraId="1ADA0853" w14:textId="77777777" w:rsidR="002F5868" w:rsidRDefault="00DD1AC6">
            <w:pPr>
              <w:pStyle w:val="TableHead"/>
            </w:pPr>
            <w:r>
              <w:t>Unit</w:t>
            </w:r>
          </w:p>
        </w:tc>
        <w:tc>
          <w:tcPr>
            <w:tcW w:w="3669" w:type="pct"/>
          </w:tcPr>
          <w:p w14:paraId="397E25B4" w14:textId="77777777" w:rsidR="002F5868" w:rsidRDefault="00DD1AC6">
            <w:pPr>
              <w:pStyle w:val="TableHead"/>
            </w:pPr>
            <w:r>
              <w:t>Definition</w:t>
            </w:r>
          </w:p>
        </w:tc>
      </w:tr>
      <w:tr w:rsidR="002F5868" w14:paraId="5B07E87F" w14:textId="77777777">
        <w:tc>
          <w:tcPr>
            <w:tcW w:w="876" w:type="pct"/>
          </w:tcPr>
          <w:p w14:paraId="42387D3C" w14:textId="77777777" w:rsidR="002F5868" w:rsidRDefault="00DD1AC6">
            <w:pPr>
              <w:pStyle w:val="TableBody"/>
            </w:pPr>
            <w:r>
              <w:t xml:space="preserve">ESACAMT </w:t>
            </w:r>
            <w:r>
              <w:rPr>
                <w:i/>
                <w:vertAlign w:val="subscript"/>
              </w:rPr>
              <w:t>q</w:t>
            </w:r>
          </w:p>
        </w:tc>
        <w:tc>
          <w:tcPr>
            <w:tcW w:w="455" w:type="pct"/>
          </w:tcPr>
          <w:p w14:paraId="0C294450" w14:textId="77777777" w:rsidR="002F5868" w:rsidRPr="000035E6" w:rsidRDefault="00DD1AC6">
            <w:pPr>
              <w:pStyle w:val="TableBody"/>
            </w:pPr>
            <w:r w:rsidRPr="000035E6">
              <w:t>$</w:t>
            </w:r>
          </w:p>
        </w:tc>
        <w:tc>
          <w:tcPr>
            <w:tcW w:w="3669" w:type="pct"/>
          </w:tcPr>
          <w:p w14:paraId="262E588D" w14:textId="77777777" w:rsidR="002F5868" w:rsidRDefault="00DD1AC6" w:rsidP="00505105">
            <w:pPr>
              <w:pStyle w:val="TableBody"/>
            </w:pPr>
            <w:r w:rsidRPr="000035E6">
              <w:rPr>
                <w:i/>
              </w:rPr>
              <w:t xml:space="preserve">ERCOT System Administration </w:t>
            </w:r>
            <w:r w:rsidR="00505105" w:rsidRPr="000035E6">
              <w:rPr>
                <w:i/>
              </w:rPr>
              <w:t>Fee</w:t>
            </w:r>
            <w:r>
              <w:t xml:space="preserve">—The ERCOT System Administration </w:t>
            </w:r>
            <w:r w:rsidR="00505105">
              <w:t xml:space="preserve">fee </w:t>
            </w:r>
            <w:r>
              <w:t>for each QSE per 15-minute Settlement Interval.</w:t>
            </w:r>
          </w:p>
        </w:tc>
      </w:tr>
      <w:tr w:rsidR="002F5868" w14:paraId="68068FBB" w14:textId="77777777">
        <w:tc>
          <w:tcPr>
            <w:tcW w:w="876" w:type="pct"/>
          </w:tcPr>
          <w:p w14:paraId="596F30B8" w14:textId="77777777" w:rsidR="002F5868" w:rsidRDefault="00DD1AC6">
            <w:pPr>
              <w:pStyle w:val="TableBody"/>
            </w:pPr>
            <w:r>
              <w:t xml:space="preserve">RTAML </w:t>
            </w:r>
            <w:r>
              <w:rPr>
                <w:i/>
                <w:vertAlign w:val="subscript"/>
              </w:rPr>
              <w:t>q, p</w:t>
            </w:r>
          </w:p>
        </w:tc>
        <w:tc>
          <w:tcPr>
            <w:tcW w:w="455" w:type="pct"/>
          </w:tcPr>
          <w:p w14:paraId="19ACE1DB" w14:textId="77777777" w:rsidR="002F5868" w:rsidRPr="000035E6" w:rsidRDefault="00DD1AC6">
            <w:pPr>
              <w:pStyle w:val="TableBody"/>
            </w:pPr>
            <w:r w:rsidRPr="000035E6">
              <w:t>MWh</w:t>
            </w:r>
          </w:p>
        </w:tc>
        <w:tc>
          <w:tcPr>
            <w:tcW w:w="3669" w:type="pct"/>
          </w:tcPr>
          <w:p w14:paraId="18614E53" w14:textId="77777777" w:rsidR="002F5868" w:rsidRDefault="00DD1AC6" w:rsidP="003E66E6">
            <w:pPr>
              <w:pStyle w:val="TableBody"/>
            </w:pPr>
            <w:r>
              <w:rPr>
                <w:i/>
              </w:rPr>
              <w:t>Real-Time Adjusted Metered Load</w:t>
            </w:r>
            <w:r>
              <w:t>— The sum of the Adjusted Metered Load</w:t>
            </w:r>
            <w:r w:rsidR="003E66E6">
              <w:t xml:space="preserve"> (AML)</w:t>
            </w:r>
            <w:r>
              <w:t xml:space="preserve"> at the Electrical Buses included in Settlement Point </w:t>
            </w:r>
            <w:r>
              <w:rPr>
                <w:i/>
              </w:rPr>
              <w:t>p</w:t>
            </w:r>
            <w:r>
              <w:t xml:space="preserve">, represented by QSE </w:t>
            </w:r>
            <w:r>
              <w:rPr>
                <w:i/>
              </w:rPr>
              <w:t>q</w:t>
            </w:r>
            <w:r>
              <w:t>, for the 15-minute Settlement Interval.</w:t>
            </w:r>
          </w:p>
        </w:tc>
      </w:tr>
      <w:tr w:rsidR="002F5868" w14:paraId="68858FFE" w14:textId="77777777">
        <w:tc>
          <w:tcPr>
            <w:tcW w:w="876" w:type="pct"/>
          </w:tcPr>
          <w:p w14:paraId="5EC4E102" w14:textId="77777777" w:rsidR="002F5868" w:rsidRDefault="00DD1AC6">
            <w:pPr>
              <w:pStyle w:val="TableBody"/>
            </w:pPr>
            <w:r>
              <w:t>LAFF</w:t>
            </w:r>
          </w:p>
        </w:tc>
        <w:tc>
          <w:tcPr>
            <w:tcW w:w="455" w:type="pct"/>
          </w:tcPr>
          <w:p w14:paraId="41F8EF08" w14:textId="77777777" w:rsidR="002F5868" w:rsidRPr="000035E6" w:rsidRDefault="00DD1AC6">
            <w:pPr>
              <w:pStyle w:val="TableBody"/>
            </w:pPr>
            <w:r w:rsidRPr="000035E6">
              <w:t>$/MWh</w:t>
            </w:r>
          </w:p>
        </w:tc>
        <w:tc>
          <w:tcPr>
            <w:tcW w:w="3669" w:type="pct"/>
          </w:tcPr>
          <w:p w14:paraId="05F6CF91" w14:textId="77777777" w:rsidR="002F5868" w:rsidRDefault="00DD1AC6" w:rsidP="00505105">
            <w:pPr>
              <w:pStyle w:val="TableBody"/>
            </w:pPr>
            <w:r w:rsidRPr="000035E6">
              <w:rPr>
                <w:i/>
              </w:rPr>
              <w:t>Load Administration Fee Factor</w:t>
            </w:r>
            <w:r>
              <w:t xml:space="preserve">—The ERCOT System </w:t>
            </w:r>
            <w:r w:rsidR="00505105">
              <w:t>A</w:t>
            </w:r>
            <w:r>
              <w:t>dministration fee.</w:t>
            </w:r>
          </w:p>
        </w:tc>
      </w:tr>
      <w:tr w:rsidR="002F5868" w14:paraId="2BC2E90A" w14:textId="77777777" w:rsidTr="00EC276F">
        <w:trPr>
          <w:trHeight w:hRule="exact" w:val="330"/>
        </w:trPr>
        <w:tc>
          <w:tcPr>
            <w:tcW w:w="876" w:type="pct"/>
            <w:tcBorders>
              <w:top w:val="single" w:sz="6" w:space="0" w:color="auto"/>
              <w:left w:val="single" w:sz="4" w:space="0" w:color="auto"/>
              <w:bottom w:val="single" w:sz="6" w:space="0" w:color="auto"/>
              <w:right w:val="single" w:sz="6" w:space="0" w:color="auto"/>
            </w:tcBorders>
          </w:tcPr>
          <w:p w14:paraId="66F1E474" w14:textId="77777777" w:rsidR="002F5868" w:rsidRDefault="00DD1AC6" w:rsidP="00EC276F">
            <w:pPr>
              <w:pStyle w:val="H7"/>
              <w:spacing w:before="0" w:after="60"/>
              <w:ind w:left="0" w:firstLine="0"/>
              <w:rPr>
                <w:b w:val="0"/>
                <w:sz w:val="20"/>
                <w:szCs w:val="20"/>
              </w:rPr>
            </w:pPr>
            <w:r>
              <w:rPr>
                <w:b w:val="0"/>
                <w:sz w:val="20"/>
                <w:szCs w:val="20"/>
              </w:rPr>
              <w:lastRenderedPageBreak/>
              <w:t>q</w:t>
            </w:r>
          </w:p>
        </w:tc>
        <w:tc>
          <w:tcPr>
            <w:tcW w:w="455" w:type="pct"/>
            <w:tcBorders>
              <w:top w:val="single" w:sz="6" w:space="0" w:color="auto"/>
              <w:left w:val="single" w:sz="6" w:space="0" w:color="auto"/>
              <w:bottom w:val="single" w:sz="6" w:space="0" w:color="auto"/>
              <w:right w:val="single" w:sz="6" w:space="0" w:color="auto"/>
            </w:tcBorders>
          </w:tcPr>
          <w:p w14:paraId="68D62688" w14:textId="77777777" w:rsidR="002F5868" w:rsidRPr="000035E6" w:rsidRDefault="00DD1AC6" w:rsidP="00EC276F">
            <w:pPr>
              <w:pStyle w:val="H7"/>
              <w:spacing w:before="0" w:after="60"/>
              <w:ind w:left="0" w:firstLine="0"/>
              <w:rPr>
                <w:b w:val="0"/>
                <w:i w:val="0"/>
                <w:sz w:val="20"/>
                <w:szCs w:val="20"/>
              </w:rPr>
            </w:pPr>
            <w:r w:rsidRPr="000035E6">
              <w:rPr>
                <w:b w:val="0"/>
                <w:i w:val="0"/>
                <w:sz w:val="20"/>
                <w:szCs w:val="20"/>
              </w:rPr>
              <w:t>none</w:t>
            </w:r>
          </w:p>
        </w:tc>
        <w:tc>
          <w:tcPr>
            <w:tcW w:w="3669" w:type="pct"/>
            <w:tcBorders>
              <w:top w:val="single" w:sz="6" w:space="0" w:color="auto"/>
              <w:left w:val="single" w:sz="6" w:space="0" w:color="auto"/>
              <w:bottom w:val="single" w:sz="6" w:space="0" w:color="auto"/>
              <w:right w:val="single" w:sz="4" w:space="0" w:color="auto"/>
            </w:tcBorders>
          </w:tcPr>
          <w:p w14:paraId="7A911AED" w14:textId="77777777" w:rsidR="002F5868" w:rsidRPr="000035E6" w:rsidRDefault="00DD1AC6" w:rsidP="00EC276F">
            <w:pPr>
              <w:pStyle w:val="H7"/>
              <w:spacing w:before="0" w:after="60"/>
              <w:ind w:left="0" w:firstLine="0"/>
              <w:rPr>
                <w:b w:val="0"/>
                <w:i w:val="0"/>
                <w:sz w:val="20"/>
                <w:szCs w:val="20"/>
              </w:rPr>
            </w:pPr>
            <w:r w:rsidRPr="000035E6">
              <w:rPr>
                <w:b w:val="0"/>
                <w:i w:val="0"/>
                <w:sz w:val="20"/>
                <w:szCs w:val="20"/>
              </w:rPr>
              <w:t>A QSE</w:t>
            </w:r>
            <w:r w:rsidR="00EC276F">
              <w:rPr>
                <w:b w:val="0"/>
                <w:i w:val="0"/>
                <w:sz w:val="20"/>
                <w:szCs w:val="20"/>
              </w:rPr>
              <w:t>.</w:t>
            </w:r>
          </w:p>
        </w:tc>
      </w:tr>
      <w:tr w:rsidR="002F5868" w14:paraId="6521D665" w14:textId="77777777" w:rsidTr="00EC276F">
        <w:trPr>
          <w:trHeight w:hRule="exact" w:val="357"/>
        </w:trPr>
        <w:tc>
          <w:tcPr>
            <w:tcW w:w="876" w:type="pct"/>
            <w:tcBorders>
              <w:top w:val="single" w:sz="6" w:space="0" w:color="auto"/>
              <w:left w:val="single" w:sz="4" w:space="0" w:color="auto"/>
              <w:bottom w:val="single" w:sz="4" w:space="0" w:color="auto"/>
              <w:right w:val="single" w:sz="6" w:space="0" w:color="auto"/>
            </w:tcBorders>
          </w:tcPr>
          <w:p w14:paraId="6F72F0AF" w14:textId="77777777" w:rsidR="002F5868" w:rsidRDefault="00DD1AC6" w:rsidP="00EC276F">
            <w:pPr>
              <w:pStyle w:val="H7"/>
              <w:spacing w:before="0" w:after="60"/>
              <w:ind w:left="0" w:firstLine="0"/>
              <w:rPr>
                <w:b w:val="0"/>
                <w:sz w:val="20"/>
                <w:szCs w:val="20"/>
              </w:rPr>
            </w:pPr>
            <w:r>
              <w:rPr>
                <w:b w:val="0"/>
                <w:sz w:val="20"/>
                <w:szCs w:val="20"/>
              </w:rPr>
              <w:t>p</w:t>
            </w:r>
          </w:p>
        </w:tc>
        <w:tc>
          <w:tcPr>
            <w:tcW w:w="455" w:type="pct"/>
            <w:tcBorders>
              <w:top w:val="single" w:sz="6" w:space="0" w:color="auto"/>
              <w:left w:val="single" w:sz="6" w:space="0" w:color="auto"/>
              <w:bottom w:val="single" w:sz="4" w:space="0" w:color="auto"/>
              <w:right w:val="single" w:sz="6" w:space="0" w:color="auto"/>
            </w:tcBorders>
          </w:tcPr>
          <w:p w14:paraId="2788516D" w14:textId="77777777" w:rsidR="002F5868" w:rsidRPr="000035E6" w:rsidRDefault="00DD1AC6" w:rsidP="00EC276F">
            <w:pPr>
              <w:pStyle w:val="H7"/>
              <w:spacing w:before="0" w:after="60"/>
              <w:ind w:left="0" w:firstLine="0"/>
              <w:rPr>
                <w:b w:val="0"/>
                <w:i w:val="0"/>
                <w:sz w:val="20"/>
                <w:szCs w:val="20"/>
              </w:rPr>
            </w:pPr>
            <w:r w:rsidRPr="000035E6">
              <w:rPr>
                <w:b w:val="0"/>
                <w:i w:val="0"/>
                <w:sz w:val="20"/>
                <w:szCs w:val="20"/>
              </w:rPr>
              <w:t>none</w:t>
            </w:r>
          </w:p>
        </w:tc>
        <w:tc>
          <w:tcPr>
            <w:tcW w:w="3669" w:type="pct"/>
            <w:tcBorders>
              <w:top w:val="single" w:sz="6" w:space="0" w:color="auto"/>
              <w:left w:val="single" w:sz="6" w:space="0" w:color="auto"/>
              <w:bottom w:val="single" w:sz="4" w:space="0" w:color="auto"/>
              <w:right w:val="single" w:sz="4" w:space="0" w:color="auto"/>
            </w:tcBorders>
          </w:tcPr>
          <w:p w14:paraId="33A89326" w14:textId="77777777" w:rsidR="002F5868" w:rsidRPr="000035E6" w:rsidRDefault="00DD1AC6" w:rsidP="00EC276F">
            <w:pPr>
              <w:pStyle w:val="H7"/>
              <w:spacing w:before="0" w:after="60"/>
              <w:ind w:left="0" w:firstLine="0"/>
              <w:rPr>
                <w:b w:val="0"/>
                <w:i w:val="0"/>
                <w:sz w:val="20"/>
                <w:szCs w:val="20"/>
              </w:rPr>
            </w:pPr>
            <w:r w:rsidRPr="000035E6">
              <w:rPr>
                <w:b w:val="0"/>
                <w:i w:val="0"/>
                <w:sz w:val="20"/>
                <w:szCs w:val="20"/>
              </w:rPr>
              <w:t>A Settlement Point</w:t>
            </w:r>
            <w:r w:rsidR="00EC276F">
              <w:rPr>
                <w:b w:val="0"/>
                <w:i w:val="0"/>
                <w:sz w:val="20"/>
                <w:szCs w:val="20"/>
              </w:rPr>
              <w:t>.</w:t>
            </w:r>
            <w:r w:rsidR="006A6713" w:rsidRPr="00881336">
              <w:rPr>
                <w:b w:val="0"/>
                <w:i w:val="0"/>
                <w:sz w:val="20"/>
                <w:szCs w:val="20"/>
              </w:rPr>
              <w:t xml:space="preserve"> </w:t>
            </w:r>
            <w:r w:rsidR="006A6713">
              <w:rPr>
                <w:b w:val="0"/>
                <w:i w:val="0"/>
                <w:sz w:val="20"/>
                <w:szCs w:val="20"/>
              </w:rPr>
              <w:t xml:space="preserve"> </w:t>
            </w:r>
            <w:r w:rsidR="006A6713" w:rsidRPr="00881336">
              <w:rPr>
                <w:b w:val="0"/>
                <w:i w:val="0"/>
                <w:iCs/>
                <w:sz w:val="20"/>
                <w:szCs w:val="20"/>
              </w:rPr>
              <w:t>The summation is over all of the Settlement Points</w:t>
            </w:r>
            <w:r w:rsidR="006A6713">
              <w:rPr>
                <w:b w:val="0"/>
                <w:i w:val="0"/>
                <w:iCs/>
                <w:sz w:val="20"/>
                <w:szCs w:val="20"/>
              </w:rPr>
              <w:t>.</w:t>
            </w:r>
          </w:p>
        </w:tc>
      </w:tr>
    </w:tbl>
    <w:p w14:paraId="5E2AC65E" w14:textId="77777777" w:rsidR="002F5868" w:rsidRPr="008910B8" w:rsidRDefault="00DD1AC6" w:rsidP="005F5141">
      <w:pPr>
        <w:pStyle w:val="H3"/>
        <w:spacing w:before="480"/>
        <w:rPr>
          <w:b/>
          <w:i/>
        </w:rPr>
      </w:pPr>
      <w:bookmarkStart w:id="488" w:name="_Toc309731103"/>
      <w:bookmarkStart w:id="489" w:name="_Toc405814079"/>
      <w:bookmarkStart w:id="490" w:name="_Toc422207970"/>
      <w:bookmarkStart w:id="491" w:name="_Toc438044881"/>
      <w:bookmarkStart w:id="492" w:name="_Toc447622664"/>
      <w:bookmarkStart w:id="493" w:name="_Toc80175315"/>
      <w:r w:rsidRPr="008910B8">
        <w:rPr>
          <w:b/>
          <w:i/>
        </w:rPr>
        <w:t>9.16.2</w:t>
      </w:r>
      <w:r w:rsidRPr="008910B8">
        <w:rPr>
          <w:b/>
          <w:i/>
        </w:rPr>
        <w:tab/>
      </w:r>
      <w:r w:rsidR="00505105">
        <w:rPr>
          <w:b/>
          <w:i/>
        </w:rPr>
        <w:t>User</w:t>
      </w:r>
      <w:r w:rsidRPr="008910B8">
        <w:rPr>
          <w:b/>
          <w:i/>
        </w:rPr>
        <w:t xml:space="preserve"> Fee</w:t>
      </w:r>
      <w:bookmarkEnd w:id="488"/>
      <w:r w:rsidR="00505105">
        <w:rPr>
          <w:b/>
          <w:i/>
        </w:rPr>
        <w:t>s</w:t>
      </w:r>
      <w:bookmarkEnd w:id="489"/>
      <w:bookmarkEnd w:id="490"/>
      <w:bookmarkEnd w:id="491"/>
      <w:bookmarkEnd w:id="492"/>
      <w:bookmarkEnd w:id="493"/>
    </w:p>
    <w:p w14:paraId="2A08F0A5" w14:textId="268F5AEE" w:rsidR="00505105" w:rsidRPr="007F353A" w:rsidRDefault="00505105" w:rsidP="00505105">
      <w:pPr>
        <w:pStyle w:val="BodyTextNumbered"/>
      </w:pPr>
      <w:r w:rsidRPr="00F66C86">
        <w:t>(1)</w:t>
      </w:r>
      <w:r w:rsidRPr="00F66C86">
        <w:tab/>
        <w:t>The ERCOT Board approves user fees for products and services provided by ERCOT to a Market Participant or other Entity.  Such user fees are approved in accordance with the ERCOT Board Policies and Procedures.</w:t>
      </w:r>
      <w:r w:rsidRPr="00257E1E">
        <w:t xml:space="preserve">  User fees may include, but are not limited to, application fees, </w:t>
      </w:r>
      <w:r w:rsidRPr="00E213C7">
        <w:t xml:space="preserve">private </w:t>
      </w:r>
      <w:r w:rsidRPr="00083859">
        <w:t xml:space="preserve">Wide Area Network (WAN) costs, </w:t>
      </w:r>
      <w:r w:rsidR="008B567A">
        <w:t xml:space="preserve">and </w:t>
      </w:r>
      <w:r w:rsidRPr="00083859">
        <w:t>interconnection study fees</w:t>
      </w:r>
      <w:r w:rsidRPr="007F353A">
        <w:t xml:space="preserve">.  </w:t>
      </w:r>
    </w:p>
    <w:p w14:paraId="3404C462" w14:textId="44519357" w:rsidR="00505105" w:rsidRPr="00F66C86" w:rsidRDefault="00505105" w:rsidP="00505105">
      <w:pPr>
        <w:pStyle w:val="BodyTextNumbered"/>
      </w:pPr>
      <w:r w:rsidRPr="007F353A">
        <w:t>(2)</w:t>
      </w:r>
      <w:r w:rsidRPr="007F353A">
        <w:tab/>
        <w:t xml:space="preserve">ERCOT shall post user fees approved by the ERCOT Board in the ERCOT Fee Schedule on the </w:t>
      </w:r>
      <w:r w:rsidR="004B2A63">
        <w:rPr>
          <w:iCs/>
        </w:rPr>
        <w:t>ERCOT website</w:t>
      </w:r>
      <w:r w:rsidRPr="007F353A">
        <w:t xml:space="preserve">. </w:t>
      </w:r>
      <w:r>
        <w:t xml:space="preserve"> ERCOT shall post the ERCOT Fee Schedule and effective date on the </w:t>
      </w:r>
      <w:r w:rsidR="004B2A63">
        <w:rPr>
          <w:iCs/>
        </w:rPr>
        <w:t>ERCOT website</w:t>
      </w:r>
      <w:r>
        <w:t xml:space="preserve"> </w:t>
      </w:r>
      <w:r w:rsidRPr="00EA65F0">
        <w:t xml:space="preserve">within two Business Days of change. </w:t>
      </w:r>
    </w:p>
    <w:p w14:paraId="35EEA04B" w14:textId="77777777" w:rsidR="00505105" w:rsidRDefault="00505105" w:rsidP="00505105">
      <w:pPr>
        <w:pStyle w:val="BodyText"/>
        <w:ind w:left="720" w:hanging="720"/>
      </w:pPr>
      <w:r w:rsidRPr="00F66C86">
        <w:t>(3)</w:t>
      </w:r>
      <w:r w:rsidRPr="00F66C86">
        <w:tab/>
        <w:t xml:space="preserve">A Market </w:t>
      </w:r>
      <w:r w:rsidRPr="00515E45">
        <w:t>Participant</w:t>
      </w:r>
      <w:r w:rsidRPr="00F66C86">
        <w:t xml:space="preserve"> or other Entity shall pay applicable user fees approved by the ERCOT Board.</w:t>
      </w:r>
    </w:p>
    <w:p w14:paraId="1E883C08" w14:textId="77777777" w:rsidR="002F5868" w:rsidRDefault="00DD1AC6" w:rsidP="00047280">
      <w:pPr>
        <w:pStyle w:val="H2"/>
        <w:ind w:left="907" w:hanging="907"/>
      </w:pPr>
      <w:bookmarkStart w:id="494" w:name="_Toc309731106"/>
      <w:bookmarkStart w:id="495" w:name="_Toc405814080"/>
      <w:bookmarkStart w:id="496" w:name="_Toc422207971"/>
      <w:bookmarkStart w:id="497" w:name="_Toc438044882"/>
      <w:bookmarkStart w:id="498" w:name="_Toc447622665"/>
      <w:bookmarkStart w:id="499" w:name="_Toc80175316"/>
      <w:r>
        <w:t>9.17</w:t>
      </w:r>
      <w:r>
        <w:tab/>
        <w:t>Transmission Billing Determinant Calculation</w:t>
      </w:r>
      <w:bookmarkEnd w:id="494"/>
      <w:bookmarkEnd w:id="495"/>
      <w:bookmarkEnd w:id="496"/>
      <w:bookmarkEnd w:id="497"/>
      <w:bookmarkEnd w:id="498"/>
      <w:bookmarkEnd w:id="499"/>
    </w:p>
    <w:p w14:paraId="6B73D020" w14:textId="77777777" w:rsidR="002F5868" w:rsidRDefault="00A0123C" w:rsidP="00660ED3">
      <w:pPr>
        <w:pStyle w:val="BodyTextNumbered"/>
      </w:pPr>
      <w:r>
        <w:rPr>
          <w:iCs/>
        </w:rPr>
        <w:t>(1)</w:t>
      </w:r>
      <w:r>
        <w:rPr>
          <w:iCs/>
        </w:rPr>
        <w:tab/>
      </w:r>
      <w:r w:rsidR="00DD1AC6">
        <w:t xml:space="preserve">ERCOT shall provide Market Participants with the key parameters and formula components required by a </w:t>
      </w:r>
      <w:r w:rsidR="00160F14">
        <w:t>Transmission Service Provider (</w:t>
      </w:r>
      <w:r w:rsidR="00DD1AC6">
        <w:t>TSP</w:t>
      </w:r>
      <w:r w:rsidR="00160F14">
        <w:t>)</w:t>
      </w:r>
      <w:r w:rsidR="00DD1AC6">
        <w:t xml:space="preserve"> or </w:t>
      </w:r>
      <w:r w:rsidR="00160F14">
        <w:t>Distribution Service Provider (</w:t>
      </w:r>
      <w:r w:rsidR="00DD1AC6">
        <w:t>DSP</w:t>
      </w:r>
      <w:r w:rsidR="00160F14">
        <w:t>)</w:t>
      </w:r>
      <w:r w:rsidR="00DD1AC6">
        <w:t xml:space="preserve"> in determining the billing charges for the use of its Transmission Facilities or Distribution Facilities (“Transmission Billing Determinants”).  ERCOT is not responsible for billing, collection, or disbursal of payments associated with transmission access service.</w:t>
      </w:r>
    </w:p>
    <w:p w14:paraId="550457EE" w14:textId="77777777" w:rsidR="002F5868" w:rsidRPr="008910B8" w:rsidRDefault="00DD1AC6">
      <w:pPr>
        <w:pStyle w:val="H3"/>
        <w:rPr>
          <w:b/>
          <w:i/>
        </w:rPr>
      </w:pPr>
      <w:bookmarkStart w:id="500" w:name="_Toc309731107"/>
      <w:bookmarkStart w:id="501" w:name="_Toc405814081"/>
      <w:bookmarkStart w:id="502" w:name="_Toc422207972"/>
      <w:bookmarkStart w:id="503" w:name="_Toc438044883"/>
      <w:bookmarkStart w:id="504" w:name="_Toc447622666"/>
      <w:bookmarkStart w:id="505" w:name="_Toc80175317"/>
      <w:r w:rsidRPr="008910B8">
        <w:rPr>
          <w:b/>
          <w:i/>
        </w:rPr>
        <w:t>9.17.1</w:t>
      </w:r>
      <w:r w:rsidRPr="008910B8">
        <w:rPr>
          <w:b/>
          <w:i/>
        </w:rPr>
        <w:tab/>
        <w:t>Billing Determinant Data Elements</w:t>
      </w:r>
      <w:bookmarkEnd w:id="500"/>
      <w:bookmarkEnd w:id="501"/>
      <w:bookmarkEnd w:id="502"/>
      <w:bookmarkEnd w:id="503"/>
      <w:bookmarkEnd w:id="504"/>
      <w:bookmarkEnd w:id="505"/>
    </w:p>
    <w:p w14:paraId="22AE2C7D" w14:textId="088E4EA5" w:rsidR="00724433" w:rsidRDefault="00724433" w:rsidP="00724433">
      <w:pPr>
        <w:pStyle w:val="BodyTextNumbered"/>
      </w:pPr>
      <w:r>
        <w:t>(1)</w:t>
      </w:r>
      <w:r>
        <w:tab/>
        <w:t xml:space="preserve">ERCOT shall calculate and provide to Market Participants on the </w:t>
      </w:r>
      <w:r w:rsidR="004B2A63">
        <w:rPr>
          <w:iCs/>
        </w:rPr>
        <w:t>ERCOT website</w:t>
      </w:r>
      <w:r>
        <w:t xml:space="preserve"> the following data elements annually to be used by TSPs and DSPs as billing determinants for transmission access service.  This data must be provided by December </w:t>
      </w:r>
      <w:r w:rsidR="007B033B">
        <w:t>1</w:t>
      </w:r>
      <w:r>
        <w:t xml:space="preserve"> of each year.  This calculation must be made under the requirements of </w:t>
      </w:r>
      <w:r w:rsidR="009541DB">
        <w:t>P.U.C. S</w:t>
      </w:r>
      <w:r w:rsidR="009541DB" w:rsidRPr="006B60E2">
        <w:rPr>
          <w:smallCaps/>
        </w:rPr>
        <w:t>ubst</w:t>
      </w:r>
      <w:r w:rsidR="009541DB">
        <w:t xml:space="preserve">. R. </w:t>
      </w:r>
      <w:r w:rsidR="009541DB" w:rsidRPr="006F7536">
        <w:t>25.192, Transmission Service Rates</w:t>
      </w:r>
      <w:r w:rsidR="009541DB">
        <w:t>.</w:t>
      </w:r>
      <w:r>
        <w:t xml:space="preserve">  </w:t>
      </w:r>
      <w:r w:rsidR="007B033B">
        <w:t>ERCOT shall use the most recent aggregate data produced by the ERCOT Settlement system</w:t>
      </w:r>
      <w:r>
        <w:t xml:space="preserve"> to perform these calculations.</w:t>
      </w:r>
    </w:p>
    <w:p w14:paraId="0EED87E3" w14:textId="77777777" w:rsidR="00724433" w:rsidRDefault="00724433" w:rsidP="00724433">
      <w:pPr>
        <w:pStyle w:val="List"/>
      </w:pPr>
      <w:r>
        <w:t>(a)</w:t>
      </w:r>
      <w:r>
        <w:tab/>
        <w:t>The 4-Coincident Peak (4-CP) for each DSP</w:t>
      </w:r>
      <w:r w:rsidR="00C15C18">
        <w:t xml:space="preserve"> and External Load Serving Entity (ELSE)</w:t>
      </w:r>
      <w:r>
        <w:t>, as applicable;</w:t>
      </w:r>
    </w:p>
    <w:p w14:paraId="4982C616" w14:textId="77777777" w:rsidR="00724433" w:rsidRDefault="00724433" w:rsidP="00724433">
      <w:pPr>
        <w:pStyle w:val="List"/>
      </w:pPr>
      <w:r>
        <w:t>(b)</w:t>
      </w:r>
      <w:r>
        <w:tab/>
        <w:t>The ERCOT average 4-CP;</w:t>
      </w:r>
    </w:p>
    <w:p w14:paraId="38F623CB" w14:textId="77777777" w:rsidR="00ED0038" w:rsidRDefault="00724433" w:rsidP="00724433">
      <w:pPr>
        <w:pStyle w:val="List"/>
        <w:spacing w:after="0"/>
      </w:pPr>
      <w:r>
        <w:t>(c)</w:t>
      </w:r>
      <w:r>
        <w:tab/>
        <w:t>The average 4-CP for each DSP</w:t>
      </w:r>
      <w:r w:rsidR="00C15C18">
        <w:t xml:space="preserve"> and ELSE</w:t>
      </w:r>
      <w:r>
        <w:t>, as applicable, coincident to the ERCOT average 4-CP</w:t>
      </w:r>
      <w:r w:rsidR="00D22854">
        <w:t>.</w:t>
      </w:r>
    </w:p>
    <w:p w14:paraId="55C7E881" w14:textId="77777777" w:rsidR="002F5868" w:rsidRDefault="00DD1AC6" w:rsidP="00ED0038">
      <w:pPr>
        <w:pStyle w:val="BodyTextNumbered"/>
        <w:spacing w:before="240"/>
      </w:pPr>
      <w:r>
        <w:lastRenderedPageBreak/>
        <w:t>(2)</w:t>
      </w:r>
      <w:r>
        <w:tab/>
      </w:r>
      <w:r w:rsidR="00ED35B9">
        <w:t>ERCOT a</w:t>
      </w:r>
      <w:r>
        <w:t xml:space="preserve">verage 4-CP is defined as the average </w:t>
      </w:r>
      <w:r w:rsidR="00ED35B9" w:rsidRPr="0012618F">
        <w:t>of the</w:t>
      </w:r>
      <w:r>
        <w:t xml:space="preserve"> coincidental MW peak</w:t>
      </w:r>
      <w:r w:rsidR="00ED35B9">
        <w:t>s</w:t>
      </w:r>
      <w:r>
        <w:t xml:space="preserve"> occurring during the months of June, July, August, and September.</w:t>
      </w:r>
    </w:p>
    <w:p w14:paraId="712F7AD2" w14:textId="77777777" w:rsidR="002F5868" w:rsidRDefault="00881601">
      <w:pPr>
        <w:pStyle w:val="BodyTextNumbered"/>
      </w:pPr>
      <w:r w:rsidRPr="00974D32">
        <w:t>(3)</w:t>
      </w:r>
      <w:r w:rsidRPr="00974D32">
        <w:tab/>
      </w:r>
      <w:r w:rsidR="002A4B10" w:rsidRPr="004A52A9">
        <w:t xml:space="preserve">Coincidental MW peak is defined as the highest monthly Settlement Interval 15-minute MW peak for the entire ERCOT Transmission Grid as calculated per the following formula:  The sum of all net energy produced by Generation Resources + </w:t>
      </w:r>
      <w:r w:rsidR="002A4B10">
        <w:t xml:space="preserve">Settlement Only Generators (SOGs) + </w:t>
      </w:r>
      <w:r w:rsidR="002A4B10" w:rsidRPr="004A52A9">
        <w:t xml:space="preserve">Block Load Transfers (BLTs) from ERCOT to another Control Area that have been registered for Settlement purposes + actual Direct Current Tie (DC Tie) imports - </w:t>
      </w:r>
      <w:r w:rsidR="002A4B10" w:rsidRPr="004A52A9">
        <w:rPr>
          <w:color w:val="000000"/>
        </w:rPr>
        <w:t xml:space="preserve">BLTs to ERCOT from another Control Area that are not reflected in a Non-Opt-In Entity’s (NOIE’s) Load - </w:t>
      </w:r>
      <w:r w:rsidR="002A4B10" w:rsidRPr="004A52A9">
        <w:t>actual</w:t>
      </w:r>
      <w:r w:rsidR="002A4B10" w:rsidRPr="004A52A9">
        <w:rPr>
          <w:lang w:val="fr-FR"/>
        </w:rPr>
        <w:t xml:space="preserve"> </w:t>
      </w:r>
      <w:r w:rsidR="002A4B10" w:rsidRPr="004A52A9">
        <w:rPr>
          <w:color w:val="000000"/>
        </w:rPr>
        <w:t>DC Tie exports - Wholesale Storage Load (WSL)</w:t>
      </w:r>
      <w:r w:rsidR="002A4B10" w:rsidRPr="004A52A9">
        <w:t>.</w:t>
      </w:r>
    </w:p>
    <w:tbl>
      <w:tblPr>
        <w:tblW w:w="976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986EAF" w:rsidRPr="00E566EB" w14:paraId="7B864C1C" w14:textId="77777777" w:rsidTr="00986EAF">
        <w:tc>
          <w:tcPr>
            <w:tcW w:w="9766" w:type="dxa"/>
            <w:shd w:val="pct12" w:color="auto" w:fill="auto"/>
          </w:tcPr>
          <w:p w14:paraId="49481684" w14:textId="34BC008B" w:rsidR="00986EAF" w:rsidRPr="00E566EB" w:rsidRDefault="00986EAF" w:rsidP="00CD023D">
            <w:pPr>
              <w:spacing w:before="120" w:after="240"/>
              <w:rPr>
                <w:b/>
                <w:i/>
                <w:iCs/>
              </w:rPr>
            </w:pPr>
            <w:bookmarkStart w:id="506" w:name="_Toc309731108"/>
            <w:bookmarkStart w:id="507" w:name="_Toc405814082"/>
            <w:bookmarkStart w:id="508" w:name="_Toc422207973"/>
            <w:bookmarkStart w:id="509" w:name="_Toc438044884"/>
            <w:bookmarkStart w:id="510" w:name="_Toc447622667"/>
            <w:r>
              <w:rPr>
                <w:b/>
                <w:i/>
                <w:iCs/>
              </w:rPr>
              <w:t>[NPRR995</w:t>
            </w:r>
            <w:r w:rsidRPr="00E566EB">
              <w:rPr>
                <w:b/>
                <w:i/>
                <w:iCs/>
              </w:rPr>
              <w:t xml:space="preserve">: </w:t>
            </w:r>
            <w:r>
              <w:rPr>
                <w:b/>
                <w:i/>
                <w:iCs/>
              </w:rPr>
              <w:t xml:space="preserve"> Replace paragraph (3) above with the following upon </w:t>
            </w:r>
            <w:r w:rsidRPr="00E566EB">
              <w:rPr>
                <w:b/>
                <w:i/>
                <w:iCs/>
              </w:rPr>
              <w:t>system implementation:]</w:t>
            </w:r>
          </w:p>
          <w:p w14:paraId="6D94AB8E" w14:textId="4977BE50" w:rsidR="00986EAF" w:rsidRPr="00BC66E2" w:rsidRDefault="00986EAF" w:rsidP="00986EAF">
            <w:pPr>
              <w:spacing w:after="240"/>
              <w:ind w:left="720" w:hanging="720"/>
            </w:pPr>
            <w:r w:rsidRPr="00B37522">
              <w:t>(3)</w:t>
            </w:r>
            <w:r w:rsidRPr="00B37522">
              <w:tab/>
              <w:t xml:space="preserve">Coincidental MW peak is defined as the highest monthly Settlement Interval 15-minute MW peak for the entire ERCOT Transmission Grid as calculated per the following formula:  The sum of all net energy produced by Generation Resources + Settlement Only Generators (SOGs) + </w:t>
            </w:r>
            <w:r w:rsidRPr="00B1214B">
              <w:t>Settlement Only Energy Storage System</w:t>
            </w:r>
            <w:r w:rsidRPr="00F356DB">
              <w:t>s</w:t>
            </w:r>
            <w:r w:rsidRPr="0056442F">
              <w:t xml:space="preserve"> (SOESS</w:t>
            </w:r>
            <w:r w:rsidRPr="00E50CD3">
              <w:t xml:space="preserve">s) + </w:t>
            </w:r>
            <w:r w:rsidRPr="00B37522">
              <w:t xml:space="preserve">Block Load Transfers (BLTs) from ERCOT to another Control Area that have been registered for Settlement purposes + actual Direct Current Tie (DC Tie) imports - </w:t>
            </w:r>
            <w:r w:rsidRPr="00B37522">
              <w:rPr>
                <w:color w:val="000000"/>
              </w:rPr>
              <w:t xml:space="preserve">BLTs to ERCOT from another Control Area that are not reflected in a Non-Opt-In Entity’s (NOIE’s) Load - </w:t>
            </w:r>
            <w:r w:rsidRPr="00B37522">
              <w:t>actual</w:t>
            </w:r>
            <w:r w:rsidRPr="00B37522">
              <w:rPr>
                <w:lang w:val="fr-FR"/>
              </w:rPr>
              <w:t xml:space="preserve"> </w:t>
            </w:r>
            <w:r w:rsidRPr="00B37522">
              <w:rPr>
                <w:color w:val="000000"/>
              </w:rPr>
              <w:t>DC Tie exports - Wholesale Storage Load (WSL)</w:t>
            </w:r>
            <w:r w:rsidRPr="00B37522">
              <w:t>.</w:t>
            </w:r>
          </w:p>
        </w:tc>
      </w:tr>
    </w:tbl>
    <w:p w14:paraId="4587C1F3" w14:textId="550C0258" w:rsidR="00ED35B9" w:rsidRPr="0012618F" w:rsidRDefault="00ED35B9" w:rsidP="007D681D">
      <w:pPr>
        <w:spacing w:before="240" w:after="240"/>
        <w:ind w:left="720" w:hanging="720"/>
      </w:pPr>
      <w:r w:rsidRPr="0012618F">
        <w:t>(4)</w:t>
      </w:r>
      <w:r w:rsidRPr="0012618F">
        <w:tab/>
        <w:t>Any difference between the coincidental MW peak (converted to MWh) and the ERCOT Settlement volumes</w:t>
      </w:r>
      <w:r>
        <w:t>,</w:t>
      </w:r>
      <w:r w:rsidRPr="0012618F">
        <w:t xml:space="preserve"> excluding DC Tie exports, </w:t>
      </w:r>
      <w:r w:rsidRPr="0012618F">
        <w:rPr>
          <w:color w:val="000000"/>
        </w:rPr>
        <w:t>BLTs to ERCOT from another Control Area that are not reflected in a NOIE’s Load, and WSL</w:t>
      </w:r>
      <w:r>
        <w:t>, shall be allocated</w:t>
      </w:r>
      <w:r w:rsidRPr="0012618F">
        <w:t xml:space="preserve"> </w:t>
      </w:r>
      <w:r>
        <w:t xml:space="preserve">amongst all </w:t>
      </w:r>
      <w:r w:rsidRPr="0012618F">
        <w:t xml:space="preserve">DSPs and ELSEs </w:t>
      </w:r>
      <w:r>
        <w:t xml:space="preserve">that are included in the ERCOT 4-CP Report </w:t>
      </w:r>
      <w:r w:rsidRPr="0012618F">
        <w:t>on a pro rata basis as per the formula below:</w:t>
      </w:r>
    </w:p>
    <w:p w14:paraId="04286444" w14:textId="77777777" w:rsidR="00ED35B9" w:rsidRPr="003459E3" w:rsidRDefault="00ED35B9" w:rsidP="00ED35B9">
      <w:pPr>
        <w:spacing w:after="240"/>
        <w:ind w:left="720"/>
        <w:rPr>
          <w:b/>
        </w:rPr>
      </w:pPr>
      <w:r w:rsidRPr="003459E3">
        <w:rPr>
          <w:b/>
        </w:rPr>
        <w:t xml:space="preserve">LTDSP_4CP </w:t>
      </w:r>
      <w:r w:rsidRPr="003459E3">
        <w:rPr>
          <w:b/>
          <w:i/>
          <w:vertAlign w:val="subscript"/>
        </w:rPr>
        <w:t>tdsp</w:t>
      </w:r>
      <w:r w:rsidRPr="003459E3">
        <w:rPr>
          <w:b/>
          <w:vertAlign w:val="subscript"/>
        </w:rPr>
        <w:t xml:space="preserve"> = </w:t>
      </w:r>
      <w:r w:rsidRPr="003459E3">
        <w:rPr>
          <w:b/>
        </w:rPr>
        <w:t xml:space="preserve">(PLTDSP4CPLRS </w:t>
      </w:r>
      <w:r w:rsidRPr="003459E3">
        <w:rPr>
          <w:b/>
          <w:vertAlign w:val="subscript"/>
        </w:rPr>
        <w:t>t</w:t>
      </w:r>
      <w:r w:rsidRPr="003459E3">
        <w:rPr>
          <w:b/>
          <w:i/>
          <w:vertAlign w:val="subscript"/>
        </w:rPr>
        <w:t>dsp</w:t>
      </w:r>
      <w:r w:rsidRPr="003459E3">
        <w:rPr>
          <w:b/>
        </w:rPr>
        <w:t xml:space="preserve"> * NLADJ) + PLTDSP4CP </w:t>
      </w:r>
      <w:r w:rsidRPr="003459E3">
        <w:rPr>
          <w:b/>
          <w:i/>
          <w:vertAlign w:val="subscript"/>
        </w:rPr>
        <w:t>tdsp</w:t>
      </w:r>
    </w:p>
    <w:p w14:paraId="1C9B4824" w14:textId="77777777" w:rsidR="00ED35B9" w:rsidRPr="0012618F" w:rsidRDefault="00ED35B9" w:rsidP="00ED35B9">
      <w:pPr>
        <w:ind w:left="720" w:hanging="720"/>
      </w:pPr>
      <w:r w:rsidRPr="0012618F">
        <w:t>The above variables are defined as follows:</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66"/>
        <w:gridCol w:w="808"/>
        <w:gridCol w:w="6482"/>
      </w:tblGrid>
      <w:tr w:rsidR="00ED35B9" w:rsidRPr="0012618F" w14:paraId="5F3ADFEC" w14:textId="77777777" w:rsidTr="00FF55EB">
        <w:trPr>
          <w:cantSplit/>
          <w:tblHeader/>
        </w:trPr>
        <w:tc>
          <w:tcPr>
            <w:tcW w:w="1104" w:type="pct"/>
          </w:tcPr>
          <w:p w14:paraId="0C2B52D7" w14:textId="77777777" w:rsidR="00ED35B9" w:rsidRPr="0012618F" w:rsidRDefault="00ED35B9" w:rsidP="00FF55EB">
            <w:pPr>
              <w:spacing w:after="120"/>
              <w:rPr>
                <w:b/>
                <w:iCs/>
                <w:sz w:val="20"/>
              </w:rPr>
            </w:pPr>
            <w:r w:rsidRPr="0012618F">
              <w:rPr>
                <w:b/>
                <w:iCs/>
                <w:sz w:val="20"/>
              </w:rPr>
              <w:t>Variable</w:t>
            </w:r>
          </w:p>
        </w:tc>
        <w:tc>
          <w:tcPr>
            <w:tcW w:w="432" w:type="pct"/>
          </w:tcPr>
          <w:p w14:paraId="7515B9B3" w14:textId="77777777" w:rsidR="00ED35B9" w:rsidRPr="0012618F" w:rsidRDefault="00ED35B9" w:rsidP="00FF55EB">
            <w:pPr>
              <w:spacing w:after="120"/>
              <w:rPr>
                <w:b/>
                <w:iCs/>
                <w:sz w:val="20"/>
              </w:rPr>
            </w:pPr>
            <w:r w:rsidRPr="0012618F">
              <w:rPr>
                <w:b/>
                <w:iCs/>
                <w:sz w:val="20"/>
              </w:rPr>
              <w:t>Unit</w:t>
            </w:r>
          </w:p>
        </w:tc>
        <w:tc>
          <w:tcPr>
            <w:tcW w:w="3464" w:type="pct"/>
          </w:tcPr>
          <w:p w14:paraId="5D81FFB0" w14:textId="77777777" w:rsidR="00ED35B9" w:rsidRPr="0012618F" w:rsidRDefault="00ED35B9" w:rsidP="00FF55EB">
            <w:pPr>
              <w:spacing w:after="120"/>
              <w:rPr>
                <w:b/>
                <w:iCs/>
                <w:sz w:val="20"/>
              </w:rPr>
            </w:pPr>
            <w:r w:rsidRPr="0012618F">
              <w:rPr>
                <w:b/>
                <w:iCs/>
                <w:sz w:val="20"/>
              </w:rPr>
              <w:t>Definition</w:t>
            </w:r>
          </w:p>
        </w:tc>
      </w:tr>
      <w:tr w:rsidR="00ED35B9" w:rsidRPr="0012618F" w14:paraId="48FCD388" w14:textId="77777777" w:rsidTr="00FF55EB">
        <w:trPr>
          <w:cantSplit/>
        </w:trPr>
        <w:tc>
          <w:tcPr>
            <w:tcW w:w="1104" w:type="pct"/>
          </w:tcPr>
          <w:p w14:paraId="70AD4A88" w14:textId="77777777" w:rsidR="00ED35B9" w:rsidRPr="0012618F" w:rsidRDefault="00ED35B9" w:rsidP="00FF55EB">
            <w:pPr>
              <w:spacing w:after="60"/>
              <w:rPr>
                <w:iCs/>
                <w:sz w:val="20"/>
              </w:rPr>
            </w:pPr>
            <w:r w:rsidRPr="0012618F">
              <w:rPr>
                <w:iCs/>
                <w:sz w:val="20"/>
              </w:rPr>
              <w:t>LTDSP_4CP</w:t>
            </w:r>
            <w:r>
              <w:rPr>
                <w:iCs/>
                <w:sz w:val="20"/>
              </w:rPr>
              <w:t xml:space="preserve"> </w:t>
            </w:r>
            <w:r w:rsidRPr="0012618F">
              <w:rPr>
                <w:i/>
                <w:iCs/>
                <w:sz w:val="20"/>
                <w:vertAlign w:val="subscript"/>
              </w:rPr>
              <w:t>tdsp</w:t>
            </w:r>
          </w:p>
        </w:tc>
        <w:tc>
          <w:tcPr>
            <w:tcW w:w="432" w:type="pct"/>
          </w:tcPr>
          <w:p w14:paraId="43112F87" w14:textId="77777777" w:rsidR="00ED35B9" w:rsidRPr="0012618F" w:rsidRDefault="00ED35B9" w:rsidP="00FF55EB">
            <w:pPr>
              <w:spacing w:after="60"/>
              <w:rPr>
                <w:iCs/>
                <w:sz w:val="20"/>
              </w:rPr>
            </w:pPr>
            <w:r w:rsidRPr="0012618F">
              <w:rPr>
                <w:iCs/>
                <w:sz w:val="20"/>
              </w:rPr>
              <w:t>MWh</w:t>
            </w:r>
          </w:p>
        </w:tc>
        <w:tc>
          <w:tcPr>
            <w:tcW w:w="3464" w:type="pct"/>
          </w:tcPr>
          <w:p w14:paraId="05592C15" w14:textId="77777777" w:rsidR="00ED35B9" w:rsidRPr="0012618F" w:rsidRDefault="00ED35B9" w:rsidP="00FF55EB">
            <w:pPr>
              <w:spacing w:after="60"/>
              <w:rPr>
                <w:i/>
                <w:iCs/>
                <w:sz w:val="20"/>
              </w:rPr>
            </w:pPr>
            <w:r w:rsidRPr="0012618F">
              <w:rPr>
                <w:i/>
                <w:iCs/>
                <w:sz w:val="20"/>
              </w:rPr>
              <w:t>Load by TDSP for 4-CP</w:t>
            </w:r>
            <w:r w:rsidRPr="0012618F">
              <w:rPr>
                <w:iCs/>
                <w:sz w:val="20"/>
              </w:rPr>
              <w:t xml:space="preserve"> - The load for each DSP and ELSE coincident to the coincidental MW peak adjusted for NLADJ</w:t>
            </w:r>
          </w:p>
        </w:tc>
      </w:tr>
      <w:tr w:rsidR="00ED35B9" w:rsidRPr="0012618F" w14:paraId="1E2A7BFF" w14:textId="77777777" w:rsidTr="00FF55EB">
        <w:trPr>
          <w:cantSplit/>
        </w:trPr>
        <w:tc>
          <w:tcPr>
            <w:tcW w:w="1104" w:type="pct"/>
          </w:tcPr>
          <w:p w14:paraId="264BE133" w14:textId="77777777" w:rsidR="00ED35B9" w:rsidRPr="0012618F" w:rsidRDefault="00ED35B9" w:rsidP="00FF55EB">
            <w:pPr>
              <w:spacing w:after="60"/>
              <w:rPr>
                <w:iCs/>
                <w:sz w:val="20"/>
              </w:rPr>
            </w:pPr>
            <w:r w:rsidRPr="0012618F">
              <w:rPr>
                <w:iCs/>
                <w:sz w:val="20"/>
              </w:rPr>
              <w:t>PLTDSP4CPLRS</w:t>
            </w:r>
            <w:r>
              <w:rPr>
                <w:iCs/>
                <w:sz w:val="20"/>
              </w:rPr>
              <w:t xml:space="preserve"> </w:t>
            </w:r>
            <w:r w:rsidRPr="0012618F">
              <w:rPr>
                <w:i/>
                <w:iCs/>
                <w:sz w:val="20"/>
                <w:vertAlign w:val="subscript"/>
              </w:rPr>
              <w:t>tdsp</w:t>
            </w:r>
          </w:p>
        </w:tc>
        <w:tc>
          <w:tcPr>
            <w:tcW w:w="432" w:type="pct"/>
          </w:tcPr>
          <w:p w14:paraId="480B1E5E" w14:textId="77777777" w:rsidR="00ED35B9" w:rsidRPr="0012618F" w:rsidRDefault="00ED35B9" w:rsidP="00FF55EB">
            <w:pPr>
              <w:spacing w:after="60"/>
              <w:rPr>
                <w:iCs/>
                <w:sz w:val="20"/>
              </w:rPr>
            </w:pPr>
            <w:r w:rsidRPr="0012618F">
              <w:rPr>
                <w:iCs/>
                <w:sz w:val="20"/>
              </w:rPr>
              <w:t>%</w:t>
            </w:r>
          </w:p>
        </w:tc>
        <w:tc>
          <w:tcPr>
            <w:tcW w:w="3464" w:type="pct"/>
          </w:tcPr>
          <w:p w14:paraId="6D98E8DE" w14:textId="77777777" w:rsidR="00ED35B9" w:rsidRPr="0012618F" w:rsidRDefault="00ED35B9" w:rsidP="00FF55EB">
            <w:pPr>
              <w:spacing w:after="60"/>
              <w:rPr>
                <w:i/>
                <w:iCs/>
                <w:sz w:val="20"/>
              </w:rPr>
            </w:pPr>
            <w:r w:rsidRPr="0012618F">
              <w:rPr>
                <w:i/>
                <w:sz w:val="20"/>
              </w:rPr>
              <w:t xml:space="preserve">Preliminary </w:t>
            </w:r>
            <w:r w:rsidRPr="0012618F">
              <w:rPr>
                <w:i/>
                <w:iCs/>
                <w:sz w:val="20"/>
              </w:rPr>
              <w:t>Load by TDSP for 4-CP Load Ratio Share</w:t>
            </w:r>
            <w:r w:rsidRPr="0012618F">
              <w:rPr>
                <w:iCs/>
                <w:sz w:val="20"/>
              </w:rPr>
              <w:t xml:space="preserve"> -</w:t>
            </w:r>
            <w:r w:rsidRPr="0012618F">
              <w:rPr>
                <w:i/>
                <w:iCs/>
                <w:sz w:val="20"/>
              </w:rPr>
              <w:t xml:space="preserve"> </w:t>
            </w:r>
            <w:r w:rsidRPr="0012618F">
              <w:rPr>
                <w:iCs/>
                <w:sz w:val="20"/>
              </w:rPr>
              <w:t>The Load Ratio Share (LRS) for each DSP and ELSE coincident to the coincidental MW peak prior to adjusting for NLADJ</w:t>
            </w:r>
          </w:p>
        </w:tc>
      </w:tr>
      <w:tr w:rsidR="00ED35B9" w:rsidRPr="0012618F" w14:paraId="0B38590F" w14:textId="77777777" w:rsidTr="00FF55EB">
        <w:trPr>
          <w:cantSplit/>
        </w:trPr>
        <w:tc>
          <w:tcPr>
            <w:tcW w:w="1104" w:type="pct"/>
          </w:tcPr>
          <w:p w14:paraId="5EE3961D" w14:textId="77777777" w:rsidR="00ED35B9" w:rsidRPr="0012618F" w:rsidRDefault="00ED35B9" w:rsidP="00FF55EB">
            <w:pPr>
              <w:spacing w:after="60"/>
              <w:rPr>
                <w:iCs/>
                <w:sz w:val="20"/>
              </w:rPr>
            </w:pPr>
            <w:r w:rsidRPr="0012618F">
              <w:rPr>
                <w:sz w:val="20"/>
              </w:rPr>
              <w:t>NLADJ</w:t>
            </w:r>
          </w:p>
        </w:tc>
        <w:tc>
          <w:tcPr>
            <w:tcW w:w="432" w:type="pct"/>
          </w:tcPr>
          <w:p w14:paraId="5C02C461" w14:textId="77777777" w:rsidR="00ED35B9" w:rsidRPr="0012618F" w:rsidRDefault="00ED35B9" w:rsidP="003459E3">
            <w:pPr>
              <w:spacing w:after="60"/>
              <w:rPr>
                <w:iCs/>
                <w:sz w:val="20"/>
              </w:rPr>
            </w:pPr>
            <w:r w:rsidRPr="0012618F">
              <w:rPr>
                <w:iCs/>
                <w:sz w:val="20"/>
              </w:rPr>
              <w:t>MW</w:t>
            </w:r>
            <w:r w:rsidR="003459E3">
              <w:rPr>
                <w:iCs/>
                <w:sz w:val="20"/>
              </w:rPr>
              <w:t>h</w:t>
            </w:r>
          </w:p>
        </w:tc>
        <w:tc>
          <w:tcPr>
            <w:tcW w:w="3464" w:type="pct"/>
          </w:tcPr>
          <w:p w14:paraId="7134A204" w14:textId="77777777" w:rsidR="00ED35B9" w:rsidRPr="0012618F" w:rsidRDefault="00ED35B9" w:rsidP="003459E3">
            <w:pPr>
              <w:tabs>
                <w:tab w:val="left" w:pos="1080"/>
                <w:tab w:val="left" w:pos="5940"/>
                <w:tab w:val="left" w:pos="6300"/>
                <w:tab w:val="left" w:pos="6840"/>
              </w:tabs>
              <w:rPr>
                <w:lang w:val="pt-BR"/>
              </w:rPr>
            </w:pPr>
            <w:r w:rsidRPr="0012618F">
              <w:rPr>
                <w:i/>
                <w:iCs/>
                <w:sz w:val="20"/>
              </w:rPr>
              <w:t>Native Load Adjustment</w:t>
            </w:r>
            <w:r w:rsidRPr="0012618F">
              <w:rPr>
                <w:iCs/>
                <w:sz w:val="20"/>
              </w:rPr>
              <w:t xml:space="preserve"> - The </w:t>
            </w:r>
            <w:r w:rsidRPr="0012618F">
              <w:rPr>
                <w:sz w:val="20"/>
              </w:rPr>
              <w:t>difference between the coincidental MW peak (converted to MWh) and the ERCOT settlement volumes</w:t>
            </w:r>
            <w:r>
              <w:rPr>
                <w:sz w:val="20"/>
              </w:rPr>
              <w:t>,</w:t>
            </w:r>
            <w:r w:rsidRPr="0012618F">
              <w:rPr>
                <w:sz w:val="20"/>
              </w:rPr>
              <w:t xml:space="preserve"> excluding DC Tie exports, </w:t>
            </w:r>
            <w:r w:rsidRPr="0012618F">
              <w:rPr>
                <w:color w:val="000000"/>
                <w:sz w:val="20"/>
              </w:rPr>
              <w:t>BLTs to ERCOT from another Control Area that are not reflected in a NOIE’s Load, and WSL</w:t>
            </w:r>
          </w:p>
        </w:tc>
      </w:tr>
      <w:tr w:rsidR="00ED35B9" w:rsidRPr="0012618F" w14:paraId="57E8AAEF" w14:textId="77777777" w:rsidTr="00FF55EB">
        <w:trPr>
          <w:cantSplit/>
        </w:trPr>
        <w:tc>
          <w:tcPr>
            <w:tcW w:w="1104" w:type="pct"/>
          </w:tcPr>
          <w:p w14:paraId="0BBD539E" w14:textId="77777777" w:rsidR="00ED35B9" w:rsidRPr="0012618F" w:rsidRDefault="00ED35B9" w:rsidP="00FF55EB">
            <w:pPr>
              <w:spacing w:after="60"/>
              <w:rPr>
                <w:sz w:val="20"/>
              </w:rPr>
            </w:pPr>
            <w:r w:rsidRPr="0012618F">
              <w:rPr>
                <w:sz w:val="20"/>
              </w:rPr>
              <w:t>PLTDSP4CP</w:t>
            </w:r>
            <w:r>
              <w:rPr>
                <w:sz w:val="20"/>
              </w:rPr>
              <w:t xml:space="preserve"> </w:t>
            </w:r>
            <w:r w:rsidRPr="0012618F">
              <w:rPr>
                <w:i/>
                <w:sz w:val="20"/>
                <w:vertAlign w:val="subscript"/>
              </w:rPr>
              <w:t>tdsp</w:t>
            </w:r>
          </w:p>
        </w:tc>
        <w:tc>
          <w:tcPr>
            <w:tcW w:w="432" w:type="pct"/>
          </w:tcPr>
          <w:p w14:paraId="793D8C97" w14:textId="77777777" w:rsidR="00ED35B9" w:rsidRPr="0012618F" w:rsidRDefault="00ED35B9" w:rsidP="003459E3">
            <w:pPr>
              <w:spacing w:after="60"/>
              <w:rPr>
                <w:iCs/>
                <w:sz w:val="20"/>
              </w:rPr>
            </w:pPr>
            <w:r w:rsidRPr="0012618F">
              <w:rPr>
                <w:iCs/>
                <w:sz w:val="20"/>
              </w:rPr>
              <w:t>MW</w:t>
            </w:r>
            <w:r w:rsidR="003459E3">
              <w:rPr>
                <w:iCs/>
                <w:sz w:val="20"/>
              </w:rPr>
              <w:t>h</w:t>
            </w:r>
          </w:p>
        </w:tc>
        <w:tc>
          <w:tcPr>
            <w:tcW w:w="3464" w:type="pct"/>
          </w:tcPr>
          <w:p w14:paraId="494785E6" w14:textId="77777777" w:rsidR="00ED35B9" w:rsidRPr="0012618F" w:rsidRDefault="00ED35B9" w:rsidP="00FF55EB">
            <w:pPr>
              <w:spacing w:after="60"/>
              <w:rPr>
                <w:sz w:val="20"/>
              </w:rPr>
            </w:pPr>
            <w:r w:rsidRPr="0012618F">
              <w:rPr>
                <w:i/>
                <w:sz w:val="20"/>
              </w:rPr>
              <w:t xml:space="preserve">Preliminary </w:t>
            </w:r>
            <w:r w:rsidRPr="0012618F">
              <w:rPr>
                <w:i/>
                <w:iCs/>
                <w:sz w:val="20"/>
              </w:rPr>
              <w:t>Load by TDSP for 4CP</w:t>
            </w:r>
            <w:r w:rsidRPr="0012618F">
              <w:rPr>
                <w:iCs/>
                <w:sz w:val="20"/>
              </w:rPr>
              <w:t xml:space="preserve"> -</w:t>
            </w:r>
            <w:r w:rsidRPr="0012618F">
              <w:rPr>
                <w:i/>
                <w:iCs/>
                <w:sz w:val="20"/>
              </w:rPr>
              <w:t xml:space="preserve"> </w:t>
            </w:r>
            <w:r w:rsidRPr="0012618F">
              <w:rPr>
                <w:iCs/>
                <w:sz w:val="20"/>
              </w:rPr>
              <w:t>The Load for each DSP and ELSE coincident to the coincidental MW peak prior to adjusting for NLADJ</w:t>
            </w:r>
          </w:p>
        </w:tc>
      </w:tr>
      <w:tr w:rsidR="00ED35B9" w:rsidRPr="0012618F" w14:paraId="69576E38" w14:textId="77777777" w:rsidTr="00FF55EB">
        <w:trPr>
          <w:cantSplit/>
        </w:trPr>
        <w:tc>
          <w:tcPr>
            <w:tcW w:w="1104" w:type="pct"/>
          </w:tcPr>
          <w:p w14:paraId="13F27FA0" w14:textId="77777777" w:rsidR="00ED35B9" w:rsidRPr="0012618F" w:rsidRDefault="00ED35B9" w:rsidP="00FF55EB">
            <w:pPr>
              <w:spacing w:after="60"/>
              <w:rPr>
                <w:sz w:val="20"/>
              </w:rPr>
            </w:pPr>
            <w:r w:rsidRPr="0012618F">
              <w:rPr>
                <w:i/>
                <w:sz w:val="20"/>
              </w:rPr>
              <w:t>tdsp</w:t>
            </w:r>
          </w:p>
        </w:tc>
        <w:tc>
          <w:tcPr>
            <w:tcW w:w="432" w:type="pct"/>
          </w:tcPr>
          <w:p w14:paraId="5916C6B6" w14:textId="77777777" w:rsidR="00ED35B9" w:rsidRPr="0012618F" w:rsidRDefault="00ED35B9" w:rsidP="00FF55EB">
            <w:pPr>
              <w:spacing w:after="60"/>
              <w:rPr>
                <w:sz w:val="20"/>
              </w:rPr>
            </w:pPr>
            <w:r w:rsidRPr="0012618F">
              <w:rPr>
                <w:sz w:val="20"/>
              </w:rPr>
              <w:t>None</w:t>
            </w:r>
          </w:p>
        </w:tc>
        <w:tc>
          <w:tcPr>
            <w:tcW w:w="3464" w:type="pct"/>
          </w:tcPr>
          <w:p w14:paraId="59D206B0" w14:textId="77777777" w:rsidR="00ED35B9" w:rsidRPr="0012618F" w:rsidRDefault="00ED35B9" w:rsidP="00FF55EB">
            <w:pPr>
              <w:spacing w:after="60"/>
              <w:rPr>
                <w:i/>
                <w:sz w:val="20"/>
              </w:rPr>
            </w:pPr>
            <w:r w:rsidRPr="0012618F">
              <w:rPr>
                <w:sz w:val="20"/>
              </w:rPr>
              <w:t>A DSP or ELSE</w:t>
            </w:r>
          </w:p>
        </w:tc>
      </w:tr>
    </w:tbl>
    <w:p w14:paraId="5A2C43D7" w14:textId="77777777" w:rsidR="002F5868" w:rsidRPr="008910B8" w:rsidRDefault="00DD1AC6" w:rsidP="00C10591">
      <w:pPr>
        <w:pStyle w:val="H3"/>
        <w:spacing w:before="480"/>
        <w:rPr>
          <w:b/>
          <w:i/>
        </w:rPr>
      </w:pPr>
      <w:bookmarkStart w:id="511" w:name="_Toc80175318"/>
      <w:r w:rsidRPr="008910B8">
        <w:rPr>
          <w:b/>
          <w:i/>
        </w:rPr>
        <w:lastRenderedPageBreak/>
        <w:t>9.17.2</w:t>
      </w:r>
      <w:r w:rsidRPr="008910B8">
        <w:rPr>
          <w:b/>
          <w:i/>
        </w:rPr>
        <w:tab/>
        <w:t>Direct Current Tie Schedule Information</w:t>
      </w:r>
      <w:bookmarkEnd w:id="506"/>
      <w:bookmarkEnd w:id="507"/>
      <w:bookmarkEnd w:id="508"/>
      <w:bookmarkEnd w:id="509"/>
      <w:bookmarkEnd w:id="510"/>
      <w:bookmarkEnd w:id="511"/>
    </w:p>
    <w:p w14:paraId="6F3385B7" w14:textId="77777777" w:rsidR="002F5868" w:rsidRDefault="00DD1AC6">
      <w:pPr>
        <w:pStyle w:val="BodyTextNumbered"/>
      </w:pPr>
      <w:r>
        <w:t>(1)</w:t>
      </w:r>
      <w:r>
        <w:tab/>
      </w:r>
      <w:r w:rsidR="00E51290">
        <w:t>Within ten Business Days of receipt of a request by a TSP or DSP for data pertaining to transactions over the DC Ties for the immediately preceding month</w:t>
      </w:r>
      <w:r>
        <w:t xml:space="preserve">, ERCOT shall provide the following </w:t>
      </w:r>
      <w:r w:rsidR="00E75557">
        <w:t>Electronic T</w:t>
      </w:r>
      <w:r>
        <w:t>ag</w:t>
      </w:r>
      <w:r w:rsidR="00E75557">
        <w:t xml:space="preserve"> (e-Tag)</w:t>
      </w:r>
      <w:r>
        <w:t xml:space="preserve"> data:</w:t>
      </w:r>
    </w:p>
    <w:p w14:paraId="269DABED" w14:textId="77777777" w:rsidR="002F5868" w:rsidRDefault="00DD1AC6">
      <w:pPr>
        <w:pStyle w:val="List"/>
      </w:pPr>
      <w:r>
        <w:t>(a)</w:t>
      </w:r>
      <w:r>
        <w:tab/>
        <w:t>Tagging identifier (Tag Code);</w:t>
      </w:r>
    </w:p>
    <w:p w14:paraId="09D9730D" w14:textId="77777777" w:rsidR="002F5868" w:rsidRDefault="00DD1AC6">
      <w:pPr>
        <w:pStyle w:val="List"/>
      </w:pPr>
      <w:r>
        <w:t>(b)</w:t>
      </w:r>
      <w:r>
        <w:tab/>
        <w:t xml:space="preserve">Date of transaction; </w:t>
      </w:r>
    </w:p>
    <w:p w14:paraId="761F65ED" w14:textId="77777777" w:rsidR="002F5868" w:rsidRDefault="00DD1AC6">
      <w:pPr>
        <w:pStyle w:val="List"/>
      </w:pPr>
      <w:r>
        <w:t>(</w:t>
      </w:r>
      <w:r w:rsidR="00E51290">
        <w:t>c</w:t>
      </w:r>
      <w:r>
        <w:t>)</w:t>
      </w:r>
      <w:r>
        <w:tab/>
        <w:t>Megawatt-hours (MWh) actually transferred;</w:t>
      </w:r>
    </w:p>
    <w:p w14:paraId="2D963BBF" w14:textId="77777777" w:rsidR="002F5868" w:rsidRDefault="00DD1AC6">
      <w:pPr>
        <w:pStyle w:val="List"/>
      </w:pPr>
      <w:r>
        <w:t>(</w:t>
      </w:r>
      <w:r w:rsidR="00E51290">
        <w:t>d</w:t>
      </w:r>
      <w:r>
        <w:t>)</w:t>
      </w:r>
      <w:r>
        <w:tab/>
        <w:t>Sending Generation Control Area (GCA);</w:t>
      </w:r>
    </w:p>
    <w:p w14:paraId="777ED198" w14:textId="77777777" w:rsidR="002F5868" w:rsidRDefault="00DD1AC6">
      <w:pPr>
        <w:pStyle w:val="List"/>
      </w:pPr>
      <w:r>
        <w:t>(</w:t>
      </w:r>
      <w:r w:rsidR="00E51290">
        <w:t>e</w:t>
      </w:r>
      <w:r>
        <w:t>)</w:t>
      </w:r>
      <w:r>
        <w:tab/>
        <w:t>Receiving Load Control Area (LCA);</w:t>
      </w:r>
    </w:p>
    <w:p w14:paraId="573BB1CC" w14:textId="77777777" w:rsidR="002F5868" w:rsidRDefault="00DD1AC6">
      <w:pPr>
        <w:pStyle w:val="List"/>
      </w:pPr>
      <w:r>
        <w:t>(</w:t>
      </w:r>
      <w:r w:rsidR="00E51290">
        <w:t>f</w:t>
      </w:r>
      <w:r>
        <w:t>)</w:t>
      </w:r>
      <w:r>
        <w:tab/>
        <w:t>Purchasing / Scheduling Entity (PSE);</w:t>
      </w:r>
    </w:p>
    <w:p w14:paraId="2820C96F" w14:textId="77777777" w:rsidR="002F5868" w:rsidRDefault="00DD1AC6">
      <w:pPr>
        <w:pStyle w:val="List"/>
      </w:pPr>
      <w:r>
        <w:t>(</w:t>
      </w:r>
      <w:r w:rsidR="00E51290">
        <w:t>g</w:t>
      </w:r>
      <w:r>
        <w:t>)</w:t>
      </w:r>
      <w:r>
        <w:tab/>
        <w:t>Entity scheduling the export of power over a DC Tie; and</w:t>
      </w:r>
    </w:p>
    <w:p w14:paraId="0CDC7780" w14:textId="77777777" w:rsidR="002F5868" w:rsidRDefault="00DD1AC6">
      <w:pPr>
        <w:pStyle w:val="List"/>
      </w:pPr>
      <w:r>
        <w:t>(</w:t>
      </w:r>
      <w:r w:rsidR="00E51290">
        <w:t>h</w:t>
      </w:r>
      <w:r>
        <w:t>)</w:t>
      </w:r>
      <w:r>
        <w:tab/>
        <w:t>Status of Transaction (Implement, Withdrawn, Cancelled, Conditional, etc.).</w:t>
      </w:r>
    </w:p>
    <w:p w14:paraId="00E12A9E" w14:textId="77777777" w:rsidR="002F5868" w:rsidRDefault="00DD1AC6">
      <w:pPr>
        <w:pStyle w:val="BodyTextNumbered"/>
      </w:pPr>
      <w:r>
        <w:t>(2)</w:t>
      </w:r>
      <w:r>
        <w:tab/>
        <w:t xml:space="preserve">ERCOT shall maintain and provide the requesting </w:t>
      </w:r>
      <w:smartTag w:uri="urn:schemas-microsoft-com:office:smarttags" w:element="stockticker">
        <w:r>
          <w:t>TSP</w:t>
        </w:r>
      </w:smartTag>
      <w:r>
        <w:t xml:space="preserve"> or DSP data pertaining to transactions over the DC Ties for the period from June 2001 to the present.  For each transaction, the same data as specified in paragraph (1) above, must be provided.</w:t>
      </w:r>
    </w:p>
    <w:p w14:paraId="592C9CF4" w14:textId="77777777" w:rsidR="002F5868" w:rsidRDefault="00DD1AC6">
      <w:pPr>
        <w:pStyle w:val="H2"/>
      </w:pPr>
      <w:bookmarkStart w:id="512" w:name="_Toc309731109"/>
      <w:bookmarkStart w:id="513" w:name="_Toc405814083"/>
      <w:bookmarkStart w:id="514" w:name="_Toc422207974"/>
      <w:bookmarkStart w:id="515" w:name="_Toc438044885"/>
      <w:bookmarkStart w:id="516" w:name="_Toc447622668"/>
      <w:bookmarkStart w:id="517" w:name="_Toc80175319"/>
      <w:r>
        <w:t>9.18</w:t>
      </w:r>
      <w:r>
        <w:tab/>
        <w:t>Profile Development Cost Recovery Fee for Non-ERCOT Sponsored Load Profile Segment</w:t>
      </w:r>
      <w:bookmarkEnd w:id="512"/>
      <w:bookmarkEnd w:id="513"/>
      <w:bookmarkEnd w:id="514"/>
      <w:bookmarkEnd w:id="515"/>
      <w:bookmarkEnd w:id="516"/>
      <w:bookmarkEnd w:id="517"/>
    </w:p>
    <w:p w14:paraId="1F8E2744" w14:textId="77777777" w:rsidR="002F5868" w:rsidRDefault="00DD1AC6">
      <w:pPr>
        <w:pStyle w:val="BodyTextNumbered"/>
      </w:pPr>
      <w:r>
        <w:t>(1)</w:t>
      </w:r>
      <w:r>
        <w:tab/>
        <w:t>Paragraph (e)(3) of P.U.C. S</w:t>
      </w:r>
      <w:r w:rsidR="0060131A" w:rsidRPr="0060131A">
        <w:rPr>
          <w:smallCaps/>
        </w:rPr>
        <w:t>ubst</w:t>
      </w:r>
      <w:r>
        <w:t>. R. 25.131</w:t>
      </w:r>
      <w:r w:rsidR="00E559DF">
        <w:t xml:space="preserve">, </w:t>
      </w:r>
      <w:r>
        <w:t>Load Profiling and Load Research</w:t>
      </w:r>
      <w:r w:rsidR="00E559DF">
        <w:t>,</w:t>
      </w:r>
      <w:r>
        <w:t xml:space="preserve"> requires that ERCOT establish and implement a process to collect a fee from any Retail Electric Provider (</w:t>
      </w:r>
      <w:smartTag w:uri="urn:schemas-microsoft-com:office:smarttags" w:element="stockticker">
        <w:r>
          <w:t>REP</w:t>
        </w:r>
      </w:smartTag>
      <w:r>
        <w:t xml:space="preserve">) who seeks to assign customers to a non-ERCOT sponsored profile segment.  The process must include a method for other REPs who use the profile segment to compensate the original requestor of the new profile segment and for ERCOT to notify </w:t>
      </w:r>
      <w:r w:rsidR="00E559DF">
        <w:t>Distribution Service Providers (</w:t>
      </w:r>
      <w:r>
        <w:t>DSPs</w:t>
      </w:r>
      <w:r w:rsidR="00E559DF">
        <w:t>)</w:t>
      </w:r>
      <w:r>
        <w:t xml:space="preserve"> which REPs are authorized to use the new profile segment.  This profile development cost recovery fee is overseen by ERCOT.</w:t>
      </w:r>
    </w:p>
    <w:p w14:paraId="2B852CDA" w14:textId="77777777" w:rsidR="002F5868" w:rsidRDefault="00DD1AC6">
      <w:pPr>
        <w:pStyle w:val="BodyTextNumbered"/>
      </w:pPr>
      <w:r>
        <w:t>(2)</w:t>
      </w:r>
      <w:r>
        <w:tab/>
        <w:t>Within 30 days after a profile segment receives final approval from ERCOT, the requestor shall submit to ERCOT documentation of the costs it incurred in developing the profile segment change request.  All such documentation must be available for review by any Market Participant.  Any costs submitted more than 30 days after approval of the profile segment will not be recoverable.  Recoverable costs must be directly attributable to the creation of the profile segment change request, incurred no earlier than 24 months preceding the original submission date of the profile segment change request, and must be further limited to:</w:t>
      </w:r>
    </w:p>
    <w:p w14:paraId="2F16762C" w14:textId="77777777" w:rsidR="002F5868" w:rsidRDefault="00DD1AC6">
      <w:pPr>
        <w:pStyle w:val="List"/>
      </w:pPr>
      <w:r>
        <w:lastRenderedPageBreak/>
        <w:t>(a)</w:t>
      </w:r>
      <w:r>
        <w:tab/>
        <w:t>Costs for Load research as paid to DSPs or ERCOT, documented by a copy of all DSP or ERCOT Invoices or other evidence of payment, including but not limited to:</w:t>
      </w:r>
    </w:p>
    <w:p w14:paraId="0BC03AB2" w14:textId="77777777" w:rsidR="002F5868" w:rsidRDefault="00DD1AC6">
      <w:pPr>
        <w:pStyle w:val="List2"/>
      </w:pPr>
      <w:r>
        <w:t>(i)</w:t>
      </w:r>
      <w:r>
        <w:tab/>
        <w:t xml:space="preserve">Buying and installing </w:t>
      </w:r>
      <w:r w:rsidR="008E5C98">
        <w:t>Interval Data Recorders (</w:t>
      </w:r>
      <w:smartTag w:uri="urn:schemas-microsoft-com:office:smarttags" w:element="stockticker">
        <w:r>
          <w:t>IDR</w:t>
        </w:r>
        <w:r w:rsidR="008E5C98">
          <w:t>s)</w:t>
        </w:r>
      </w:smartTag>
      <w:r>
        <w:t>;</w:t>
      </w:r>
    </w:p>
    <w:p w14:paraId="689887CB" w14:textId="77777777" w:rsidR="002F5868" w:rsidRDefault="00DD1AC6">
      <w:pPr>
        <w:pStyle w:val="List2"/>
      </w:pPr>
      <w:r>
        <w:t>(ii)</w:t>
      </w:r>
      <w:r>
        <w:tab/>
        <w:t>Installing communication equipment such as phone lines or cell phones; and</w:t>
      </w:r>
    </w:p>
    <w:p w14:paraId="3E9E5B60" w14:textId="77777777" w:rsidR="002F5868" w:rsidRDefault="00DD1AC6">
      <w:pPr>
        <w:pStyle w:val="List2"/>
      </w:pPr>
      <w:r>
        <w:t>(iii)</w:t>
      </w:r>
      <w:r>
        <w:tab/>
        <w:t>Reading the meters and translating the data.</w:t>
      </w:r>
    </w:p>
    <w:p w14:paraId="5C24498A" w14:textId="77777777" w:rsidR="002F5868" w:rsidRDefault="00DD1AC6">
      <w:pPr>
        <w:pStyle w:val="List"/>
      </w:pPr>
      <w:r>
        <w:t>(b)</w:t>
      </w:r>
      <w:r>
        <w:tab/>
        <w:t>Reasonable costs paid to third parties, including a copy of all third-party invoices or other documentary evidence of payment, including:</w:t>
      </w:r>
    </w:p>
    <w:p w14:paraId="772620E6" w14:textId="77777777" w:rsidR="002F5868" w:rsidRDefault="00DD1AC6">
      <w:pPr>
        <w:pStyle w:val="List2"/>
      </w:pPr>
      <w:r>
        <w:t>(i)</w:t>
      </w:r>
      <w:r>
        <w:tab/>
        <w:t>Defining the request, such as identifying population, profile, data, etc.;</w:t>
      </w:r>
    </w:p>
    <w:p w14:paraId="0CC91BBB" w14:textId="77777777" w:rsidR="002F5868" w:rsidRDefault="00DD1AC6">
      <w:pPr>
        <w:pStyle w:val="List2"/>
      </w:pPr>
      <w:r>
        <w:t>(ii)</w:t>
      </w:r>
      <w:r>
        <w:tab/>
        <w:t>Preparing the request, such as collecting and analyzing data and presenting the case; and</w:t>
      </w:r>
    </w:p>
    <w:p w14:paraId="1A39984C" w14:textId="77777777" w:rsidR="002F5868" w:rsidRDefault="00DD1AC6">
      <w:pPr>
        <w:pStyle w:val="List2"/>
      </w:pPr>
      <w:r>
        <w:t>(iii)</w:t>
      </w:r>
      <w:r>
        <w:tab/>
        <w:t>Undertaking the review process such as meeting with ERCOT, Profiling Working Group (</w:t>
      </w:r>
      <w:smartTag w:uri="urn:schemas-microsoft-com:office:smarttags" w:element="stockticker">
        <w:r>
          <w:t>PWG</w:t>
        </w:r>
      </w:smartTag>
      <w:r>
        <w:t xml:space="preserve">), Retail Market Subcommittee (RMS), </w:t>
      </w:r>
      <w:r w:rsidR="009C65F4">
        <w:t>Technical Advisory Committee (</w:t>
      </w:r>
      <w:smartTag w:uri="urn:schemas-microsoft-com:office:smarttags" w:element="stockticker">
        <w:r>
          <w:t>TAC</w:t>
        </w:r>
        <w:r w:rsidR="009C65F4">
          <w:t>)</w:t>
        </w:r>
      </w:smartTag>
      <w:r>
        <w:t>, and the ERCOT Board.</w:t>
      </w:r>
    </w:p>
    <w:p w14:paraId="2E945A67" w14:textId="77777777" w:rsidR="002F5868" w:rsidRDefault="00DD1AC6">
      <w:pPr>
        <w:pStyle w:val="List"/>
      </w:pPr>
      <w:r>
        <w:t>(c)</w:t>
      </w:r>
      <w:r>
        <w:tab/>
        <w:t>Requestor’s reasonable internal documented costs itemizing all persons, hours, and other expenses associated with developing the request per paragraphs (1) and (2) above.</w:t>
      </w:r>
    </w:p>
    <w:p w14:paraId="0C5CDD24" w14:textId="7D06ED38" w:rsidR="002F5868" w:rsidRDefault="00DD1AC6">
      <w:pPr>
        <w:pStyle w:val="BodyTextNumbered"/>
      </w:pPr>
      <w:r>
        <w:t>(3)</w:t>
      </w:r>
      <w:r>
        <w:tab/>
        <w:t xml:space="preserve">Within 60 days after ERCOT approves a profile segment, ERCOT shall evaluate the costs submitted and shall disallow any costs not meeting these criteria.  The remaining costs must comprise the total reimbursable cost.  Within the same 60-day period, ERCOT shall post a report on the </w:t>
      </w:r>
      <w:r w:rsidR="004B2A63">
        <w:rPr>
          <w:iCs/>
        </w:rPr>
        <w:t>ERCOT website</w:t>
      </w:r>
      <w:r>
        <w:t xml:space="preserve"> summarizing the allowed expenses by paragraphs (1) and (2) above.  If a Market Participant, including the requestor, disagrees with the ERCOT determination with respect to the total reimbursable cost, the Market Participant may submit a dispute as outlined in Section 20</w:t>
      </w:r>
      <w:r w:rsidR="008E5C98">
        <w:t>, Alternative Dispute Resolution Procedure</w:t>
      </w:r>
      <w:r w:rsidR="0064455F">
        <w:t xml:space="preserve"> and Procedure for Return of Settlement Funds</w:t>
      </w:r>
      <w:r>
        <w:t xml:space="preserve">.  No disputes may be submitted after 45 days from posting of the total reimbursable cost to the </w:t>
      </w:r>
      <w:r w:rsidR="004B2A63">
        <w:rPr>
          <w:iCs/>
        </w:rPr>
        <w:t>ERCOT website</w:t>
      </w:r>
      <w:r>
        <w:t xml:space="preserve">. </w:t>
      </w:r>
    </w:p>
    <w:p w14:paraId="619C58A3" w14:textId="77777777" w:rsidR="002F5868" w:rsidRDefault="00DD1AC6">
      <w:pPr>
        <w:pStyle w:val="BodyTextNumbered"/>
      </w:pPr>
      <w:r>
        <w:t>(4)</w:t>
      </w:r>
      <w:r>
        <w:tab/>
        <w:t>The fee is calculated as follows:</w:t>
      </w:r>
    </w:p>
    <w:p w14:paraId="460145A6" w14:textId="77777777" w:rsidR="002F5868" w:rsidRDefault="00DD1AC6">
      <w:pPr>
        <w:pStyle w:val="Formula"/>
      </w:pPr>
      <w:r>
        <w:t xml:space="preserve">If a </w:t>
      </w:r>
      <w:smartTag w:uri="urn:schemas-microsoft-com:office:smarttags" w:element="stockticker">
        <w:r>
          <w:t>REP</w:t>
        </w:r>
      </w:smartTag>
      <w:r>
        <w:t xml:space="preserve"> is the requestor, then:  FEE = $C / n</w:t>
      </w:r>
    </w:p>
    <w:p w14:paraId="39D9C261" w14:textId="77777777" w:rsidR="002F5868" w:rsidRDefault="00DD1AC6">
      <w:pPr>
        <w:pStyle w:val="Formula"/>
      </w:pPr>
      <w:r>
        <w:t xml:space="preserve">If the requestor is not a </w:t>
      </w:r>
      <w:smartTag w:uri="urn:schemas-microsoft-com:office:smarttags" w:element="stockticker">
        <w:r>
          <w:t>REP</w:t>
        </w:r>
      </w:smartTag>
      <w:r>
        <w:t>, then:</w:t>
      </w:r>
    </w:p>
    <w:p w14:paraId="7202CB3E" w14:textId="77777777" w:rsidR="002F5868" w:rsidRDefault="00DD1AC6">
      <w:pPr>
        <w:pStyle w:val="Formula"/>
      </w:pPr>
      <w:r>
        <w:t>FEE = $C / (n + 1)</w:t>
      </w:r>
    </w:p>
    <w:p w14:paraId="703BF8B7" w14:textId="77777777" w:rsidR="002F5868" w:rsidRDefault="00DD1AC6" w:rsidP="000035E6">
      <w:pPr>
        <w:pStyle w:val="BodyText"/>
        <w:spacing w:after="0"/>
      </w:pPr>
      <w:r>
        <w:t>The above variables are defined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0"/>
        <w:gridCol w:w="4680"/>
      </w:tblGrid>
      <w:tr w:rsidR="002F5868" w14:paraId="3E987E13" w14:textId="77777777">
        <w:tc>
          <w:tcPr>
            <w:tcW w:w="4788" w:type="dxa"/>
          </w:tcPr>
          <w:p w14:paraId="47C17399" w14:textId="77777777" w:rsidR="002F5868" w:rsidRDefault="00DD1AC6">
            <w:pPr>
              <w:pStyle w:val="TableHead"/>
            </w:pPr>
            <w:r>
              <w:t>Variable</w:t>
            </w:r>
          </w:p>
        </w:tc>
        <w:tc>
          <w:tcPr>
            <w:tcW w:w="4788" w:type="dxa"/>
          </w:tcPr>
          <w:p w14:paraId="637C9CCE" w14:textId="77777777" w:rsidR="002F5868" w:rsidRDefault="00DD1AC6">
            <w:pPr>
              <w:pStyle w:val="TableHead"/>
            </w:pPr>
            <w:r>
              <w:t>Definition</w:t>
            </w:r>
          </w:p>
        </w:tc>
      </w:tr>
      <w:tr w:rsidR="002F5868" w14:paraId="12738FB8" w14:textId="77777777">
        <w:tc>
          <w:tcPr>
            <w:tcW w:w="4788" w:type="dxa"/>
          </w:tcPr>
          <w:p w14:paraId="7B2986AD" w14:textId="77777777" w:rsidR="002F5868" w:rsidRDefault="008E5C98">
            <w:pPr>
              <w:pStyle w:val="TableBody"/>
            </w:pPr>
            <w:r>
              <w:t>n</w:t>
            </w:r>
          </w:p>
        </w:tc>
        <w:tc>
          <w:tcPr>
            <w:tcW w:w="4788" w:type="dxa"/>
          </w:tcPr>
          <w:p w14:paraId="03208AA5" w14:textId="77777777" w:rsidR="002F5868" w:rsidRDefault="00DD1AC6">
            <w:pPr>
              <w:pStyle w:val="TableBody"/>
            </w:pPr>
            <w:r>
              <w:t>The number of REPs subscribing to the profile segment</w:t>
            </w:r>
          </w:p>
        </w:tc>
      </w:tr>
      <w:tr w:rsidR="002F5868" w14:paraId="444F59CC" w14:textId="77777777">
        <w:tc>
          <w:tcPr>
            <w:tcW w:w="4788" w:type="dxa"/>
          </w:tcPr>
          <w:p w14:paraId="765D4D06" w14:textId="77777777" w:rsidR="002F5868" w:rsidRDefault="00DD1AC6">
            <w:pPr>
              <w:pStyle w:val="TableBody"/>
            </w:pPr>
            <w:r>
              <w:lastRenderedPageBreak/>
              <w:t>$C</w:t>
            </w:r>
          </w:p>
        </w:tc>
        <w:tc>
          <w:tcPr>
            <w:tcW w:w="4788" w:type="dxa"/>
          </w:tcPr>
          <w:p w14:paraId="7460E573" w14:textId="77777777" w:rsidR="002F5868" w:rsidRDefault="00DD1AC6">
            <w:pPr>
              <w:pStyle w:val="TableBody"/>
            </w:pPr>
            <w:r>
              <w:t>The total reimbursable cost</w:t>
            </w:r>
          </w:p>
        </w:tc>
      </w:tr>
    </w:tbl>
    <w:p w14:paraId="3334CC0A" w14:textId="77777777" w:rsidR="002F5868" w:rsidRDefault="00DD1AC6" w:rsidP="000035E6">
      <w:pPr>
        <w:pStyle w:val="BodyTextNumbered"/>
        <w:spacing w:before="240"/>
      </w:pPr>
      <w:r>
        <w:t>(5)</w:t>
      </w:r>
      <w:r>
        <w:tab/>
        <w:t xml:space="preserve">The fee must be paid by each successive subscribing </w:t>
      </w:r>
      <w:smartTag w:uri="urn:schemas-microsoft-com:office:smarttags" w:element="stockticker">
        <w:r>
          <w:t>REP</w:t>
        </w:r>
      </w:smartTag>
      <w:r>
        <w:t xml:space="preserve"> to the requestor and any previous subscribing REPs per instructions and validation by ERCOT.  As additional REPs subscribe to the profile segment, the fee is recalculated and reallocated equally among all subscribing REPs and the requestor, if the requestor is not a </w:t>
      </w:r>
      <w:smartTag w:uri="urn:schemas-microsoft-com:office:smarttags" w:element="stockticker">
        <w:r>
          <w:t>REP</w:t>
        </w:r>
      </w:smartTag>
      <w:r>
        <w:t>.</w:t>
      </w:r>
    </w:p>
    <w:p w14:paraId="0B8468D0" w14:textId="77777777" w:rsidR="002F5868" w:rsidRDefault="00DD1AC6">
      <w:pPr>
        <w:pStyle w:val="BodyTextNumbered"/>
      </w:pPr>
      <w:r>
        <w:t>(6)</w:t>
      </w:r>
      <w:r>
        <w:tab/>
        <w:t xml:space="preserve">Beginning four years after the date on which the profile segment becomes available for </w:t>
      </w:r>
      <w:r w:rsidR="008E5C98">
        <w:t>S</w:t>
      </w:r>
      <w:r>
        <w:t xml:space="preserve">ettlement, any </w:t>
      </w:r>
      <w:smartTag w:uri="urn:schemas-microsoft-com:office:smarttags" w:element="stockticker">
        <w:r>
          <w:t>REP</w:t>
        </w:r>
      </w:smartTag>
      <w:r>
        <w:t xml:space="preserve"> may request assignment of </w:t>
      </w:r>
      <w:r w:rsidR="00234DC8">
        <w:t>Electric Service</w:t>
      </w:r>
      <w:r w:rsidR="009C65F4">
        <w:t xml:space="preserve"> Identifiers (</w:t>
      </w:r>
      <w:smartTag w:uri="urn:schemas-microsoft-com:office:smarttags" w:element="stockticker">
        <w:r>
          <w:t>ESI</w:t>
        </w:r>
      </w:smartTag>
      <w:r>
        <w:t xml:space="preserve"> IDs</w:t>
      </w:r>
      <w:r w:rsidR="009C65F4">
        <w:t>)</w:t>
      </w:r>
      <w:r>
        <w:t xml:space="preserve"> to the profile segment without being assessed the profile development cost recovery fee.</w:t>
      </w:r>
    </w:p>
    <w:p w14:paraId="71B5AA7B" w14:textId="77777777" w:rsidR="00082CB5" w:rsidRPr="00A06E01" w:rsidRDefault="00082CB5" w:rsidP="00082CB5">
      <w:pPr>
        <w:pStyle w:val="H2"/>
        <w:rPr>
          <w:lang w:val="en-US" w:eastAsia="en-US"/>
        </w:rPr>
      </w:pPr>
      <w:bookmarkStart w:id="518" w:name="_Toc405814084"/>
      <w:bookmarkStart w:id="519" w:name="_Toc422207975"/>
      <w:bookmarkStart w:id="520" w:name="_Toc438044886"/>
      <w:bookmarkStart w:id="521" w:name="_Toc447622669"/>
      <w:bookmarkStart w:id="522" w:name="_Toc80175320"/>
      <w:r w:rsidRPr="00A06E01">
        <w:rPr>
          <w:lang w:val="en-US" w:eastAsia="en-US"/>
        </w:rPr>
        <w:t>9.19</w:t>
      </w:r>
      <w:r w:rsidRPr="00A06E01">
        <w:rPr>
          <w:lang w:val="en-US" w:eastAsia="en-US"/>
        </w:rPr>
        <w:tab/>
        <w:t>Partial Payments by Invoice Recipients</w:t>
      </w:r>
      <w:bookmarkEnd w:id="518"/>
      <w:bookmarkEnd w:id="519"/>
      <w:bookmarkEnd w:id="520"/>
      <w:bookmarkEnd w:id="521"/>
      <w:bookmarkEnd w:id="522"/>
    </w:p>
    <w:p w14:paraId="615A365B" w14:textId="77777777" w:rsidR="00082CB5" w:rsidRDefault="00AF146B" w:rsidP="00C342E1">
      <w:pPr>
        <w:pStyle w:val="BodyTextNumbered"/>
      </w:pPr>
      <w:r>
        <w:t>(1)</w:t>
      </w:r>
      <w:r>
        <w:tab/>
      </w:r>
      <w:r w:rsidR="00082CB5">
        <w:t>If at least one Invoice Recipient owing funds does not pay its Settlement Invoice in full (short-pay), ERCOT shall follow the procedure set forth below:</w:t>
      </w:r>
    </w:p>
    <w:p w14:paraId="5CE41CB2" w14:textId="77777777" w:rsidR="00082CB5" w:rsidRDefault="00082CB5" w:rsidP="00082CB5">
      <w:pPr>
        <w:pStyle w:val="List"/>
      </w:pPr>
      <w:r>
        <w:t>(a)</w:t>
      </w:r>
      <w:r>
        <w:tab/>
        <w:t xml:space="preserve">ERCOT shall make every reasonable attempt to collect payment from each short-paying Invoice Recipient prior to four hours preceding the close of the Bank Business Day Central Prevailing Time (CPT) on the day that payments by ERCOT are due to be paid to applicable Invoice Recipient(s). </w:t>
      </w:r>
    </w:p>
    <w:p w14:paraId="362DB820" w14:textId="64B8AFC5" w:rsidR="00082CB5" w:rsidRDefault="00082CB5" w:rsidP="00082CB5">
      <w:pPr>
        <w:pStyle w:val="BodyText"/>
        <w:ind w:left="1440" w:hanging="720"/>
      </w:pPr>
      <w:r>
        <w:t>(b)</w:t>
      </w:r>
      <w:r>
        <w:tab/>
      </w:r>
      <w:r w:rsidR="00E82827">
        <w:t xml:space="preserve">ERCOT shall draw on any available Financial Security pledged to ERCOT by each short-paying Invoice Recipient that did not pay the amount due under paragraph (a) above.  If the amount of any such draw is greater than the amount of </w:t>
      </w:r>
      <w:r w:rsidR="00E82827" w:rsidRPr="00BF0D35">
        <w:t>the short-paying Invoice Recipient’s</w:t>
      </w:r>
      <w:r w:rsidR="00E82827">
        <w:t xml:space="preserve"> cash collateral held in excess of that required to cover its Total Potential Exposure (TPE) (“Excess Collateral”), then a draw on available security for a short-paying Invoice Recipient shall be considered a Late Payment for purposes of Section 16.11.6, Payment Breach and Late Payments by Market Participants.  ERCOT may, in its sole discretion, hold up to 5% of Financial Security of each short-paying Invoice Recipient and use those funds to pay subsequent Settlement Invoices as they become due.  Any funds still held will be applied to unpaid Invoices in conjunction with the default uplift process outlined in</w:t>
      </w:r>
      <w:r w:rsidR="00E82827" w:rsidRPr="00CC0548">
        <w:t xml:space="preserve"> </w:t>
      </w:r>
      <w:r w:rsidR="00E82827" w:rsidRPr="001D737A">
        <w:t>Section 9.19.1</w:t>
      </w:r>
      <w:r w:rsidR="00E82827">
        <w:t>, Default Uplift Invoices.</w:t>
      </w:r>
    </w:p>
    <w:p w14:paraId="583409B0" w14:textId="481094EE" w:rsidR="00082CB5" w:rsidRDefault="00082CB5" w:rsidP="00F55173">
      <w:pPr>
        <w:pStyle w:val="BodyText"/>
        <w:ind w:left="1440" w:hanging="720"/>
      </w:pPr>
      <w:r>
        <w:t>(c)</w:t>
      </w:r>
      <w:r>
        <w:tab/>
        <w:t xml:space="preserve">ERCOT shall offset or recoup any amounts owed, or to be owed, by ERCOT to a short-paying Invoice Recipient against amounts not paid by that Invoice Recipient, and ERCOT shall apply the amount offset or recouped to cover short pays by that Invoice Recipient.  ERCOT may, in its sole discretion, hold credit Invoices and use those funds to pay subsequent Settlement Invoices as they become due.  Any funds still held will be offset or recouped against unpaid Invoices in conjunction with the default uplift process outlined in Section </w:t>
      </w:r>
      <w:r w:rsidRPr="001D737A">
        <w:t>9.19.1</w:t>
      </w:r>
      <w:r>
        <w:t>.</w:t>
      </w:r>
    </w:p>
    <w:p w14:paraId="5F648C69" w14:textId="77777777" w:rsidR="00082CB5" w:rsidRPr="00A06E01" w:rsidRDefault="00082CB5" w:rsidP="00082CB5">
      <w:pPr>
        <w:pStyle w:val="Instructions"/>
        <w:ind w:left="1440" w:hanging="720"/>
        <w:rPr>
          <w:b w:val="0"/>
          <w:i w:val="0"/>
          <w:lang w:val="en-US" w:eastAsia="en-US"/>
        </w:rPr>
      </w:pPr>
      <w:r w:rsidRPr="00A06E01">
        <w:rPr>
          <w:b w:val="0"/>
          <w:i w:val="0"/>
          <w:lang w:val="en-US" w:eastAsia="en-US"/>
        </w:rPr>
        <w:t>(d)</w:t>
      </w:r>
      <w:r w:rsidRPr="00A06E01">
        <w:rPr>
          <w:b w:val="0"/>
          <w:i w:val="0"/>
          <w:lang w:val="en-US" w:eastAsia="en-US"/>
        </w:rPr>
        <w:tab/>
        <w:t xml:space="preserve">If, after taking the actions set forth in paragraphs (a), (b) and (c) above, ERCOT still does not have sufficient funds to pay all amounts that it owes to Settlement Invoice Recipients in full, ERCOT shall deduct any applicable administrative fees as specified in Section 9.16, </w:t>
      </w:r>
      <w:r w:rsidR="00505105">
        <w:rPr>
          <w:b w:val="0"/>
          <w:i w:val="0"/>
          <w:lang w:val="en-US" w:eastAsia="en-US"/>
        </w:rPr>
        <w:t xml:space="preserve">ERCOT System Administration and User </w:t>
      </w:r>
      <w:r w:rsidRPr="00A06E01">
        <w:rPr>
          <w:b w:val="0"/>
          <w:i w:val="0"/>
          <w:lang w:val="en-US" w:eastAsia="en-US"/>
        </w:rPr>
        <w:t xml:space="preserve">Fees, payments for Reliability Must-Run (RMR) Services, and the </w:t>
      </w:r>
      <w:r w:rsidR="00246FD3">
        <w:rPr>
          <w:b w:val="0"/>
          <w:i w:val="0"/>
          <w:lang w:val="en-US" w:eastAsia="en-US"/>
        </w:rPr>
        <w:t xml:space="preserve">Congestion Revenue </w:t>
      </w:r>
      <w:r w:rsidR="00246FD3">
        <w:rPr>
          <w:b w:val="0"/>
          <w:i w:val="0"/>
          <w:lang w:val="en-US" w:eastAsia="en-US"/>
        </w:rPr>
        <w:lastRenderedPageBreak/>
        <w:t>Right (</w:t>
      </w:r>
      <w:r w:rsidRPr="00A06E01">
        <w:rPr>
          <w:b w:val="0"/>
          <w:i w:val="0"/>
          <w:lang w:val="en-US" w:eastAsia="en-US"/>
        </w:rPr>
        <w:t>CRR</w:t>
      </w:r>
      <w:r w:rsidR="00246FD3">
        <w:rPr>
          <w:b w:val="0"/>
          <w:i w:val="0"/>
          <w:lang w:val="en-US" w:eastAsia="en-US"/>
        </w:rPr>
        <w:t>)</w:t>
      </w:r>
      <w:r w:rsidRPr="00A06E01">
        <w:rPr>
          <w:b w:val="0"/>
          <w:i w:val="0"/>
          <w:lang w:val="en-US" w:eastAsia="en-US"/>
        </w:rPr>
        <w:t xml:space="preserve"> Balancing Account</w:t>
      </w:r>
      <w:r w:rsidR="00AF146B">
        <w:rPr>
          <w:b w:val="0"/>
          <w:i w:val="0"/>
          <w:lang w:val="en-US" w:eastAsia="en-US"/>
        </w:rPr>
        <w:t xml:space="preserve"> (CRRBA)</w:t>
      </w:r>
      <w:r w:rsidRPr="00A06E01">
        <w:rPr>
          <w:b w:val="0"/>
          <w:i w:val="0"/>
          <w:lang w:val="en-US" w:eastAsia="en-US"/>
        </w:rPr>
        <w:t xml:space="preserve"> from the amount received or collected and then reduce payments to all Settlement Invoice Recipients owed monies from ERCOT.  The reductions must be based on a pro rata basis of monies owed to each Settlement Invoice Recipient, to the extent necessary to clear ERCOT’s accounts on the payment due date to achieve revenue neutrality for ERCOT.  ERCOT shall provide to all Market Participants payment details on all short pays and subsequent reimbursements of short pays.  Details must include the identity of each short-paying Invoice Recipient and the dollar amount attributable to that Invoice Recipient, broken down by Invoice numbers.  In addition, ERCOT shall provide the aggregate total of all amounts due to all Invoice Recipients before applying the amount not paid on the Settlement Invoice.</w:t>
      </w:r>
    </w:p>
    <w:p w14:paraId="2F6B926E" w14:textId="77777777" w:rsidR="00082CB5" w:rsidRDefault="00082CB5" w:rsidP="008C0CC8">
      <w:pPr>
        <w:pStyle w:val="List"/>
      </w:pPr>
      <w:r>
        <w:t>(e)</w:t>
      </w:r>
      <w:r>
        <w:tab/>
        <w:t xml:space="preserve">If sufficient funds continue to be unavailable for ERCOT to pay all amounts in full to short-paid Entities for that Settlement Invoice and the short-paying Entity is not complying with a payment plan designed to enable ERCOT to pay all amounts in full to short-paid Entities, ERCOT shall uplift short-paid amounts through the Default Uplift process described below in Section </w:t>
      </w:r>
      <w:r w:rsidRPr="00A761CE">
        <w:t>9.19.1</w:t>
      </w:r>
      <w:r>
        <w:t xml:space="preserve"> and Section </w:t>
      </w:r>
      <w:r w:rsidRPr="00A761CE">
        <w:t>9.19.2</w:t>
      </w:r>
      <w:r>
        <w:t>, Payment Process for Default Uplift Invoices.</w:t>
      </w:r>
    </w:p>
    <w:p w14:paraId="4CDD4A38" w14:textId="77777777" w:rsidR="00082CB5" w:rsidRDefault="00082CB5" w:rsidP="00082CB5">
      <w:pPr>
        <w:pStyle w:val="List"/>
      </w:pPr>
      <w:r w:rsidRPr="00A761CE">
        <w:t>(</w:t>
      </w:r>
      <w:r>
        <w:t>f)</w:t>
      </w:r>
      <w:r>
        <w:tab/>
        <w:t>When ERCOT enters into a payment plan with a short-pay Invoice Recipient, ERCOT shall post to the Market Information System (MIS) Secure Area:</w:t>
      </w:r>
    </w:p>
    <w:p w14:paraId="60753264" w14:textId="77777777" w:rsidR="00082CB5" w:rsidRDefault="00082CB5" w:rsidP="00082CB5">
      <w:pPr>
        <w:pStyle w:val="List"/>
        <w:ind w:left="2160"/>
      </w:pPr>
      <w:r>
        <w:t>(i)</w:t>
      </w:r>
      <w:r>
        <w:tab/>
        <w:t>The short-pay plan;</w:t>
      </w:r>
    </w:p>
    <w:p w14:paraId="0B1AFD53" w14:textId="77777777" w:rsidR="00082CB5" w:rsidRDefault="00082CB5" w:rsidP="00082CB5">
      <w:pPr>
        <w:pStyle w:val="List"/>
        <w:ind w:left="2160"/>
      </w:pPr>
      <w:r>
        <w:t>(ii)</w:t>
      </w:r>
      <w:r>
        <w:tab/>
        <w:t>The schedule of quantifiable expected payments, updated if and when modifications are made to the payment schedule; and</w:t>
      </w:r>
    </w:p>
    <w:p w14:paraId="25750836" w14:textId="77777777" w:rsidR="00082CB5" w:rsidRDefault="00082CB5" w:rsidP="00082CB5">
      <w:pPr>
        <w:pStyle w:val="BodyText"/>
        <w:ind w:left="2160" w:hanging="720"/>
      </w:pPr>
      <w:r>
        <w:t>(iii)</w:t>
      </w:r>
      <w:r>
        <w:tab/>
        <w:t>Invoice dates to which the payments will be applied.</w:t>
      </w:r>
    </w:p>
    <w:p w14:paraId="15C8B5CB" w14:textId="77777777" w:rsidR="00082CB5" w:rsidRPr="00350834" w:rsidRDefault="00082CB5" w:rsidP="00082CB5">
      <w:pPr>
        <w:pStyle w:val="List"/>
      </w:pPr>
      <w:r>
        <w:t>(g)</w:t>
      </w:r>
      <w:r>
        <w:tab/>
        <w:t xml:space="preserve">To the extent ERCOT is able to collect past due funds owed by a short-paying Invoice Recipient before the default uplift process defined </w:t>
      </w:r>
      <w:r w:rsidRPr="0065195B">
        <w:t xml:space="preserve">in </w:t>
      </w:r>
      <w:r>
        <w:t xml:space="preserve">Section </w:t>
      </w:r>
      <w:r w:rsidRPr="00A761CE">
        <w:t>9.19.1</w:t>
      </w:r>
      <w:r w:rsidRPr="0065195B">
        <w:t>,</w:t>
      </w:r>
      <w:r>
        <w:t xml:space="preserve"> ERCOT shall allocate the collected funds to the earliest short-paid Invoice for that short-paying Invoice Recipient.  ERCOT shall use its best efforts to distribute collected funds quarterly by the 15</w:t>
      </w:r>
      <w:r w:rsidRPr="003B7565">
        <w:rPr>
          <w:vertAlign w:val="superscript"/>
        </w:rPr>
        <w:t>th</w:t>
      </w:r>
      <w:r>
        <w:t xml:space="preserve"> Business Day following the end of a calendar quarter for a short paying Entity when the cumulative amount of undistributed funds held exceed $50,000 on a pro rata basis of monies owed.  Subsequently collected funds that have not previously been distributed will be applied against </w:t>
      </w:r>
      <w:r w:rsidRPr="00350834">
        <w:t xml:space="preserve">unpaid Invoices in conjunction with the uplift process outlined in Section 9.19.1. </w:t>
      </w:r>
    </w:p>
    <w:p w14:paraId="4FF2ECBC" w14:textId="77777777" w:rsidR="0014132B" w:rsidRPr="00350834" w:rsidRDefault="00082CB5" w:rsidP="00082CB5">
      <w:pPr>
        <w:pStyle w:val="BodyText"/>
        <w:ind w:left="1440" w:hanging="720"/>
      </w:pPr>
      <w:r w:rsidRPr="008436F5">
        <w:t>(h)</w:t>
      </w:r>
      <w:r w:rsidRPr="008436F5">
        <w:tab/>
        <w:t>To the extent ERCOT is able to collect past due funds owed by a short-paying Invoice Recipient, after the default uplift process defined in Section 9.19.1, ERCOT shall allocate the collected funds using the same allocation method as in the default uplift process.  ERCOT shall use its best efforts to distribute subsequently collected funds quarterly by the 15</w:t>
      </w:r>
      <w:r w:rsidRPr="008436F5">
        <w:rPr>
          <w:vertAlign w:val="superscript"/>
        </w:rPr>
        <w:t>th</w:t>
      </w:r>
      <w:r w:rsidRPr="008436F5">
        <w:t xml:space="preserve"> Business Day following the end of a calendar quarter for a short paying Entity when the cumulative amount of undistributed funds held exceed $50,000.</w:t>
      </w:r>
    </w:p>
    <w:p w14:paraId="3570C6C8" w14:textId="77777777" w:rsidR="00A43CDA" w:rsidRPr="008910B8" w:rsidRDefault="00A43CDA" w:rsidP="00A43CDA">
      <w:pPr>
        <w:pStyle w:val="H3"/>
        <w:rPr>
          <w:b/>
          <w:i/>
        </w:rPr>
      </w:pPr>
      <w:bookmarkStart w:id="523" w:name="_Toc309731112"/>
      <w:bookmarkStart w:id="524" w:name="_Toc405814085"/>
      <w:bookmarkStart w:id="525" w:name="_Toc422207976"/>
      <w:bookmarkStart w:id="526" w:name="_Toc438044887"/>
      <w:bookmarkStart w:id="527" w:name="_Toc447622670"/>
      <w:bookmarkStart w:id="528" w:name="_Toc80175321"/>
      <w:bookmarkStart w:id="529" w:name="_Toc243718293"/>
      <w:r w:rsidRPr="008910B8">
        <w:rPr>
          <w:b/>
          <w:i/>
        </w:rPr>
        <w:lastRenderedPageBreak/>
        <w:t>9.19.1</w:t>
      </w:r>
      <w:r w:rsidRPr="008910B8">
        <w:rPr>
          <w:b/>
          <w:i/>
        </w:rPr>
        <w:tab/>
        <w:t>Default Uplift Invoices</w:t>
      </w:r>
      <w:bookmarkEnd w:id="523"/>
      <w:bookmarkEnd w:id="524"/>
      <w:bookmarkEnd w:id="525"/>
      <w:bookmarkEnd w:id="526"/>
      <w:bookmarkEnd w:id="527"/>
      <w:bookmarkEnd w:id="528"/>
    </w:p>
    <w:p w14:paraId="4286C25E" w14:textId="77777777" w:rsidR="0014132B" w:rsidRDefault="00350834">
      <w:pPr>
        <w:pStyle w:val="List"/>
        <w:ind w:left="720"/>
      </w:pPr>
      <w:r w:rsidRPr="008436F5">
        <w:t>(1)</w:t>
      </w:r>
      <w:r w:rsidRPr="008436F5">
        <w:tab/>
        <w:t>ERCOT shall collect the total short-pay amount for all Settlement Invoices for a month, less the total payments expected from a payment plan, from Qualified Scheduling Entities (QSEs) and CRR Account Holders.  ERCOT must pay the funds it collects from payments on Default Uplift Invoices to the Entities previously short-paid.  ERCOT shall notify those Entities of the details of the payment.</w:t>
      </w:r>
    </w:p>
    <w:p w14:paraId="46DB7693" w14:textId="2FEBF8DB" w:rsidR="00881601" w:rsidRDefault="00881601" w:rsidP="00974D32">
      <w:pPr>
        <w:pStyle w:val="BodyText"/>
        <w:ind w:left="720" w:hanging="720"/>
      </w:pPr>
      <w:r w:rsidRPr="00CE5650">
        <w:t>(2)</w:t>
      </w:r>
      <w:r w:rsidRPr="00CE5650">
        <w:tab/>
      </w:r>
      <w:r>
        <w:t xml:space="preserve">Each Counter-Party’s share of the uplift is calculated using </w:t>
      </w:r>
      <w:r w:rsidR="006358F5">
        <w:t>the best available</w:t>
      </w:r>
      <w:r>
        <w:t xml:space="preserve"> Settlement data for each Operating Day in the month prior to the month in which the default occurred</w:t>
      </w:r>
      <w:r w:rsidR="006B44B4">
        <w:t xml:space="preserve"> (the “reference month”)</w:t>
      </w:r>
      <w:r>
        <w:t>, and is calculated as follows:</w:t>
      </w:r>
    </w:p>
    <w:p w14:paraId="6C60CADA" w14:textId="77777777" w:rsidR="00881601" w:rsidRPr="00205879" w:rsidRDefault="00881601" w:rsidP="00881601">
      <w:pPr>
        <w:pStyle w:val="BodyText"/>
        <w:ind w:left="2880" w:hanging="1440"/>
        <w:rPr>
          <w:b/>
          <w:lang w:val="pt-BR"/>
        </w:rPr>
      </w:pPr>
      <w:r>
        <w:rPr>
          <w:b/>
          <w:lang w:val="pt-BR"/>
        </w:rPr>
        <w:t>DURSCP</w:t>
      </w:r>
      <w:r w:rsidRPr="00531955">
        <w:rPr>
          <w:rFonts w:ascii="Times New Roman Bold" w:hAnsi="Times New Roman Bold"/>
          <w:b/>
          <w:i/>
          <w:vertAlign w:val="subscript"/>
          <w:lang w:val="pt-BR"/>
        </w:rPr>
        <w:t>cp</w:t>
      </w:r>
      <w:r>
        <w:rPr>
          <w:rFonts w:ascii="Times New Roman Bold" w:hAnsi="Times New Roman Bold"/>
          <w:b/>
          <w:vertAlign w:val="subscript"/>
          <w:lang w:val="pt-BR"/>
        </w:rPr>
        <w:t xml:space="preserve"> = </w:t>
      </w:r>
      <w:r w:rsidRPr="007F1065">
        <w:rPr>
          <w:b/>
          <w:lang w:val="pt-BR"/>
        </w:rPr>
        <w:t>TSPA</w:t>
      </w:r>
      <w:r>
        <w:rPr>
          <w:b/>
          <w:lang w:val="pt-BR"/>
        </w:rPr>
        <w:t xml:space="preserve"> * MMARS</w:t>
      </w:r>
      <w:r w:rsidRPr="00531955">
        <w:rPr>
          <w:rFonts w:ascii="Times New Roman Bold" w:hAnsi="Times New Roman Bold"/>
          <w:b/>
          <w:i/>
          <w:vertAlign w:val="subscript"/>
          <w:lang w:val="pt-BR"/>
        </w:rPr>
        <w:t>cp</w:t>
      </w:r>
    </w:p>
    <w:p w14:paraId="58530B26" w14:textId="77777777" w:rsidR="00881601" w:rsidRPr="007F1065" w:rsidRDefault="00881601" w:rsidP="00881601">
      <w:pPr>
        <w:pStyle w:val="BodyText"/>
        <w:ind w:left="2160" w:hanging="1440"/>
        <w:rPr>
          <w:lang w:val="pt-BR"/>
        </w:rPr>
      </w:pPr>
      <w:r w:rsidRPr="007F1065">
        <w:rPr>
          <w:lang w:val="pt-BR"/>
        </w:rPr>
        <w:t>Where:</w:t>
      </w:r>
    </w:p>
    <w:p w14:paraId="04DF97AF" w14:textId="77777777" w:rsidR="00881601" w:rsidRPr="007F1065" w:rsidRDefault="00881601" w:rsidP="00881601">
      <w:pPr>
        <w:pStyle w:val="BodyText"/>
        <w:ind w:left="2880" w:hanging="1440"/>
        <w:rPr>
          <w:lang w:val="pt-BR"/>
        </w:rPr>
      </w:pPr>
      <w:r w:rsidRPr="007F1065">
        <w:rPr>
          <w:lang w:val="pt-BR"/>
        </w:rPr>
        <w:t>MMARS</w:t>
      </w:r>
      <w:r>
        <w:rPr>
          <w:lang w:val="pt-BR"/>
        </w:rPr>
        <w:t xml:space="preserve"> </w:t>
      </w:r>
      <w:r w:rsidRPr="00531955">
        <w:rPr>
          <w:rFonts w:ascii="Times New Roman Bold" w:hAnsi="Times New Roman Bold"/>
          <w:i/>
          <w:vertAlign w:val="subscript"/>
          <w:lang w:val="pt-BR"/>
        </w:rPr>
        <w:t>cp</w:t>
      </w:r>
      <w:r w:rsidRPr="007F1065">
        <w:rPr>
          <w:lang w:val="pt-BR"/>
        </w:rPr>
        <w:t xml:space="preserve"> = MMA</w:t>
      </w:r>
      <w:r>
        <w:rPr>
          <w:lang w:val="pt-BR"/>
        </w:rPr>
        <w:t xml:space="preserve"> </w:t>
      </w:r>
      <w:r w:rsidRPr="00531955">
        <w:rPr>
          <w:rFonts w:ascii="Times New Roman Bold" w:hAnsi="Times New Roman Bold"/>
          <w:i/>
          <w:vertAlign w:val="subscript"/>
          <w:lang w:val="pt-BR"/>
        </w:rPr>
        <w:t>cp</w:t>
      </w:r>
      <w:r w:rsidRPr="007F1065">
        <w:rPr>
          <w:lang w:val="pt-BR"/>
        </w:rPr>
        <w:t xml:space="preserve"> / MMATOT</w:t>
      </w:r>
    </w:p>
    <w:p w14:paraId="10CAD71D" w14:textId="3A12FBD7" w:rsidR="00881601" w:rsidRPr="007F1065" w:rsidRDefault="00881601" w:rsidP="00881601">
      <w:pPr>
        <w:pStyle w:val="BodyText"/>
        <w:ind w:left="720" w:firstLine="720"/>
        <w:rPr>
          <w:rFonts w:eastAsia="Calibri"/>
          <w:vertAlign w:val="subscript"/>
        </w:rPr>
      </w:pPr>
      <w:r w:rsidRPr="007F1065">
        <w:rPr>
          <w:lang w:val="pt-BR"/>
        </w:rPr>
        <w:t>MMA</w:t>
      </w:r>
      <w:r>
        <w:rPr>
          <w:lang w:val="pt-BR"/>
        </w:rPr>
        <w:t xml:space="preserve"> </w:t>
      </w:r>
      <w:r w:rsidRPr="007F1065">
        <w:rPr>
          <w:rFonts w:eastAsia="Calibri"/>
          <w:i/>
          <w:vertAlign w:val="subscript"/>
        </w:rPr>
        <w:t>cp</w:t>
      </w:r>
      <w:r w:rsidRPr="007F1065">
        <w:rPr>
          <w:lang w:val="pt-BR"/>
        </w:rPr>
        <w:t xml:space="preserve"> = Max</w:t>
      </w:r>
      <w:r w:rsidRPr="007F1065">
        <w:rPr>
          <w:rFonts w:eastAsia="Calibri"/>
        </w:rPr>
        <w:t xml:space="preserve"> { </w:t>
      </w:r>
      <w:r w:rsidRPr="007F1065">
        <w:t>∑</w:t>
      </w:r>
      <w:r w:rsidRPr="007F1065">
        <w:rPr>
          <w:rFonts w:eastAsia="Calibri"/>
          <w:i/>
          <w:vertAlign w:val="subscript"/>
        </w:rPr>
        <w:t>mp</w:t>
      </w:r>
      <w:r>
        <w:rPr>
          <w:rFonts w:eastAsia="Calibri"/>
          <w:i/>
          <w:vertAlign w:val="subscript"/>
        </w:rPr>
        <w:t xml:space="preserve"> </w:t>
      </w:r>
      <w:r w:rsidRPr="007F1065">
        <w:rPr>
          <w:rFonts w:eastAsia="Calibri"/>
        </w:rPr>
        <w:t>(URTMG </w:t>
      </w:r>
      <w:r w:rsidRPr="007F1065">
        <w:rPr>
          <w:rFonts w:eastAsia="Calibri"/>
          <w:i/>
          <w:vertAlign w:val="subscript"/>
        </w:rPr>
        <w:t>mp</w:t>
      </w:r>
      <w:r w:rsidRPr="007F1065">
        <w:rPr>
          <w:rFonts w:eastAsia="Calibri"/>
          <w:vertAlign w:val="subscript"/>
        </w:rPr>
        <w:t xml:space="preserve"> </w:t>
      </w:r>
      <w:r w:rsidRPr="007F1065">
        <w:rPr>
          <w:rFonts w:eastAsia="Calibri"/>
        </w:rPr>
        <w:t>+ URTDCIMP </w:t>
      </w:r>
      <w:r w:rsidRPr="007F1065">
        <w:rPr>
          <w:rFonts w:eastAsia="Calibri"/>
          <w:i/>
          <w:vertAlign w:val="subscript"/>
        </w:rPr>
        <w:t>mp</w:t>
      </w:r>
      <w:r w:rsidR="00D04163">
        <w:rPr>
          <w:rFonts w:eastAsia="Calibri"/>
          <w:i/>
          <w:vertAlign w:val="subscript"/>
        </w:rPr>
        <w:t xml:space="preserve"> </w:t>
      </w:r>
      <w:r w:rsidR="00D04163" w:rsidRPr="00DA2165">
        <w:rPr>
          <w:rFonts w:eastAsia="Calibri"/>
        </w:rPr>
        <w:t>+ USOGTOT</w:t>
      </w:r>
      <w:r w:rsidR="00D04163" w:rsidRPr="00DA2165">
        <w:rPr>
          <w:rFonts w:eastAsia="Calibri"/>
          <w:i/>
          <w:vertAlign w:val="subscript"/>
        </w:rPr>
        <w:t xml:space="preserve"> mp</w:t>
      </w:r>
      <w:r w:rsidRPr="007F1065">
        <w:t>)</w:t>
      </w:r>
      <w:r w:rsidRPr="007F1065">
        <w:rPr>
          <w:rFonts w:eastAsia="Calibri"/>
          <w:vertAlign w:val="subscript"/>
        </w:rPr>
        <w:t xml:space="preserve">, </w:t>
      </w:r>
    </w:p>
    <w:p w14:paraId="50AB3266" w14:textId="77777777" w:rsidR="00881601" w:rsidRPr="007F1065" w:rsidRDefault="00881601" w:rsidP="00881601">
      <w:pPr>
        <w:pStyle w:val="BodyText"/>
        <w:ind w:left="2880"/>
        <w:rPr>
          <w:rFonts w:eastAsia="Calibri"/>
          <w:vertAlign w:val="subscript"/>
        </w:rPr>
      </w:pPr>
      <w:r w:rsidRPr="007F1065">
        <w:t>∑</w:t>
      </w:r>
      <w:r w:rsidRPr="007F1065">
        <w:rPr>
          <w:rFonts w:eastAsia="Calibri"/>
          <w:i/>
          <w:vertAlign w:val="subscript"/>
        </w:rPr>
        <w:t>mp</w:t>
      </w:r>
      <w:r w:rsidRPr="007F1065">
        <w:rPr>
          <w:rFonts w:eastAsia="Calibri"/>
        </w:rPr>
        <w:t> </w:t>
      </w:r>
      <w:r w:rsidR="00326226">
        <w:rPr>
          <w:rFonts w:eastAsia="Calibri"/>
        </w:rPr>
        <w:t>(</w:t>
      </w:r>
      <w:r w:rsidRPr="007F1065">
        <w:rPr>
          <w:rFonts w:eastAsia="Calibri"/>
        </w:rPr>
        <w:t>URTAML </w:t>
      </w:r>
      <w:r w:rsidRPr="007F1065">
        <w:rPr>
          <w:rFonts w:eastAsia="Calibri"/>
          <w:i/>
          <w:vertAlign w:val="subscript"/>
        </w:rPr>
        <w:t>mp</w:t>
      </w:r>
      <w:r w:rsidR="00326226">
        <w:rPr>
          <w:rFonts w:eastAsia="Calibri"/>
        </w:rPr>
        <w:t xml:space="preserve"> + UWSLTOT </w:t>
      </w:r>
      <w:r w:rsidR="00326226">
        <w:rPr>
          <w:rFonts w:eastAsia="Calibri"/>
          <w:i/>
          <w:vertAlign w:val="subscript"/>
        </w:rPr>
        <w:t>mp</w:t>
      </w:r>
      <w:r w:rsidR="00326226">
        <w:rPr>
          <w:rFonts w:eastAsia="Calibri"/>
        </w:rPr>
        <w:t>)</w:t>
      </w:r>
      <w:r w:rsidRPr="007F1065">
        <w:rPr>
          <w:rFonts w:eastAsia="Calibri"/>
          <w:vertAlign w:val="subscript"/>
        </w:rPr>
        <w:t xml:space="preserve">, </w:t>
      </w:r>
    </w:p>
    <w:p w14:paraId="52B95C1A" w14:textId="77777777" w:rsidR="00881601" w:rsidRPr="007F1065" w:rsidRDefault="00881601" w:rsidP="00881601">
      <w:pPr>
        <w:pStyle w:val="BodyText"/>
        <w:ind w:left="2160" w:firstLine="720"/>
        <w:rPr>
          <w:rFonts w:eastAsia="Calibri"/>
          <w:vertAlign w:val="subscript"/>
        </w:rPr>
      </w:pPr>
      <w:r w:rsidRPr="007F1065">
        <w:t>∑</w:t>
      </w:r>
      <w:r w:rsidRPr="007F1065">
        <w:rPr>
          <w:rFonts w:eastAsia="Calibri"/>
          <w:i/>
          <w:vertAlign w:val="subscript"/>
        </w:rPr>
        <w:t>mp</w:t>
      </w:r>
      <w:r w:rsidRPr="007F1065">
        <w:rPr>
          <w:rFonts w:eastAsia="Calibri"/>
          <w:vertAlign w:val="subscript"/>
        </w:rPr>
        <w:t> </w:t>
      </w:r>
      <w:r w:rsidRPr="007F1065">
        <w:rPr>
          <w:rFonts w:eastAsia="Calibri"/>
        </w:rPr>
        <w:t>URTQQES </w:t>
      </w:r>
      <w:r w:rsidRPr="007F1065">
        <w:rPr>
          <w:rFonts w:eastAsia="Calibri"/>
          <w:i/>
          <w:vertAlign w:val="subscript"/>
        </w:rPr>
        <w:t>mp</w:t>
      </w:r>
      <w:r w:rsidRPr="007F1065">
        <w:rPr>
          <w:rFonts w:eastAsia="Calibri"/>
          <w:vertAlign w:val="subscript"/>
        </w:rPr>
        <w:t xml:space="preserve">, </w:t>
      </w:r>
    </w:p>
    <w:p w14:paraId="2C0F449D" w14:textId="77777777" w:rsidR="00881601" w:rsidRPr="007F1065" w:rsidRDefault="00881601" w:rsidP="00881601">
      <w:pPr>
        <w:pStyle w:val="BodyText"/>
        <w:ind w:left="2160" w:firstLine="720"/>
        <w:rPr>
          <w:rFonts w:eastAsia="Calibri"/>
          <w:vertAlign w:val="subscript"/>
        </w:rPr>
      </w:pPr>
      <w:r w:rsidRPr="007F1065">
        <w:t>∑</w:t>
      </w:r>
      <w:r w:rsidRPr="007F1065">
        <w:rPr>
          <w:rFonts w:eastAsia="Calibri"/>
          <w:i/>
          <w:vertAlign w:val="subscript"/>
        </w:rPr>
        <w:t>mp</w:t>
      </w:r>
      <w:r w:rsidRPr="007F1065">
        <w:rPr>
          <w:rFonts w:eastAsia="Calibri"/>
        </w:rPr>
        <w:t> URTQQEP </w:t>
      </w:r>
      <w:r w:rsidRPr="007F1065">
        <w:rPr>
          <w:rFonts w:eastAsia="Calibri"/>
          <w:i/>
          <w:vertAlign w:val="subscript"/>
        </w:rPr>
        <w:t>mp</w:t>
      </w:r>
      <w:r w:rsidRPr="007F1065">
        <w:rPr>
          <w:rFonts w:eastAsia="Calibri"/>
          <w:vertAlign w:val="subscript"/>
        </w:rPr>
        <w:t xml:space="preserve">, </w:t>
      </w:r>
    </w:p>
    <w:p w14:paraId="60C7F57A" w14:textId="77777777" w:rsidR="00881601" w:rsidRPr="007F1065" w:rsidRDefault="00881601" w:rsidP="00881601">
      <w:pPr>
        <w:pStyle w:val="BodyText"/>
        <w:ind w:left="2160" w:firstLine="720"/>
        <w:rPr>
          <w:rFonts w:eastAsia="Calibri"/>
          <w:vertAlign w:val="subscript"/>
        </w:rPr>
      </w:pPr>
      <w:r w:rsidRPr="007F1065">
        <w:t>∑</w:t>
      </w:r>
      <w:r w:rsidRPr="007F1065">
        <w:rPr>
          <w:rFonts w:eastAsia="Calibri"/>
          <w:i/>
          <w:vertAlign w:val="subscript"/>
        </w:rPr>
        <w:t>mp</w:t>
      </w:r>
      <w:r w:rsidRPr="007F1065">
        <w:rPr>
          <w:rFonts w:eastAsia="Calibri"/>
        </w:rPr>
        <w:t> UDAES </w:t>
      </w:r>
      <w:r w:rsidRPr="007F1065">
        <w:rPr>
          <w:rFonts w:eastAsia="Calibri"/>
          <w:i/>
          <w:vertAlign w:val="subscript"/>
        </w:rPr>
        <w:t>mp</w:t>
      </w:r>
      <w:r w:rsidRPr="007F1065">
        <w:rPr>
          <w:rFonts w:eastAsia="Calibri"/>
          <w:vertAlign w:val="subscript"/>
        </w:rPr>
        <w:t xml:space="preserve">, </w:t>
      </w:r>
    </w:p>
    <w:p w14:paraId="72213D3B" w14:textId="77777777" w:rsidR="00881601" w:rsidRPr="007F1065" w:rsidRDefault="00881601" w:rsidP="00881601">
      <w:pPr>
        <w:pStyle w:val="BodyText"/>
        <w:ind w:left="2160" w:firstLine="720"/>
        <w:rPr>
          <w:rFonts w:eastAsia="Calibri"/>
          <w:vertAlign w:val="subscript"/>
        </w:rPr>
      </w:pPr>
      <w:r w:rsidRPr="007F1065">
        <w:t>∑</w:t>
      </w:r>
      <w:r w:rsidRPr="007F1065">
        <w:rPr>
          <w:rFonts w:eastAsia="Calibri"/>
          <w:i/>
          <w:vertAlign w:val="subscript"/>
        </w:rPr>
        <w:t>mp</w:t>
      </w:r>
      <w:r w:rsidRPr="007F1065">
        <w:rPr>
          <w:rFonts w:eastAsia="Calibri"/>
        </w:rPr>
        <w:t> UDAEP </w:t>
      </w:r>
      <w:r w:rsidRPr="007F1065">
        <w:rPr>
          <w:rFonts w:eastAsia="Calibri"/>
          <w:i/>
          <w:vertAlign w:val="subscript"/>
        </w:rPr>
        <w:t>mp</w:t>
      </w:r>
      <w:r w:rsidRPr="007F1065">
        <w:rPr>
          <w:rFonts w:eastAsia="Calibri"/>
          <w:vertAlign w:val="subscript"/>
        </w:rPr>
        <w:t>,</w:t>
      </w:r>
    </w:p>
    <w:p w14:paraId="00370091" w14:textId="77777777" w:rsidR="00881601" w:rsidRPr="007F1065" w:rsidRDefault="00881601" w:rsidP="00881601">
      <w:pPr>
        <w:pStyle w:val="BodyText"/>
        <w:ind w:left="2160" w:firstLine="720"/>
        <w:rPr>
          <w:rFonts w:eastAsia="Calibri"/>
          <w:vertAlign w:val="subscript"/>
        </w:rPr>
      </w:pPr>
      <w:r w:rsidRPr="007F1065">
        <w:t>∑</w:t>
      </w:r>
      <w:r w:rsidRPr="007F1065">
        <w:rPr>
          <w:rFonts w:eastAsia="Calibri"/>
          <w:i/>
          <w:vertAlign w:val="subscript"/>
        </w:rPr>
        <w:t>mp</w:t>
      </w:r>
      <w:r w:rsidRPr="007F1065">
        <w:rPr>
          <w:rFonts w:eastAsia="Calibri"/>
        </w:rPr>
        <w:t> </w:t>
      </w:r>
      <w:r>
        <w:rPr>
          <w:rFonts w:eastAsia="Calibri"/>
        </w:rPr>
        <w:t>(</w:t>
      </w:r>
      <w:r w:rsidRPr="007F1065">
        <w:rPr>
          <w:rFonts w:eastAsia="Calibri"/>
        </w:rPr>
        <w:t>URTOBL </w:t>
      </w:r>
      <w:r w:rsidRPr="007F1065">
        <w:rPr>
          <w:rFonts w:eastAsia="Calibri"/>
          <w:i/>
          <w:vertAlign w:val="subscript"/>
        </w:rPr>
        <w:t>mp</w:t>
      </w:r>
      <w:r>
        <w:rPr>
          <w:rFonts w:eastAsia="Calibri"/>
          <w:i/>
          <w:vertAlign w:val="subscript"/>
        </w:rPr>
        <w:t xml:space="preserve"> </w:t>
      </w:r>
      <w:r w:rsidRPr="00F030CF">
        <w:rPr>
          <w:rFonts w:eastAsia="Calibri"/>
          <w:i/>
        </w:rPr>
        <w:t>+</w:t>
      </w:r>
      <w:r w:rsidRPr="00B7719D">
        <w:rPr>
          <w:rFonts w:eastAsia="Calibri"/>
          <w:i/>
        </w:rPr>
        <w:t xml:space="preserve"> </w:t>
      </w:r>
      <w:r w:rsidRPr="00B7719D">
        <w:rPr>
          <w:rFonts w:eastAsia="Calibri"/>
        </w:rPr>
        <w:t xml:space="preserve">URTOBLLO </w:t>
      </w:r>
      <w:r w:rsidRPr="00B7719D">
        <w:rPr>
          <w:rFonts w:eastAsia="Calibri"/>
          <w:i/>
          <w:vertAlign w:val="subscript"/>
        </w:rPr>
        <w:t>mp</w:t>
      </w:r>
      <w:r w:rsidRPr="00F030CF">
        <w:rPr>
          <w:rFonts w:eastAsia="Calibri"/>
        </w:rPr>
        <w:t>)</w:t>
      </w:r>
      <w:r w:rsidRPr="007F1065">
        <w:rPr>
          <w:rFonts w:eastAsia="Calibri"/>
          <w:vertAlign w:val="subscript"/>
        </w:rPr>
        <w:t xml:space="preserve">, </w:t>
      </w:r>
    </w:p>
    <w:p w14:paraId="591D5F2A" w14:textId="77777777" w:rsidR="00881601" w:rsidRPr="007F1065" w:rsidRDefault="00881601" w:rsidP="00881601">
      <w:pPr>
        <w:pStyle w:val="BodyText"/>
        <w:ind w:left="2160" w:firstLine="720"/>
      </w:pPr>
      <w:r w:rsidRPr="007F1065">
        <w:t>∑</w:t>
      </w:r>
      <w:r w:rsidRPr="007F1065">
        <w:rPr>
          <w:rFonts w:eastAsia="Calibri"/>
          <w:i/>
          <w:vertAlign w:val="subscript"/>
        </w:rPr>
        <w:t>mp</w:t>
      </w:r>
      <w:r w:rsidRPr="007F1065">
        <w:rPr>
          <w:rFonts w:eastAsia="Calibri"/>
        </w:rPr>
        <w:t> </w:t>
      </w:r>
      <w:r w:rsidRPr="007F1065">
        <w:t>(</w:t>
      </w:r>
      <w:r w:rsidRPr="007F1065">
        <w:rPr>
          <w:rFonts w:eastAsia="Calibri"/>
        </w:rPr>
        <w:t>UDAOPT </w:t>
      </w:r>
      <w:r w:rsidRPr="007F1065">
        <w:rPr>
          <w:rFonts w:eastAsia="Calibri"/>
          <w:i/>
          <w:vertAlign w:val="subscript"/>
        </w:rPr>
        <w:t>mp</w:t>
      </w:r>
      <w:r w:rsidRPr="007F1065">
        <w:rPr>
          <w:rFonts w:eastAsia="Calibri"/>
          <w:vertAlign w:val="subscript"/>
        </w:rPr>
        <w:t xml:space="preserve"> </w:t>
      </w:r>
      <w:r w:rsidRPr="007F1065">
        <w:rPr>
          <w:rFonts w:eastAsia="Calibri"/>
        </w:rPr>
        <w:t>+ UDAOBL </w:t>
      </w:r>
      <w:r w:rsidRPr="007F1065">
        <w:rPr>
          <w:rFonts w:eastAsia="Calibri"/>
          <w:i/>
          <w:vertAlign w:val="subscript"/>
        </w:rPr>
        <w:t>mp</w:t>
      </w:r>
      <w:r w:rsidRPr="007F1065">
        <w:rPr>
          <w:rFonts w:eastAsia="Calibri"/>
          <w:vertAlign w:val="subscript"/>
        </w:rPr>
        <w:t xml:space="preserve"> </w:t>
      </w:r>
      <w:r w:rsidRPr="007F1065">
        <w:rPr>
          <w:rFonts w:eastAsia="Calibri"/>
        </w:rPr>
        <w:t>+</w:t>
      </w:r>
      <w:r w:rsidRPr="007F1065">
        <w:rPr>
          <w:rFonts w:eastAsia="Calibri"/>
          <w:vertAlign w:val="subscript"/>
        </w:rPr>
        <w:t xml:space="preserve"> </w:t>
      </w:r>
      <w:r w:rsidRPr="007F1065">
        <w:rPr>
          <w:rFonts w:eastAsia="Calibri"/>
        </w:rPr>
        <w:t>UOPTS </w:t>
      </w:r>
      <w:r w:rsidRPr="007F1065">
        <w:rPr>
          <w:rFonts w:eastAsia="Calibri"/>
          <w:i/>
          <w:vertAlign w:val="subscript"/>
        </w:rPr>
        <w:t>mp</w:t>
      </w:r>
      <w:r w:rsidRPr="007F1065">
        <w:rPr>
          <w:rFonts w:eastAsia="Calibri"/>
          <w:vertAlign w:val="subscript"/>
        </w:rPr>
        <w:t xml:space="preserve"> </w:t>
      </w:r>
      <w:r w:rsidRPr="007F1065">
        <w:rPr>
          <w:rFonts w:eastAsia="Calibri"/>
        </w:rPr>
        <w:t>+</w:t>
      </w:r>
      <w:r w:rsidRPr="007F1065">
        <w:rPr>
          <w:rFonts w:eastAsia="Calibri"/>
          <w:vertAlign w:val="subscript"/>
        </w:rPr>
        <w:t xml:space="preserve"> </w:t>
      </w:r>
      <w:r w:rsidRPr="007F1065">
        <w:rPr>
          <w:rFonts w:eastAsia="Calibri"/>
        </w:rPr>
        <w:t>UOBLS </w:t>
      </w:r>
      <w:r w:rsidRPr="007F1065">
        <w:rPr>
          <w:rFonts w:eastAsia="Calibri"/>
          <w:i/>
          <w:vertAlign w:val="subscript"/>
        </w:rPr>
        <w:t>mp</w:t>
      </w:r>
      <w:r w:rsidRPr="007F1065">
        <w:t xml:space="preserve">), </w:t>
      </w:r>
    </w:p>
    <w:p w14:paraId="6C9DFC91" w14:textId="171AD13B" w:rsidR="00CD356A" w:rsidRDefault="00881601" w:rsidP="00CD356A">
      <w:pPr>
        <w:pStyle w:val="BodyText"/>
        <w:ind w:left="2160" w:firstLine="720"/>
      </w:pPr>
      <w:r w:rsidRPr="007F1065">
        <w:t>∑</w:t>
      </w:r>
      <w:r w:rsidRPr="007F1065">
        <w:rPr>
          <w:rFonts w:eastAsia="Calibri"/>
          <w:i/>
          <w:vertAlign w:val="subscript"/>
        </w:rPr>
        <w:t>mp</w:t>
      </w:r>
      <w:r w:rsidRPr="007F1065">
        <w:rPr>
          <w:rFonts w:eastAsia="Calibri"/>
        </w:rPr>
        <w:t> </w:t>
      </w:r>
      <w:r w:rsidRPr="007F1065">
        <w:t>(</w:t>
      </w:r>
      <w:r w:rsidRPr="007F1065">
        <w:rPr>
          <w:rFonts w:eastAsia="Calibri"/>
        </w:rPr>
        <w:t>UOPTP </w:t>
      </w:r>
      <w:r w:rsidRPr="007F1065">
        <w:rPr>
          <w:rFonts w:eastAsia="Calibri"/>
          <w:i/>
          <w:vertAlign w:val="subscript"/>
        </w:rPr>
        <w:t>mp</w:t>
      </w:r>
      <w:r w:rsidRPr="007F1065">
        <w:rPr>
          <w:rFonts w:eastAsia="Calibri"/>
          <w:vertAlign w:val="subscript"/>
        </w:rPr>
        <w:t xml:space="preserve"> </w:t>
      </w:r>
      <w:r w:rsidRPr="007F1065">
        <w:rPr>
          <w:rFonts w:eastAsia="Calibri"/>
        </w:rPr>
        <w:t>+ UOBLP </w:t>
      </w:r>
      <w:r w:rsidRPr="007F1065">
        <w:rPr>
          <w:rFonts w:eastAsia="Calibri"/>
          <w:i/>
          <w:vertAlign w:val="subscript"/>
        </w:rPr>
        <w:t>mp</w:t>
      </w:r>
      <w:r w:rsidRPr="007F1065">
        <w:t>)}</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C4046B" w:rsidRPr="00E566EB" w14:paraId="2F5E7A77" w14:textId="77777777" w:rsidTr="00F3293A">
        <w:tc>
          <w:tcPr>
            <w:tcW w:w="9766" w:type="dxa"/>
            <w:shd w:val="pct12" w:color="auto" w:fill="auto"/>
          </w:tcPr>
          <w:p w14:paraId="535928BF" w14:textId="7F6224CB" w:rsidR="00C4046B" w:rsidRPr="00E566EB" w:rsidRDefault="00C4046B" w:rsidP="00F3293A">
            <w:pPr>
              <w:spacing w:before="120" w:after="240"/>
              <w:rPr>
                <w:b/>
                <w:i/>
                <w:iCs/>
              </w:rPr>
            </w:pPr>
            <w:r>
              <w:rPr>
                <w:b/>
                <w:i/>
                <w:iCs/>
              </w:rPr>
              <w:t>[</w:t>
            </w:r>
            <w:r w:rsidR="00986EAF">
              <w:rPr>
                <w:b/>
                <w:i/>
                <w:iCs/>
              </w:rPr>
              <w:t>NPRR995</w:t>
            </w:r>
            <w:r w:rsidR="003E0FF7">
              <w:rPr>
                <w:b/>
                <w:i/>
                <w:iCs/>
              </w:rPr>
              <w:t>,</w:t>
            </w:r>
            <w:r w:rsidR="00986EAF">
              <w:rPr>
                <w:b/>
                <w:i/>
                <w:iCs/>
              </w:rPr>
              <w:t xml:space="preserve"> </w:t>
            </w:r>
            <w:r w:rsidR="00D211B0">
              <w:rPr>
                <w:b/>
                <w:i/>
                <w:iCs/>
              </w:rPr>
              <w:t>NPRR1012</w:t>
            </w:r>
            <w:r w:rsidR="003E0FF7">
              <w:rPr>
                <w:b/>
                <w:i/>
                <w:iCs/>
              </w:rPr>
              <w:t>, and NPRR1201</w:t>
            </w:r>
            <w:r w:rsidRPr="00E566EB">
              <w:rPr>
                <w:b/>
                <w:i/>
                <w:iCs/>
              </w:rPr>
              <w:t xml:space="preserve">: </w:t>
            </w:r>
            <w:r>
              <w:rPr>
                <w:b/>
                <w:i/>
                <w:iCs/>
              </w:rPr>
              <w:t xml:space="preserve"> Replace </w:t>
            </w:r>
            <w:r w:rsidR="00D211B0">
              <w:rPr>
                <w:b/>
                <w:i/>
                <w:iCs/>
              </w:rPr>
              <w:t xml:space="preserve">applicable portions of </w:t>
            </w:r>
            <w:r>
              <w:rPr>
                <w:b/>
                <w:i/>
                <w:iCs/>
              </w:rPr>
              <w:t>the formula “</w:t>
            </w:r>
            <w:r w:rsidRPr="00C4046B">
              <w:rPr>
                <w:b/>
                <w:i/>
                <w:iCs/>
                <w:lang w:val="pt-BR"/>
              </w:rPr>
              <w:t xml:space="preserve">MMA </w:t>
            </w:r>
            <w:r w:rsidRPr="00C4046B">
              <w:rPr>
                <w:b/>
                <w:i/>
                <w:iCs/>
                <w:vertAlign w:val="subscript"/>
              </w:rPr>
              <w:t>cp</w:t>
            </w:r>
            <w:r>
              <w:rPr>
                <w:b/>
                <w:i/>
                <w:iCs/>
              </w:rPr>
              <w:t xml:space="preserve">” above with the following </w:t>
            </w:r>
            <w:r w:rsidR="00986EAF">
              <w:rPr>
                <w:b/>
                <w:i/>
                <w:iCs/>
              </w:rPr>
              <w:t>upon system implementation for NPRR995</w:t>
            </w:r>
            <w:r w:rsidR="003E0FF7">
              <w:rPr>
                <w:b/>
                <w:i/>
                <w:iCs/>
              </w:rPr>
              <w:t xml:space="preserve"> or NPRR1201</w:t>
            </w:r>
            <w:r w:rsidR="00986EAF">
              <w:rPr>
                <w:b/>
                <w:i/>
                <w:iCs/>
              </w:rPr>
              <w:t xml:space="preserve">; </w:t>
            </w:r>
            <w:r w:rsidR="00D211B0">
              <w:rPr>
                <w:b/>
                <w:i/>
                <w:iCs/>
              </w:rPr>
              <w:t>or upon system implementation of the Real-Time Co-Optimization (RTC) project for NPRR1012</w:t>
            </w:r>
            <w:r w:rsidRPr="00E566EB">
              <w:rPr>
                <w:b/>
                <w:i/>
                <w:iCs/>
              </w:rPr>
              <w:t>:]</w:t>
            </w:r>
          </w:p>
          <w:p w14:paraId="1E7D18FB" w14:textId="10787D49" w:rsidR="00C4046B" w:rsidRPr="00CD2C01" w:rsidRDefault="00C4046B" w:rsidP="00C4046B">
            <w:pPr>
              <w:spacing w:after="240"/>
              <w:ind w:left="720" w:firstLine="720"/>
              <w:rPr>
                <w:rFonts w:eastAsia="Calibri"/>
                <w:iCs/>
                <w:vertAlign w:val="subscript"/>
              </w:rPr>
            </w:pPr>
            <w:r w:rsidRPr="00CD2C01">
              <w:rPr>
                <w:iCs/>
                <w:lang w:val="pt-BR"/>
              </w:rPr>
              <w:t xml:space="preserve">MMA </w:t>
            </w:r>
            <w:r w:rsidRPr="00CD2C01">
              <w:rPr>
                <w:rFonts w:eastAsia="Calibri"/>
                <w:i/>
                <w:iCs/>
                <w:vertAlign w:val="subscript"/>
              </w:rPr>
              <w:t>cp</w:t>
            </w:r>
            <w:r w:rsidRPr="00CD2C01">
              <w:rPr>
                <w:iCs/>
                <w:lang w:val="pt-BR"/>
              </w:rPr>
              <w:t xml:space="preserve"> = Max</w:t>
            </w:r>
            <w:r w:rsidRPr="00CD2C01">
              <w:rPr>
                <w:rFonts w:eastAsia="Calibri"/>
                <w:iCs/>
              </w:rPr>
              <w:t xml:space="preserve"> { </w:t>
            </w:r>
            <w:r w:rsidRPr="00CD2C01">
              <w:rPr>
                <w:iCs/>
              </w:rPr>
              <w:t>∑</w:t>
            </w:r>
            <w:r w:rsidRPr="00CD2C01">
              <w:rPr>
                <w:rFonts w:eastAsia="Calibri"/>
                <w:i/>
                <w:iCs/>
                <w:vertAlign w:val="subscript"/>
              </w:rPr>
              <w:t xml:space="preserve">mp </w:t>
            </w:r>
            <w:r w:rsidRPr="00CD2C01">
              <w:rPr>
                <w:rFonts w:eastAsia="Calibri"/>
                <w:iCs/>
              </w:rPr>
              <w:t>(URTMG </w:t>
            </w:r>
            <w:r w:rsidRPr="00CD2C01">
              <w:rPr>
                <w:rFonts w:eastAsia="Calibri"/>
                <w:i/>
                <w:iCs/>
                <w:vertAlign w:val="subscript"/>
              </w:rPr>
              <w:t>mp</w:t>
            </w:r>
            <w:r w:rsidRPr="00CD2C01">
              <w:rPr>
                <w:rFonts w:eastAsia="Calibri"/>
                <w:iCs/>
                <w:vertAlign w:val="subscript"/>
              </w:rPr>
              <w:t xml:space="preserve"> </w:t>
            </w:r>
            <w:r w:rsidRPr="00CD2C01">
              <w:rPr>
                <w:rFonts w:eastAsia="Calibri"/>
                <w:iCs/>
              </w:rPr>
              <w:t>+ URTDCIMP </w:t>
            </w:r>
            <w:r w:rsidRPr="00CD2C01">
              <w:rPr>
                <w:rFonts w:eastAsia="Calibri"/>
                <w:i/>
                <w:iCs/>
                <w:vertAlign w:val="subscript"/>
              </w:rPr>
              <w:t>mp</w:t>
            </w:r>
            <w:r w:rsidR="007D5143" w:rsidRPr="00DA2165">
              <w:rPr>
                <w:rFonts w:eastAsia="Calibri"/>
              </w:rPr>
              <w:t xml:space="preserve"> + USOGTOT</w:t>
            </w:r>
            <w:r w:rsidR="007D5143" w:rsidRPr="00DA2165">
              <w:rPr>
                <w:rFonts w:eastAsia="Calibri"/>
                <w:i/>
                <w:iCs/>
                <w:vertAlign w:val="subscript"/>
              </w:rPr>
              <w:t xml:space="preserve"> mp</w:t>
            </w:r>
            <w:r w:rsidRPr="00CD2C01">
              <w:rPr>
                <w:iCs/>
              </w:rPr>
              <w:t>)</w:t>
            </w:r>
            <w:r w:rsidRPr="00CD2C01">
              <w:rPr>
                <w:rFonts w:eastAsia="Calibri"/>
                <w:iCs/>
                <w:vertAlign w:val="subscript"/>
              </w:rPr>
              <w:t xml:space="preserve">, </w:t>
            </w:r>
          </w:p>
          <w:p w14:paraId="403416BF" w14:textId="517D9CD8" w:rsidR="00C4046B" w:rsidRPr="00CD2C01" w:rsidRDefault="00C4046B" w:rsidP="00C4046B">
            <w:pPr>
              <w:spacing w:after="240"/>
              <w:ind w:left="2880"/>
              <w:rPr>
                <w:rFonts w:eastAsia="Calibri"/>
                <w:iCs/>
                <w:vertAlign w:val="subscript"/>
              </w:rPr>
            </w:pPr>
            <w:r w:rsidRPr="00CD2C01">
              <w:rPr>
                <w:iCs/>
              </w:rPr>
              <w:t>∑</w:t>
            </w:r>
            <w:r w:rsidRPr="00CD2C01">
              <w:rPr>
                <w:rFonts w:eastAsia="Calibri"/>
                <w:i/>
                <w:iCs/>
                <w:vertAlign w:val="subscript"/>
              </w:rPr>
              <w:t>mp</w:t>
            </w:r>
            <w:r w:rsidRPr="00CD2C01">
              <w:rPr>
                <w:rFonts w:eastAsia="Calibri"/>
                <w:iCs/>
              </w:rPr>
              <w:t> (URTAML </w:t>
            </w:r>
            <w:r w:rsidRPr="00CD2C01">
              <w:rPr>
                <w:rFonts w:eastAsia="Calibri"/>
                <w:i/>
                <w:iCs/>
                <w:vertAlign w:val="subscript"/>
              </w:rPr>
              <w:t>mp</w:t>
            </w:r>
            <w:r w:rsidRPr="00CD2C01">
              <w:rPr>
                <w:rFonts w:eastAsia="Calibri"/>
                <w:iCs/>
              </w:rPr>
              <w:t xml:space="preserve"> + UWSLTOT </w:t>
            </w:r>
            <w:r w:rsidRPr="00CD2C01">
              <w:rPr>
                <w:rFonts w:eastAsia="Calibri"/>
                <w:i/>
                <w:iCs/>
                <w:vertAlign w:val="subscript"/>
              </w:rPr>
              <w:t>mp</w:t>
            </w:r>
            <w:r w:rsidR="00986EAF" w:rsidRPr="005D0F36">
              <w:rPr>
                <w:rFonts w:eastAsia="Calibri"/>
              </w:rPr>
              <w:t> </w:t>
            </w:r>
            <w:r w:rsidR="00986EAF" w:rsidRPr="005D0F36">
              <w:rPr>
                <w:rFonts w:eastAsia="Calibri"/>
                <w:iCs/>
              </w:rPr>
              <w:t>+</w:t>
            </w:r>
            <w:r w:rsidR="00986EAF">
              <w:rPr>
                <w:rFonts w:eastAsia="Calibri"/>
                <w:iCs/>
              </w:rPr>
              <w:t xml:space="preserve"> </w:t>
            </w:r>
            <w:r w:rsidR="00986EAF">
              <w:t>USOCLTOT</w:t>
            </w:r>
            <w:r w:rsidR="00986EAF" w:rsidRPr="005D0F36">
              <w:rPr>
                <w:i/>
                <w:vertAlign w:val="subscript"/>
              </w:rPr>
              <w:t xml:space="preserve"> mp</w:t>
            </w:r>
            <w:r w:rsidRPr="00CD2C01">
              <w:rPr>
                <w:rFonts w:eastAsia="Calibri"/>
                <w:iCs/>
              </w:rPr>
              <w:t>)</w:t>
            </w:r>
            <w:r w:rsidRPr="00CD2C01">
              <w:rPr>
                <w:rFonts w:eastAsia="Calibri"/>
                <w:iCs/>
                <w:vertAlign w:val="subscript"/>
              </w:rPr>
              <w:t xml:space="preserve">, </w:t>
            </w:r>
          </w:p>
          <w:p w14:paraId="295974C1" w14:textId="77777777" w:rsidR="00C4046B" w:rsidRPr="00CD2C01" w:rsidRDefault="00C4046B" w:rsidP="00C4046B">
            <w:pPr>
              <w:spacing w:after="240"/>
              <w:ind w:left="2160" w:firstLine="720"/>
              <w:rPr>
                <w:rFonts w:eastAsia="Calibri"/>
                <w:iCs/>
                <w:vertAlign w:val="subscript"/>
              </w:rPr>
            </w:pPr>
            <w:r w:rsidRPr="00CD2C01">
              <w:rPr>
                <w:iCs/>
              </w:rPr>
              <w:t>∑</w:t>
            </w:r>
            <w:r w:rsidRPr="00CD2C01">
              <w:rPr>
                <w:rFonts w:eastAsia="Calibri"/>
                <w:i/>
                <w:iCs/>
                <w:vertAlign w:val="subscript"/>
              </w:rPr>
              <w:t>mp</w:t>
            </w:r>
            <w:r w:rsidRPr="00CD2C01">
              <w:rPr>
                <w:rFonts w:eastAsia="Calibri"/>
                <w:iCs/>
                <w:vertAlign w:val="subscript"/>
              </w:rPr>
              <w:t> </w:t>
            </w:r>
            <w:r w:rsidRPr="00CD2C01">
              <w:rPr>
                <w:rFonts w:eastAsia="Calibri"/>
                <w:iCs/>
              </w:rPr>
              <w:t>URTQQES </w:t>
            </w:r>
            <w:r w:rsidRPr="00CD2C01">
              <w:rPr>
                <w:rFonts w:eastAsia="Calibri"/>
                <w:i/>
                <w:iCs/>
                <w:vertAlign w:val="subscript"/>
              </w:rPr>
              <w:t>mp</w:t>
            </w:r>
            <w:r w:rsidRPr="00CD2C01">
              <w:rPr>
                <w:rFonts w:eastAsia="Calibri"/>
                <w:iCs/>
                <w:vertAlign w:val="subscript"/>
              </w:rPr>
              <w:t xml:space="preserve">, </w:t>
            </w:r>
          </w:p>
          <w:p w14:paraId="67E0E202" w14:textId="77777777" w:rsidR="00C4046B" w:rsidRPr="00CD2C01" w:rsidRDefault="00C4046B" w:rsidP="00C4046B">
            <w:pPr>
              <w:spacing w:after="240"/>
              <w:ind w:left="2160" w:firstLine="720"/>
              <w:rPr>
                <w:rFonts w:eastAsia="Calibri"/>
                <w:iCs/>
                <w:vertAlign w:val="subscript"/>
              </w:rPr>
            </w:pPr>
            <w:r w:rsidRPr="00CD2C01">
              <w:rPr>
                <w:iCs/>
              </w:rPr>
              <w:t>∑</w:t>
            </w:r>
            <w:r w:rsidRPr="00CD2C01">
              <w:rPr>
                <w:rFonts w:eastAsia="Calibri"/>
                <w:i/>
                <w:iCs/>
                <w:vertAlign w:val="subscript"/>
              </w:rPr>
              <w:t>mp</w:t>
            </w:r>
            <w:r w:rsidRPr="00CD2C01">
              <w:rPr>
                <w:rFonts w:eastAsia="Calibri"/>
                <w:iCs/>
              </w:rPr>
              <w:t> URTQQEP </w:t>
            </w:r>
            <w:r w:rsidRPr="00CD2C01">
              <w:rPr>
                <w:rFonts w:eastAsia="Calibri"/>
                <w:i/>
                <w:iCs/>
                <w:vertAlign w:val="subscript"/>
              </w:rPr>
              <w:t>mp</w:t>
            </w:r>
            <w:r w:rsidRPr="00CD2C01">
              <w:rPr>
                <w:rFonts w:eastAsia="Calibri"/>
                <w:iCs/>
                <w:vertAlign w:val="subscript"/>
              </w:rPr>
              <w:t xml:space="preserve">, </w:t>
            </w:r>
          </w:p>
          <w:p w14:paraId="394B5506" w14:textId="77777777" w:rsidR="00C4046B" w:rsidRPr="00CD2C01" w:rsidRDefault="00C4046B" w:rsidP="00C4046B">
            <w:pPr>
              <w:spacing w:after="240"/>
              <w:ind w:left="2160" w:firstLine="720"/>
              <w:rPr>
                <w:rFonts w:eastAsia="Calibri"/>
                <w:iCs/>
                <w:vertAlign w:val="subscript"/>
              </w:rPr>
            </w:pPr>
            <w:r w:rsidRPr="00CD2C01">
              <w:rPr>
                <w:iCs/>
              </w:rPr>
              <w:lastRenderedPageBreak/>
              <w:t>∑</w:t>
            </w:r>
            <w:r w:rsidRPr="00CD2C01">
              <w:rPr>
                <w:rFonts w:eastAsia="Calibri"/>
                <w:i/>
                <w:iCs/>
                <w:vertAlign w:val="subscript"/>
              </w:rPr>
              <w:t>mp</w:t>
            </w:r>
            <w:r w:rsidRPr="00CD2C01">
              <w:rPr>
                <w:rFonts w:eastAsia="Calibri"/>
                <w:iCs/>
              </w:rPr>
              <w:t> UDAES </w:t>
            </w:r>
            <w:r w:rsidRPr="00CD2C01">
              <w:rPr>
                <w:rFonts w:eastAsia="Calibri"/>
                <w:i/>
                <w:iCs/>
                <w:vertAlign w:val="subscript"/>
              </w:rPr>
              <w:t>mp</w:t>
            </w:r>
            <w:r w:rsidRPr="00CD2C01">
              <w:rPr>
                <w:rFonts w:eastAsia="Calibri"/>
                <w:iCs/>
                <w:vertAlign w:val="subscript"/>
              </w:rPr>
              <w:t xml:space="preserve">, </w:t>
            </w:r>
          </w:p>
          <w:p w14:paraId="1A09890B" w14:textId="77777777" w:rsidR="00C4046B" w:rsidRPr="00CD2C01" w:rsidRDefault="00C4046B" w:rsidP="00C4046B">
            <w:pPr>
              <w:spacing w:after="240"/>
              <w:ind w:left="2160" w:firstLine="720"/>
              <w:rPr>
                <w:rFonts w:eastAsia="Calibri"/>
                <w:iCs/>
                <w:vertAlign w:val="subscript"/>
              </w:rPr>
            </w:pPr>
            <w:r w:rsidRPr="00CD2C01">
              <w:rPr>
                <w:iCs/>
              </w:rPr>
              <w:t>∑</w:t>
            </w:r>
            <w:r w:rsidRPr="00CD2C01">
              <w:rPr>
                <w:rFonts w:eastAsia="Calibri"/>
                <w:i/>
                <w:iCs/>
                <w:vertAlign w:val="subscript"/>
              </w:rPr>
              <w:t>mp</w:t>
            </w:r>
            <w:r w:rsidRPr="00CD2C01">
              <w:rPr>
                <w:rFonts w:eastAsia="Calibri"/>
                <w:iCs/>
              </w:rPr>
              <w:t> UDAEP </w:t>
            </w:r>
            <w:r w:rsidRPr="00CD2C01">
              <w:rPr>
                <w:rFonts w:eastAsia="Calibri"/>
                <w:i/>
                <w:iCs/>
                <w:vertAlign w:val="subscript"/>
              </w:rPr>
              <w:t>mp</w:t>
            </w:r>
            <w:r w:rsidRPr="00CD2C01">
              <w:rPr>
                <w:rFonts w:eastAsia="Calibri"/>
                <w:iCs/>
                <w:vertAlign w:val="subscript"/>
              </w:rPr>
              <w:t>,</w:t>
            </w:r>
          </w:p>
          <w:p w14:paraId="7ADB37DF" w14:textId="77777777" w:rsidR="00C4046B" w:rsidRPr="00CD2C01" w:rsidRDefault="00C4046B" w:rsidP="00C4046B">
            <w:pPr>
              <w:spacing w:after="240"/>
              <w:ind w:left="2160" w:firstLine="720"/>
              <w:rPr>
                <w:rFonts w:eastAsia="Calibri"/>
                <w:iCs/>
                <w:vertAlign w:val="subscript"/>
              </w:rPr>
            </w:pPr>
            <w:r w:rsidRPr="00CD2C01">
              <w:rPr>
                <w:iCs/>
              </w:rPr>
              <w:t>∑</w:t>
            </w:r>
            <w:r w:rsidRPr="00CD2C01">
              <w:rPr>
                <w:rFonts w:eastAsia="Calibri"/>
                <w:i/>
                <w:iCs/>
                <w:vertAlign w:val="subscript"/>
              </w:rPr>
              <w:t>mp</w:t>
            </w:r>
            <w:r w:rsidRPr="00CD2C01">
              <w:rPr>
                <w:rFonts w:eastAsia="Calibri"/>
                <w:iCs/>
              </w:rPr>
              <w:t> (URTOBL </w:t>
            </w:r>
            <w:r w:rsidRPr="00CD2C01">
              <w:rPr>
                <w:rFonts w:eastAsia="Calibri"/>
                <w:i/>
                <w:iCs/>
                <w:vertAlign w:val="subscript"/>
              </w:rPr>
              <w:t xml:space="preserve">mp </w:t>
            </w:r>
            <w:r w:rsidRPr="00CD2C01">
              <w:rPr>
                <w:rFonts w:eastAsia="Calibri"/>
                <w:i/>
                <w:iCs/>
              </w:rPr>
              <w:t xml:space="preserve">+ </w:t>
            </w:r>
            <w:r w:rsidRPr="00CD2C01">
              <w:rPr>
                <w:rFonts w:eastAsia="Calibri"/>
                <w:iCs/>
              </w:rPr>
              <w:t xml:space="preserve">URTOBLLO </w:t>
            </w:r>
            <w:r w:rsidRPr="00CD2C01">
              <w:rPr>
                <w:rFonts w:eastAsia="Calibri"/>
                <w:i/>
                <w:iCs/>
                <w:vertAlign w:val="subscript"/>
              </w:rPr>
              <w:t>mp</w:t>
            </w:r>
            <w:r w:rsidRPr="00CD2C01">
              <w:rPr>
                <w:rFonts w:eastAsia="Calibri"/>
                <w:iCs/>
              </w:rPr>
              <w:t>)</w:t>
            </w:r>
            <w:r w:rsidRPr="00CD2C01">
              <w:rPr>
                <w:rFonts w:eastAsia="Calibri"/>
                <w:iCs/>
                <w:vertAlign w:val="subscript"/>
              </w:rPr>
              <w:t xml:space="preserve">, </w:t>
            </w:r>
          </w:p>
          <w:p w14:paraId="46FB4DCA" w14:textId="0C223B62" w:rsidR="00C4046B" w:rsidRPr="00CD2C01" w:rsidRDefault="00C4046B" w:rsidP="00C4046B">
            <w:pPr>
              <w:spacing w:after="240"/>
              <w:ind w:left="2160" w:firstLine="720"/>
              <w:rPr>
                <w:iCs/>
              </w:rPr>
            </w:pPr>
            <w:r w:rsidRPr="00CD2C01">
              <w:rPr>
                <w:iCs/>
              </w:rPr>
              <w:t>∑</w:t>
            </w:r>
            <w:r w:rsidRPr="00CD2C01">
              <w:rPr>
                <w:rFonts w:eastAsia="Calibri"/>
                <w:i/>
                <w:iCs/>
                <w:vertAlign w:val="subscript"/>
              </w:rPr>
              <w:t>mp</w:t>
            </w:r>
            <w:r w:rsidRPr="00CD2C01">
              <w:rPr>
                <w:rFonts w:eastAsia="Calibri"/>
                <w:iCs/>
              </w:rPr>
              <w:t> </w:t>
            </w:r>
            <w:r w:rsidRPr="00CD2C01">
              <w:rPr>
                <w:iCs/>
              </w:rPr>
              <w:t>(</w:t>
            </w:r>
            <w:r w:rsidRPr="00CD2C01">
              <w:rPr>
                <w:rFonts w:eastAsia="Calibri"/>
                <w:iCs/>
              </w:rPr>
              <w:t>UDAOPT </w:t>
            </w:r>
            <w:r w:rsidRPr="00CD2C01">
              <w:rPr>
                <w:rFonts w:eastAsia="Calibri"/>
                <w:i/>
                <w:iCs/>
                <w:vertAlign w:val="subscript"/>
              </w:rPr>
              <w:t>mp</w:t>
            </w:r>
            <w:r w:rsidRPr="00CD2C01">
              <w:rPr>
                <w:rFonts w:eastAsia="Calibri"/>
                <w:iCs/>
                <w:vertAlign w:val="subscript"/>
              </w:rPr>
              <w:t xml:space="preserve"> </w:t>
            </w:r>
            <w:r w:rsidRPr="00CD2C01">
              <w:rPr>
                <w:rFonts w:eastAsia="Calibri"/>
                <w:iCs/>
              </w:rPr>
              <w:t>+ UDAOBL </w:t>
            </w:r>
            <w:r w:rsidRPr="00CD2C01">
              <w:rPr>
                <w:rFonts w:eastAsia="Calibri"/>
                <w:i/>
                <w:iCs/>
                <w:vertAlign w:val="subscript"/>
              </w:rPr>
              <w:t>mp</w:t>
            </w:r>
            <w:r w:rsidRPr="00CD2C01">
              <w:rPr>
                <w:iCs/>
              </w:rPr>
              <w:t xml:space="preserve">), </w:t>
            </w:r>
          </w:p>
          <w:p w14:paraId="140F7093" w14:textId="1FBB4E96" w:rsidR="00C4046B" w:rsidRPr="00C4046B" w:rsidRDefault="00D211B0" w:rsidP="0062198B">
            <w:pPr>
              <w:spacing w:after="240"/>
              <w:ind w:left="2160" w:firstLine="720"/>
              <w:rPr>
                <w:iCs/>
              </w:rPr>
            </w:pPr>
            <w:r w:rsidRPr="00D211B0">
              <w:t>∑</w:t>
            </w:r>
            <w:r w:rsidRPr="00D211B0">
              <w:rPr>
                <w:rFonts w:eastAsia="Calibri"/>
                <w:i/>
                <w:vertAlign w:val="subscript"/>
              </w:rPr>
              <w:t>mp</w:t>
            </w:r>
            <w:r w:rsidRPr="00D211B0">
              <w:rPr>
                <w:rFonts w:eastAsia="Calibri"/>
              </w:rPr>
              <w:t xml:space="preserve"> UDAASOAWD </w:t>
            </w:r>
            <w:r w:rsidRPr="00D211B0">
              <w:rPr>
                <w:rFonts w:eastAsia="Calibri"/>
                <w:i/>
                <w:vertAlign w:val="subscript"/>
              </w:rPr>
              <w:t>mp</w:t>
            </w:r>
            <w:r w:rsidR="00C4046B" w:rsidRPr="00CD2C01">
              <w:rPr>
                <w:iCs/>
              </w:rPr>
              <w:t>}</w:t>
            </w:r>
          </w:p>
        </w:tc>
      </w:tr>
    </w:tbl>
    <w:p w14:paraId="568CF082" w14:textId="77777777" w:rsidR="00881601" w:rsidRDefault="00881601" w:rsidP="00076E1C">
      <w:pPr>
        <w:pStyle w:val="BodyText"/>
        <w:spacing w:before="240"/>
        <w:ind w:left="1440"/>
        <w:rPr>
          <w:rFonts w:eastAsia="Calibri"/>
        </w:rPr>
      </w:pPr>
      <w:r w:rsidRPr="007F1065">
        <w:lastRenderedPageBreak/>
        <w:t>MMATOT = ∑</w:t>
      </w:r>
      <w:r w:rsidRPr="007F1065">
        <w:rPr>
          <w:rFonts w:eastAsia="Calibri"/>
          <w:i/>
          <w:vertAlign w:val="subscript"/>
        </w:rPr>
        <w:t>cp</w:t>
      </w:r>
      <w:r w:rsidRPr="007F1065">
        <w:rPr>
          <w:rFonts w:eastAsia="Calibri"/>
        </w:rPr>
        <w:t> (</w:t>
      </w:r>
      <w:r w:rsidRPr="007F1065">
        <w:rPr>
          <w:lang w:val="pt-BR"/>
        </w:rPr>
        <w:t>MMA</w:t>
      </w:r>
      <w:r w:rsidRPr="007F1065">
        <w:rPr>
          <w:rFonts w:eastAsia="Calibri"/>
          <w:i/>
          <w:vertAlign w:val="subscript"/>
        </w:rPr>
        <w:t>cp</w:t>
      </w:r>
      <w:r w:rsidRPr="007F1065">
        <w:rPr>
          <w:rFonts w:eastAsia="Calibri"/>
        </w:rPr>
        <w:t>)</w:t>
      </w:r>
    </w:p>
    <w:p w14:paraId="77F39DCA" w14:textId="77777777" w:rsidR="00881601" w:rsidRPr="002472A0" w:rsidRDefault="00881601" w:rsidP="00881601">
      <w:pPr>
        <w:pStyle w:val="BodyText"/>
        <w:ind w:left="720"/>
        <w:rPr>
          <w:rFonts w:eastAsia="Calibri"/>
        </w:rPr>
      </w:pPr>
      <w:r w:rsidRPr="002472A0">
        <w:rPr>
          <w:rFonts w:eastAsia="Calibri"/>
        </w:rPr>
        <w:t>Where:</w:t>
      </w:r>
    </w:p>
    <w:p w14:paraId="57F9442B" w14:textId="77777777" w:rsidR="00881601" w:rsidRPr="00D465F5" w:rsidRDefault="00881601" w:rsidP="00D465F5">
      <w:pPr>
        <w:pStyle w:val="FormulaBold"/>
        <w:rPr>
          <w:rFonts w:eastAsia="Calibri"/>
          <w:b w:val="0"/>
          <w:bCs/>
        </w:rPr>
      </w:pPr>
      <w:r w:rsidRPr="00D465F5">
        <w:rPr>
          <w:b w:val="0"/>
          <w:bCs/>
        </w:rPr>
        <w:t>URTMG </w:t>
      </w:r>
      <w:r w:rsidRPr="00D465F5">
        <w:rPr>
          <w:b w:val="0"/>
          <w:bCs/>
          <w:i/>
          <w:vertAlign w:val="subscript"/>
        </w:rPr>
        <w:t>mp</w:t>
      </w:r>
      <w:r w:rsidRPr="00D465F5">
        <w:rPr>
          <w:rFonts w:eastAsia="Calibri"/>
          <w:b w:val="0"/>
          <w:bCs/>
        </w:rPr>
        <w:t xml:space="preserve"> = </w:t>
      </w:r>
      <w:r w:rsidRPr="00D465F5">
        <w:rPr>
          <w:b w:val="0"/>
          <w:bCs/>
        </w:rPr>
        <w:t>∑</w:t>
      </w:r>
      <w:r w:rsidRPr="00D465F5">
        <w:rPr>
          <w:b w:val="0"/>
          <w:bCs/>
          <w:i/>
          <w:vertAlign w:val="subscript"/>
        </w:rPr>
        <w:t>p, r, i</w:t>
      </w:r>
      <w:r w:rsidRPr="00D465F5">
        <w:rPr>
          <w:b w:val="0"/>
          <w:bCs/>
        </w:rPr>
        <w:t xml:space="preserve"> (RTMG </w:t>
      </w:r>
      <w:r w:rsidRPr="00D465F5">
        <w:rPr>
          <w:b w:val="0"/>
          <w:bCs/>
          <w:i/>
          <w:vertAlign w:val="subscript"/>
        </w:rPr>
        <w:t>mp, p, r, i</w:t>
      </w:r>
      <w:r w:rsidRPr="00D465F5">
        <w:rPr>
          <w:b w:val="0"/>
          <w:bCs/>
        </w:rPr>
        <w:t>), excluding RTMG for RMR Resources and RTMG in Reliability Unit Commitment (RUC)-Committed Intervals for RUC-committed Resources</w:t>
      </w:r>
    </w:p>
    <w:p w14:paraId="10B91425" w14:textId="77777777" w:rsidR="00881601" w:rsidRPr="00D465F5" w:rsidRDefault="00881601" w:rsidP="00D465F5">
      <w:pPr>
        <w:pStyle w:val="FormulaBold"/>
        <w:rPr>
          <w:rFonts w:eastAsia="Calibri"/>
          <w:b w:val="0"/>
          <w:bCs/>
        </w:rPr>
      </w:pPr>
      <w:r w:rsidRPr="00D465F5">
        <w:rPr>
          <w:rFonts w:eastAsia="Calibri"/>
          <w:b w:val="0"/>
          <w:bCs/>
        </w:rPr>
        <w:t>URTDCIMP</w:t>
      </w:r>
      <w:r w:rsidRPr="00D465F5">
        <w:rPr>
          <w:b w:val="0"/>
          <w:bCs/>
        </w:rPr>
        <w:t> </w:t>
      </w:r>
      <w:r w:rsidRPr="00D465F5">
        <w:rPr>
          <w:b w:val="0"/>
          <w:bCs/>
          <w:i/>
          <w:vertAlign w:val="subscript"/>
        </w:rPr>
        <w:t>mp</w:t>
      </w:r>
      <w:r w:rsidRPr="00D465F5">
        <w:rPr>
          <w:rFonts w:eastAsia="Calibri"/>
          <w:b w:val="0"/>
          <w:bCs/>
        </w:rPr>
        <w:t xml:space="preserve"> = </w:t>
      </w:r>
      <w:r w:rsidRPr="00D465F5">
        <w:rPr>
          <w:b w:val="0"/>
          <w:bCs/>
        </w:rPr>
        <w:t>∑</w:t>
      </w:r>
      <w:r w:rsidRPr="00D465F5">
        <w:rPr>
          <w:b w:val="0"/>
          <w:bCs/>
          <w:i/>
          <w:vertAlign w:val="subscript"/>
        </w:rPr>
        <w:t>p, i</w:t>
      </w:r>
      <w:r w:rsidRPr="00D465F5">
        <w:rPr>
          <w:b w:val="0"/>
          <w:bCs/>
        </w:rPr>
        <w:t xml:space="preserve"> (RTDCIMP </w:t>
      </w:r>
      <w:r w:rsidRPr="00D465F5">
        <w:rPr>
          <w:b w:val="0"/>
          <w:bCs/>
          <w:i/>
          <w:vertAlign w:val="subscript"/>
        </w:rPr>
        <w:t>mp, p, i</w:t>
      </w:r>
      <w:r w:rsidRPr="00D465F5">
        <w:rPr>
          <w:b w:val="0"/>
          <w:bCs/>
        </w:rPr>
        <w:t>) / 4</w:t>
      </w:r>
    </w:p>
    <w:p w14:paraId="27467FD9" w14:textId="77777777" w:rsidR="00881601" w:rsidRPr="00D465F5" w:rsidRDefault="00881601" w:rsidP="00D465F5">
      <w:pPr>
        <w:pStyle w:val="FormulaBold"/>
        <w:rPr>
          <w:b w:val="0"/>
          <w:bCs/>
        </w:rPr>
      </w:pPr>
      <w:r w:rsidRPr="00D465F5">
        <w:rPr>
          <w:rFonts w:eastAsia="Calibri"/>
          <w:b w:val="0"/>
          <w:bCs/>
        </w:rPr>
        <w:t>URTAML</w:t>
      </w:r>
      <w:r w:rsidRPr="00D465F5">
        <w:rPr>
          <w:b w:val="0"/>
          <w:bCs/>
        </w:rPr>
        <w:t> </w:t>
      </w:r>
      <w:r w:rsidRPr="00D465F5">
        <w:rPr>
          <w:b w:val="0"/>
          <w:bCs/>
          <w:i/>
          <w:vertAlign w:val="subscript"/>
        </w:rPr>
        <w:t>mp</w:t>
      </w:r>
      <w:r w:rsidRPr="00D465F5">
        <w:rPr>
          <w:rFonts w:eastAsia="Calibri"/>
          <w:b w:val="0"/>
          <w:bCs/>
        </w:rPr>
        <w:t xml:space="preserve"> = </w:t>
      </w:r>
      <w:r w:rsidR="006A6713" w:rsidRPr="00D465F5">
        <w:rPr>
          <w:rFonts w:eastAsia="Calibri"/>
          <w:b w:val="0"/>
          <w:bCs/>
        </w:rPr>
        <w:t>max(0,</w:t>
      </w:r>
      <w:r w:rsidRPr="00D465F5">
        <w:rPr>
          <w:b w:val="0"/>
          <w:bCs/>
        </w:rPr>
        <w:t>∑</w:t>
      </w:r>
      <w:r w:rsidRPr="00D465F5">
        <w:rPr>
          <w:b w:val="0"/>
          <w:bCs/>
          <w:i/>
          <w:vertAlign w:val="subscript"/>
        </w:rPr>
        <w:t>p, i</w:t>
      </w:r>
      <w:r w:rsidRPr="00D465F5">
        <w:rPr>
          <w:b w:val="0"/>
          <w:bCs/>
        </w:rPr>
        <w:t xml:space="preserve"> (RTAML </w:t>
      </w:r>
      <w:r w:rsidRPr="00D465F5">
        <w:rPr>
          <w:b w:val="0"/>
          <w:bCs/>
          <w:i/>
          <w:vertAlign w:val="subscript"/>
        </w:rPr>
        <w:t>mp, p, i</w:t>
      </w:r>
      <w:r w:rsidRPr="00D465F5">
        <w:rPr>
          <w:b w:val="0"/>
          <w:bCs/>
        </w:rPr>
        <w:t>)</w:t>
      </w:r>
      <w:r w:rsidR="006A6713" w:rsidRPr="00D465F5">
        <w:rPr>
          <w:b w:val="0"/>
          <w:bCs/>
        </w:rPr>
        <w:t>)</w:t>
      </w:r>
    </w:p>
    <w:p w14:paraId="56A36858" w14:textId="77777777" w:rsidR="00881601" w:rsidRPr="00D465F5" w:rsidRDefault="00881601" w:rsidP="00D465F5">
      <w:pPr>
        <w:pStyle w:val="FormulaBold"/>
        <w:rPr>
          <w:b w:val="0"/>
          <w:bCs/>
        </w:rPr>
      </w:pPr>
      <w:r w:rsidRPr="00D465F5">
        <w:rPr>
          <w:rFonts w:eastAsia="Calibri"/>
          <w:b w:val="0"/>
          <w:bCs/>
        </w:rPr>
        <w:t>URTQQES</w:t>
      </w:r>
      <w:r w:rsidRPr="00D465F5">
        <w:rPr>
          <w:b w:val="0"/>
          <w:bCs/>
        </w:rPr>
        <w:t> </w:t>
      </w:r>
      <w:r w:rsidRPr="00D465F5">
        <w:rPr>
          <w:b w:val="0"/>
          <w:bCs/>
          <w:i/>
          <w:vertAlign w:val="subscript"/>
        </w:rPr>
        <w:t>mp</w:t>
      </w:r>
      <w:r w:rsidRPr="00D465F5">
        <w:rPr>
          <w:rFonts w:eastAsia="Calibri"/>
          <w:b w:val="0"/>
          <w:bCs/>
        </w:rPr>
        <w:t xml:space="preserve"> = </w:t>
      </w:r>
      <w:r w:rsidRPr="00D465F5">
        <w:rPr>
          <w:b w:val="0"/>
          <w:bCs/>
        </w:rPr>
        <w:t>∑</w:t>
      </w:r>
      <w:r w:rsidRPr="00D465F5">
        <w:rPr>
          <w:b w:val="0"/>
          <w:bCs/>
          <w:i/>
          <w:vertAlign w:val="subscript"/>
        </w:rPr>
        <w:t>p, i</w:t>
      </w:r>
      <w:r w:rsidRPr="00D465F5">
        <w:rPr>
          <w:b w:val="0"/>
          <w:bCs/>
        </w:rPr>
        <w:t xml:space="preserve"> (</w:t>
      </w:r>
      <w:r w:rsidRPr="00D465F5">
        <w:rPr>
          <w:rFonts w:eastAsia="Calibri"/>
          <w:b w:val="0"/>
          <w:bCs/>
        </w:rPr>
        <w:t>RTQQES </w:t>
      </w:r>
      <w:r w:rsidRPr="00D465F5">
        <w:rPr>
          <w:b w:val="0"/>
          <w:bCs/>
          <w:i/>
          <w:vertAlign w:val="subscript"/>
        </w:rPr>
        <w:t>mp, p, i</w:t>
      </w:r>
      <w:r w:rsidRPr="00D465F5">
        <w:rPr>
          <w:b w:val="0"/>
          <w:bCs/>
        </w:rPr>
        <w:t>) / 4</w:t>
      </w:r>
    </w:p>
    <w:p w14:paraId="55E6E0DE" w14:textId="77777777" w:rsidR="00881601" w:rsidRPr="00D465F5" w:rsidRDefault="00881601" w:rsidP="00D465F5">
      <w:pPr>
        <w:pStyle w:val="FormulaBold"/>
        <w:rPr>
          <w:b w:val="0"/>
          <w:bCs/>
        </w:rPr>
      </w:pPr>
      <w:r w:rsidRPr="00D465F5">
        <w:rPr>
          <w:rFonts w:eastAsia="Calibri"/>
          <w:b w:val="0"/>
          <w:bCs/>
        </w:rPr>
        <w:t>URTQQEP</w:t>
      </w:r>
      <w:r w:rsidRPr="00D465F5">
        <w:rPr>
          <w:b w:val="0"/>
          <w:bCs/>
        </w:rPr>
        <w:t> </w:t>
      </w:r>
      <w:r w:rsidRPr="00D465F5">
        <w:rPr>
          <w:b w:val="0"/>
          <w:bCs/>
          <w:i/>
          <w:vertAlign w:val="subscript"/>
        </w:rPr>
        <w:t>mp</w:t>
      </w:r>
      <w:r w:rsidRPr="00D465F5">
        <w:rPr>
          <w:rFonts w:eastAsia="Calibri"/>
          <w:b w:val="0"/>
          <w:bCs/>
        </w:rPr>
        <w:t xml:space="preserve"> = </w:t>
      </w:r>
      <w:r w:rsidRPr="00D465F5">
        <w:rPr>
          <w:b w:val="0"/>
          <w:bCs/>
        </w:rPr>
        <w:t>∑</w:t>
      </w:r>
      <w:r w:rsidRPr="00D465F5">
        <w:rPr>
          <w:b w:val="0"/>
          <w:bCs/>
          <w:i/>
          <w:vertAlign w:val="subscript"/>
        </w:rPr>
        <w:t>p, i</w:t>
      </w:r>
      <w:r w:rsidRPr="00D465F5">
        <w:rPr>
          <w:b w:val="0"/>
          <w:bCs/>
        </w:rPr>
        <w:t xml:space="preserve"> (</w:t>
      </w:r>
      <w:r w:rsidRPr="00D465F5">
        <w:rPr>
          <w:rFonts w:eastAsia="Calibri"/>
          <w:b w:val="0"/>
          <w:bCs/>
        </w:rPr>
        <w:t>RTQQEP </w:t>
      </w:r>
      <w:r w:rsidRPr="00D465F5">
        <w:rPr>
          <w:b w:val="0"/>
          <w:bCs/>
          <w:i/>
          <w:vertAlign w:val="subscript"/>
        </w:rPr>
        <w:t>mp, p, i</w:t>
      </w:r>
      <w:r w:rsidRPr="00D465F5">
        <w:rPr>
          <w:b w:val="0"/>
          <w:bCs/>
        </w:rPr>
        <w:t>) / 4</w:t>
      </w:r>
    </w:p>
    <w:p w14:paraId="154D89E1" w14:textId="77777777" w:rsidR="00881601" w:rsidRPr="00D465F5" w:rsidRDefault="00881601" w:rsidP="00D465F5">
      <w:pPr>
        <w:pStyle w:val="FormulaBold"/>
        <w:rPr>
          <w:b w:val="0"/>
          <w:bCs/>
        </w:rPr>
      </w:pPr>
      <w:r w:rsidRPr="00D465F5">
        <w:rPr>
          <w:rFonts w:eastAsia="Calibri"/>
          <w:b w:val="0"/>
          <w:bCs/>
        </w:rPr>
        <w:t>UDAES</w:t>
      </w:r>
      <w:r w:rsidRPr="00D465F5">
        <w:rPr>
          <w:b w:val="0"/>
          <w:bCs/>
        </w:rPr>
        <w:t> </w:t>
      </w:r>
      <w:r w:rsidRPr="00D465F5">
        <w:rPr>
          <w:b w:val="0"/>
          <w:bCs/>
          <w:i/>
          <w:vertAlign w:val="subscript"/>
        </w:rPr>
        <w:t>mp</w:t>
      </w:r>
      <w:r w:rsidRPr="00D465F5">
        <w:rPr>
          <w:rFonts w:eastAsia="Calibri"/>
          <w:b w:val="0"/>
          <w:bCs/>
        </w:rPr>
        <w:t xml:space="preserve"> = </w:t>
      </w:r>
      <w:r w:rsidRPr="00D465F5">
        <w:rPr>
          <w:b w:val="0"/>
          <w:bCs/>
        </w:rPr>
        <w:t>∑</w:t>
      </w:r>
      <w:r w:rsidRPr="00D465F5">
        <w:rPr>
          <w:b w:val="0"/>
          <w:bCs/>
          <w:i/>
          <w:vertAlign w:val="subscript"/>
        </w:rPr>
        <w:t>p, h</w:t>
      </w:r>
      <w:r w:rsidRPr="00D465F5">
        <w:rPr>
          <w:b w:val="0"/>
          <w:bCs/>
        </w:rPr>
        <w:t xml:space="preserve"> (</w:t>
      </w:r>
      <w:r w:rsidRPr="00D465F5">
        <w:rPr>
          <w:rFonts w:eastAsia="Calibri"/>
          <w:b w:val="0"/>
          <w:bCs/>
        </w:rPr>
        <w:t>DAES </w:t>
      </w:r>
      <w:r w:rsidRPr="00D465F5">
        <w:rPr>
          <w:b w:val="0"/>
          <w:bCs/>
          <w:i/>
          <w:vertAlign w:val="subscript"/>
        </w:rPr>
        <w:t>mp, p, h</w:t>
      </w:r>
      <w:r w:rsidRPr="00D465F5">
        <w:rPr>
          <w:b w:val="0"/>
          <w:bCs/>
        </w:rPr>
        <w:t>)</w:t>
      </w:r>
    </w:p>
    <w:p w14:paraId="5AAF3F6C" w14:textId="77777777" w:rsidR="00881601" w:rsidRPr="00D465F5" w:rsidRDefault="00881601" w:rsidP="00D465F5">
      <w:pPr>
        <w:pStyle w:val="FormulaBold"/>
        <w:rPr>
          <w:b w:val="0"/>
          <w:bCs/>
        </w:rPr>
      </w:pPr>
      <w:r w:rsidRPr="00D465F5">
        <w:rPr>
          <w:rFonts w:eastAsia="Calibri"/>
          <w:b w:val="0"/>
          <w:bCs/>
        </w:rPr>
        <w:t>UDAEP</w:t>
      </w:r>
      <w:r w:rsidRPr="00D465F5">
        <w:rPr>
          <w:b w:val="0"/>
          <w:bCs/>
        </w:rPr>
        <w:t> </w:t>
      </w:r>
      <w:r w:rsidRPr="00D465F5">
        <w:rPr>
          <w:b w:val="0"/>
          <w:bCs/>
          <w:i/>
          <w:vertAlign w:val="subscript"/>
        </w:rPr>
        <w:t>mp</w:t>
      </w:r>
      <w:r w:rsidRPr="00D465F5">
        <w:rPr>
          <w:rFonts w:eastAsia="Calibri"/>
          <w:b w:val="0"/>
          <w:bCs/>
        </w:rPr>
        <w:t xml:space="preserve"> = </w:t>
      </w:r>
      <w:r w:rsidRPr="00D465F5">
        <w:rPr>
          <w:b w:val="0"/>
          <w:bCs/>
        </w:rPr>
        <w:t>∑</w:t>
      </w:r>
      <w:r w:rsidRPr="00D465F5">
        <w:rPr>
          <w:b w:val="0"/>
          <w:bCs/>
          <w:i/>
          <w:vertAlign w:val="subscript"/>
        </w:rPr>
        <w:t>p, h</w:t>
      </w:r>
      <w:r w:rsidRPr="00D465F5">
        <w:rPr>
          <w:b w:val="0"/>
          <w:bCs/>
        </w:rPr>
        <w:t xml:space="preserve"> (</w:t>
      </w:r>
      <w:r w:rsidRPr="00D465F5">
        <w:rPr>
          <w:rFonts w:eastAsia="Calibri"/>
          <w:b w:val="0"/>
          <w:bCs/>
        </w:rPr>
        <w:t>DAEP </w:t>
      </w:r>
      <w:r w:rsidRPr="00D465F5">
        <w:rPr>
          <w:b w:val="0"/>
          <w:bCs/>
          <w:i/>
          <w:vertAlign w:val="subscript"/>
        </w:rPr>
        <w:t>mp, p, h</w:t>
      </w:r>
      <w:r w:rsidRPr="00D465F5">
        <w:rPr>
          <w:b w:val="0"/>
          <w:bCs/>
        </w:rPr>
        <w:t>)</w:t>
      </w:r>
    </w:p>
    <w:p w14:paraId="10210567" w14:textId="77777777" w:rsidR="00881601" w:rsidRPr="00D465F5" w:rsidRDefault="00881601" w:rsidP="00D465F5">
      <w:pPr>
        <w:pStyle w:val="FormulaBold"/>
        <w:rPr>
          <w:b w:val="0"/>
          <w:bCs/>
        </w:rPr>
      </w:pPr>
      <w:r w:rsidRPr="00D465F5">
        <w:rPr>
          <w:rFonts w:eastAsia="Calibri"/>
          <w:b w:val="0"/>
          <w:bCs/>
        </w:rPr>
        <w:t>URTOBL</w:t>
      </w:r>
      <w:r w:rsidRPr="00D465F5">
        <w:rPr>
          <w:b w:val="0"/>
          <w:bCs/>
        </w:rPr>
        <w:t> </w:t>
      </w:r>
      <w:r w:rsidRPr="00D465F5">
        <w:rPr>
          <w:b w:val="0"/>
          <w:bCs/>
          <w:vertAlign w:val="subscript"/>
        </w:rPr>
        <w:t>mp</w:t>
      </w:r>
      <w:r w:rsidRPr="00D465F5">
        <w:rPr>
          <w:rFonts w:eastAsia="Calibri"/>
          <w:b w:val="0"/>
          <w:bCs/>
        </w:rPr>
        <w:t xml:space="preserve"> = </w:t>
      </w:r>
      <w:r w:rsidRPr="00D465F5">
        <w:rPr>
          <w:b w:val="0"/>
          <w:bCs/>
        </w:rPr>
        <w:t>∑</w:t>
      </w:r>
      <w:r w:rsidRPr="00D465F5">
        <w:rPr>
          <w:b w:val="0"/>
          <w:bCs/>
          <w:vertAlign w:val="subscript"/>
        </w:rPr>
        <w:t>(j, k), h</w:t>
      </w:r>
      <w:r w:rsidRPr="00D465F5">
        <w:rPr>
          <w:b w:val="0"/>
          <w:bCs/>
        </w:rPr>
        <w:t xml:space="preserve"> (</w:t>
      </w:r>
      <w:r w:rsidRPr="00D465F5">
        <w:rPr>
          <w:rFonts w:eastAsia="Calibri"/>
          <w:b w:val="0"/>
          <w:bCs/>
        </w:rPr>
        <w:t>RTOBL</w:t>
      </w:r>
      <w:r w:rsidRPr="00D465F5">
        <w:rPr>
          <w:b w:val="0"/>
          <w:bCs/>
          <w:vertAlign w:val="subscript"/>
        </w:rPr>
        <w:t xml:space="preserve"> mp, (</w:t>
      </w:r>
      <w:r w:rsidRPr="00D465F5">
        <w:rPr>
          <w:rFonts w:eastAsia="Calibri"/>
          <w:b w:val="0"/>
          <w:bCs/>
          <w:vertAlign w:val="subscript"/>
        </w:rPr>
        <w:t>j, k), h</w:t>
      </w:r>
      <w:r w:rsidRPr="00D465F5">
        <w:rPr>
          <w:b w:val="0"/>
          <w:bCs/>
        </w:rPr>
        <w:t>)</w:t>
      </w:r>
    </w:p>
    <w:p w14:paraId="5DD8FADC" w14:textId="77777777" w:rsidR="00881601" w:rsidRPr="00D465F5" w:rsidRDefault="00881601" w:rsidP="00D465F5">
      <w:pPr>
        <w:pStyle w:val="FormulaBold"/>
        <w:rPr>
          <w:b w:val="0"/>
          <w:bCs/>
        </w:rPr>
      </w:pPr>
      <w:r w:rsidRPr="00D465F5">
        <w:rPr>
          <w:rFonts w:eastAsia="Calibri"/>
          <w:b w:val="0"/>
          <w:bCs/>
        </w:rPr>
        <w:t>URTOBLLO</w:t>
      </w:r>
      <w:r w:rsidRPr="00D465F5">
        <w:rPr>
          <w:b w:val="0"/>
          <w:bCs/>
        </w:rPr>
        <w:t> </w:t>
      </w:r>
      <w:r w:rsidRPr="00D465F5">
        <w:rPr>
          <w:b w:val="0"/>
          <w:bCs/>
          <w:i/>
          <w:vertAlign w:val="subscript"/>
        </w:rPr>
        <w:t>mp</w:t>
      </w:r>
      <w:r w:rsidRPr="00D465F5">
        <w:rPr>
          <w:rFonts w:eastAsia="Calibri"/>
          <w:b w:val="0"/>
          <w:bCs/>
        </w:rPr>
        <w:t xml:space="preserve"> = </w:t>
      </w:r>
      <w:r w:rsidRPr="00D465F5">
        <w:rPr>
          <w:b w:val="0"/>
          <w:bCs/>
        </w:rPr>
        <w:t>∑</w:t>
      </w:r>
      <w:r w:rsidRPr="00D465F5">
        <w:rPr>
          <w:b w:val="0"/>
          <w:bCs/>
          <w:i/>
          <w:vertAlign w:val="subscript"/>
        </w:rPr>
        <w:t>(j, k), h</w:t>
      </w:r>
      <w:r w:rsidRPr="00D465F5">
        <w:rPr>
          <w:b w:val="0"/>
          <w:bCs/>
        </w:rPr>
        <w:t xml:space="preserve"> (RT</w:t>
      </w:r>
      <w:r w:rsidRPr="00D465F5">
        <w:rPr>
          <w:rFonts w:eastAsia="Calibri"/>
          <w:b w:val="0"/>
          <w:bCs/>
        </w:rPr>
        <w:t>OBLLO</w:t>
      </w:r>
      <w:r w:rsidRPr="00D465F5">
        <w:rPr>
          <w:b w:val="0"/>
          <w:bCs/>
          <w:vertAlign w:val="subscript"/>
        </w:rPr>
        <w:t xml:space="preserve"> </w:t>
      </w:r>
      <w:r w:rsidRPr="00D465F5">
        <w:rPr>
          <w:b w:val="0"/>
          <w:bCs/>
          <w:i/>
          <w:vertAlign w:val="subscript"/>
        </w:rPr>
        <w:t>mp, (</w:t>
      </w:r>
      <w:r w:rsidRPr="00D465F5">
        <w:rPr>
          <w:rFonts w:eastAsia="Calibri"/>
          <w:b w:val="0"/>
          <w:bCs/>
          <w:i/>
          <w:vertAlign w:val="subscript"/>
        </w:rPr>
        <w:t>j, k), h</w:t>
      </w:r>
      <w:r w:rsidRPr="00D465F5">
        <w:rPr>
          <w:b w:val="0"/>
          <w:bCs/>
        </w:rPr>
        <w:t>)</w:t>
      </w:r>
    </w:p>
    <w:p w14:paraId="681CBDD5" w14:textId="77777777" w:rsidR="00881601" w:rsidRPr="00D465F5" w:rsidRDefault="00881601" w:rsidP="00D465F5">
      <w:pPr>
        <w:pStyle w:val="FormulaBold"/>
        <w:rPr>
          <w:b w:val="0"/>
          <w:bCs/>
        </w:rPr>
      </w:pPr>
      <w:r w:rsidRPr="00D465F5">
        <w:rPr>
          <w:b w:val="0"/>
          <w:bCs/>
        </w:rPr>
        <w:t>UDAOPT </w:t>
      </w:r>
      <w:r w:rsidRPr="00D465F5">
        <w:rPr>
          <w:b w:val="0"/>
          <w:bCs/>
          <w:vertAlign w:val="subscript"/>
        </w:rPr>
        <w:t>mp</w:t>
      </w:r>
      <w:r w:rsidRPr="00D465F5">
        <w:rPr>
          <w:rFonts w:eastAsia="Calibri"/>
          <w:b w:val="0"/>
          <w:bCs/>
        </w:rPr>
        <w:t xml:space="preserve"> = </w:t>
      </w:r>
      <w:r w:rsidRPr="00D465F5">
        <w:rPr>
          <w:b w:val="0"/>
          <w:bCs/>
        </w:rPr>
        <w:t>∑</w:t>
      </w:r>
      <w:r w:rsidRPr="00D465F5">
        <w:rPr>
          <w:b w:val="0"/>
          <w:bCs/>
          <w:vertAlign w:val="subscript"/>
        </w:rPr>
        <w:t>(j, k), h</w:t>
      </w:r>
      <w:r w:rsidRPr="00D465F5">
        <w:rPr>
          <w:b w:val="0"/>
          <w:bCs/>
        </w:rPr>
        <w:t xml:space="preserve"> (</w:t>
      </w:r>
      <w:r w:rsidRPr="00D465F5">
        <w:rPr>
          <w:rFonts w:eastAsia="Calibri"/>
          <w:b w:val="0"/>
          <w:bCs/>
        </w:rPr>
        <w:t>DAOPT</w:t>
      </w:r>
      <w:r w:rsidRPr="00D465F5">
        <w:rPr>
          <w:b w:val="0"/>
          <w:bCs/>
          <w:vertAlign w:val="subscript"/>
        </w:rPr>
        <w:t xml:space="preserve"> mp, (</w:t>
      </w:r>
      <w:r w:rsidRPr="00D465F5">
        <w:rPr>
          <w:rFonts w:eastAsia="Calibri"/>
          <w:b w:val="0"/>
          <w:bCs/>
          <w:vertAlign w:val="subscript"/>
        </w:rPr>
        <w:t>j, k), h</w:t>
      </w:r>
      <w:r w:rsidRPr="00D465F5">
        <w:rPr>
          <w:b w:val="0"/>
          <w:bCs/>
        </w:rPr>
        <w:t>)</w:t>
      </w:r>
    </w:p>
    <w:p w14:paraId="31AB9482" w14:textId="77777777" w:rsidR="00881601" w:rsidRPr="00D465F5" w:rsidRDefault="00881601" w:rsidP="00D465F5">
      <w:pPr>
        <w:pStyle w:val="FormulaBold"/>
        <w:rPr>
          <w:b w:val="0"/>
          <w:bCs/>
        </w:rPr>
      </w:pPr>
      <w:r w:rsidRPr="00D465F5">
        <w:rPr>
          <w:rFonts w:eastAsia="Calibri"/>
          <w:b w:val="0"/>
          <w:bCs/>
        </w:rPr>
        <w:t>UDAOBL</w:t>
      </w:r>
      <w:r w:rsidRPr="00D465F5">
        <w:rPr>
          <w:b w:val="0"/>
          <w:bCs/>
        </w:rPr>
        <w:t> </w:t>
      </w:r>
      <w:r w:rsidRPr="00D465F5">
        <w:rPr>
          <w:b w:val="0"/>
          <w:bCs/>
          <w:vertAlign w:val="subscript"/>
        </w:rPr>
        <w:t>mp</w:t>
      </w:r>
      <w:r w:rsidRPr="00D465F5">
        <w:rPr>
          <w:rFonts w:eastAsia="Calibri"/>
          <w:b w:val="0"/>
          <w:bCs/>
        </w:rPr>
        <w:t xml:space="preserve"> = </w:t>
      </w:r>
      <w:r w:rsidRPr="00D465F5">
        <w:rPr>
          <w:b w:val="0"/>
          <w:bCs/>
        </w:rPr>
        <w:t>∑</w:t>
      </w:r>
      <w:r w:rsidRPr="00D465F5">
        <w:rPr>
          <w:b w:val="0"/>
          <w:bCs/>
          <w:vertAlign w:val="subscript"/>
        </w:rPr>
        <w:t>(j, k), h</w:t>
      </w:r>
      <w:r w:rsidRPr="00D465F5">
        <w:rPr>
          <w:b w:val="0"/>
          <w:bCs/>
        </w:rPr>
        <w:t xml:space="preserve"> (</w:t>
      </w:r>
      <w:r w:rsidRPr="00D465F5">
        <w:rPr>
          <w:rFonts w:eastAsia="Calibri"/>
          <w:b w:val="0"/>
          <w:bCs/>
        </w:rPr>
        <w:t>DAOBL</w:t>
      </w:r>
      <w:r w:rsidRPr="00D465F5">
        <w:rPr>
          <w:b w:val="0"/>
          <w:bCs/>
          <w:vertAlign w:val="subscript"/>
        </w:rPr>
        <w:t xml:space="preserve"> mp, (</w:t>
      </w:r>
      <w:r w:rsidRPr="00D465F5">
        <w:rPr>
          <w:rFonts w:eastAsia="Calibri"/>
          <w:b w:val="0"/>
          <w:bCs/>
          <w:vertAlign w:val="subscript"/>
        </w:rPr>
        <w:t>j, k), h</w:t>
      </w:r>
      <w:r w:rsidRPr="00D465F5">
        <w:rPr>
          <w:b w:val="0"/>
          <w:bCs/>
        </w:rPr>
        <w:t>)</w:t>
      </w:r>
    </w:p>
    <w:p w14:paraId="1E6D09EF" w14:textId="77777777" w:rsidR="00881601" w:rsidRPr="00D465F5" w:rsidRDefault="00881601" w:rsidP="00D465F5">
      <w:pPr>
        <w:pStyle w:val="FormulaBold"/>
        <w:rPr>
          <w:b w:val="0"/>
          <w:bCs/>
        </w:rPr>
      </w:pPr>
      <w:r w:rsidRPr="00D465F5">
        <w:rPr>
          <w:rFonts w:eastAsia="Calibri"/>
          <w:b w:val="0"/>
          <w:bCs/>
        </w:rPr>
        <w:lastRenderedPageBreak/>
        <w:t>UOPTS</w:t>
      </w:r>
      <w:r w:rsidRPr="00D465F5">
        <w:rPr>
          <w:b w:val="0"/>
          <w:bCs/>
        </w:rPr>
        <w:t> </w:t>
      </w:r>
      <w:r w:rsidRPr="00D465F5">
        <w:rPr>
          <w:b w:val="0"/>
          <w:bCs/>
          <w:vertAlign w:val="subscript"/>
        </w:rPr>
        <w:t>mp</w:t>
      </w:r>
      <w:r w:rsidRPr="00D465F5">
        <w:rPr>
          <w:rFonts w:eastAsia="Calibri"/>
          <w:b w:val="0"/>
          <w:bCs/>
        </w:rPr>
        <w:t xml:space="preserve"> = </w:t>
      </w:r>
      <w:r w:rsidRPr="00D465F5">
        <w:rPr>
          <w:b w:val="0"/>
          <w:bCs/>
        </w:rPr>
        <w:t>∑</w:t>
      </w:r>
      <w:r w:rsidRPr="00D465F5">
        <w:rPr>
          <w:b w:val="0"/>
          <w:bCs/>
          <w:vertAlign w:val="subscript"/>
        </w:rPr>
        <w:t>(j, k), h</w:t>
      </w:r>
      <w:r w:rsidRPr="00D465F5">
        <w:rPr>
          <w:b w:val="0"/>
          <w:bCs/>
        </w:rPr>
        <w:t xml:space="preserve"> (</w:t>
      </w:r>
      <w:r w:rsidRPr="00D465F5">
        <w:rPr>
          <w:rFonts w:eastAsia="Calibri"/>
          <w:b w:val="0"/>
          <w:bCs/>
        </w:rPr>
        <w:t>OPTS</w:t>
      </w:r>
      <w:r w:rsidRPr="00D465F5">
        <w:rPr>
          <w:b w:val="0"/>
          <w:bCs/>
          <w:vertAlign w:val="subscript"/>
        </w:rPr>
        <w:t xml:space="preserve"> mp, (</w:t>
      </w:r>
      <w:r w:rsidRPr="00D465F5">
        <w:rPr>
          <w:rFonts w:eastAsia="Calibri"/>
          <w:b w:val="0"/>
          <w:bCs/>
          <w:vertAlign w:val="subscript"/>
        </w:rPr>
        <w:t>j, k), h</w:t>
      </w:r>
      <w:r w:rsidRPr="00D465F5">
        <w:rPr>
          <w:b w:val="0"/>
          <w:bCs/>
        </w:rPr>
        <w:t xml:space="preserve">) </w:t>
      </w:r>
    </w:p>
    <w:p w14:paraId="5822CCF8" w14:textId="77777777" w:rsidR="00881601" w:rsidRPr="00D465F5" w:rsidRDefault="00881601" w:rsidP="00D465F5">
      <w:pPr>
        <w:pStyle w:val="FormulaBold"/>
        <w:rPr>
          <w:b w:val="0"/>
          <w:bCs/>
        </w:rPr>
      </w:pPr>
      <w:r w:rsidRPr="00D465F5">
        <w:rPr>
          <w:rFonts w:eastAsia="Calibri"/>
          <w:b w:val="0"/>
          <w:bCs/>
        </w:rPr>
        <w:t>UOBLS</w:t>
      </w:r>
      <w:r w:rsidRPr="00D465F5">
        <w:rPr>
          <w:b w:val="0"/>
          <w:bCs/>
        </w:rPr>
        <w:t> </w:t>
      </w:r>
      <w:r w:rsidRPr="00D465F5">
        <w:rPr>
          <w:b w:val="0"/>
          <w:bCs/>
          <w:vertAlign w:val="subscript"/>
        </w:rPr>
        <w:t>mp</w:t>
      </w:r>
      <w:r w:rsidRPr="00D465F5">
        <w:rPr>
          <w:rFonts w:eastAsia="Calibri"/>
          <w:b w:val="0"/>
          <w:bCs/>
        </w:rPr>
        <w:t xml:space="preserve"> = </w:t>
      </w:r>
      <w:r w:rsidRPr="00D465F5">
        <w:rPr>
          <w:b w:val="0"/>
          <w:bCs/>
        </w:rPr>
        <w:t>∑</w:t>
      </w:r>
      <w:r w:rsidRPr="00D465F5">
        <w:rPr>
          <w:b w:val="0"/>
          <w:bCs/>
          <w:vertAlign w:val="subscript"/>
        </w:rPr>
        <w:t>(j, k), h</w:t>
      </w:r>
      <w:r w:rsidRPr="00D465F5">
        <w:rPr>
          <w:b w:val="0"/>
          <w:bCs/>
        </w:rPr>
        <w:t xml:space="preserve"> (</w:t>
      </w:r>
      <w:r w:rsidRPr="00D465F5">
        <w:rPr>
          <w:rFonts w:eastAsia="Calibri"/>
          <w:b w:val="0"/>
          <w:bCs/>
        </w:rPr>
        <w:t>OBLS</w:t>
      </w:r>
      <w:r w:rsidRPr="00D465F5">
        <w:rPr>
          <w:b w:val="0"/>
          <w:bCs/>
          <w:vertAlign w:val="subscript"/>
        </w:rPr>
        <w:t xml:space="preserve"> mp, (</w:t>
      </w:r>
      <w:r w:rsidRPr="00D465F5">
        <w:rPr>
          <w:rFonts w:eastAsia="Calibri"/>
          <w:b w:val="0"/>
          <w:bCs/>
          <w:vertAlign w:val="subscript"/>
        </w:rPr>
        <w:t>j, k), h</w:t>
      </w:r>
      <w:r w:rsidRPr="00D465F5">
        <w:rPr>
          <w:b w:val="0"/>
          <w:bCs/>
        </w:rPr>
        <w:t>)</w:t>
      </w:r>
    </w:p>
    <w:p w14:paraId="4A1E3A4F" w14:textId="77777777" w:rsidR="00881601" w:rsidRPr="00D465F5" w:rsidRDefault="00881601" w:rsidP="00D465F5">
      <w:pPr>
        <w:pStyle w:val="FormulaBold"/>
        <w:rPr>
          <w:b w:val="0"/>
          <w:bCs/>
        </w:rPr>
      </w:pPr>
      <w:r w:rsidRPr="00D465F5">
        <w:rPr>
          <w:rFonts w:eastAsia="Calibri"/>
          <w:b w:val="0"/>
          <w:bCs/>
        </w:rPr>
        <w:t>UOPTP</w:t>
      </w:r>
      <w:r w:rsidRPr="00D465F5">
        <w:rPr>
          <w:b w:val="0"/>
          <w:bCs/>
        </w:rPr>
        <w:t> </w:t>
      </w:r>
      <w:r w:rsidRPr="00D465F5">
        <w:rPr>
          <w:b w:val="0"/>
          <w:bCs/>
          <w:vertAlign w:val="subscript"/>
        </w:rPr>
        <w:t>mp</w:t>
      </w:r>
      <w:r w:rsidRPr="00D465F5">
        <w:rPr>
          <w:rFonts w:eastAsia="Calibri"/>
          <w:b w:val="0"/>
          <w:bCs/>
        </w:rPr>
        <w:t xml:space="preserve"> = </w:t>
      </w:r>
      <w:r w:rsidRPr="00D465F5">
        <w:rPr>
          <w:b w:val="0"/>
          <w:bCs/>
        </w:rPr>
        <w:t>∑</w:t>
      </w:r>
      <w:r w:rsidRPr="00D465F5">
        <w:rPr>
          <w:b w:val="0"/>
          <w:bCs/>
          <w:vertAlign w:val="subscript"/>
        </w:rPr>
        <w:t>(j, k), h</w:t>
      </w:r>
      <w:r w:rsidRPr="00D465F5">
        <w:rPr>
          <w:b w:val="0"/>
          <w:bCs/>
        </w:rPr>
        <w:t xml:space="preserve"> (</w:t>
      </w:r>
      <w:r w:rsidRPr="00D465F5">
        <w:rPr>
          <w:rFonts w:eastAsia="Calibri"/>
          <w:b w:val="0"/>
          <w:bCs/>
        </w:rPr>
        <w:t>OPTP</w:t>
      </w:r>
      <w:r w:rsidRPr="00D465F5">
        <w:rPr>
          <w:b w:val="0"/>
          <w:bCs/>
          <w:vertAlign w:val="subscript"/>
        </w:rPr>
        <w:t xml:space="preserve"> mp, </w:t>
      </w:r>
      <w:r w:rsidRPr="00D465F5">
        <w:rPr>
          <w:rFonts w:eastAsia="Calibri"/>
          <w:b w:val="0"/>
          <w:bCs/>
          <w:vertAlign w:val="subscript"/>
        </w:rPr>
        <w:t>j, h</w:t>
      </w:r>
      <w:r w:rsidRPr="00D465F5">
        <w:rPr>
          <w:b w:val="0"/>
          <w:bCs/>
        </w:rPr>
        <w:t>)</w:t>
      </w:r>
    </w:p>
    <w:p w14:paraId="04AFB7FA" w14:textId="77777777" w:rsidR="00881601" w:rsidRPr="00D465F5" w:rsidRDefault="00881601" w:rsidP="00D465F5">
      <w:pPr>
        <w:pStyle w:val="FormulaBold"/>
        <w:rPr>
          <w:b w:val="0"/>
          <w:bCs/>
          <w:lang w:val="en-US"/>
        </w:rPr>
      </w:pPr>
      <w:r w:rsidRPr="00D465F5">
        <w:rPr>
          <w:rFonts w:eastAsia="Calibri"/>
          <w:b w:val="0"/>
          <w:bCs/>
        </w:rPr>
        <w:t>UOBLP</w:t>
      </w:r>
      <w:r w:rsidRPr="00D465F5">
        <w:rPr>
          <w:b w:val="0"/>
          <w:bCs/>
        </w:rPr>
        <w:t> </w:t>
      </w:r>
      <w:r w:rsidRPr="00D465F5">
        <w:rPr>
          <w:b w:val="0"/>
          <w:bCs/>
          <w:vertAlign w:val="subscript"/>
        </w:rPr>
        <w:t>mp</w:t>
      </w:r>
      <w:r w:rsidRPr="00D465F5">
        <w:rPr>
          <w:rFonts w:eastAsia="Calibri"/>
          <w:b w:val="0"/>
          <w:bCs/>
        </w:rPr>
        <w:t xml:space="preserve"> = </w:t>
      </w:r>
      <w:r w:rsidRPr="00D465F5">
        <w:rPr>
          <w:b w:val="0"/>
          <w:bCs/>
        </w:rPr>
        <w:t>∑</w:t>
      </w:r>
      <w:r w:rsidRPr="00D465F5">
        <w:rPr>
          <w:b w:val="0"/>
          <w:bCs/>
          <w:vertAlign w:val="subscript"/>
        </w:rPr>
        <w:t>(j, k), h</w:t>
      </w:r>
      <w:r w:rsidRPr="00D465F5">
        <w:rPr>
          <w:b w:val="0"/>
          <w:bCs/>
        </w:rPr>
        <w:t xml:space="preserve"> (</w:t>
      </w:r>
      <w:r w:rsidRPr="00D465F5">
        <w:rPr>
          <w:rFonts w:eastAsia="Calibri"/>
          <w:b w:val="0"/>
          <w:bCs/>
        </w:rPr>
        <w:t>OBLP</w:t>
      </w:r>
      <w:r w:rsidRPr="00D465F5">
        <w:rPr>
          <w:b w:val="0"/>
          <w:bCs/>
          <w:vertAlign w:val="subscript"/>
        </w:rPr>
        <w:t xml:space="preserve"> mp, (</w:t>
      </w:r>
      <w:r w:rsidRPr="00D465F5">
        <w:rPr>
          <w:rFonts w:eastAsia="Calibri"/>
          <w:b w:val="0"/>
          <w:bCs/>
          <w:vertAlign w:val="subscript"/>
        </w:rPr>
        <w:t>j, k), h</w:t>
      </w:r>
      <w:r w:rsidRPr="00D465F5">
        <w:rPr>
          <w:b w:val="0"/>
          <w:bCs/>
        </w:rPr>
        <w:t>)</w:t>
      </w:r>
    </w:p>
    <w:tbl>
      <w:tblPr>
        <w:tblW w:w="976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3E0FF7" w:rsidRPr="00E566EB" w14:paraId="46A16562" w14:textId="77777777" w:rsidTr="00FE6580">
        <w:tc>
          <w:tcPr>
            <w:tcW w:w="9766" w:type="dxa"/>
            <w:shd w:val="pct12" w:color="auto" w:fill="auto"/>
          </w:tcPr>
          <w:p w14:paraId="496BC640" w14:textId="0B303ABD" w:rsidR="003E0FF7" w:rsidRPr="003E0FF7" w:rsidRDefault="003E0FF7" w:rsidP="003E0FF7">
            <w:pPr>
              <w:spacing w:before="120" w:after="240"/>
              <w:rPr>
                <w:b/>
                <w:i/>
                <w:iCs/>
              </w:rPr>
            </w:pPr>
            <w:r>
              <w:rPr>
                <w:b/>
                <w:i/>
                <w:iCs/>
              </w:rPr>
              <w:t>[NPRR1201</w:t>
            </w:r>
            <w:r w:rsidRPr="00E566EB">
              <w:rPr>
                <w:b/>
                <w:i/>
                <w:iCs/>
              </w:rPr>
              <w:t xml:space="preserve">: </w:t>
            </w:r>
            <w:r>
              <w:rPr>
                <w:b/>
                <w:i/>
                <w:iCs/>
              </w:rPr>
              <w:t xml:space="preserve"> Delete the formulas </w:t>
            </w:r>
            <w:r w:rsidRPr="005D0F36">
              <w:rPr>
                <w:b/>
                <w:i/>
                <w:iCs/>
              </w:rPr>
              <w:t>“</w:t>
            </w:r>
            <w:r w:rsidRPr="003E0FF7">
              <w:rPr>
                <w:b/>
                <w:i/>
                <w:iCs/>
                <w:lang w:val="x-none"/>
              </w:rPr>
              <w:t xml:space="preserve">UOPTS </w:t>
            </w:r>
            <w:r w:rsidRPr="003E0FF7">
              <w:rPr>
                <w:b/>
                <w:i/>
                <w:iCs/>
                <w:vertAlign w:val="subscript"/>
                <w:lang w:val="x-none"/>
              </w:rPr>
              <w:t>mp</w:t>
            </w:r>
            <w:r w:rsidRPr="005D0F36">
              <w:rPr>
                <w:b/>
                <w:i/>
                <w:iCs/>
              </w:rPr>
              <w:t>”</w:t>
            </w:r>
            <w:r>
              <w:rPr>
                <w:b/>
                <w:i/>
                <w:iCs/>
              </w:rPr>
              <w:t>, “</w:t>
            </w:r>
            <w:r w:rsidRPr="003E0FF7">
              <w:rPr>
                <w:b/>
                <w:i/>
                <w:iCs/>
              </w:rPr>
              <w:t>UOBLS</w:t>
            </w:r>
            <w:r w:rsidRPr="003E0FF7">
              <w:rPr>
                <w:b/>
                <w:i/>
                <w:iCs/>
                <w:lang w:val="x-none"/>
              </w:rPr>
              <w:t xml:space="preserve"> </w:t>
            </w:r>
            <w:r w:rsidRPr="003E0FF7">
              <w:rPr>
                <w:b/>
                <w:i/>
                <w:iCs/>
                <w:vertAlign w:val="subscript"/>
                <w:lang w:val="x-none"/>
              </w:rPr>
              <w:t>mp</w:t>
            </w:r>
            <w:r>
              <w:rPr>
                <w:b/>
                <w:i/>
                <w:iCs/>
              </w:rPr>
              <w:t>”, “</w:t>
            </w:r>
            <w:r w:rsidRPr="003E0FF7">
              <w:rPr>
                <w:b/>
                <w:i/>
                <w:iCs/>
              </w:rPr>
              <w:t>UOPTP</w:t>
            </w:r>
            <w:r w:rsidRPr="003E0FF7">
              <w:rPr>
                <w:b/>
                <w:i/>
                <w:iCs/>
                <w:lang w:val="x-none"/>
              </w:rPr>
              <w:t xml:space="preserve"> </w:t>
            </w:r>
            <w:r w:rsidRPr="003E0FF7">
              <w:rPr>
                <w:b/>
                <w:i/>
                <w:iCs/>
                <w:vertAlign w:val="subscript"/>
                <w:lang w:val="x-none"/>
              </w:rPr>
              <w:t>mp</w:t>
            </w:r>
            <w:r>
              <w:rPr>
                <w:b/>
                <w:i/>
                <w:iCs/>
              </w:rPr>
              <w:t>”, and “</w:t>
            </w:r>
            <w:r w:rsidRPr="003E0FF7">
              <w:rPr>
                <w:b/>
                <w:i/>
                <w:iCs/>
              </w:rPr>
              <w:t>UOBLP</w:t>
            </w:r>
            <w:r w:rsidRPr="003E0FF7">
              <w:rPr>
                <w:b/>
                <w:i/>
                <w:iCs/>
                <w:lang w:val="x-none"/>
              </w:rPr>
              <w:t xml:space="preserve"> </w:t>
            </w:r>
            <w:r w:rsidRPr="003E0FF7">
              <w:rPr>
                <w:b/>
                <w:i/>
                <w:iCs/>
                <w:vertAlign w:val="subscript"/>
                <w:lang w:val="x-none"/>
              </w:rPr>
              <w:t>mp</w:t>
            </w:r>
            <w:r>
              <w:rPr>
                <w:b/>
                <w:i/>
                <w:iCs/>
              </w:rPr>
              <w:t xml:space="preserve">” above upon </w:t>
            </w:r>
            <w:r w:rsidRPr="00E566EB">
              <w:rPr>
                <w:b/>
                <w:i/>
                <w:iCs/>
              </w:rPr>
              <w:t>system implementation</w:t>
            </w:r>
            <w:r w:rsidR="00314D14">
              <w:rPr>
                <w:b/>
                <w:i/>
                <w:iCs/>
              </w:rPr>
              <w:t>.</w:t>
            </w:r>
            <w:r w:rsidRPr="00E566EB">
              <w:rPr>
                <w:b/>
                <w:i/>
                <w:iCs/>
              </w:rPr>
              <w:t>]</w:t>
            </w:r>
          </w:p>
        </w:tc>
      </w:tr>
    </w:tbl>
    <w:p w14:paraId="1F1AAA4B" w14:textId="77777777" w:rsidR="00D211B0" w:rsidRPr="00D465F5" w:rsidRDefault="00326226" w:rsidP="00D465F5">
      <w:pPr>
        <w:pStyle w:val="FormulaBold"/>
        <w:rPr>
          <w:b w:val="0"/>
          <w:bCs/>
          <w:lang w:val="en-US"/>
        </w:rPr>
      </w:pPr>
      <w:r w:rsidRPr="00D465F5">
        <w:rPr>
          <w:b w:val="0"/>
          <w:bCs/>
        </w:rPr>
        <w:t>UWSLTOT</w:t>
      </w:r>
      <w:r w:rsidRPr="00D465F5">
        <w:rPr>
          <w:b w:val="0"/>
          <w:bCs/>
          <w:i/>
          <w:vertAlign w:val="subscript"/>
        </w:rPr>
        <w:t xml:space="preserve"> mp</w:t>
      </w:r>
      <w:r w:rsidRPr="00D465F5">
        <w:rPr>
          <w:b w:val="0"/>
          <w:bCs/>
        </w:rPr>
        <w:t xml:space="preserve"> = (-1) * ∑</w:t>
      </w:r>
      <w:r w:rsidRPr="00D465F5">
        <w:rPr>
          <w:b w:val="0"/>
          <w:bCs/>
          <w:i/>
          <w:vertAlign w:val="subscript"/>
        </w:rPr>
        <w:t>r,</w:t>
      </w:r>
      <w:r w:rsidRPr="00D465F5">
        <w:rPr>
          <w:b w:val="0"/>
          <w:bCs/>
          <w:i/>
          <w:vertAlign w:val="subscript"/>
          <w:lang w:val="en-US"/>
        </w:rPr>
        <w:t xml:space="preserve"> </w:t>
      </w:r>
      <w:r w:rsidRPr="00D465F5">
        <w:rPr>
          <w:b w:val="0"/>
          <w:bCs/>
          <w:i/>
          <w:vertAlign w:val="subscript"/>
        </w:rPr>
        <w:t>b</w:t>
      </w:r>
      <w:r w:rsidRPr="00D465F5">
        <w:rPr>
          <w:b w:val="0"/>
          <w:bCs/>
        </w:rPr>
        <w:t xml:space="preserve"> (MEBL</w:t>
      </w:r>
      <w:r w:rsidRPr="00D465F5">
        <w:rPr>
          <w:b w:val="0"/>
          <w:bCs/>
          <w:lang w:val="en-US"/>
        </w:rPr>
        <w:t xml:space="preserve"> </w:t>
      </w:r>
      <w:r w:rsidRPr="00D465F5">
        <w:rPr>
          <w:b w:val="0"/>
          <w:bCs/>
          <w:i/>
          <w:vertAlign w:val="subscript"/>
        </w:rPr>
        <w:t>mp,</w:t>
      </w:r>
      <w:r w:rsidRPr="00D465F5">
        <w:rPr>
          <w:b w:val="0"/>
          <w:bCs/>
          <w:i/>
          <w:vertAlign w:val="subscript"/>
          <w:lang w:val="en-US"/>
        </w:rPr>
        <w:t xml:space="preserve"> </w:t>
      </w:r>
      <w:r w:rsidRPr="00D465F5">
        <w:rPr>
          <w:b w:val="0"/>
          <w:bCs/>
          <w:i/>
          <w:vertAlign w:val="subscript"/>
        </w:rPr>
        <w:t>r,</w:t>
      </w:r>
      <w:r w:rsidRPr="00D465F5">
        <w:rPr>
          <w:b w:val="0"/>
          <w:bCs/>
          <w:i/>
          <w:vertAlign w:val="subscript"/>
          <w:lang w:val="en-US"/>
        </w:rPr>
        <w:t xml:space="preserve"> </w:t>
      </w:r>
      <w:r w:rsidRPr="00D465F5">
        <w:rPr>
          <w:b w:val="0"/>
          <w:bCs/>
          <w:i/>
          <w:vertAlign w:val="subscript"/>
        </w:rPr>
        <w:t>b</w:t>
      </w:r>
      <w:r w:rsidRPr="00D465F5">
        <w:rPr>
          <w:b w:val="0"/>
          <w:bCs/>
        </w:rPr>
        <w:t>)</w:t>
      </w:r>
    </w:p>
    <w:tbl>
      <w:tblPr>
        <w:tblW w:w="976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D211B0" w:rsidRPr="00E566EB" w14:paraId="5E1E41E2" w14:textId="77777777" w:rsidTr="00D211B0">
        <w:tc>
          <w:tcPr>
            <w:tcW w:w="9766" w:type="dxa"/>
            <w:tcBorders>
              <w:top w:val="single" w:sz="4" w:space="0" w:color="auto"/>
              <w:left w:val="single" w:sz="4" w:space="0" w:color="auto"/>
              <w:bottom w:val="single" w:sz="4" w:space="0" w:color="auto"/>
              <w:right w:val="single" w:sz="4" w:space="0" w:color="auto"/>
            </w:tcBorders>
            <w:shd w:val="pct12" w:color="auto" w:fill="auto"/>
          </w:tcPr>
          <w:p w14:paraId="5D03BFE8" w14:textId="58A96714" w:rsidR="00D211B0" w:rsidRPr="00E566EB" w:rsidRDefault="00D211B0" w:rsidP="001552F0">
            <w:pPr>
              <w:spacing w:before="120" w:after="240"/>
              <w:rPr>
                <w:b/>
                <w:i/>
                <w:iCs/>
              </w:rPr>
            </w:pPr>
            <w:r>
              <w:rPr>
                <w:b/>
                <w:i/>
                <w:iCs/>
              </w:rPr>
              <w:t>[NPRR1012</w:t>
            </w:r>
            <w:r w:rsidRPr="00E566EB">
              <w:rPr>
                <w:b/>
                <w:i/>
                <w:iCs/>
              </w:rPr>
              <w:t xml:space="preserve">: </w:t>
            </w:r>
            <w:r>
              <w:rPr>
                <w:b/>
                <w:i/>
                <w:iCs/>
              </w:rPr>
              <w:t xml:space="preserve"> Insert the formula “</w:t>
            </w:r>
            <w:r w:rsidRPr="00D211B0">
              <w:rPr>
                <w:rFonts w:eastAsia="Calibri"/>
                <w:b/>
                <w:i/>
              </w:rPr>
              <w:t xml:space="preserve">UDAASOAWD </w:t>
            </w:r>
            <w:r w:rsidRPr="00D211B0">
              <w:rPr>
                <w:rFonts w:eastAsia="Calibri"/>
                <w:b/>
                <w:i/>
                <w:vertAlign w:val="subscript"/>
              </w:rPr>
              <w:t>mp</w:t>
            </w:r>
            <w:r>
              <w:rPr>
                <w:b/>
                <w:i/>
                <w:iCs/>
              </w:rPr>
              <w:t xml:space="preserve">” below upon </w:t>
            </w:r>
            <w:r w:rsidRPr="00E566EB">
              <w:rPr>
                <w:b/>
                <w:i/>
                <w:iCs/>
              </w:rPr>
              <w:t>system implementation</w:t>
            </w:r>
            <w:r>
              <w:rPr>
                <w:b/>
                <w:i/>
                <w:iCs/>
              </w:rPr>
              <w:t xml:space="preserve"> of the Real-Time Co-Optimization (RTC) project</w:t>
            </w:r>
            <w:r w:rsidRPr="00E566EB">
              <w:rPr>
                <w:b/>
                <w:i/>
                <w:iCs/>
              </w:rPr>
              <w:t>:]</w:t>
            </w:r>
          </w:p>
          <w:p w14:paraId="73E61E1D" w14:textId="76974A06" w:rsidR="00D211B0" w:rsidRPr="00D211B0" w:rsidRDefault="00D211B0" w:rsidP="00FA181F">
            <w:pPr>
              <w:pStyle w:val="BodyText"/>
              <w:ind w:left="3420" w:hanging="1980"/>
              <w:rPr>
                <w:lang w:val="pt-BR"/>
              </w:rPr>
            </w:pPr>
            <w:r w:rsidRPr="00D211B0">
              <w:rPr>
                <w:rFonts w:eastAsia="Calibri"/>
              </w:rPr>
              <w:t xml:space="preserve">UDAASOAWD </w:t>
            </w:r>
            <w:r w:rsidRPr="00D211B0">
              <w:rPr>
                <w:rFonts w:eastAsia="Calibri"/>
                <w:i/>
                <w:vertAlign w:val="subscript"/>
              </w:rPr>
              <w:t>mp</w:t>
            </w:r>
            <w:r w:rsidRPr="00D211B0">
              <w:rPr>
                <w:i/>
                <w:vertAlign w:val="subscript"/>
              </w:rPr>
              <w:t xml:space="preserve"> </w:t>
            </w:r>
            <w:r w:rsidRPr="00D211B0">
              <w:rPr>
                <w:rFonts w:eastAsia="Calibri"/>
              </w:rPr>
              <w:t xml:space="preserve"> = </w:t>
            </w:r>
            <w:r w:rsidRPr="00D211B0">
              <w:t>∑</w:t>
            </w:r>
            <w:r w:rsidRPr="00D211B0">
              <w:rPr>
                <w:i/>
                <w:vertAlign w:val="subscript"/>
              </w:rPr>
              <w:t>h</w:t>
            </w:r>
            <w:r w:rsidRPr="00D211B0">
              <w:t xml:space="preserve"> (</w:t>
            </w:r>
            <w:r w:rsidRPr="00D211B0">
              <w:rPr>
                <w:rFonts w:eastAsia="Calibri"/>
              </w:rPr>
              <w:t>DA</w:t>
            </w:r>
            <w:r w:rsidRPr="00D211B0">
              <w:t>RUOAWD</w:t>
            </w:r>
            <w:r w:rsidRPr="00D211B0">
              <w:rPr>
                <w:i/>
                <w:vertAlign w:val="subscript"/>
              </w:rPr>
              <w:t xml:space="preserve"> mp,</w:t>
            </w:r>
            <w:r w:rsidR="001C5BB4">
              <w:rPr>
                <w:i/>
                <w:vertAlign w:val="subscript"/>
              </w:rPr>
              <w:t xml:space="preserve"> </w:t>
            </w:r>
            <w:r w:rsidRPr="00D211B0">
              <w:rPr>
                <w:i/>
                <w:vertAlign w:val="subscript"/>
              </w:rPr>
              <w:t xml:space="preserve">h  </w:t>
            </w:r>
            <w:r w:rsidRPr="00D211B0">
              <w:rPr>
                <w:rFonts w:eastAsia="Calibri"/>
              </w:rPr>
              <w:t>+ DA</w:t>
            </w:r>
            <w:r w:rsidRPr="00D211B0">
              <w:t>RDOAWD</w:t>
            </w:r>
            <w:r w:rsidRPr="00D211B0">
              <w:rPr>
                <w:i/>
                <w:vertAlign w:val="subscript"/>
              </w:rPr>
              <w:t xml:space="preserve"> mp,</w:t>
            </w:r>
            <w:r w:rsidR="001C5BB4">
              <w:rPr>
                <w:i/>
                <w:vertAlign w:val="subscript"/>
              </w:rPr>
              <w:t xml:space="preserve"> </w:t>
            </w:r>
            <w:r w:rsidRPr="00D211B0">
              <w:rPr>
                <w:i/>
                <w:vertAlign w:val="subscript"/>
              </w:rPr>
              <w:t xml:space="preserve">h </w:t>
            </w:r>
            <w:r w:rsidRPr="00D211B0">
              <w:rPr>
                <w:rFonts w:eastAsia="Calibri"/>
              </w:rPr>
              <w:t>+ DA</w:t>
            </w:r>
            <w:r w:rsidRPr="00D211B0">
              <w:t>RROAWD</w:t>
            </w:r>
            <w:r w:rsidRPr="00D211B0">
              <w:rPr>
                <w:i/>
                <w:vertAlign w:val="subscript"/>
              </w:rPr>
              <w:t xml:space="preserve"> mp,</w:t>
            </w:r>
            <w:r w:rsidR="001C5BB4">
              <w:rPr>
                <w:i/>
                <w:vertAlign w:val="subscript"/>
              </w:rPr>
              <w:t xml:space="preserve"> </w:t>
            </w:r>
            <w:r w:rsidRPr="00D211B0">
              <w:rPr>
                <w:i/>
                <w:vertAlign w:val="subscript"/>
              </w:rPr>
              <w:t xml:space="preserve">h </w:t>
            </w:r>
            <w:r w:rsidRPr="000D4F96">
              <w:rPr>
                <w:rFonts w:eastAsia="Calibri"/>
              </w:rPr>
              <w:t>+ DA</w:t>
            </w:r>
            <w:r w:rsidRPr="00D211B0">
              <w:t>NSOAWD</w:t>
            </w:r>
            <w:r w:rsidRPr="00D211B0">
              <w:rPr>
                <w:i/>
                <w:vertAlign w:val="subscript"/>
              </w:rPr>
              <w:t xml:space="preserve"> mp,</w:t>
            </w:r>
            <w:r w:rsidR="001C5BB4">
              <w:rPr>
                <w:i/>
                <w:vertAlign w:val="subscript"/>
              </w:rPr>
              <w:t xml:space="preserve"> </w:t>
            </w:r>
            <w:r w:rsidRPr="00D211B0">
              <w:rPr>
                <w:i/>
                <w:vertAlign w:val="subscript"/>
              </w:rPr>
              <w:t xml:space="preserve">h </w:t>
            </w:r>
            <w:r w:rsidRPr="00D211B0">
              <w:rPr>
                <w:rFonts w:eastAsia="Calibri"/>
              </w:rPr>
              <w:t>+ DA</w:t>
            </w:r>
            <w:r w:rsidRPr="00D211B0">
              <w:t>ECROAWD</w:t>
            </w:r>
            <w:r w:rsidRPr="00D211B0">
              <w:rPr>
                <w:i/>
                <w:vertAlign w:val="subscript"/>
              </w:rPr>
              <w:t xml:space="preserve"> mp, h </w:t>
            </w:r>
            <w:r w:rsidRPr="00D211B0">
              <w:t>)</w:t>
            </w:r>
          </w:p>
        </w:tc>
      </w:tr>
    </w:tbl>
    <w:p w14:paraId="1B9D3039" w14:textId="77777777" w:rsidR="00CD356A" w:rsidRDefault="00CD356A" w:rsidP="00CD356A">
      <w:pPr>
        <w:tabs>
          <w:tab w:val="left" w:pos="2340"/>
          <w:tab w:val="left" w:pos="3420"/>
        </w:tabs>
        <w:spacing w:before="240" w:after="240"/>
        <w:ind w:left="3037" w:hanging="1597"/>
      </w:pPr>
      <w:r w:rsidRPr="00357003">
        <w:rPr>
          <w:lang w:val="x-none" w:eastAsia="x-none"/>
        </w:rPr>
        <w:t>USOGTOT</w:t>
      </w:r>
      <w:r w:rsidRPr="00357003">
        <w:rPr>
          <w:i/>
          <w:vertAlign w:val="subscript"/>
        </w:rPr>
        <w:t xml:space="preserve"> mp</w:t>
      </w:r>
      <w:r w:rsidRPr="00357003">
        <w:t xml:space="preserve"> </w:t>
      </w:r>
      <w:r w:rsidRPr="00357003">
        <w:rPr>
          <w:rFonts w:eastAsia="Calibri"/>
        </w:rPr>
        <w:t xml:space="preserve">= </w:t>
      </w:r>
      <w:r w:rsidRPr="00357003">
        <w:t>∑</w:t>
      </w:r>
      <w:r w:rsidRPr="00357003">
        <w:rPr>
          <w:i/>
          <w:vertAlign w:val="subscript"/>
        </w:rPr>
        <w:t>gsc</w:t>
      </w:r>
      <w:r w:rsidRPr="00357003">
        <w:t xml:space="preserve"> (</w:t>
      </w:r>
      <w:r>
        <w:t>MEB</w:t>
      </w:r>
      <w:r w:rsidRPr="00357003">
        <w:t>SOG</w:t>
      </w:r>
      <w:r>
        <w:t>NET</w:t>
      </w:r>
      <w:r w:rsidRPr="00357003">
        <w:t xml:space="preserve"> </w:t>
      </w:r>
      <w:r w:rsidRPr="00357003">
        <w:rPr>
          <w:i/>
          <w:vertAlign w:val="subscript"/>
        </w:rPr>
        <w:t>mp, gsc</w:t>
      </w:r>
      <w:r w:rsidRPr="00357003">
        <w:t xml:space="preserve">) + </w:t>
      </w:r>
      <w:r w:rsidRPr="00357003">
        <w:rPr>
          <w:lang w:val="x-none" w:eastAsia="x-none"/>
        </w:rPr>
        <w:t>∑</w:t>
      </w:r>
      <w:r w:rsidRPr="00357003">
        <w:rPr>
          <w:lang w:eastAsia="x-none"/>
        </w:rPr>
        <w:t xml:space="preserve"> </w:t>
      </w:r>
      <w:r w:rsidRPr="00357003">
        <w:rPr>
          <w:i/>
          <w:vertAlign w:val="subscript"/>
          <w:lang w:val="x-none" w:eastAsia="x-none"/>
        </w:rPr>
        <w:t>p, i</w:t>
      </w:r>
      <w:r w:rsidRPr="00357003">
        <w:rPr>
          <w:i/>
          <w:vertAlign w:val="subscript"/>
          <w:lang w:eastAsia="x-none"/>
        </w:rPr>
        <w:t xml:space="preserve"> </w:t>
      </w:r>
      <w:r w:rsidRPr="00357003">
        <w:rPr>
          <w:lang w:eastAsia="x-none"/>
        </w:rPr>
        <w:t>(</w:t>
      </w:r>
      <w:r w:rsidRPr="00357003">
        <w:t xml:space="preserve">RTMGSOGZ </w:t>
      </w:r>
      <w:r w:rsidRPr="00357003">
        <w:rPr>
          <w:i/>
          <w:vertAlign w:val="subscript"/>
        </w:rPr>
        <w:t>mp, p, i</w:t>
      </w:r>
      <w:r w:rsidRPr="00357003">
        <w:t>)</w:t>
      </w:r>
      <w:r>
        <w:t xml:space="preserve"> </w:t>
      </w:r>
    </w:p>
    <w:p w14:paraId="49D264FA" w14:textId="77777777" w:rsidR="00D211B0" w:rsidRDefault="00D211B0"/>
    <w:tbl>
      <w:tblPr>
        <w:tblW w:w="976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C4046B" w:rsidRPr="00E566EB" w14:paraId="0AC10856" w14:textId="77777777" w:rsidTr="00D211B0">
        <w:tc>
          <w:tcPr>
            <w:tcW w:w="9766" w:type="dxa"/>
            <w:shd w:val="pct12" w:color="auto" w:fill="auto"/>
          </w:tcPr>
          <w:p w14:paraId="1C671519" w14:textId="11F3B2F6" w:rsidR="003720B5" w:rsidRPr="00E566EB" w:rsidRDefault="003720B5" w:rsidP="003720B5">
            <w:pPr>
              <w:spacing w:before="120" w:after="240"/>
              <w:rPr>
                <w:b/>
                <w:i/>
                <w:iCs/>
              </w:rPr>
            </w:pPr>
            <w:r>
              <w:rPr>
                <w:b/>
                <w:i/>
                <w:iCs/>
              </w:rPr>
              <w:t>[NPRR995</w:t>
            </w:r>
            <w:r w:rsidRPr="00E566EB">
              <w:rPr>
                <w:b/>
                <w:i/>
                <w:iCs/>
              </w:rPr>
              <w:t xml:space="preserve">: </w:t>
            </w:r>
            <w:r>
              <w:rPr>
                <w:b/>
                <w:i/>
                <w:iCs/>
              </w:rPr>
              <w:t xml:space="preserve"> Insert the formula </w:t>
            </w:r>
            <w:r w:rsidRPr="005D0F36">
              <w:rPr>
                <w:b/>
                <w:i/>
                <w:iCs/>
              </w:rPr>
              <w:t>“</w:t>
            </w:r>
            <w:r w:rsidRPr="005D0F36">
              <w:rPr>
                <w:b/>
                <w:i/>
                <w:iCs/>
                <w:lang w:val="x-none"/>
              </w:rPr>
              <w:t>USO</w:t>
            </w:r>
            <w:r>
              <w:rPr>
                <w:b/>
                <w:i/>
                <w:iCs/>
              </w:rPr>
              <w:t>CL</w:t>
            </w:r>
            <w:r w:rsidRPr="005D0F36">
              <w:rPr>
                <w:b/>
                <w:i/>
                <w:iCs/>
                <w:lang w:val="x-none"/>
              </w:rPr>
              <w:t>TOT</w:t>
            </w:r>
            <w:r w:rsidRPr="005D0F36">
              <w:rPr>
                <w:b/>
                <w:i/>
                <w:iCs/>
                <w:vertAlign w:val="subscript"/>
              </w:rPr>
              <w:t xml:space="preserve"> mp</w:t>
            </w:r>
            <w:r w:rsidRPr="005D0F36">
              <w:rPr>
                <w:b/>
                <w:i/>
                <w:iCs/>
              </w:rPr>
              <w:t>”</w:t>
            </w:r>
            <w:r>
              <w:rPr>
                <w:b/>
                <w:i/>
                <w:iCs/>
              </w:rPr>
              <w:t xml:space="preserve"> below upon </w:t>
            </w:r>
            <w:r w:rsidRPr="00E566EB">
              <w:rPr>
                <w:b/>
                <w:i/>
                <w:iCs/>
              </w:rPr>
              <w:t>system implementation:]</w:t>
            </w:r>
          </w:p>
          <w:p w14:paraId="3C4DABB5" w14:textId="782F7BCD" w:rsidR="00986EAF" w:rsidRPr="00357003" w:rsidRDefault="003720B5" w:rsidP="003720B5">
            <w:pPr>
              <w:tabs>
                <w:tab w:val="left" w:pos="2340"/>
                <w:tab w:val="left" w:pos="3420"/>
              </w:tabs>
              <w:spacing w:after="240"/>
              <w:ind w:left="1440"/>
            </w:pPr>
            <w:r>
              <w:t>USOCLTOT</w:t>
            </w:r>
            <w:r w:rsidRPr="005D0F36">
              <w:rPr>
                <w:i/>
                <w:vertAlign w:val="subscript"/>
              </w:rPr>
              <w:t xml:space="preserve"> mp</w:t>
            </w:r>
            <w:r>
              <w:t xml:space="preserve"> = </w:t>
            </w:r>
            <w:r w:rsidRPr="005D0F36">
              <w:rPr>
                <w:lang w:val="x-none" w:eastAsia="x-none"/>
              </w:rPr>
              <w:t xml:space="preserve">(-1) * </w:t>
            </w:r>
            <w:r w:rsidRPr="005D0F36">
              <w:t>∑</w:t>
            </w:r>
            <w:r w:rsidRPr="005D0F36">
              <w:rPr>
                <w:i/>
                <w:vertAlign w:val="subscript"/>
              </w:rPr>
              <w:t>gsc, b</w:t>
            </w:r>
            <w:r w:rsidRPr="005D0F36">
              <w:t xml:space="preserve"> </w:t>
            </w:r>
            <w:r w:rsidRPr="005D0F36">
              <w:rPr>
                <w:lang w:val="x-none" w:eastAsia="x-none"/>
              </w:rPr>
              <w:t>(</w:t>
            </w:r>
            <w:r w:rsidRPr="001E15B9">
              <w:rPr>
                <w:bCs/>
                <w:lang w:eastAsia="x-none"/>
              </w:rPr>
              <w:t xml:space="preserve">WSOL </w:t>
            </w:r>
            <w:r w:rsidRPr="001E15B9">
              <w:rPr>
                <w:bCs/>
                <w:i/>
                <w:vertAlign w:val="subscript"/>
                <w:lang w:eastAsia="x-none"/>
              </w:rPr>
              <w:t>mp, gsc, b</w:t>
            </w:r>
            <w:r w:rsidRPr="005D0F36">
              <w:rPr>
                <w:lang w:val="x-none" w:eastAsia="x-none"/>
              </w:rPr>
              <w:t>)</w:t>
            </w:r>
          </w:p>
        </w:tc>
      </w:tr>
    </w:tbl>
    <w:p w14:paraId="2A698CF5" w14:textId="11F2DCB8" w:rsidR="00881601" w:rsidRDefault="00881601" w:rsidP="00076E1C">
      <w:pPr>
        <w:pStyle w:val="BodyText"/>
        <w:spacing w:before="240" w:after="0"/>
      </w:pPr>
      <w:r w:rsidRPr="002472A0">
        <w:rPr>
          <w:rFonts w:eastAsia="Calibri"/>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565"/>
        <w:gridCol w:w="864"/>
        <w:gridCol w:w="6921"/>
      </w:tblGrid>
      <w:tr w:rsidR="00881601" w14:paraId="10D0A308" w14:textId="77777777" w:rsidTr="00D465F5">
        <w:trPr>
          <w:cantSplit/>
          <w:tblHeader/>
        </w:trPr>
        <w:tc>
          <w:tcPr>
            <w:tcW w:w="813" w:type="pct"/>
          </w:tcPr>
          <w:p w14:paraId="2E5151F2" w14:textId="77777777" w:rsidR="00881601" w:rsidRDefault="00881601" w:rsidP="00463C16">
            <w:pPr>
              <w:pStyle w:val="TableHead"/>
            </w:pPr>
            <w:r>
              <w:t>Variable</w:t>
            </w:r>
          </w:p>
        </w:tc>
        <w:tc>
          <w:tcPr>
            <w:tcW w:w="461" w:type="pct"/>
          </w:tcPr>
          <w:p w14:paraId="00C17A93" w14:textId="77777777" w:rsidR="00881601" w:rsidRDefault="00881601" w:rsidP="00463C16">
            <w:pPr>
              <w:pStyle w:val="TableHead"/>
            </w:pPr>
            <w:r>
              <w:t>Unit</w:t>
            </w:r>
          </w:p>
        </w:tc>
        <w:tc>
          <w:tcPr>
            <w:tcW w:w="3725" w:type="pct"/>
          </w:tcPr>
          <w:p w14:paraId="1987FBB9" w14:textId="77777777" w:rsidR="00881601" w:rsidRDefault="00881601" w:rsidP="00463C16">
            <w:pPr>
              <w:pStyle w:val="TableHead"/>
            </w:pPr>
            <w:r>
              <w:t>Definition</w:t>
            </w:r>
          </w:p>
        </w:tc>
      </w:tr>
      <w:tr w:rsidR="00881601" w14:paraId="427B5AD1" w14:textId="77777777" w:rsidTr="00D465F5">
        <w:trPr>
          <w:cantSplit/>
        </w:trPr>
        <w:tc>
          <w:tcPr>
            <w:tcW w:w="813" w:type="pct"/>
          </w:tcPr>
          <w:p w14:paraId="2F0B1913" w14:textId="77777777" w:rsidR="00881601" w:rsidRPr="00CE5650" w:rsidRDefault="00881601" w:rsidP="00463C16">
            <w:pPr>
              <w:pStyle w:val="TableBody"/>
              <w:rPr>
                <w:color w:val="000000"/>
                <w:kern w:val="24"/>
              </w:rPr>
            </w:pPr>
            <w:r>
              <w:rPr>
                <w:lang w:val="pt-BR"/>
              </w:rPr>
              <w:t>D</w:t>
            </w:r>
            <w:r w:rsidRPr="00C078A4">
              <w:rPr>
                <w:lang w:val="pt-BR"/>
              </w:rPr>
              <w:t>URSCP</w:t>
            </w:r>
            <w:r w:rsidR="006C0ADB">
              <w:rPr>
                <w:color w:val="000000"/>
                <w:kern w:val="24"/>
              </w:rPr>
              <w:t xml:space="preserve"> </w:t>
            </w:r>
            <w:r w:rsidR="006C0ADB" w:rsidRPr="006C0ADB">
              <w:rPr>
                <w:i/>
                <w:color w:val="000000"/>
                <w:kern w:val="24"/>
                <w:vertAlign w:val="subscript"/>
              </w:rPr>
              <w:t>cp</w:t>
            </w:r>
          </w:p>
        </w:tc>
        <w:tc>
          <w:tcPr>
            <w:tcW w:w="461" w:type="pct"/>
          </w:tcPr>
          <w:p w14:paraId="57CDC1B5" w14:textId="77777777" w:rsidR="00881601" w:rsidRDefault="00881601" w:rsidP="00463C16">
            <w:pPr>
              <w:pStyle w:val="TableBody"/>
            </w:pPr>
            <w:r>
              <w:rPr>
                <w:color w:val="000000"/>
                <w:kern w:val="24"/>
              </w:rPr>
              <w:t>$</w:t>
            </w:r>
          </w:p>
        </w:tc>
        <w:tc>
          <w:tcPr>
            <w:tcW w:w="3725" w:type="pct"/>
          </w:tcPr>
          <w:p w14:paraId="0B8D301C" w14:textId="77777777" w:rsidR="00881601" w:rsidRPr="00B34C5D" w:rsidRDefault="00881601" w:rsidP="00463C16">
            <w:pPr>
              <w:pStyle w:val="TableBody"/>
              <w:rPr>
                <w:i/>
              </w:rPr>
            </w:pPr>
            <w:r w:rsidRPr="009627EF">
              <w:rPr>
                <w:i/>
              </w:rPr>
              <w:t>Default Uplift Ratio Share per Counter</w:t>
            </w:r>
            <w:r>
              <w:rPr>
                <w:i/>
              </w:rPr>
              <w:t>-</w:t>
            </w:r>
            <w:r w:rsidRPr="009627EF">
              <w:rPr>
                <w:i/>
              </w:rPr>
              <w:t>Party</w:t>
            </w:r>
            <w:r>
              <w:t xml:space="preserve">—The Counter-Party’s pro rata portion of the total short-pay amount for all Day-Ahead Market (DAM) and Real-Time Market (RTM) Invoices for a month. </w:t>
            </w:r>
          </w:p>
        </w:tc>
      </w:tr>
      <w:tr w:rsidR="00881601" w14:paraId="679511C1" w14:textId="77777777" w:rsidTr="00D465F5">
        <w:trPr>
          <w:cantSplit/>
        </w:trPr>
        <w:tc>
          <w:tcPr>
            <w:tcW w:w="813" w:type="pct"/>
          </w:tcPr>
          <w:p w14:paraId="1157EA0E" w14:textId="77777777" w:rsidR="00881601" w:rsidRPr="00CE5650" w:rsidRDefault="00881601" w:rsidP="00463C16">
            <w:pPr>
              <w:pStyle w:val="TableBody"/>
              <w:rPr>
                <w:color w:val="000000"/>
                <w:kern w:val="24"/>
              </w:rPr>
            </w:pPr>
            <w:r w:rsidRPr="00C078A4">
              <w:rPr>
                <w:lang w:val="pt-BR"/>
              </w:rPr>
              <w:t>TSPA</w:t>
            </w:r>
          </w:p>
        </w:tc>
        <w:tc>
          <w:tcPr>
            <w:tcW w:w="461" w:type="pct"/>
          </w:tcPr>
          <w:p w14:paraId="74BAE4AA" w14:textId="77777777" w:rsidR="00881601" w:rsidRDefault="00881601" w:rsidP="00463C16">
            <w:pPr>
              <w:pStyle w:val="TableBody"/>
            </w:pPr>
            <w:r>
              <w:rPr>
                <w:color w:val="000000"/>
                <w:kern w:val="24"/>
              </w:rPr>
              <w:t>$</w:t>
            </w:r>
          </w:p>
        </w:tc>
        <w:tc>
          <w:tcPr>
            <w:tcW w:w="3725" w:type="pct"/>
          </w:tcPr>
          <w:p w14:paraId="40E335D5" w14:textId="77777777" w:rsidR="00881601" w:rsidRPr="00B34C5D" w:rsidRDefault="00881601" w:rsidP="00463C16">
            <w:pPr>
              <w:pStyle w:val="TableBody"/>
              <w:rPr>
                <w:i/>
              </w:rPr>
            </w:pPr>
            <w:r w:rsidRPr="009627EF">
              <w:rPr>
                <w:i/>
              </w:rPr>
              <w:t>Total Short Pay Amount</w:t>
            </w:r>
            <w:r>
              <w:t>—The total short-pay amount calculated by ERCOT to be collected through the Default Uplift Invoice process.</w:t>
            </w:r>
          </w:p>
        </w:tc>
      </w:tr>
      <w:tr w:rsidR="00881601" w14:paraId="4640793E" w14:textId="77777777" w:rsidTr="00D465F5">
        <w:trPr>
          <w:cantSplit/>
        </w:trPr>
        <w:tc>
          <w:tcPr>
            <w:tcW w:w="813" w:type="pct"/>
          </w:tcPr>
          <w:p w14:paraId="5CD71019" w14:textId="77777777" w:rsidR="00881601" w:rsidRPr="00CE5650" w:rsidRDefault="00881601" w:rsidP="00463C16">
            <w:pPr>
              <w:pStyle w:val="TableBody"/>
              <w:rPr>
                <w:color w:val="000000"/>
                <w:kern w:val="24"/>
              </w:rPr>
            </w:pPr>
            <w:r w:rsidRPr="00421EF2">
              <w:rPr>
                <w:color w:val="000000"/>
                <w:kern w:val="24"/>
              </w:rPr>
              <w:t>MMARS</w:t>
            </w:r>
            <w:r w:rsidR="00326226">
              <w:rPr>
                <w:color w:val="000000"/>
                <w:kern w:val="24"/>
              </w:rPr>
              <w:t xml:space="preserve"> </w:t>
            </w:r>
            <w:r w:rsidRPr="006C0ADB">
              <w:rPr>
                <w:i/>
                <w:color w:val="000000"/>
                <w:kern w:val="24"/>
                <w:vertAlign w:val="subscript"/>
              </w:rPr>
              <w:t>cp</w:t>
            </w:r>
          </w:p>
        </w:tc>
        <w:tc>
          <w:tcPr>
            <w:tcW w:w="461" w:type="pct"/>
          </w:tcPr>
          <w:p w14:paraId="41917A01" w14:textId="77777777" w:rsidR="00881601" w:rsidRDefault="00881601" w:rsidP="00463C16">
            <w:pPr>
              <w:pStyle w:val="TableBody"/>
            </w:pPr>
            <w:r w:rsidRPr="00421EF2">
              <w:rPr>
                <w:color w:val="000000"/>
                <w:kern w:val="24"/>
              </w:rPr>
              <w:t>None</w:t>
            </w:r>
          </w:p>
        </w:tc>
        <w:tc>
          <w:tcPr>
            <w:tcW w:w="3725" w:type="pct"/>
          </w:tcPr>
          <w:p w14:paraId="050259ED" w14:textId="2476FD55" w:rsidR="00881601" w:rsidRPr="00B34C5D" w:rsidRDefault="00881601" w:rsidP="00463C16">
            <w:pPr>
              <w:pStyle w:val="TableBody"/>
              <w:rPr>
                <w:i/>
              </w:rPr>
            </w:pPr>
            <w:r w:rsidRPr="009627EF">
              <w:rPr>
                <w:i/>
              </w:rPr>
              <w:t>Maximum MWh Activity Ratio Share</w:t>
            </w:r>
            <w:r>
              <w:t>—The Counter-Party’s pro rata share of Maximum MWh Activity</w:t>
            </w:r>
            <w:r w:rsidR="006B44B4">
              <w:t xml:space="preserve"> in the reference month</w:t>
            </w:r>
            <w:r>
              <w:t>.</w:t>
            </w:r>
          </w:p>
        </w:tc>
      </w:tr>
      <w:tr w:rsidR="00881601" w14:paraId="695D2A82" w14:textId="77777777" w:rsidTr="00D465F5">
        <w:trPr>
          <w:cantSplit/>
        </w:trPr>
        <w:tc>
          <w:tcPr>
            <w:tcW w:w="813" w:type="pct"/>
          </w:tcPr>
          <w:p w14:paraId="32781671" w14:textId="77777777" w:rsidR="00881601" w:rsidRPr="00CE5650" w:rsidRDefault="00881601" w:rsidP="00463C16">
            <w:pPr>
              <w:pStyle w:val="TableBody"/>
              <w:rPr>
                <w:color w:val="000000"/>
                <w:kern w:val="24"/>
              </w:rPr>
            </w:pPr>
            <w:r w:rsidRPr="00421EF2">
              <w:rPr>
                <w:color w:val="000000"/>
                <w:kern w:val="24"/>
              </w:rPr>
              <w:t>MMA</w:t>
            </w:r>
            <w:r w:rsidR="00326226">
              <w:rPr>
                <w:color w:val="000000"/>
                <w:kern w:val="24"/>
              </w:rPr>
              <w:t xml:space="preserve"> </w:t>
            </w:r>
            <w:r w:rsidRPr="006C0ADB">
              <w:rPr>
                <w:i/>
                <w:color w:val="000000"/>
                <w:kern w:val="24"/>
                <w:vertAlign w:val="subscript"/>
              </w:rPr>
              <w:t>cp</w:t>
            </w:r>
          </w:p>
        </w:tc>
        <w:tc>
          <w:tcPr>
            <w:tcW w:w="461" w:type="pct"/>
          </w:tcPr>
          <w:p w14:paraId="4401BB80" w14:textId="77777777" w:rsidR="00881601" w:rsidRDefault="00881601" w:rsidP="00463C16">
            <w:pPr>
              <w:pStyle w:val="TableBody"/>
            </w:pPr>
            <w:r>
              <w:rPr>
                <w:color w:val="000000"/>
                <w:kern w:val="24"/>
              </w:rPr>
              <w:t>MWh</w:t>
            </w:r>
          </w:p>
        </w:tc>
        <w:tc>
          <w:tcPr>
            <w:tcW w:w="3725" w:type="pct"/>
          </w:tcPr>
          <w:p w14:paraId="1182FE29" w14:textId="784104A4" w:rsidR="00881601" w:rsidRPr="00B34C5D" w:rsidRDefault="00881601" w:rsidP="006B44B4">
            <w:pPr>
              <w:pStyle w:val="TableBody"/>
              <w:rPr>
                <w:i/>
              </w:rPr>
            </w:pPr>
            <w:r w:rsidRPr="009627EF">
              <w:rPr>
                <w:i/>
              </w:rPr>
              <w:t>Maximum MWh Activity</w:t>
            </w:r>
            <w:r>
              <w:t xml:space="preserve">—The maximum MWh activity of all Market Participants represented by the Counter-Party in the DAM, RTM and CRR Auction </w:t>
            </w:r>
            <w:r w:rsidR="006B44B4">
              <w:t>in the reference</w:t>
            </w:r>
            <w:r>
              <w:t xml:space="preserve"> month.</w:t>
            </w:r>
          </w:p>
        </w:tc>
      </w:tr>
      <w:tr w:rsidR="00881601" w14:paraId="31BA9D09" w14:textId="77777777" w:rsidTr="00D465F5">
        <w:trPr>
          <w:cantSplit/>
        </w:trPr>
        <w:tc>
          <w:tcPr>
            <w:tcW w:w="813" w:type="pct"/>
          </w:tcPr>
          <w:p w14:paraId="36349F3C" w14:textId="77777777" w:rsidR="00881601" w:rsidRPr="00CE5650" w:rsidRDefault="00881601" w:rsidP="00463C16">
            <w:pPr>
              <w:pStyle w:val="TableBody"/>
              <w:rPr>
                <w:color w:val="000000"/>
                <w:kern w:val="24"/>
              </w:rPr>
            </w:pPr>
            <w:r w:rsidRPr="00421EF2">
              <w:rPr>
                <w:color w:val="000000"/>
                <w:kern w:val="24"/>
              </w:rPr>
              <w:t>MMATOT</w:t>
            </w:r>
          </w:p>
        </w:tc>
        <w:tc>
          <w:tcPr>
            <w:tcW w:w="461" w:type="pct"/>
          </w:tcPr>
          <w:p w14:paraId="1BCD8AC1" w14:textId="77777777" w:rsidR="00881601" w:rsidRDefault="00881601" w:rsidP="00463C16">
            <w:pPr>
              <w:pStyle w:val="TableBody"/>
            </w:pPr>
            <w:r>
              <w:rPr>
                <w:color w:val="000000"/>
                <w:kern w:val="24"/>
              </w:rPr>
              <w:t>MWh</w:t>
            </w:r>
          </w:p>
        </w:tc>
        <w:tc>
          <w:tcPr>
            <w:tcW w:w="3725" w:type="pct"/>
          </w:tcPr>
          <w:p w14:paraId="3750CC4E" w14:textId="6A145438" w:rsidR="00881601" w:rsidRPr="00B34C5D" w:rsidRDefault="00881601" w:rsidP="00463C16">
            <w:pPr>
              <w:pStyle w:val="TableBody"/>
              <w:rPr>
                <w:i/>
              </w:rPr>
            </w:pPr>
            <w:r w:rsidRPr="009627EF">
              <w:rPr>
                <w:i/>
              </w:rPr>
              <w:t>Maximum MWh Activity Total</w:t>
            </w:r>
            <w:r>
              <w:t>—The sum of all Counter-Party’s Maximum MWh Activity</w:t>
            </w:r>
            <w:r w:rsidR="006B44B4">
              <w:t xml:space="preserve"> in the reference month</w:t>
            </w:r>
            <w:r>
              <w:t>.</w:t>
            </w:r>
          </w:p>
        </w:tc>
      </w:tr>
      <w:tr w:rsidR="00881601" w14:paraId="3E0B7192" w14:textId="77777777" w:rsidTr="00D465F5">
        <w:trPr>
          <w:cantSplit/>
        </w:trPr>
        <w:tc>
          <w:tcPr>
            <w:tcW w:w="813" w:type="pct"/>
          </w:tcPr>
          <w:p w14:paraId="5F272DCC" w14:textId="77777777" w:rsidR="00881601" w:rsidRDefault="00881601" w:rsidP="00463C16">
            <w:pPr>
              <w:pStyle w:val="TableBody"/>
            </w:pPr>
            <w:r w:rsidRPr="00CE5650">
              <w:rPr>
                <w:color w:val="000000"/>
                <w:kern w:val="24"/>
              </w:rPr>
              <w:lastRenderedPageBreak/>
              <w:t>RTMG</w:t>
            </w:r>
            <w:r>
              <w:rPr>
                <w:color w:val="000000"/>
                <w:kern w:val="24"/>
              </w:rPr>
              <w:t xml:space="preserve"> </w:t>
            </w:r>
            <w:r w:rsidRPr="006C0ADB">
              <w:rPr>
                <w:i/>
                <w:color w:val="000000"/>
                <w:kern w:val="24"/>
                <w:vertAlign w:val="subscript"/>
              </w:rPr>
              <w:t>mp, p, r, i</w:t>
            </w:r>
          </w:p>
        </w:tc>
        <w:tc>
          <w:tcPr>
            <w:tcW w:w="461" w:type="pct"/>
          </w:tcPr>
          <w:p w14:paraId="7D14C88B" w14:textId="77777777" w:rsidR="00881601" w:rsidRDefault="00881601" w:rsidP="00463C16">
            <w:pPr>
              <w:pStyle w:val="TableBody"/>
            </w:pPr>
            <w:r>
              <w:t>MWh</w:t>
            </w:r>
          </w:p>
        </w:tc>
        <w:tc>
          <w:tcPr>
            <w:tcW w:w="3725" w:type="pct"/>
          </w:tcPr>
          <w:p w14:paraId="215E69BE" w14:textId="77777777" w:rsidR="00881601" w:rsidRDefault="00881601" w:rsidP="00463C16">
            <w:pPr>
              <w:pStyle w:val="TableBody"/>
            </w:pPr>
            <w:r w:rsidRPr="00B34C5D">
              <w:rPr>
                <w:i/>
              </w:rPr>
              <w:t>Real-Time Metered Generation</w:t>
            </w:r>
            <w:r>
              <w:rPr>
                <w:i/>
              </w:rPr>
              <w:t xml:space="preserve"> per Market Participant per Settlement Point per Resource</w:t>
            </w:r>
            <w:r>
              <w:t xml:space="preserve">—The Real-Time energy produced by the Generation Resource </w:t>
            </w:r>
            <w:r w:rsidRPr="00446C24">
              <w:rPr>
                <w:i/>
              </w:rPr>
              <w:t>r</w:t>
            </w:r>
            <w:r>
              <w:t xml:space="preserve"> represented by Market Participant </w:t>
            </w:r>
            <w:r w:rsidRPr="00446C24">
              <w:rPr>
                <w:i/>
              </w:rPr>
              <w:t>mp</w:t>
            </w:r>
            <w:r>
              <w:t xml:space="preserve">, at Resource Node </w:t>
            </w:r>
            <w:r w:rsidRPr="00446C24">
              <w:rPr>
                <w:i/>
              </w:rPr>
              <w:t>p</w:t>
            </w:r>
            <w:r>
              <w:t xml:space="preserve">, for the 15-minute Settlement Interval </w:t>
            </w:r>
            <w:r>
              <w:rPr>
                <w:i/>
              </w:rPr>
              <w:t>i</w:t>
            </w:r>
            <w:r>
              <w:t>, where the Market Participant is a QSE.</w:t>
            </w:r>
          </w:p>
        </w:tc>
      </w:tr>
      <w:tr w:rsidR="00881601" w14:paraId="5A446A20" w14:textId="77777777" w:rsidTr="00D465F5">
        <w:trPr>
          <w:cantSplit/>
        </w:trPr>
        <w:tc>
          <w:tcPr>
            <w:tcW w:w="813" w:type="pct"/>
          </w:tcPr>
          <w:p w14:paraId="5810B5D2" w14:textId="77777777" w:rsidR="00881601" w:rsidRDefault="00881601" w:rsidP="00463C16">
            <w:pPr>
              <w:pStyle w:val="TableBody"/>
            </w:pPr>
            <w:r>
              <w:rPr>
                <w:rFonts w:eastAsia="Calibri"/>
              </w:rPr>
              <w:t xml:space="preserve">URTMG </w:t>
            </w:r>
            <w:r w:rsidRPr="006C0ADB">
              <w:rPr>
                <w:rFonts w:eastAsia="Calibri"/>
                <w:i/>
                <w:vertAlign w:val="subscript"/>
              </w:rPr>
              <w:t>mp</w:t>
            </w:r>
          </w:p>
        </w:tc>
        <w:tc>
          <w:tcPr>
            <w:tcW w:w="461" w:type="pct"/>
          </w:tcPr>
          <w:p w14:paraId="141C1395" w14:textId="77777777" w:rsidR="00881601" w:rsidRDefault="00881601" w:rsidP="00463C16">
            <w:pPr>
              <w:pStyle w:val="TableBody"/>
            </w:pPr>
            <w:r>
              <w:t>MWh</w:t>
            </w:r>
          </w:p>
        </w:tc>
        <w:tc>
          <w:tcPr>
            <w:tcW w:w="3725" w:type="pct"/>
          </w:tcPr>
          <w:p w14:paraId="1427E9E3" w14:textId="77777777" w:rsidR="00881601" w:rsidRDefault="00881601" w:rsidP="00463C16">
            <w:pPr>
              <w:pStyle w:val="TableBody"/>
              <w:rPr>
                <w:i/>
              </w:rPr>
            </w:pPr>
            <w:r w:rsidRPr="00FD7EBB">
              <w:rPr>
                <w:i/>
              </w:rPr>
              <w:t>Uplift Real-Time Metered Generation per Market Participant</w:t>
            </w:r>
            <w:r>
              <w:t xml:space="preserve">—The monthly sum of Real-Time energy produced by Generation Resources represented by Market Participant </w:t>
            </w:r>
            <w:r w:rsidRPr="00446C24">
              <w:rPr>
                <w:i/>
              </w:rPr>
              <w:t>mp</w:t>
            </w:r>
            <w:r>
              <w:t xml:space="preserve">, excluding generation for RMR Resources and generation in RUC-Committed Intervals, where the Market Participant is a QSE assigned to the registered Counter-Party. </w:t>
            </w:r>
          </w:p>
        </w:tc>
      </w:tr>
      <w:tr w:rsidR="00881601" w14:paraId="10BD3766" w14:textId="77777777" w:rsidTr="00D465F5">
        <w:trPr>
          <w:cantSplit/>
        </w:trPr>
        <w:tc>
          <w:tcPr>
            <w:tcW w:w="813" w:type="pct"/>
          </w:tcPr>
          <w:p w14:paraId="0DA84477" w14:textId="77777777" w:rsidR="00881601" w:rsidRPr="00CE5650" w:rsidRDefault="00881601" w:rsidP="00463C16">
            <w:pPr>
              <w:pStyle w:val="TableBody"/>
              <w:rPr>
                <w:color w:val="000000"/>
                <w:kern w:val="24"/>
              </w:rPr>
            </w:pPr>
            <w:r>
              <w:rPr>
                <w:color w:val="000000"/>
                <w:kern w:val="24"/>
              </w:rPr>
              <w:t xml:space="preserve">RTDCIMP </w:t>
            </w:r>
            <w:r w:rsidRPr="006C0ADB">
              <w:rPr>
                <w:i/>
                <w:color w:val="000000"/>
                <w:kern w:val="24"/>
                <w:vertAlign w:val="subscript"/>
              </w:rPr>
              <w:t>mp, p, i</w:t>
            </w:r>
          </w:p>
        </w:tc>
        <w:tc>
          <w:tcPr>
            <w:tcW w:w="461" w:type="pct"/>
          </w:tcPr>
          <w:p w14:paraId="0B573FDB" w14:textId="77777777" w:rsidR="00881601" w:rsidRDefault="00881601" w:rsidP="00463C16">
            <w:pPr>
              <w:pStyle w:val="TableBody"/>
            </w:pPr>
            <w:r>
              <w:t>MW</w:t>
            </w:r>
          </w:p>
        </w:tc>
        <w:tc>
          <w:tcPr>
            <w:tcW w:w="3725" w:type="pct"/>
          </w:tcPr>
          <w:p w14:paraId="2D3977FF" w14:textId="77777777" w:rsidR="00881601" w:rsidRDefault="00881601" w:rsidP="00463C16">
            <w:pPr>
              <w:pStyle w:val="TableBody"/>
              <w:rPr>
                <w:i/>
              </w:rPr>
            </w:pPr>
            <w:r>
              <w:rPr>
                <w:i/>
              </w:rPr>
              <w:t>Real-Time DC Import per QSE per Settlement Point</w:t>
            </w:r>
            <w:r>
              <w:t xml:space="preserve">—The aggregated Direct Current Tie (DC Tie) Schedule submitted by Market Participant </w:t>
            </w:r>
            <w:r w:rsidRPr="00446C24">
              <w:rPr>
                <w:i/>
              </w:rPr>
              <w:t>mp</w:t>
            </w:r>
            <w:r>
              <w:rPr>
                <w:i/>
              </w:rPr>
              <w:t>,</w:t>
            </w:r>
            <w:r>
              <w:t xml:space="preserve"> as an importer into the ERCOT System through DC Tie </w:t>
            </w:r>
            <w:r>
              <w:rPr>
                <w:i/>
              </w:rPr>
              <w:t>p</w:t>
            </w:r>
            <w:r>
              <w:t xml:space="preserve">, for the 15-minute Settlement Interval </w:t>
            </w:r>
            <w:r>
              <w:rPr>
                <w:i/>
              </w:rPr>
              <w:t>i</w:t>
            </w:r>
            <w:r>
              <w:t>, where the Market Participant is a QSE.</w:t>
            </w:r>
          </w:p>
        </w:tc>
      </w:tr>
      <w:tr w:rsidR="00881601" w14:paraId="201B8C69" w14:textId="77777777" w:rsidTr="00D465F5">
        <w:trPr>
          <w:cantSplit/>
        </w:trPr>
        <w:tc>
          <w:tcPr>
            <w:tcW w:w="813" w:type="pct"/>
          </w:tcPr>
          <w:p w14:paraId="4602FBA7" w14:textId="77777777" w:rsidR="00881601" w:rsidRPr="00CE5650" w:rsidRDefault="00881601" w:rsidP="00463C16">
            <w:pPr>
              <w:pStyle w:val="TableBody"/>
              <w:rPr>
                <w:color w:val="000000"/>
                <w:kern w:val="24"/>
              </w:rPr>
            </w:pPr>
            <w:r>
              <w:rPr>
                <w:rFonts w:eastAsia="Calibri"/>
              </w:rPr>
              <w:t xml:space="preserve">URTDCIMP </w:t>
            </w:r>
            <w:r w:rsidRPr="006C0ADB">
              <w:rPr>
                <w:rFonts w:eastAsia="Calibri"/>
                <w:i/>
                <w:vertAlign w:val="subscript"/>
              </w:rPr>
              <w:t>mp</w:t>
            </w:r>
          </w:p>
        </w:tc>
        <w:tc>
          <w:tcPr>
            <w:tcW w:w="461" w:type="pct"/>
          </w:tcPr>
          <w:p w14:paraId="7B7D06F6" w14:textId="77777777" w:rsidR="00881601" w:rsidRDefault="00881601" w:rsidP="00463C16">
            <w:pPr>
              <w:pStyle w:val="TableBody"/>
            </w:pPr>
            <w:r>
              <w:t>MW</w:t>
            </w:r>
          </w:p>
        </w:tc>
        <w:tc>
          <w:tcPr>
            <w:tcW w:w="3725" w:type="pct"/>
          </w:tcPr>
          <w:p w14:paraId="06810EA5" w14:textId="77777777" w:rsidR="00881601" w:rsidRDefault="00881601" w:rsidP="00463C16">
            <w:pPr>
              <w:pStyle w:val="TableBody"/>
              <w:rPr>
                <w:i/>
              </w:rPr>
            </w:pPr>
            <w:r>
              <w:rPr>
                <w:i/>
              </w:rPr>
              <w:t>Uplift Real-Time DC Import per Market Participant</w:t>
            </w:r>
            <w:r>
              <w:t xml:space="preserve">—The monthly sum of the aggregated DC Tie Schedule submitted by Market Participant </w:t>
            </w:r>
            <w:r w:rsidRPr="00446C24">
              <w:rPr>
                <w:i/>
              </w:rPr>
              <w:t>mp</w:t>
            </w:r>
            <w:r w:rsidRPr="009A5A53">
              <w:t xml:space="preserve">, </w:t>
            </w:r>
            <w:r>
              <w:t>as an importer into the ERCOT System where the Market Participant is a QSE assigned to a registered Counter-Party.</w:t>
            </w:r>
          </w:p>
        </w:tc>
      </w:tr>
      <w:tr w:rsidR="00881601" w14:paraId="2EEF9A56" w14:textId="77777777" w:rsidTr="00D465F5">
        <w:trPr>
          <w:cantSplit/>
        </w:trPr>
        <w:tc>
          <w:tcPr>
            <w:tcW w:w="813" w:type="pct"/>
          </w:tcPr>
          <w:p w14:paraId="5BE66206" w14:textId="77777777" w:rsidR="00881601" w:rsidRDefault="00881601" w:rsidP="00463C16">
            <w:pPr>
              <w:pStyle w:val="TableBody"/>
            </w:pPr>
            <w:r w:rsidRPr="00CE5650">
              <w:rPr>
                <w:color w:val="000000"/>
                <w:kern w:val="24"/>
              </w:rPr>
              <w:t>RT</w:t>
            </w:r>
            <w:r>
              <w:rPr>
                <w:color w:val="000000"/>
                <w:kern w:val="24"/>
              </w:rPr>
              <w:t xml:space="preserve">AML </w:t>
            </w:r>
            <w:r w:rsidRPr="006C0ADB">
              <w:rPr>
                <w:i/>
                <w:color w:val="000000"/>
                <w:kern w:val="24"/>
                <w:vertAlign w:val="subscript"/>
              </w:rPr>
              <w:t>mp, p, i</w:t>
            </w:r>
          </w:p>
        </w:tc>
        <w:tc>
          <w:tcPr>
            <w:tcW w:w="461" w:type="pct"/>
          </w:tcPr>
          <w:p w14:paraId="304B5DC4" w14:textId="77777777" w:rsidR="00881601" w:rsidRDefault="00881601" w:rsidP="00463C16">
            <w:pPr>
              <w:pStyle w:val="TableBody"/>
            </w:pPr>
            <w:r>
              <w:t>MWh</w:t>
            </w:r>
          </w:p>
        </w:tc>
        <w:tc>
          <w:tcPr>
            <w:tcW w:w="3725" w:type="pct"/>
          </w:tcPr>
          <w:p w14:paraId="5658FD05" w14:textId="77777777" w:rsidR="00881601" w:rsidRDefault="00881601" w:rsidP="00463C16">
            <w:pPr>
              <w:pStyle w:val="TableBody"/>
            </w:pPr>
            <w:r>
              <w:rPr>
                <w:i/>
              </w:rPr>
              <w:t>Real-Time Adjusted Metered Load per Market Participant per Settlement Point</w:t>
            </w:r>
            <w:r>
              <w:t xml:space="preserve">—The sum of the Adjusted Metered Load (AML) at the Electrical Buses that are included in Settlement Point </w:t>
            </w:r>
            <w:r w:rsidRPr="00BA1C67">
              <w:rPr>
                <w:i/>
              </w:rPr>
              <w:t>p</w:t>
            </w:r>
            <w:r>
              <w:t xml:space="preserve"> represented by Market Participant </w:t>
            </w:r>
            <w:r w:rsidRPr="00BA1C67">
              <w:rPr>
                <w:i/>
              </w:rPr>
              <w:t>mp</w:t>
            </w:r>
            <w:r>
              <w:t xml:space="preserve"> for the 15-minute Settlement Interval </w:t>
            </w:r>
            <w:r>
              <w:rPr>
                <w:i/>
              </w:rPr>
              <w:t>i</w:t>
            </w:r>
            <w:r>
              <w:t>, where the Market Participant is a QSE.</w:t>
            </w:r>
          </w:p>
        </w:tc>
      </w:tr>
      <w:tr w:rsidR="00881601" w14:paraId="66F96A74" w14:textId="77777777" w:rsidTr="00D465F5">
        <w:trPr>
          <w:cantSplit/>
        </w:trPr>
        <w:tc>
          <w:tcPr>
            <w:tcW w:w="813" w:type="pct"/>
          </w:tcPr>
          <w:p w14:paraId="39008FD6" w14:textId="77777777" w:rsidR="00881601" w:rsidRDefault="00881601" w:rsidP="00463C16">
            <w:pPr>
              <w:pStyle w:val="TableBody"/>
            </w:pPr>
            <w:r>
              <w:rPr>
                <w:rFonts w:eastAsia="Calibri"/>
              </w:rPr>
              <w:t xml:space="preserve">URTAML </w:t>
            </w:r>
            <w:r w:rsidRPr="006C0ADB">
              <w:rPr>
                <w:rFonts w:eastAsia="Calibri"/>
                <w:i/>
                <w:vertAlign w:val="subscript"/>
              </w:rPr>
              <w:t>mp</w:t>
            </w:r>
          </w:p>
        </w:tc>
        <w:tc>
          <w:tcPr>
            <w:tcW w:w="461" w:type="pct"/>
          </w:tcPr>
          <w:p w14:paraId="659AE03A" w14:textId="77777777" w:rsidR="00881601" w:rsidRDefault="00881601" w:rsidP="00463C16">
            <w:pPr>
              <w:pStyle w:val="TableBody"/>
            </w:pPr>
            <w:r>
              <w:t>MWh</w:t>
            </w:r>
          </w:p>
        </w:tc>
        <w:tc>
          <w:tcPr>
            <w:tcW w:w="3725" w:type="pct"/>
          </w:tcPr>
          <w:p w14:paraId="019908F6" w14:textId="77777777" w:rsidR="00881601" w:rsidRDefault="00881601" w:rsidP="00463C16">
            <w:pPr>
              <w:pStyle w:val="TableBody"/>
              <w:rPr>
                <w:i/>
              </w:rPr>
            </w:pPr>
            <w:r>
              <w:rPr>
                <w:i/>
              </w:rPr>
              <w:t>Uplift Real-Time Adjusted Metered Load per Market Participant</w:t>
            </w:r>
            <w:r>
              <w:t xml:space="preserve">—The monthly sum of the AML represented by Market Participant </w:t>
            </w:r>
            <w:r w:rsidRPr="00BA1C67">
              <w:rPr>
                <w:i/>
              </w:rPr>
              <w:t>mp</w:t>
            </w:r>
            <w:r>
              <w:t>, where the Market Participant is a QSE assigned to the registered Counter-Party.</w:t>
            </w:r>
          </w:p>
        </w:tc>
      </w:tr>
      <w:tr w:rsidR="00881601" w14:paraId="4812A177" w14:textId="77777777" w:rsidTr="00D465F5">
        <w:trPr>
          <w:cantSplit/>
        </w:trPr>
        <w:tc>
          <w:tcPr>
            <w:tcW w:w="813" w:type="pct"/>
          </w:tcPr>
          <w:p w14:paraId="0975E0FA" w14:textId="77777777" w:rsidR="00881601" w:rsidRDefault="00881601" w:rsidP="00463C16">
            <w:pPr>
              <w:pStyle w:val="TableBody"/>
            </w:pPr>
            <w:r>
              <w:rPr>
                <w:rFonts w:eastAsia="Calibri"/>
              </w:rPr>
              <w:t xml:space="preserve">RTQQES </w:t>
            </w:r>
            <w:r w:rsidRPr="006C0ADB">
              <w:rPr>
                <w:i/>
                <w:color w:val="000000"/>
                <w:kern w:val="24"/>
                <w:vertAlign w:val="subscript"/>
              </w:rPr>
              <w:t>mp, p, i</w:t>
            </w:r>
          </w:p>
        </w:tc>
        <w:tc>
          <w:tcPr>
            <w:tcW w:w="461" w:type="pct"/>
          </w:tcPr>
          <w:p w14:paraId="0A4486EE" w14:textId="77777777" w:rsidR="00881601" w:rsidRDefault="00881601" w:rsidP="00463C16">
            <w:pPr>
              <w:pStyle w:val="TableBody"/>
            </w:pPr>
            <w:r>
              <w:t>MW</w:t>
            </w:r>
          </w:p>
        </w:tc>
        <w:tc>
          <w:tcPr>
            <w:tcW w:w="3725" w:type="pct"/>
          </w:tcPr>
          <w:p w14:paraId="01F8FD1B" w14:textId="77777777" w:rsidR="00881601" w:rsidRDefault="00881601" w:rsidP="00463C16">
            <w:pPr>
              <w:pStyle w:val="TableBody"/>
              <w:rPr>
                <w:i/>
              </w:rPr>
            </w:pPr>
            <w:r>
              <w:rPr>
                <w:i/>
              </w:rPr>
              <w:t xml:space="preserve">QSE-to-QSE Energy </w:t>
            </w:r>
            <w:smartTag w:uri="urn:schemas-microsoft-com:office:smarttags" w:element="PersonName">
              <w:smartTag w:uri="urn:schemas-microsoft-com:office:smarttags" w:element="date">
                <w:r>
                  <w:rPr>
                    <w:i/>
                  </w:rPr>
                  <w:t>Sale</w:t>
                </w:r>
              </w:smartTag>
            </w:smartTag>
            <w:r>
              <w:rPr>
                <w:i/>
              </w:rPr>
              <w:t xml:space="preserve"> per Market Participant per Settlement Point</w:t>
            </w:r>
            <w:r>
              <w:t xml:space="preserve">—The amount of MW sold by Market Participant </w:t>
            </w:r>
            <w:r w:rsidRPr="000300B0">
              <w:rPr>
                <w:i/>
              </w:rPr>
              <w:t>mp</w:t>
            </w:r>
            <w:r>
              <w:t xml:space="preserve"> through Energy Trades at Settlement Point </w:t>
            </w:r>
            <w:r>
              <w:rPr>
                <w:i/>
              </w:rPr>
              <w:t>p</w:t>
            </w:r>
            <w:r>
              <w:t xml:space="preserve"> for the 15-minute Settlement Interval </w:t>
            </w:r>
            <w:r w:rsidRPr="000039C4">
              <w:rPr>
                <w:i/>
              </w:rPr>
              <w:t>i</w:t>
            </w:r>
            <w:r>
              <w:t>, where the Market Participant is a QSE.</w:t>
            </w:r>
          </w:p>
        </w:tc>
      </w:tr>
      <w:tr w:rsidR="00881601" w14:paraId="62297F26" w14:textId="77777777" w:rsidTr="00D465F5">
        <w:trPr>
          <w:cantSplit/>
        </w:trPr>
        <w:tc>
          <w:tcPr>
            <w:tcW w:w="813" w:type="pct"/>
          </w:tcPr>
          <w:p w14:paraId="0DC935F7" w14:textId="77777777" w:rsidR="00881601" w:rsidRDefault="00881601" w:rsidP="00463C16">
            <w:pPr>
              <w:pStyle w:val="TableBody"/>
            </w:pPr>
            <w:r>
              <w:rPr>
                <w:rFonts w:eastAsia="Calibri"/>
              </w:rPr>
              <w:t xml:space="preserve">URTQQES </w:t>
            </w:r>
            <w:r w:rsidRPr="006C0ADB">
              <w:rPr>
                <w:rFonts w:eastAsia="Calibri"/>
                <w:i/>
                <w:vertAlign w:val="subscript"/>
              </w:rPr>
              <w:t>mp</w:t>
            </w:r>
          </w:p>
        </w:tc>
        <w:tc>
          <w:tcPr>
            <w:tcW w:w="461" w:type="pct"/>
          </w:tcPr>
          <w:p w14:paraId="7B280624" w14:textId="77777777" w:rsidR="00881601" w:rsidRDefault="00881601" w:rsidP="00463C16">
            <w:pPr>
              <w:pStyle w:val="TableBody"/>
            </w:pPr>
            <w:r>
              <w:t>MWh</w:t>
            </w:r>
          </w:p>
        </w:tc>
        <w:tc>
          <w:tcPr>
            <w:tcW w:w="3725" w:type="pct"/>
          </w:tcPr>
          <w:p w14:paraId="498082DF" w14:textId="77777777" w:rsidR="00881601" w:rsidRDefault="00881601" w:rsidP="00463C16">
            <w:pPr>
              <w:pStyle w:val="TableBody"/>
              <w:rPr>
                <w:i/>
              </w:rPr>
            </w:pPr>
            <w:r>
              <w:rPr>
                <w:i/>
              </w:rPr>
              <w:t xml:space="preserve">Uplift QSE-to-QSE Energy </w:t>
            </w:r>
            <w:smartTag w:uri="urn:schemas-microsoft-com:office:smarttags" w:element="PersonName">
              <w:smartTag w:uri="urn:schemas-microsoft-com:office:smarttags" w:element="date">
                <w:r>
                  <w:rPr>
                    <w:i/>
                  </w:rPr>
                  <w:t>Sale</w:t>
                </w:r>
              </w:smartTag>
            </w:smartTag>
            <w:r>
              <w:rPr>
                <w:i/>
              </w:rPr>
              <w:t xml:space="preserve"> per Market Participant</w:t>
            </w:r>
            <w:r>
              <w:t xml:space="preserve">—The monthly sum of MW sold by Market Participant </w:t>
            </w:r>
            <w:r w:rsidRPr="000300B0">
              <w:rPr>
                <w:i/>
              </w:rPr>
              <w:t>mp</w:t>
            </w:r>
            <w:r>
              <w:t xml:space="preserve"> through Energy Trades, where the Market Participant is a QSE assigned to the registered Counter-Party.</w:t>
            </w:r>
          </w:p>
        </w:tc>
      </w:tr>
      <w:tr w:rsidR="00881601" w14:paraId="4904D205" w14:textId="77777777" w:rsidTr="00D465F5">
        <w:trPr>
          <w:cantSplit/>
        </w:trPr>
        <w:tc>
          <w:tcPr>
            <w:tcW w:w="813" w:type="pct"/>
          </w:tcPr>
          <w:p w14:paraId="6CFFC259" w14:textId="77777777" w:rsidR="00881601" w:rsidRDefault="00881601" w:rsidP="00463C16">
            <w:pPr>
              <w:pStyle w:val="TableBody"/>
            </w:pPr>
            <w:r>
              <w:rPr>
                <w:rFonts w:eastAsia="Calibri"/>
              </w:rPr>
              <w:t xml:space="preserve">RTQQEP </w:t>
            </w:r>
            <w:r w:rsidRPr="006C0ADB">
              <w:rPr>
                <w:i/>
                <w:color w:val="000000"/>
                <w:kern w:val="24"/>
                <w:vertAlign w:val="subscript"/>
              </w:rPr>
              <w:t>mp, p, i</w:t>
            </w:r>
          </w:p>
        </w:tc>
        <w:tc>
          <w:tcPr>
            <w:tcW w:w="461" w:type="pct"/>
          </w:tcPr>
          <w:p w14:paraId="2ACFBF9A" w14:textId="77777777" w:rsidR="00881601" w:rsidRDefault="00881601" w:rsidP="00463C16">
            <w:pPr>
              <w:pStyle w:val="TableBody"/>
            </w:pPr>
            <w:r>
              <w:t>MW</w:t>
            </w:r>
          </w:p>
        </w:tc>
        <w:tc>
          <w:tcPr>
            <w:tcW w:w="3725" w:type="pct"/>
          </w:tcPr>
          <w:p w14:paraId="7EF646BE" w14:textId="77777777" w:rsidR="00881601" w:rsidRDefault="00881601" w:rsidP="00463C16">
            <w:pPr>
              <w:pStyle w:val="TableBody"/>
              <w:rPr>
                <w:i/>
              </w:rPr>
            </w:pPr>
            <w:r>
              <w:rPr>
                <w:i/>
              </w:rPr>
              <w:t>QSE-to-QSE Energy Purchase per Market Participant per Settlement Point</w:t>
            </w:r>
            <w:r>
              <w:t xml:space="preserve">—The amount of MW bought by Market Participant </w:t>
            </w:r>
            <w:r w:rsidRPr="000300B0">
              <w:rPr>
                <w:i/>
              </w:rPr>
              <w:t>mp</w:t>
            </w:r>
            <w:r>
              <w:t xml:space="preserve"> through Energy Trades at Settlement Point </w:t>
            </w:r>
            <w:r>
              <w:rPr>
                <w:i/>
              </w:rPr>
              <w:t>p</w:t>
            </w:r>
            <w:r>
              <w:t xml:space="preserve"> for the 15-minute Settlement Interval </w:t>
            </w:r>
            <w:r w:rsidRPr="000039C4">
              <w:rPr>
                <w:i/>
              </w:rPr>
              <w:t>i</w:t>
            </w:r>
            <w:r>
              <w:t>, where the Market Participant is a QSE.</w:t>
            </w:r>
          </w:p>
        </w:tc>
      </w:tr>
      <w:tr w:rsidR="00881601" w14:paraId="56CF559F" w14:textId="77777777" w:rsidTr="00D465F5">
        <w:trPr>
          <w:cantSplit/>
        </w:trPr>
        <w:tc>
          <w:tcPr>
            <w:tcW w:w="813" w:type="pct"/>
          </w:tcPr>
          <w:p w14:paraId="58F9F257" w14:textId="77777777" w:rsidR="00881601" w:rsidRDefault="00881601" w:rsidP="00463C16">
            <w:pPr>
              <w:pStyle w:val="TableBody"/>
            </w:pPr>
            <w:r>
              <w:rPr>
                <w:rFonts w:eastAsia="Calibri"/>
              </w:rPr>
              <w:t xml:space="preserve">URTQQEP </w:t>
            </w:r>
            <w:r w:rsidRPr="006C0ADB">
              <w:rPr>
                <w:rFonts w:eastAsia="Calibri"/>
                <w:i/>
                <w:vertAlign w:val="subscript"/>
              </w:rPr>
              <w:t>mp</w:t>
            </w:r>
          </w:p>
        </w:tc>
        <w:tc>
          <w:tcPr>
            <w:tcW w:w="461" w:type="pct"/>
          </w:tcPr>
          <w:p w14:paraId="07D2DC5C" w14:textId="77777777" w:rsidR="00881601" w:rsidRDefault="00881601" w:rsidP="00463C16">
            <w:pPr>
              <w:pStyle w:val="TableBody"/>
            </w:pPr>
            <w:r>
              <w:t>MWh</w:t>
            </w:r>
          </w:p>
        </w:tc>
        <w:tc>
          <w:tcPr>
            <w:tcW w:w="3725" w:type="pct"/>
          </w:tcPr>
          <w:p w14:paraId="3F5C665A" w14:textId="77777777" w:rsidR="00881601" w:rsidRPr="00971FA2" w:rsidRDefault="00881601" w:rsidP="00463C16">
            <w:pPr>
              <w:pStyle w:val="TableBody"/>
            </w:pPr>
            <w:r>
              <w:rPr>
                <w:i/>
              </w:rPr>
              <w:t>Uplift QSE-to-QSE Energy Purchase per Market Participant</w:t>
            </w:r>
            <w:r>
              <w:t xml:space="preserve">—The monthly sum of MW bought by Market Participant </w:t>
            </w:r>
            <w:r w:rsidRPr="000300B0">
              <w:rPr>
                <w:i/>
              </w:rPr>
              <w:t>mp</w:t>
            </w:r>
            <w:r>
              <w:t xml:space="preserve"> through Energy Trades, where the Market Participant is a QSE assigned to the registered Counter-Party.</w:t>
            </w:r>
          </w:p>
        </w:tc>
      </w:tr>
      <w:tr w:rsidR="00881601" w14:paraId="77B6D6DB" w14:textId="77777777" w:rsidTr="00D465F5">
        <w:trPr>
          <w:cantSplit/>
        </w:trPr>
        <w:tc>
          <w:tcPr>
            <w:tcW w:w="813" w:type="pct"/>
          </w:tcPr>
          <w:p w14:paraId="6B14A72D" w14:textId="77777777" w:rsidR="00881601" w:rsidRDefault="00881601" w:rsidP="00463C16">
            <w:pPr>
              <w:pStyle w:val="TableBody"/>
            </w:pPr>
            <w:r>
              <w:rPr>
                <w:rFonts w:eastAsia="Calibri"/>
              </w:rPr>
              <w:t xml:space="preserve">DAES </w:t>
            </w:r>
            <w:r w:rsidRPr="004A7A0E">
              <w:rPr>
                <w:i/>
                <w:color w:val="000000"/>
                <w:kern w:val="24"/>
                <w:vertAlign w:val="subscript"/>
              </w:rPr>
              <w:t>mp, p, h</w:t>
            </w:r>
          </w:p>
        </w:tc>
        <w:tc>
          <w:tcPr>
            <w:tcW w:w="461" w:type="pct"/>
          </w:tcPr>
          <w:p w14:paraId="125E5134" w14:textId="77777777" w:rsidR="00881601" w:rsidRDefault="00881601" w:rsidP="00463C16">
            <w:pPr>
              <w:pStyle w:val="TableBody"/>
            </w:pPr>
            <w:r>
              <w:t>MW</w:t>
            </w:r>
          </w:p>
        </w:tc>
        <w:tc>
          <w:tcPr>
            <w:tcW w:w="3725" w:type="pct"/>
          </w:tcPr>
          <w:p w14:paraId="475DE213" w14:textId="77777777" w:rsidR="00881601" w:rsidRDefault="00881601" w:rsidP="00C76F59">
            <w:pPr>
              <w:pStyle w:val="TableBody"/>
            </w:pPr>
            <w:r>
              <w:rPr>
                <w:i/>
              </w:rPr>
              <w:t>Day-Ahead Energy Sale per Market Participant per Settlement Point per hour</w:t>
            </w:r>
            <w:r>
              <w:t xml:space="preserve">—The total amount of energy represented by Market Participant </w:t>
            </w:r>
            <w:r w:rsidRPr="000300B0">
              <w:rPr>
                <w:i/>
              </w:rPr>
              <w:t>mp</w:t>
            </w:r>
            <w:r>
              <w:t xml:space="preserve">’s cleared Three-Part Supply Offers in the DAM and cleared DAM Energy-Only Offers at Settlement Point </w:t>
            </w:r>
            <w:r w:rsidRPr="000300B0">
              <w:rPr>
                <w:i/>
              </w:rPr>
              <w:t>p</w:t>
            </w:r>
            <w:r>
              <w:t xml:space="preserve">, for the hour </w:t>
            </w:r>
            <w:r>
              <w:rPr>
                <w:i/>
              </w:rPr>
              <w:t>h</w:t>
            </w:r>
            <w:r>
              <w:t>, where the Market Participant is a QSE.</w:t>
            </w:r>
          </w:p>
        </w:tc>
      </w:tr>
      <w:tr w:rsidR="00881601" w14:paraId="1CC9E486" w14:textId="77777777" w:rsidTr="00D465F5">
        <w:trPr>
          <w:cantSplit/>
        </w:trPr>
        <w:tc>
          <w:tcPr>
            <w:tcW w:w="813" w:type="pct"/>
          </w:tcPr>
          <w:p w14:paraId="3C5D753D" w14:textId="77777777" w:rsidR="00881601" w:rsidRDefault="00881601" w:rsidP="00463C16">
            <w:pPr>
              <w:pStyle w:val="TableBody"/>
            </w:pPr>
            <w:r>
              <w:rPr>
                <w:rFonts w:eastAsia="Calibri"/>
              </w:rPr>
              <w:t xml:space="preserve">UDAES </w:t>
            </w:r>
            <w:r w:rsidRPr="004A7A0E">
              <w:rPr>
                <w:rFonts w:eastAsia="Calibri"/>
                <w:i/>
                <w:vertAlign w:val="subscript"/>
              </w:rPr>
              <w:t>mp</w:t>
            </w:r>
          </w:p>
        </w:tc>
        <w:tc>
          <w:tcPr>
            <w:tcW w:w="461" w:type="pct"/>
          </w:tcPr>
          <w:p w14:paraId="68676B5E" w14:textId="77777777" w:rsidR="00881601" w:rsidRDefault="00881601" w:rsidP="00463C16">
            <w:pPr>
              <w:pStyle w:val="TableBody"/>
            </w:pPr>
            <w:r>
              <w:t>MWh</w:t>
            </w:r>
          </w:p>
        </w:tc>
        <w:tc>
          <w:tcPr>
            <w:tcW w:w="3725" w:type="pct"/>
          </w:tcPr>
          <w:p w14:paraId="628ED68E" w14:textId="77777777" w:rsidR="00881601" w:rsidRDefault="00881601" w:rsidP="00463C16">
            <w:pPr>
              <w:pStyle w:val="TableBody"/>
              <w:rPr>
                <w:i/>
              </w:rPr>
            </w:pPr>
            <w:r>
              <w:rPr>
                <w:i/>
              </w:rPr>
              <w:t>Uplift Day-Ahead Energy Sale per Market Participant</w:t>
            </w:r>
            <w:r>
              <w:t xml:space="preserve">—The monthly total of energy represented by Market Participant </w:t>
            </w:r>
            <w:r w:rsidRPr="000300B0">
              <w:rPr>
                <w:i/>
              </w:rPr>
              <w:t>mp</w:t>
            </w:r>
            <w:r>
              <w:t>’s cleared Three-Part Supply Offers in the DAM and cleared DAM Energy-Only Offer Curves, where the Market Participant is a QSE assigned to the registered Counter-Party.</w:t>
            </w:r>
          </w:p>
        </w:tc>
      </w:tr>
      <w:tr w:rsidR="00881601" w14:paraId="78E1C6C6" w14:textId="77777777" w:rsidTr="00D465F5">
        <w:trPr>
          <w:cantSplit/>
        </w:trPr>
        <w:tc>
          <w:tcPr>
            <w:tcW w:w="813" w:type="pct"/>
          </w:tcPr>
          <w:p w14:paraId="0850A17B" w14:textId="77777777" w:rsidR="00881601" w:rsidRDefault="00881601" w:rsidP="00463C16">
            <w:pPr>
              <w:pStyle w:val="TableBody"/>
            </w:pPr>
            <w:r>
              <w:rPr>
                <w:rFonts w:eastAsia="Calibri"/>
              </w:rPr>
              <w:t xml:space="preserve">DAEP </w:t>
            </w:r>
            <w:r w:rsidRPr="004A7A0E">
              <w:rPr>
                <w:i/>
                <w:color w:val="000000"/>
                <w:kern w:val="24"/>
                <w:vertAlign w:val="subscript"/>
              </w:rPr>
              <w:t>mp, p, h</w:t>
            </w:r>
          </w:p>
        </w:tc>
        <w:tc>
          <w:tcPr>
            <w:tcW w:w="461" w:type="pct"/>
          </w:tcPr>
          <w:p w14:paraId="184F9306" w14:textId="77777777" w:rsidR="00881601" w:rsidRDefault="00881601" w:rsidP="00463C16">
            <w:pPr>
              <w:pStyle w:val="TableBody"/>
            </w:pPr>
            <w:r>
              <w:t>MW</w:t>
            </w:r>
          </w:p>
        </w:tc>
        <w:tc>
          <w:tcPr>
            <w:tcW w:w="3725" w:type="pct"/>
          </w:tcPr>
          <w:p w14:paraId="3FC80E84" w14:textId="77777777" w:rsidR="00881601" w:rsidRDefault="00881601" w:rsidP="00463C16">
            <w:pPr>
              <w:pStyle w:val="TableBody"/>
            </w:pPr>
            <w:r>
              <w:rPr>
                <w:i/>
              </w:rPr>
              <w:t>Day-Ahead Energy Purchase per Market Participant per Settlement Point per hour</w:t>
            </w:r>
            <w:r>
              <w:t xml:space="preserve">—The total amount of energy represented by Market Participant </w:t>
            </w:r>
            <w:r w:rsidRPr="003E6C65">
              <w:rPr>
                <w:i/>
              </w:rPr>
              <w:t>mp</w:t>
            </w:r>
            <w:r>
              <w:t xml:space="preserve">’s cleared DAM Energy Bids at Settlement Point </w:t>
            </w:r>
            <w:r>
              <w:rPr>
                <w:i/>
              </w:rPr>
              <w:t>p</w:t>
            </w:r>
            <w:r>
              <w:t xml:space="preserve"> for the hour </w:t>
            </w:r>
            <w:r>
              <w:rPr>
                <w:i/>
              </w:rPr>
              <w:t>h</w:t>
            </w:r>
            <w:r>
              <w:t>, where the Market Participant is a QSE.</w:t>
            </w:r>
          </w:p>
        </w:tc>
      </w:tr>
      <w:tr w:rsidR="00881601" w14:paraId="12A31E03" w14:textId="77777777" w:rsidTr="00D465F5">
        <w:trPr>
          <w:cantSplit/>
        </w:trPr>
        <w:tc>
          <w:tcPr>
            <w:tcW w:w="813" w:type="pct"/>
          </w:tcPr>
          <w:p w14:paraId="08939E8E" w14:textId="77777777" w:rsidR="00881601" w:rsidRDefault="00881601" w:rsidP="00463C16">
            <w:pPr>
              <w:pStyle w:val="TableBody"/>
            </w:pPr>
            <w:r>
              <w:rPr>
                <w:rFonts w:eastAsia="Calibri"/>
              </w:rPr>
              <w:lastRenderedPageBreak/>
              <w:t xml:space="preserve">UDAEP </w:t>
            </w:r>
            <w:r w:rsidRPr="004A7A0E">
              <w:rPr>
                <w:rFonts w:eastAsia="Calibri"/>
                <w:i/>
                <w:vertAlign w:val="subscript"/>
              </w:rPr>
              <w:t>mp</w:t>
            </w:r>
          </w:p>
        </w:tc>
        <w:tc>
          <w:tcPr>
            <w:tcW w:w="461" w:type="pct"/>
          </w:tcPr>
          <w:p w14:paraId="2236748C" w14:textId="77777777" w:rsidR="00881601" w:rsidRDefault="00881601" w:rsidP="00463C16">
            <w:pPr>
              <w:pStyle w:val="TableBody"/>
            </w:pPr>
            <w:r>
              <w:t>MWh</w:t>
            </w:r>
          </w:p>
        </w:tc>
        <w:tc>
          <w:tcPr>
            <w:tcW w:w="3725" w:type="pct"/>
          </w:tcPr>
          <w:p w14:paraId="1E21D2DD" w14:textId="77777777" w:rsidR="00881601" w:rsidRDefault="00881601" w:rsidP="00463C16">
            <w:pPr>
              <w:pStyle w:val="TableBody"/>
              <w:rPr>
                <w:i/>
              </w:rPr>
            </w:pPr>
            <w:r>
              <w:rPr>
                <w:i/>
              </w:rPr>
              <w:t>Uplift Day-Ahead Energy Purchase per Market Participant</w:t>
            </w:r>
            <w:r>
              <w:t xml:space="preserve">—The monthly total of energy represented by Market Participant </w:t>
            </w:r>
            <w:r w:rsidRPr="003E6C65">
              <w:rPr>
                <w:i/>
              </w:rPr>
              <w:t>mp</w:t>
            </w:r>
            <w:r>
              <w:t>’s cleared DAM Energy Bids, where the Market Participant is a QSE assigned to the registered Counter-Party.</w:t>
            </w:r>
          </w:p>
        </w:tc>
      </w:tr>
      <w:tr w:rsidR="00881601" w14:paraId="6062AAF7" w14:textId="77777777" w:rsidTr="00D465F5">
        <w:trPr>
          <w:cantSplit/>
        </w:trPr>
        <w:tc>
          <w:tcPr>
            <w:tcW w:w="813" w:type="pct"/>
          </w:tcPr>
          <w:p w14:paraId="16C315A2" w14:textId="77777777" w:rsidR="00881601" w:rsidRDefault="00881601" w:rsidP="00463C16">
            <w:pPr>
              <w:pStyle w:val="TableBody"/>
            </w:pPr>
            <w:r>
              <w:t xml:space="preserve">RTOBL </w:t>
            </w:r>
            <w:r w:rsidRPr="004A7A0E">
              <w:rPr>
                <w:i/>
                <w:vertAlign w:val="subscript"/>
              </w:rPr>
              <w:t>mp, (j, k), h</w:t>
            </w:r>
          </w:p>
        </w:tc>
        <w:tc>
          <w:tcPr>
            <w:tcW w:w="461" w:type="pct"/>
          </w:tcPr>
          <w:p w14:paraId="5521B8B3" w14:textId="77777777" w:rsidR="00881601" w:rsidRDefault="00881601" w:rsidP="00463C16">
            <w:pPr>
              <w:pStyle w:val="TableBody"/>
            </w:pPr>
            <w:r>
              <w:t>MW</w:t>
            </w:r>
          </w:p>
        </w:tc>
        <w:tc>
          <w:tcPr>
            <w:tcW w:w="3725" w:type="pct"/>
          </w:tcPr>
          <w:p w14:paraId="09B7847F" w14:textId="77777777" w:rsidR="00881601" w:rsidRDefault="00881601" w:rsidP="00463C16">
            <w:pPr>
              <w:pStyle w:val="TableBody"/>
            </w:pPr>
            <w:r>
              <w:rPr>
                <w:i/>
              </w:rPr>
              <w:t>Real-Time Obligation per Market Participant per source and sink pair per hour</w:t>
            </w:r>
            <w:r>
              <w:t xml:space="preserve">—The number of Market Participant </w:t>
            </w:r>
            <w:r w:rsidRPr="003E6C65">
              <w:rPr>
                <w:i/>
              </w:rPr>
              <w:t>mp</w:t>
            </w:r>
            <w:r>
              <w:t xml:space="preserve">’s Point-to-Point (PTP) Obligations with the source </w:t>
            </w:r>
            <w:r>
              <w:rPr>
                <w:i/>
              </w:rPr>
              <w:t>j</w:t>
            </w:r>
            <w:r>
              <w:t xml:space="preserve"> and the sink </w:t>
            </w:r>
            <w:r>
              <w:rPr>
                <w:i/>
              </w:rPr>
              <w:t>k</w:t>
            </w:r>
            <w:r>
              <w:t xml:space="preserve"> settled in Real-Time for the hour </w:t>
            </w:r>
            <w:r>
              <w:rPr>
                <w:i/>
              </w:rPr>
              <w:t>h</w:t>
            </w:r>
            <w:r>
              <w:t>, and where the Market Participant is a QSE.</w:t>
            </w:r>
          </w:p>
        </w:tc>
      </w:tr>
      <w:tr w:rsidR="00881601" w14:paraId="64B9AFFE" w14:textId="77777777" w:rsidTr="00D465F5">
        <w:trPr>
          <w:cantSplit/>
        </w:trPr>
        <w:tc>
          <w:tcPr>
            <w:tcW w:w="813" w:type="pct"/>
          </w:tcPr>
          <w:p w14:paraId="4445B3BA" w14:textId="77777777" w:rsidR="00881601" w:rsidRDefault="00881601" w:rsidP="00463C16">
            <w:pPr>
              <w:pStyle w:val="TableBody"/>
              <w:rPr>
                <w:bCs/>
              </w:rPr>
            </w:pPr>
            <w:r>
              <w:rPr>
                <w:rFonts w:eastAsia="Calibri"/>
              </w:rPr>
              <w:t xml:space="preserve">URTOBL </w:t>
            </w:r>
            <w:r w:rsidRPr="004A7A0E">
              <w:rPr>
                <w:rFonts w:eastAsia="Calibri"/>
                <w:i/>
                <w:vertAlign w:val="subscript"/>
              </w:rPr>
              <w:t>mp</w:t>
            </w:r>
          </w:p>
        </w:tc>
        <w:tc>
          <w:tcPr>
            <w:tcW w:w="461" w:type="pct"/>
          </w:tcPr>
          <w:p w14:paraId="410CB2EC" w14:textId="77777777" w:rsidR="00881601" w:rsidRDefault="00881601" w:rsidP="00463C16">
            <w:pPr>
              <w:pStyle w:val="TableBody"/>
              <w:rPr>
                <w:bCs/>
              </w:rPr>
            </w:pPr>
            <w:r>
              <w:t>MWh</w:t>
            </w:r>
          </w:p>
        </w:tc>
        <w:tc>
          <w:tcPr>
            <w:tcW w:w="3725" w:type="pct"/>
          </w:tcPr>
          <w:p w14:paraId="1F38E519" w14:textId="77777777" w:rsidR="00881601" w:rsidRDefault="00881601" w:rsidP="00463C16">
            <w:pPr>
              <w:pStyle w:val="TableBody"/>
              <w:rPr>
                <w:bCs/>
                <w:i/>
              </w:rPr>
            </w:pPr>
            <w:r>
              <w:rPr>
                <w:i/>
              </w:rPr>
              <w:t>Uplift Real-Time Obligation per Market Participant</w:t>
            </w:r>
            <w:r>
              <w:t xml:space="preserve">—The monthly total of Market Participant </w:t>
            </w:r>
            <w:r w:rsidRPr="00DF336E">
              <w:rPr>
                <w:i/>
              </w:rPr>
              <w:t>mp</w:t>
            </w:r>
            <w:r>
              <w:t xml:space="preserve">’s PTP Obligations settled in Real-Time, counting the quantity only once per source and sink pair, and where the Market Participant is </w:t>
            </w:r>
            <w:r w:rsidRPr="00EE4ABE">
              <w:t>a QSE</w:t>
            </w:r>
            <w:r>
              <w:t xml:space="preserve"> assigned to the registered Counter-Party.</w:t>
            </w:r>
          </w:p>
        </w:tc>
      </w:tr>
      <w:tr w:rsidR="00881601" w14:paraId="7A5D06B2" w14:textId="77777777" w:rsidTr="00D465F5">
        <w:trPr>
          <w:cantSplit/>
        </w:trPr>
        <w:tc>
          <w:tcPr>
            <w:tcW w:w="813" w:type="pct"/>
          </w:tcPr>
          <w:p w14:paraId="42A1A127" w14:textId="77777777" w:rsidR="00881601" w:rsidRDefault="00881601" w:rsidP="00463C16">
            <w:pPr>
              <w:pStyle w:val="TableBody"/>
              <w:rPr>
                <w:bCs/>
              </w:rPr>
            </w:pPr>
            <w:r>
              <w:rPr>
                <w:bCs/>
              </w:rPr>
              <w:t xml:space="preserve">RTOBLLO </w:t>
            </w:r>
            <w:r w:rsidRPr="004A7A0E">
              <w:rPr>
                <w:bCs/>
                <w:i/>
                <w:vertAlign w:val="subscript"/>
              </w:rPr>
              <w:t>q, (j, k)</w:t>
            </w:r>
          </w:p>
        </w:tc>
        <w:tc>
          <w:tcPr>
            <w:tcW w:w="461" w:type="pct"/>
          </w:tcPr>
          <w:p w14:paraId="4DB03500" w14:textId="77777777" w:rsidR="00881601" w:rsidRDefault="00881601" w:rsidP="00463C16">
            <w:pPr>
              <w:pStyle w:val="TableBody"/>
              <w:rPr>
                <w:bCs/>
              </w:rPr>
            </w:pPr>
            <w:r>
              <w:rPr>
                <w:bCs/>
              </w:rPr>
              <w:t>MW</w:t>
            </w:r>
          </w:p>
        </w:tc>
        <w:tc>
          <w:tcPr>
            <w:tcW w:w="3725" w:type="pct"/>
          </w:tcPr>
          <w:p w14:paraId="7BEE270D" w14:textId="77777777" w:rsidR="00881601" w:rsidRDefault="00881601" w:rsidP="00463C16">
            <w:pPr>
              <w:pStyle w:val="TableBody"/>
              <w:rPr>
                <w:bCs/>
                <w:i/>
              </w:rPr>
            </w:pPr>
            <w:r>
              <w:rPr>
                <w:bCs/>
                <w:i/>
              </w:rPr>
              <w:t>Real-Time Obligation with Links to an Option per QSE per pair of source and sink</w:t>
            </w:r>
            <w:r>
              <w:rPr>
                <w:bCs/>
              </w:rPr>
              <w:sym w:font="Symbol" w:char="F0BE"/>
            </w:r>
            <w:r>
              <w:rPr>
                <w:bCs/>
              </w:rPr>
              <w:t xml:space="preserve">The total MW of the QSE’s PTP Obligation with Links to an Option Bids cleared in the DAM and settled in Real-Time for the source </w:t>
            </w:r>
            <w:r>
              <w:rPr>
                <w:bCs/>
                <w:i/>
              </w:rPr>
              <w:t>j</w:t>
            </w:r>
            <w:r>
              <w:rPr>
                <w:bCs/>
              </w:rPr>
              <w:t xml:space="preserve"> and the sink </w:t>
            </w:r>
            <w:r>
              <w:rPr>
                <w:bCs/>
                <w:i/>
              </w:rPr>
              <w:t>k</w:t>
            </w:r>
            <w:r>
              <w:rPr>
                <w:bCs/>
              </w:rPr>
              <w:t xml:space="preserve"> for the hour.</w:t>
            </w:r>
          </w:p>
        </w:tc>
      </w:tr>
      <w:tr w:rsidR="00881601" w14:paraId="545205E4" w14:textId="77777777" w:rsidTr="00D465F5">
        <w:trPr>
          <w:cantSplit/>
        </w:trPr>
        <w:tc>
          <w:tcPr>
            <w:tcW w:w="813" w:type="pct"/>
          </w:tcPr>
          <w:p w14:paraId="5DD6C6EF" w14:textId="77777777" w:rsidR="00881601" w:rsidRDefault="00881601" w:rsidP="00463C16">
            <w:pPr>
              <w:pStyle w:val="TableBody"/>
              <w:rPr>
                <w:bCs/>
              </w:rPr>
            </w:pPr>
            <w:r>
              <w:rPr>
                <w:bCs/>
              </w:rPr>
              <w:t xml:space="preserve">URTOBLLO </w:t>
            </w:r>
            <w:r w:rsidRPr="004A7A0E">
              <w:rPr>
                <w:bCs/>
                <w:i/>
                <w:vertAlign w:val="subscript"/>
              </w:rPr>
              <w:t>q, (j, k)</w:t>
            </w:r>
          </w:p>
        </w:tc>
        <w:tc>
          <w:tcPr>
            <w:tcW w:w="461" w:type="pct"/>
          </w:tcPr>
          <w:p w14:paraId="139AAACD" w14:textId="77777777" w:rsidR="00881601" w:rsidRDefault="00881601" w:rsidP="00463C16">
            <w:pPr>
              <w:pStyle w:val="TableBody"/>
              <w:rPr>
                <w:bCs/>
              </w:rPr>
            </w:pPr>
            <w:r>
              <w:rPr>
                <w:bCs/>
              </w:rPr>
              <w:t>MW</w:t>
            </w:r>
          </w:p>
        </w:tc>
        <w:tc>
          <w:tcPr>
            <w:tcW w:w="3725" w:type="pct"/>
          </w:tcPr>
          <w:p w14:paraId="2F972422" w14:textId="77777777" w:rsidR="00881601" w:rsidRDefault="00881601" w:rsidP="00463C16">
            <w:pPr>
              <w:pStyle w:val="TableBody"/>
              <w:rPr>
                <w:bCs/>
                <w:i/>
              </w:rPr>
            </w:pPr>
            <w:r>
              <w:rPr>
                <w:bCs/>
                <w:i/>
              </w:rPr>
              <w:t>Uplift Real-Time Obligation with Links to an Option per QSE per pair of source and sink</w:t>
            </w:r>
            <w:r>
              <w:rPr>
                <w:bCs/>
              </w:rPr>
              <w:sym w:font="Symbol" w:char="F0BE"/>
            </w:r>
            <w:r>
              <w:rPr>
                <w:bCs/>
              </w:rPr>
              <w:t xml:space="preserve">The monthly total of </w:t>
            </w:r>
            <w:r>
              <w:t xml:space="preserve">Market Participant </w:t>
            </w:r>
            <w:r w:rsidRPr="00DF336E">
              <w:rPr>
                <w:i/>
              </w:rPr>
              <w:t>mp</w:t>
            </w:r>
            <w:r>
              <w:t xml:space="preserve">’s </w:t>
            </w:r>
            <w:r>
              <w:rPr>
                <w:bCs/>
              </w:rPr>
              <w:t xml:space="preserve">MW of PTP Obligation with Links to Options Bids cleared in the DAM and settled in Real-Time for the source </w:t>
            </w:r>
            <w:r>
              <w:rPr>
                <w:bCs/>
                <w:i/>
              </w:rPr>
              <w:t>j</w:t>
            </w:r>
            <w:r>
              <w:rPr>
                <w:bCs/>
              </w:rPr>
              <w:t xml:space="preserve"> and the sink </w:t>
            </w:r>
            <w:r>
              <w:rPr>
                <w:bCs/>
                <w:i/>
              </w:rPr>
              <w:t>k</w:t>
            </w:r>
            <w:r>
              <w:rPr>
                <w:bCs/>
              </w:rPr>
              <w:t xml:space="preserve"> for the hour,</w:t>
            </w:r>
            <w:r>
              <w:t xml:space="preserve"> where the Market Participant is a QSE assigned to the registered Counter-Party.</w:t>
            </w:r>
          </w:p>
        </w:tc>
      </w:tr>
      <w:tr w:rsidR="00881601" w14:paraId="53E5B63A" w14:textId="77777777" w:rsidTr="00D465F5">
        <w:trPr>
          <w:cantSplit/>
        </w:trPr>
        <w:tc>
          <w:tcPr>
            <w:tcW w:w="813" w:type="pct"/>
          </w:tcPr>
          <w:p w14:paraId="69B8D7FD" w14:textId="77777777" w:rsidR="00881601" w:rsidRDefault="00881601" w:rsidP="00463C16">
            <w:pPr>
              <w:pStyle w:val="TableBody"/>
            </w:pPr>
            <w:r>
              <w:rPr>
                <w:bCs/>
              </w:rPr>
              <w:t xml:space="preserve">DAOPT </w:t>
            </w:r>
            <w:r w:rsidRPr="004A7A0E">
              <w:rPr>
                <w:rFonts w:eastAsia="Calibri"/>
                <w:i/>
                <w:vertAlign w:val="subscript"/>
              </w:rPr>
              <w:t>mp</w:t>
            </w:r>
            <w:r w:rsidRPr="004A7A0E">
              <w:rPr>
                <w:bCs/>
                <w:i/>
                <w:vertAlign w:val="subscript"/>
              </w:rPr>
              <w:t>, (j, k), h</w:t>
            </w:r>
          </w:p>
        </w:tc>
        <w:tc>
          <w:tcPr>
            <w:tcW w:w="461" w:type="pct"/>
          </w:tcPr>
          <w:p w14:paraId="7342EEC8" w14:textId="77777777" w:rsidR="00881601" w:rsidRDefault="00881601" w:rsidP="00463C16">
            <w:pPr>
              <w:pStyle w:val="TableBody"/>
            </w:pPr>
            <w:r>
              <w:rPr>
                <w:bCs/>
              </w:rPr>
              <w:t>MW</w:t>
            </w:r>
          </w:p>
        </w:tc>
        <w:tc>
          <w:tcPr>
            <w:tcW w:w="3725" w:type="pct"/>
          </w:tcPr>
          <w:p w14:paraId="69CF61BE" w14:textId="77777777" w:rsidR="00881601" w:rsidRPr="008865FE" w:rsidRDefault="00881601" w:rsidP="00463C16">
            <w:pPr>
              <w:pStyle w:val="TableBody"/>
              <w:rPr>
                <w:bCs/>
              </w:rPr>
            </w:pPr>
            <w:r>
              <w:rPr>
                <w:bCs/>
                <w:i/>
              </w:rPr>
              <w:t>Day-Ahead Option per Market Participant per source and sink pair per hour</w:t>
            </w:r>
            <w:r>
              <w:rPr>
                <w:bCs/>
              </w:rPr>
              <w:sym w:font="Symbol" w:char="F0BE"/>
            </w:r>
            <w:r>
              <w:rPr>
                <w:bCs/>
              </w:rPr>
              <w:t xml:space="preserve">The number of </w:t>
            </w:r>
            <w:r>
              <w:t xml:space="preserve">Market Participant </w:t>
            </w:r>
            <w:r w:rsidRPr="00DF336E">
              <w:rPr>
                <w:i/>
              </w:rPr>
              <w:t>mp</w:t>
            </w:r>
            <w:r>
              <w:t xml:space="preserve">’s </w:t>
            </w:r>
            <w:r>
              <w:rPr>
                <w:bCs/>
              </w:rPr>
              <w:t xml:space="preserve">PTP Options with the source </w:t>
            </w:r>
            <w:r>
              <w:rPr>
                <w:bCs/>
                <w:i/>
              </w:rPr>
              <w:t>j</w:t>
            </w:r>
            <w:r>
              <w:rPr>
                <w:bCs/>
              </w:rPr>
              <w:t xml:space="preserve"> and the sink </w:t>
            </w:r>
            <w:r>
              <w:rPr>
                <w:bCs/>
                <w:i/>
              </w:rPr>
              <w:t>k</w:t>
            </w:r>
            <w:r>
              <w:rPr>
                <w:bCs/>
              </w:rPr>
              <w:t xml:space="preserve"> owned</w:t>
            </w:r>
            <w:r w:rsidRPr="00F42E29">
              <w:rPr>
                <w:bCs/>
              </w:rPr>
              <w:t xml:space="preserve"> in the DAM</w:t>
            </w:r>
            <w:r>
              <w:rPr>
                <w:bCs/>
              </w:rPr>
              <w:t xml:space="preserve"> for the hour </w:t>
            </w:r>
            <w:r>
              <w:rPr>
                <w:bCs/>
                <w:i/>
              </w:rPr>
              <w:t>h</w:t>
            </w:r>
            <w:r>
              <w:rPr>
                <w:bCs/>
              </w:rPr>
              <w:t>,</w:t>
            </w:r>
            <w:r>
              <w:t xml:space="preserve"> and where the Market Participant is a CRR Account Holder.</w:t>
            </w:r>
            <w:r>
              <w:rPr>
                <w:bCs/>
              </w:rPr>
              <w:t xml:space="preserve"> </w:t>
            </w:r>
          </w:p>
        </w:tc>
      </w:tr>
      <w:tr w:rsidR="00881601" w14:paraId="5F6F6A0C" w14:textId="77777777" w:rsidTr="00D465F5">
        <w:trPr>
          <w:cantSplit/>
        </w:trPr>
        <w:tc>
          <w:tcPr>
            <w:tcW w:w="813" w:type="pct"/>
          </w:tcPr>
          <w:p w14:paraId="2E8CA0BE" w14:textId="77777777" w:rsidR="00881601" w:rsidRDefault="00881601" w:rsidP="00463C16">
            <w:pPr>
              <w:pStyle w:val="TableBody"/>
              <w:rPr>
                <w:bCs/>
              </w:rPr>
            </w:pPr>
            <w:r>
              <w:rPr>
                <w:rFonts w:eastAsia="Calibri"/>
              </w:rPr>
              <w:t xml:space="preserve">UDAOPT </w:t>
            </w:r>
            <w:r w:rsidRPr="004A7A0E">
              <w:rPr>
                <w:rFonts w:eastAsia="Calibri"/>
                <w:i/>
                <w:vertAlign w:val="subscript"/>
              </w:rPr>
              <w:t>mp</w:t>
            </w:r>
          </w:p>
        </w:tc>
        <w:tc>
          <w:tcPr>
            <w:tcW w:w="461" w:type="pct"/>
          </w:tcPr>
          <w:p w14:paraId="63FF7269" w14:textId="77777777" w:rsidR="00881601" w:rsidRDefault="00881601" w:rsidP="00463C16">
            <w:pPr>
              <w:pStyle w:val="TableBody"/>
              <w:rPr>
                <w:bCs/>
              </w:rPr>
            </w:pPr>
            <w:r>
              <w:t>MWh</w:t>
            </w:r>
          </w:p>
        </w:tc>
        <w:tc>
          <w:tcPr>
            <w:tcW w:w="3725" w:type="pct"/>
          </w:tcPr>
          <w:p w14:paraId="59D51ABB" w14:textId="77777777" w:rsidR="00881601" w:rsidRDefault="00881601" w:rsidP="00463C16">
            <w:pPr>
              <w:pStyle w:val="TableBody"/>
              <w:rPr>
                <w:i/>
              </w:rPr>
            </w:pPr>
            <w:r>
              <w:rPr>
                <w:bCs/>
                <w:i/>
              </w:rPr>
              <w:t>Uplift Day-Ahead Option per Market Participant</w:t>
            </w:r>
            <w:r>
              <w:rPr>
                <w:bCs/>
              </w:rPr>
              <w:sym w:font="Symbol" w:char="F0BE"/>
            </w:r>
            <w:r>
              <w:rPr>
                <w:bCs/>
              </w:rPr>
              <w:t xml:space="preserve">The monthly total of </w:t>
            </w:r>
            <w:r>
              <w:t xml:space="preserve">Market Participant </w:t>
            </w:r>
            <w:r w:rsidRPr="00DF336E">
              <w:rPr>
                <w:i/>
              </w:rPr>
              <w:t>mp</w:t>
            </w:r>
            <w:r>
              <w:t xml:space="preserve">’s </w:t>
            </w:r>
            <w:r>
              <w:rPr>
                <w:bCs/>
              </w:rPr>
              <w:t xml:space="preserve">PTP </w:t>
            </w:r>
            <w:r w:rsidRPr="00F42E29">
              <w:rPr>
                <w:bCs/>
              </w:rPr>
              <w:t xml:space="preserve">Options </w:t>
            </w:r>
            <w:r>
              <w:rPr>
                <w:bCs/>
              </w:rPr>
              <w:t>owned</w:t>
            </w:r>
            <w:r w:rsidRPr="00F42E29">
              <w:rPr>
                <w:bCs/>
              </w:rPr>
              <w:t xml:space="preserve"> in the DAM</w:t>
            </w:r>
            <w:r>
              <w:t>, counting the ownership quantity only once per source and sink pair, and where the Market Participant is a CRR Account Holder assigned to the registered Counter-Party.</w:t>
            </w:r>
          </w:p>
        </w:tc>
      </w:tr>
      <w:tr w:rsidR="00881601" w14:paraId="636D4EE6" w14:textId="77777777" w:rsidTr="00D465F5">
        <w:trPr>
          <w:cantSplit/>
        </w:trPr>
        <w:tc>
          <w:tcPr>
            <w:tcW w:w="813" w:type="pct"/>
          </w:tcPr>
          <w:p w14:paraId="504440B3" w14:textId="77777777" w:rsidR="00881601" w:rsidRDefault="00881601" w:rsidP="00463C16">
            <w:pPr>
              <w:pStyle w:val="TableBody"/>
              <w:rPr>
                <w:bCs/>
              </w:rPr>
            </w:pPr>
            <w:r>
              <w:rPr>
                <w:bCs/>
              </w:rPr>
              <w:t xml:space="preserve">DAOBL </w:t>
            </w:r>
            <w:r w:rsidRPr="004A7A0E">
              <w:rPr>
                <w:rFonts w:eastAsia="Calibri"/>
                <w:i/>
                <w:vertAlign w:val="subscript"/>
              </w:rPr>
              <w:t>mp</w:t>
            </w:r>
            <w:r w:rsidRPr="004A7A0E">
              <w:rPr>
                <w:i/>
                <w:vertAlign w:val="subscript"/>
              </w:rPr>
              <w:t xml:space="preserve">, </w:t>
            </w:r>
            <w:r w:rsidRPr="004A7A0E">
              <w:rPr>
                <w:bCs/>
                <w:i/>
                <w:vertAlign w:val="subscript"/>
              </w:rPr>
              <w:t>(j, k), h</w:t>
            </w:r>
          </w:p>
        </w:tc>
        <w:tc>
          <w:tcPr>
            <w:tcW w:w="461" w:type="pct"/>
          </w:tcPr>
          <w:p w14:paraId="6572F3E8" w14:textId="77777777" w:rsidR="00881601" w:rsidRDefault="00881601" w:rsidP="00463C16">
            <w:pPr>
              <w:pStyle w:val="TableBody"/>
            </w:pPr>
            <w:r>
              <w:rPr>
                <w:bCs/>
              </w:rPr>
              <w:t>MW</w:t>
            </w:r>
          </w:p>
        </w:tc>
        <w:tc>
          <w:tcPr>
            <w:tcW w:w="3725" w:type="pct"/>
          </w:tcPr>
          <w:p w14:paraId="0604062B" w14:textId="77777777" w:rsidR="00881601" w:rsidRPr="00F42E29" w:rsidRDefault="00881601" w:rsidP="00463C16">
            <w:pPr>
              <w:pStyle w:val="TableBody"/>
            </w:pPr>
            <w:r>
              <w:rPr>
                <w:i/>
              </w:rPr>
              <w:t xml:space="preserve">Day-Ahead Obligation per </w:t>
            </w:r>
            <w:r>
              <w:rPr>
                <w:bCs/>
                <w:i/>
              </w:rPr>
              <w:t xml:space="preserve">Market Participant </w:t>
            </w:r>
            <w:r>
              <w:rPr>
                <w:i/>
              </w:rPr>
              <w:t>per source and sink pair per hour</w:t>
            </w:r>
            <w:r>
              <w:t>—</w:t>
            </w:r>
            <w:r>
              <w:rPr>
                <w:bCs/>
              </w:rPr>
              <w:t xml:space="preserve">The number of </w:t>
            </w:r>
            <w:r>
              <w:t xml:space="preserve">Market Participant </w:t>
            </w:r>
            <w:r w:rsidRPr="00DF336E">
              <w:rPr>
                <w:i/>
              </w:rPr>
              <w:t>mp</w:t>
            </w:r>
            <w:r>
              <w:t xml:space="preserve">’s </w:t>
            </w:r>
            <w:r>
              <w:rPr>
                <w:bCs/>
              </w:rPr>
              <w:t>PT</w:t>
            </w:r>
            <w:r>
              <w:t>P</w:t>
            </w:r>
            <w:r>
              <w:rPr>
                <w:bCs/>
              </w:rPr>
              <w:t xml:space="preserve"> Obligations with the source </w:t>
            </w:r>
            <w:r>
              <w:rPr>
                <w:bCs/>
                <w:i/>
              </w:rPr>
              <w:t>j</w:t>
            </w:r>
            <w:r>
              <w:rPr>
                <w:bCs/>
              </w:rPr>
              <w:t xml:space="preserve"> and the sink </w:t>
            </w:r>
            <w:r>
              <w:rPr>
                <w:bCs/>
                <w:i/>
              </w:rPr>
              <w:t>k</w:t>
            </w:r>
            <w:r>
              <w:rPr>
                <w:bCs/>
              </w:rPr>
              <w:t xml:space="preserve"> owned</w:t>
            </w:r>
            <w:r w:rsidRPr="00F42E29">
              <w:rPr>
                <w:bCs/>
              </w:rPr>
              <w:t xml:space="preserve"> in the DAM</w:t>
            </w:r>
            <w:r>
              <w:rPr>
                <w:bCs/>
              </w:rPr>
              <w:t xml:space="preserve"> for the hour </w:t>
            </w:r>
            <w:r>
              <w:rPr>
                <w:bCs/>
                <w:i/>
              </w:rPr>
              <w:t>h</w:t>
            </w:r>
            <w:r>
              <w:t xml:space="preserve">, and where the Market Participant is a CRR Account Holder.  </w:t>
            </w:r>
          </w:p>
        </w:tc>
      </w:tr>
      <w:tr w:rsidR="00881601" w14:paraId="1D77F864" w14:textId="77777777" w:rsidTr="00D465F5">
        <w:trPr>
          <w:cantSplit/>
        </w:trPr>
        <w:tc>
          <w:tcPr>
            <w:tcW w:w="813" w:type="pct"/>
          </w:tcPr>
          <w:p w14:paraId="7378BEFE" w14:textId="77777777" w:rsidR="00881601" w:rsidRDefault="00881601" w:rsidP="00463C16">
            <w:pPr>
              <w:pStyle w:val="TableBody"/>
            </w:pPr>
            <w:r>
              <w:rPr>
                <w:rFonts w:eastAsia="Calibri"/>
              </w:rPr>
              <w:t xml:space="preserve">UDAOBL </w:t>
            </w:r>
            <w:r w:rsidRPr="004A7A0E">
              <w:rPr>
                <w:rFonts w:eastAsia="Calibri"/>
                <w:i/>
                <w:vertAlign w:val="subscript"/>
              </w:rPr>
              <w:t>mp</w:t>
            </w:r>
          </w:p>
        </w:tc>
        <w:tc>
          <w:tcPr>
            <w:tcW w:w="461" w:type="pct"/>
          </w:tcPr>
          <w:p w14:paraId="7A44169F" w14:textId="77777777" w:rsidR="00881601" w:rsidRDefault="00881601" w:rsidP="00463C16">
            <w:pPr>
              <w:pStyle w:val="TableBody"/>
            </w:pPr>
            <w:r>
              <w:t>MWh</w:t>
            </w:r>
          </w:p>
        </w:tc>
        <w:tc>
          <w:tcPr>
            <w:tcW w:w="3725" w:type="pct"/>
          </w:tcPr>
          <w:p w14:paraId="2124D7D0" w14:textId="77777777" w:rsidR="00881601" w:rsidRDefault="00881601" w:rsidP="00463C16">
            <w:pPr>
              <w:pStyle w:val="TableBody"/>
              <w:rPr>
                <w:i/>
              </w:rPr>
            </w:pPr>
            <w:r>
              <w:rPr>
                <w:bCs/>
                <w:i/>
              </w:rPr>
              <w:t>Uplift Day-Ahead Obligation per Market Participant</w:t>
            </w:r>
            <w:r>
              <w:rPr>
                <w:bCs/>
              </w:rPr>
              <w:sym w:font="Symbol" w:char="F0BE"/>
            </w:r>
            <w:r>
              <w:rPr>
                <w:bCs/>
              </w:rPr>
              <w:t xml:space="preserve">The monthly total of </w:t>
            </w:r>
            <w:r>
              <w:t xml:space="preserve">Market Participant </w:t>
            </w:r>
            <w:r w:rsidRPr="00DF336E">
              <w:rPr>
                <w:i/>
              </w:rPr>
              <w:t>mp</w:t>
            </w:r>
            <w:r>
              <w:t xml:space="preserve">’s </w:t>
            </w:r>
            <w:r>
              <w:rPr>
                <w:bCs/>
              </w:rPr>
              <w:t>PTP Obligations owned</w:t>
            </w:r>
            <w:r w:rsidRPr="00F42E29">
              <w:rPr>
                <w:bCs/>
              </w:rPr>
              <w:t xml:space="preserve"> in the DAM</w:t>
            </w:r>
            <w:r w:rsidRPr="00F42E29">
              <w:t>, counting</w:t>
            </w:r>
            <w:r>
              <w:t xml:space="preserve"> the ownership quantity only once per source and sink pair, where the Market Participant is a CRR Account Holder assigned to the registered Counter-Party.</w:t>
            </w:r>
          </w:p>
        </w:tc>
      </w:tr>
      <w:tr w:rsidR="005F7F75" w14:paraId="194EF4BF" w14:textId="77777777" w:rsidTr="00D465F5">
        <w:trPr>
          <w:cantSplit/>
        </w:trPr>
        <w:tc>
          <w:tcPr>
            <w:tcW w:w="813" w:type="pct"/>
            <w:tcBorders>
              <w:top w:val="single" w:sz="6" w:space="0" w:color="auto"/>
              <w:left w:val="single" w:sz="4" w:space="0" w:color="auto"/>
              <w:bottom w:val="single" w:sz="6" w:space="0" w:color="auto"/>
              <w:right w:val="single" w:sz="6" w:space="0" w:color="auto"/>
            </w:tcBorders>
          </w:tcPr>
          <w:p w14:paraId="1E80E627" w14:textId="77777777" w:rsidR="005F7F75" w:rsidRPr="00D164B6" w:rsidRDefault="005F7F75" w:rsidP="00FA0C07">
            <w:pPr>
              <w:pStyle w:val="TableBody"/>
              <w:rPr>
                <w:rFonts w:eastAsia="Calibri"/>
              </w:rPr>
            </w:pPr>
            <w:r>
              <w:t xml:space="preserve">OPTS </w:t>
            </w:r>
            <w:r w:rsidRPr="004A7A0E">
              <w:rPr>
                <w:rFonts w:eastAsia="Calibri"/>
                <w:i/>
                <w:vertAlign w:val="subscript"/>
              </w:rPr>
              <w:t>mp</w:t>
            </w:r>
            <w:r w:rsidRPr="004A7A0E">
              <w:rPr>
                <w:i/>
                <w:vertAlign w:val="subscript"/>
              </w:rPr>
              <w:t>, (j, k), a, h</w:t>
            </w:r>
          </w:p>
        </w:tc>
        <w:tc>
          <w:tcPr>
            <w:tcW w:w="461" w:type="pct"/>
            <w:tcBorders>
              <w:top w:val="single" w:sz="6" w:space="0" w:color="auto"/>
              <w:left w:val="single" w:sz="6" w:space="0" w:color="auto"/>
              <w:bottom w:val="single" w:sz="6" w:space="0" w:color="auto"/>
              <w:right w:val="single" w:sz="6" w:space="0" w:color="auto"/>
            </w:tcBorders>
          </w:tcPr>
          <w:p w14:paraId="520A2721" w14:textId="77777777" w:rsidR="005F7F75" w:rsidRDefault="005F7F75" w:rsidP="00FA0C07">
            <w:pPr>
              <w:pStyle w:val="TableBody"/>
            </w:pPr>
            <w:r>
              <w:t>MW</w:t>
            </w:r>
          </w:p>
        </w:tc>
        <w:tc>
          <w:tcPr>
            <w:tcW w:w="3725" w:type="pct"/>
            <w:tcBorders>
              <w:top w:val="single" w:sz="6" w:space="0" w:color="auto"/>
              <w:left w:val="single" w:sz="6" w:space="0" w:color="auto"/>
              <w:bottom w:val="single" w:sz="6" w:space="0" w:color="auto"/>
              <w:right w:val="single" w:sz="4" w:space="0" w:color="auto"/>
            </w:tcBorders>
          </w:tcPr>
          <w:p w14:paraId="6A8C0955" w14:textId="77777777" w:rsidR="005F7F75" w:rsidRPr="00D164B6" w:rsidRDefault="005F7F75" w:rsidP="00FA0C07">
            <w:pPr>
              <w:pStyle w:val="TableBody"/>
              <w:rPr>
                <w:bCs/>
                <w:i/>
              </w:rPr>
            </w:pPr>
            <w:r>
              <w:rPr>
                <w:i/>
              </w:rPr>
              <w:t xml:space="preserve">PTP Option Sale </w:t>
            </w:r>
            <w:r>
              <w:rPr>
                <w:bCs/>
                <w:i/>
              </w:rPr>
              <w:t xml:space="preserve">per Market Participant </w:t>
            </w:r>
            <w:r>
              <w:rPr>
                <w:i/>
              </w:rPr>
              <w:t>per source and sink pair per CRR Auction per hour</w:t>
            </w:r>
            <w:r>
              <w:t xml:space="preserve">—The MW quantity that represents the total of Market Participant </w:t>
            </w:r>
            <w:r w:rsidRPr="00DF336E">
              <w:rPr>
                <w:i/>
              </w:rPr>
              <w:t>mp</w:t>
            </w:r>
            <w:r>
              <w:t xml:space="preserve">’s PTP Option offers with the source </w:t>
            </w:r>
            <w:r>
              <w:rPr>
                <w:i/>
              </w:rPr>
              <w:t>j</w:t>
            </w:r>
            <w:r>
              <w:t xml:space="preserve"> and the sink </w:t>
            </w:r>
            <w:r>
              <w:rPr>
                <w:i/>
              </w:rPr>
              <w:t>k</w:t>
            </w:r>
            <w:r>
              <w:t xml:space="preserve"> awarded in CRR Auction </w:t>
            </w:r>
            <w:r>
              <w:rPr>
                <w:i/>
              </w:rPr>
              <w:t>a</w:t>
            </w:r>
            <w:r>
              <w:t xml:space="preserve">, for the hour </w:t>
            </w:r>
            <w:r>
              <w:rPr>
                <w:i/>
              </w:rPr>
              <w:t>h</w:t>
            </w:r>
            <w:r>
              <w:t>, where the Market Participant is a CRR Account Holder.</w:t>
            </w:r>
          </w:p>
        </w:tc>
      </w:tr>
      <w:tr w:rsidR="005F7F75" w14:paraId="3CF5B529" w14:textId="77777777" w:rsidTr="00D465F5">
        <w:trPr>
          <w:cantSplit/>
        </w:trPr>
        <w:tc>
          <w:tcPr>
            <w:tcW w:w="813" w:type="pct"/>
            <w:tcBorders>
              <w:top w:val="single" w:sz="6" w:space="0" w:color="auto"/>
              <w:left w:val="single" w:sz="4" w:space="0" w:color="auto"/>
              <w:bottom w:val="single" w:sz="6" w:space="0" w:color="auto"/>
              <w:right w:val="single" w:sz="6" w:space="0" w:color="auto"/>
            </w:tcBorders>
          </w:tcPr>
          <w:p w14:paraId="05100853" w14:textId="77777777" w:rsidR="005F7F75" w:rsidRPr="00D164B6" w:rsidRDefault="005F7F75" w:rsidP="00FA0C07">
            <w:pPr>
              <w:pStyle w:val="TableBody"/>
              <w:rPr>
                <w:rFonts w:eastAsia="Calibri"/>
              </w:rPr>
            </w:pPr>
            <w:r>
              <w:rPr>
                <w:rFonts w:eastAsia="Calibri"/>
              </w:rPr>
              <w:t xml:space="preserve">UOPTS </w:t>
            </w:r>
            <w:r w:rsidRPr="004A7A0E">
              <w:rPr>
                <w:rFonts w:eastAsia="Calibri"/>
                <w:i/>
                <w:vertAlign w:val="subscript"/>
              </w:rPr>
              <w:t>mp</w:t>
            </w:r>
          </w:p>
        </w:tc>
        <w:tc>
          <w:tcPr>
            <w:tcW w:w="461" w:type="pct"/>
            <w:tcBorders>
              <w:top w:val="single" w:sz="6" w:space="0" w:color="auto"/>
              <w:left w:val="single" w:sz="6" w:space="0" w:color="auto"/>
              <w:bottom w:val="single" w:sz="6" w:space="0" w:color="auto"/>
              <w:right w:val="single" w:sz="6" w:space="0" w:color="auto"/>
            </w:tcBorders>
          </w:tcPr>
          <w:p w14:paraId="531C0FD3" w14:textId="77777777" w:rsidR="005F7F75" w:rsidRDefault="005F7F75" w:rsidP="00FA0C07">
            <w:pPr>
              <w:pStyle w:val="TableBody"/>
            </w:pPr>
            <w:r>
              <w:t>MWh</w:t>
            </w:r>
          </w:p>
        </w:tc>
        <w:tc>
          <w:tcPr>
            <w:tcW w:w="3725" w:type="pct"/>
            <w:tcBorders>
              <w:top w:val="single" w:sz="6" w:space="0" w:color="auto"/>
              <w:left w:val="single" w:sz="6" w:space="0" w:color="auto"/>
              <w:bottom w:val="single" w:sz="6" w:space="0" w:color="auto"/>
              <w:right w:val="single" w:sz="4" w:space="0" w:color="auto"/>
            </w:tcBorders>
          </w:tcPr>
          <w:p w14:paraId="7697E9EA" w14:textId="77777777" w:rsidR="005F7F75" w:rsidRPr="00D164B6" w:rsidRDefault="005F7F75" w:rsidP="00FA0C07">
            <w:pPr>
              <w:pStyle w:val="TableBody"/>
              <w:rPr>
                <w:bCs/>
                <w:i/>
              </w:rPr>
            </w:pPr>
            <w:r>
              <w:rPr>
                <w:i/>
              </w:rPr>
              <w:t xml:space="preserve">Uplift PTP Option Sale </w:t>
            </w:r>
            <w:r>
              <w:rPr>
                <w:bCs/>
                <w:i/>
              </w:rPr>
              <w:t>per Market Participant</w:t>
            </w:r>
            <w:r>
              <w:t xml:space="preserve">—The MW quantity that represents the monthly total of Market Participant </w:t>
            </w:r>
            <w:r w:rsidRPr="00DF336E">
              <w:rPr>
                <w:i/>
              </w:rPr>
              <w:t>mp</w:t>
            </w:r>
            <w:r>
              <w:t>’s PTP Option offers awarded in CRR Auctions, counting the awarded quantity only once per source and sink pair, where the Market Participant is a CRR Account Holder assigned to the registered Counter-Party.</w:t>
            </w:r>
          </w:p>
        </w:tc>
      </w:tr>
      <w:tr w:rsidR="005F7F75" w14:paraId="597E53D2" w14:textId="77777777" w:rsidTr="00D465F5">
        <w:trPr>
          <w:cantSplit/>
        </w:trPr>
        <w:tc>
          <w:tcPr>
            <w:tcW w:w="813" w:type="pct"/>
            <w:tcBorders>
              <w:top w:val="single" w:sz="6" w:space="0" w:color="auto"/>
              <w:left w:val="single" w:sz="4" w:space="0" w:color="auto"/>
              <w:bottom w:val="single" w:sz="6" w:space="0" w:color="auto"/>
              <w:right w:val="single" w:sz="6" w:space="0" w:color="auto"/>
            </w:tcBorders>
          </w:tcPr>
          <w:p w14:paraId="3933C92D" w14:textId="77777777" w:rsidR="005F7F75" w:rsidRPr="00D164B6" w:rsidRDefault="005F7F75" w:rsidP="00FA0C07">
            <w:pPr>
              <w:pStyle w:val="TableBody"/>
              <w:rPr>
                <w:rFonts w:eastAsia="Calibri"/>
              </w:rPr>
            </w:pPr>
            <w:r>
              <w:t xml:space="preserve">OBLS </w:t>
            </w:r>
            <w:r w:rsidRPr="004A7A0E">
              <w:rPr>
                <w:rFonts w:eastAsia="Calibri"/>
                <w:i/>
                <w:vertAlign w:val="subscript"/>
              </w:rPr>
              <w:t>mp</w:t>
            </w:r>
            <w:r w:rsidRPr="004A7A0E">
              <w:rPr>
                <w:i/>
                <w:vertAlign w:val="subscript"/>
              </w:rPr>
              <w:t>, (j, k), a, h</w:t>
            </w:r>
          </w:p>
        </w:tc>
        <w:tc>
          <w:tcPr>
            <w:tcW w:w="461" w:type="pct"/>
            <w:tcBorders>
              <w:top w:val="single" w:sz="6" w:space="0" w:color="auto"/>
              <w:left w:val="single" w:sz="6" w:space="0" w:color="auto"/>
              <w:bottom w:val="single" w:sz="6" w:space="0" w:color="auto"/>
              <w:right w:val="single" w:sz="6" w:space="0" w:color="auto"/>
            </w:tcBorders>
          </w:tcPr>
          <w:p w14:paraId="12B990AD" w14:textId="77777777" w:rsidR="005F7F75" w:rsidRDefault="005F7F75" w:rsidP="00FA0C07">
            <w:pPr>
              <w:pStyle w:val="TableBody"/>
            </w:pPr>
            <w:r>
              <w:t>MW</w:t>
            </w:r>
          </w:p>
        </w:tc>
        <w:tc>
          <w:tcPr>
            <w:tcW w:w="3725" w:type="pct"/>
            <w:tcBorders>
              <w:top w:val="single" w:sz="6" w:space="0" w:color="auto"/>
              <w:left w:val="single" w:sz="6" w:space="0" w:color="auto"/>
              <w:bottom w:val="single" w:sz="6" w:space="0" w:color="auto"/>
              <w:right w:val="single" w:sz="4" w:space="0" w:color="auto"/>
            </w:tcBorders>
          </w:tcPr>
          <w:p w14:paraId="73F001B4" w14:textId="77777777" w:rsidR="005F7F75" w:rsidRPr="00D164B6" w:rsidRDefault="005F7F75" w:rsidP="00FA0C07">
            <w:pPr>
              <w:pStyle w:val="TableBody"/>
              <w:rPr>
                <w:bCs/>
                <w:i/>
              </w:rPr>
            </w:pPr>
            <w:r>
              <w:rPr>
                <w:i/>
              </w:rPr>
              <w:t xml:space="preserve">PTP Obligation Sale per </w:t>
            </w:r>
            <w:r>
              <w:rPr>
                <w:bCs/>
                <w:i/>
              </w:rPr>
              <w:t xml:space="preserve">Market Participant </w:t>
            </w:r>
            <w:r>
              <w:rPr>
                <w:i/>
              </w:rPr>
              <w:t>per source and sink pair per CRR Auction per hour</w:t>
            </w:r>
            <w:r>
              <w:t xml:space="preserve">—The MW quantity that represents the total of Market Participant </w:t>
            </w:r>
            <w:r w:rsidRPr="00DF336E">
              <w:rPr>
                <w:i/>
              </w:rPr>
              <w:t>mp</w:t>
            </w:r>
            <w:r>
              <w:t xml:space="preserve">’s PTP Obligation offers with the source </w:t>
            </w:r>
            <w:r>
              <w:rPr>
                <w:i/>
              </w:rPr>
              <w:t>j</w:t>
            </w:r>
            <w:r>
              <w:t xml:space="preserve"> and the sink </w:t>
            </w:r>
            <w:r>
              <w:rPr>
                <w:i/>
              </w:rPr>
              <w:t>k</w:t>
            </w:r>
            <w:r>
              <w:t xml:space="preserve"> awarded in CRR Auction </w:t>
            </w:r>
            <w:r>
              <w:rPr>
                <w:i/>
              </w:rPr>
              <w:t>a</w:t>
            </w:r>
            <w:r>
              <w:t xml:space="preserve">, for the hour </w:t>
            </w:r>
            <w:r>
              <w:rPr>
                <w:i/>
              </w:rPr>
              <w:t>h</w:t>
            </w:r>
            <w:r>
              <w:t>, where the Market Participant is a CRR Account Holder.</w:t>
            </w:r>
          </w:p>
        </w:tc>
      </w:tr>
      <w:tr w:rsidR="005F7F75" w14:paraId="75A9A88B" w14:textId="77777777" w:rsidTr="00D465F5">
        <w:trPr>
          <w:cantSplit/>
        </w:trPr>
        <w:tc>
          <w:tcPr>
            <w:tcW w:w="813" w:type="pct"/>
            <w:tcBorders>
              <w:top w:val="single" w:sz="6" w:space="0" w:color="auto"/>
              <w:left w:val="single" w:sz="4" w:space="0" w:color="auto"/>
              <w:bottom w:val="single" w:sz="6" w:space="0" w:color="auto"/>
              <w:right w:val="single" w:sz="6" w:space="0" w:color="auto"/>
            </w:tcBorders>
          </w:tcPr>
          <w:p w14:paraId="5E627BD3" w14:textId="77777777" w:rsidR="005F7F75" w:rsidRPr="00D164B6" w:rsidRDefault="005F7F75" w:rsidP="00FA0C07">
            <w:pPr>
              <w:pStyle w:val="TableBody"/>
              <w:rPr>
                <w:rFonts w:eastAsia="Calibri"/>
              </w:rPr>
            </w:pPr>
            <w:r>
              <w:rPr>
                <w:rFonts w:eastAsia="Calibri"/>
              </w:rPr>
              <w:lastRenderedPageBreak/>
              <w:t xml:space="preserve">UOBLS </w:t>
            </w:r>
            <w:r w:rsidRPr="004A7A0E">
              <w:rPr>
                <w:rFonts w:eastAsia="Calibri"/>
                <w:i/>
                <w:vertAlign w:val="subscript"/>
              </w:rPr>
              <w:t>mp</w:t>
            </w:r>
          </w:p>
        </w:tc>
        <w:tc>
          <w:tcPr>
            <w:tcW w:w="461" w:type="pct"/>
            <w:tcBorders>
              <w:top w:val="single" w:sz="6" w:space="0" w:color="auto"/>
              <w:left w:val="single" w:sz="6" w:space="0" w:color="auto"/>
              <w:bottom w:val="single" w:sz="6" w:space="0" w:color="auto"/>
              <w:right w:val="single" w:sz="6" w:space="0" w:color="auto"/>
            </w:tcBorders>
          </w:tcPr>
          <w:p w14:paraId="03353402" w14:textId="77777777" w:rsidR="005F7F75" w:rsidRDefault="005F7F75" w:rsidP="00FA0C07">
            <w:pPr>
              <w:pStyle w:val="TableBody"/>
            </w:pPr>
            <w:r>
              <w:t>MWh</w:t>
            </w:r>
          </w:p>
        </w:tc>
        <w:tc>
          <w:tcPr>
            <w:tcW w:w="3725" w:type="pct"/>
            <w:tcBorders>
              <w:top w:val="single" w:sz="6" w:space="0" w:color="auto"/>
              <w:left w:val="single" w:sz="6" w:space="0" w:color="auto"/>
              <w:bottom w:val="single" w:sz="6" w:space="0" w:color="auto"/>
              <w:right w:val="single" w:sz="4" w:space="0" w:color="auto"/>
            </w:tcBorders>
          </w:tcPr>
          <w:p w14:paraId="2B18E8D9" w14:textId="77777777" w:rsidR="005F7F75" w:rsidRPr="00D164B6" w:rsidRDefault="005F7F75" w:rsidP="00FA0C07">
            <w:pPr>
              <w:pStyle w:val="TableBody"/>
              <w:rPr>
                <w:bCs/>
                <w:i/>
              </w:rPr>
            </w:pPr>
            <w:r>
              <w:rPr>
                <w:i/>
              </w:rPr>
              <w:t xml:space="preserve">Uplift PTP Obligation Sale </w:t>
            </w:r>
            <w:r>
              <w:rPr>
                <w:bCs/>
                <w:i/>
              </w:rPr>
              <w:t>per Market Participant</w:t>
            </w:r>
            <w:r>
              <w:t xml:space="preserve">—The MW quantity that represents the monthly total of Market Participant </w:t>
            </w:r>
            <w:r w:rsidRPr="00DF336E">
              <w:rPr>
                <w:i/>
              </w:rPr>
              <w:t>mp</w:t>
            </w:r>
            <w:r>
              <w:t>’s PTP Obligation offers awarded in CRR Auctions, counting the quantity only once per source and sink pair, where the Market Participant is a CRR Account Holder assigned to the registered Counter-Party.</w:t>
            </w:r>
          </w:p>
        </w:tc>
      </w:tr>
      <w:tr w:rsidR="005F7F75" w14:paraId="342A9F87" w14:textId="77777777" w:rsidTr="00D465F5">
        <w:trPr>
          <w:cantSplit/>
        </w:trPr>
        <w:tc>
          <w:tcPr>
            <w:tcW w:w="813" w:type="pct"/>
            <w:tcBorders>
              <w:top w:val="single" w:sz="6" w:space="0" w:color="auto"/>
              <w:left w:val="single" w:sz="4" w:space="0" w:color="auto"/>
              <w:bottom w:val="single" w:sz="6" w:space="0" w:color="auto"/>
              <w:right w:val="single" w:sz="6" w:space="0" w:color="auto"/>
            </w:tcBorders>
          </w:tcPr>
          <w:p w14:paraId="08B3D9EE" w14:textId="77777777" w:rsidR="005F7F75" w:rsidRPr="00D164B6" w:rsidRDefault="005F7F75" w:rsidP="00FA0C07">
            <w:pPr>
              <w:pStyle w:val="TableBody"/>
              <w:rPr>
                <w:rFonts w:eastAsia="Calibri"/>
              </w:rPr>
            </w:pPr>
            <w:r>
              <w:t xml:space="preserve">OPTP </w:t>
            </w:r>
            <w:r w:rsidRPr="004A7A0E">
              <w:rPr>
                <w:rFonts w:eastAsia="Calibri"/>
                <w:i/>
                <w:vertAlign w:val="subscript"/>
              </w:rPr>
              <w:t>mp</w:t>
            </w:r>
            <w:r w:rsidRPr="004A7A0E">
              <w:rPr>
                <w:i/>
                <w:vertAlign w:val="subscript"/>
              </w:rPr>
              <w:t>, (j, k), a, h</w:t>
            </w:r>
          </w:p>
        </w:tc>
        <w:tc>
          <w:tcPr>
            <w:tcW w:w="461" w:type="pct"/>
            <w:tcBorders>
              <w:top w:val="single" w:sz="6" w:space="0" w:color="auto"/>
              <w:left w:val="single" w:sz="6" w:space="0" w:color="auto"/>
              <w:bottom w:val="single" w:sz="6" w:space="0" w:color="auto"/>
              <w:right w:val="single" w:sz="6" w:space="0" w:color="auto"/>
            </w:tcBorders>
          </w:tcPr>
          <w:p w14:paraId="76BC35A2" w14:textId="77777777" w:rsidR="005F7F75" w:rsidRDefault="005F7F75" w:rsidP="00FA0C07">
            <w:pPr>
              <w:pStyle w:val="TableBody"/>
            </w:pPr>
            <w:r>
              <w:t>MW</w:t>
            </w:r>
          </w:p>
        </w:tc>
        <w:tc>
          <w:tcPr>
            <w:tcW w:w="3725" w:type="pct"/>
            <w:tcBorders>
              <w:top w:val="single" w:sz="6" w:space="0" w:color="auto"/>
              <w:left w:val="single" w:sz="6" w:space="0" w:color="auto"/>
              <w:bottom w:val="single" w:sz="6" w:space="0" w:color="auto"/>
              <w:right w:val="single" w:sz="4" w:space="0" w:color="auto"/>
            </w:tcBorders>
          </w:tcPr>
          <w:p w14:paraId="2D626E35" w14:textId="77777777" w:rsidR="005F7F75" w:rsidRPr="00D164B6" w:rsidRDefault="005F7F75" w:rsidP="00FA0C07">
            <w:pPr>
              <w:pStyle w:val="TableBody"/>
              <w:rPr>
                <w:bCs/>
                <w:i/>
              </w:rPr>
            </w:pPr>
            <w:r>
              <w:rPr>
                <w:i/>
              </w:rPr>
              <w:t xml:space="preserve">PTP Option Purchase per </w:t>
            </w:r>
            <w:r>
              <w:rPr>
                <w:bCs/>
                <w:i/>
              </w:rPr>
              <w:t xml:space="preserve">Market Participant </w:t>
            </w:r>
            <w:r>
              <w:rPr>
                <w:i/>
              </w:rPr>
              <w:t>per source and sink pair per CRR Auction per hour</w:t>
            </w:r>
            <w:r>
              <w:t xml:space="preserve">—The MW quantity that represents the total of Market Participant </w:t>
            </w:r>
            <w:r w:rsidRPr="00DF336E">
              <w:rPr>
                <w:i/>
              </w:rPr>
              <w:t>mp</w:t>
            </w:r>
            <w:r>
              <w:t xml:space="preserve">’s PTP Option bids with the source </w:t>
            </w:r>
            <w:r>
              <w:rPr>
                <w:i/>
              </w:rPr>
              <w:t>j</w:t>
            </w:r>
            <w:r>
              <w:t xml:space="preserve"> and the sink </w:t>
            </w:r>
            <w:r>
              <w:rPr>
                <w:i/>
              </w:rPr>
              <w:t>k</w:t>
            </w:r>
            <w:r>
              <w:t xml:space="preserve"> awarded in CRR Auction </w:t>
            </w:r>
            <w:r>
              <w:rPr>
                <w:i/>
              </w:rPr>
              <w:t>a</w:t>
            </w:r>
            <w:r>
              <w:t xml:space="preserve">, for the hour </w:t>
            </w:r>
            <w:r>
              <w:rPr>
                <w:i/>
              </w:rPr>
              <w:t>h</w:t>
            </w:r>
            <w:r>
              <w:t>, where the Market Participant is a CRR Account Holder.</w:t>
            </w:r>
          </w:p>
        </w:tc>
      </w:tr>
      <w:tr w:rsidR="005F7F75" w14:paraId="4073B5FB" w14:textId="77777777" w:rsidTr="00D465F5">
        <w:trPr>
          <w:cantSplit/>
        </w:trPr>
        <w:tc>
          <w:tcPr>
            <w:tcW w:w="813" w:type="pct"/>
            <w:tcBorders>
              <w:top w:val="single" w:sz="6" w:space="0" w:color="auto"/>
              <w:left w:val="single" w:sz="4" w:space="0" w:color="auto"/>
              <w:bottom w:val="single" w:sz="6" w:space="0" w:color="auto"/>
              <w:right w:val="single" w:sz="6" w:space="0" w:color="auto"/>
            </w:tcBorders>
          </w:tcPr>
          <w:p w14:paraId="6236C154" w14:textId="77777777" w:rsidR="005F7F75" w:rsidRPr="00D164B6" w:rsidRDefault="005F7F75" w:rsidP="00FA0C07">
            <w:pPr>
              <w:pStyle w:val="TableBody"/>
              <w:rPr>
                <w:rFonts w:eastAsia="Calibri"/>
              </w:rPr>
            </w:pPr>
            <w:r>
              <w:rPr>
                <w:rFonts w:eastAsia="Calibri"/>
              </w:rPr>
              <w:t xml:space="preserve">UOPTP </w:t>
            </w:r>
            <w:r w:rsidRPr="004A7A0E">
              <w:rPr>
                <w:rFonts w:eastAsia="Calibri"/>
                <w:i/>
                <w:vertAlign w:val="subscript"/>
              </w:rPr>
              <w:t>mp</w:t>
            </w:r>
          </w:p>
        </w:tc>
        <w:tc>
          <w:tcPr>
            <w:tcW w:w="461" w:type="pct"/>
            <w:tcBorders>
              <w:top w:val="single" w:sz="6" w:space="0" w:color="auto"/>
              <w:left w:val="single" w:sz="6" w:space="0" w:color="auto"/>
              <w:bottom w:val="single" w:sz="6" w:space="0" w:color="auto"/>
              <w:right w:val="single" w:sz="6" w:space="0" w:color="auto"/>
            </w:tcBorders>
          </w:tcPr>
          <w:p w14:paraId="69A391B3" w14:textId="77777777" w:rsidR="005F7F75" w:rsidRDefault="005F7F75" w:rsidP="00FA0C07">
            <w:pPr>
              <w:pStyle w:val="TableBody"/>
            </w:pPr>
            <w:r>
              <w:t>MWh</w:t>
            </w:r>
          </w:p>
        </w:tc>
        <w:tc>
          <w:tcPr>
            <w:tcW w:w="3725" w:type="pct"/>
            <w:tcBorders>
              <w:top w:val="single" w:sz="6" w:space="0" w:color="auto"/>
              <w:left w:val="single" w:sz="6" w:space="0" w:color="auto"/>
              <w:bottom w:val="single" w:sz="6" w:space="0" w:color="auto"/>
              <w:right w:val="single" w:sz="4" w:space="0" w:color="auto"/>
            </w:tcBorders>
          </w:tcPr>
          <w:p w14:paraId="4319663B" w14:textId="77777777" w:rsidR="005F7F75" w:rsidRPr="00D164B6" w:rsidRDefault="00326226" w:rsidP="00FA0C07">
            <w:pPr>
              <w:pStyle w:val="TableBody"/>
              <w:rPr>
                <w:bCs/>
                <w:i/>
              </w:rPr>
            </w:pPr>
            <w:r>
              <w:rPr>
                <w:i/>
              </w:rPr>
              <w:t xml:space="preserve">Uplift </w:t>
            </w:r>
            <w:r w:rsidR="005F7F75">
              <w:rPr>
                <w:i/>
              </w:rPr>
              <w:t xml:space="preserve">PTP Option Purchase per </w:t>
            </w:r>
            <w:r w:rsidR="005F7F75">
              <w:rPr>
                <w:bCs/>
                <w:i/>
              </w:rPr>
              <w:t>Market Participant</w:t>
            </w:r>
            <w:r w:rsidR="005F7F75">
              <w:t xml:space="preserve">—The MW quantity that represents the monthly total of Market Participant </w:t>
            </w:r>
            <w:r w:rsidR="005F7F75" w:rsidRPr="00DF336E">
              <w:rPr>
                <w:i/>
              </w:rPr>
              <w:t>mp</w:t>
            </w:r>
            <w:r w:rsidR="005F7F75">
              <w:t>’s PTP Option bids awarded in CRR Auctions, counting the quantity only once per source and sink pair, where the Market Participant is a CRR Account Holder assigned to the registered Counter-Party.</w:t>
            </w:r>
          </w:p>
        </w:tc>
      </w:tr>
      <w:tr w:rsidR="005F7F75" w14:paraId="36A04F17" w14:textId="77777777" w:rsidTr="00D465F5">
        <w:trPr>
          <w:cantSplit/>
        </w:trPr>
        <w:tc>
          <w:tcPr>
            <w:tcW w:w="813" w:type="pct"/>
            <w:tcBorders>
              <w:top w:val="single" w:sz="6" w:space="0" w:color="auto"/>
              <w:left w:val="single" w:sz="4" w:space="0" w:color="auto"/>
              <w:bottom w:val="single" w:sz="6" w:space="0" w:color="auto"/>
              <w:right w:val="single" w:sz="6" w:space="0" w:color="auto"/>
            </w:tcBorders>
          </w:tcPr>
          <w:p w14:paraId="32194224" w14:textId="77777777" w:rsidR="005F7F75" w:rsidRPr="00D164B6" w:rsidRDefault="005F7F75" w:rsidP="00FA0C07">
            <w:pPr>
              <w:pStyle w:val="TableBody"/>
              <w:rPr>
                <w:rFonts w:eastAsia="Calibri"/>
              </w:rPr>
            </w:pPr>
            <w:r>
              <w:t xml:space="preserve">OBLP </w:t>
            </w:r>
            <w:r w:rsidRPr="004A7A0E">
              <w:rPr>
                <w:rFonts w:eastAsia="Calibri"/>
                <w:i/>
                <w:vertAlign w:val="subscript"/>
              </w:rPr>
              <w:t>mp</w:t>
            </w:r>
            <w:r w:rsidRPr="004A7A0E">
              <w:rPr>
                <w:i/>
                <w:vertAlign w:val="subscript"/>
              </w:rPr>
              <w:t>, (j, k), a, h</w:t>
            </w:r>
          </w:p>
        </w:tc>
        <w:tc>
          <w:tcPr>
            <w:tcW w:w="461" w:type="pct"/>
            <w:tcBorders>
              <w:top w:val="single" w:sz="6" w:space="0" w:color="auto"/>
              <w:left w:val="single" w:sz="6" w:space="0" w:color="auto"/>
              <w:bottom w:val="single" w:sz="6" w:space="0" w:color="auto"/>
              <w:right w:val="single" w:sz="6" w:space="0" w:color="auto"/>
            </w:tcBorders>
          </w:tcPr>
          <w:p w14:paraId="0E0B1E65" w14:textId="77777777" w:rsidR="005F7F75" w:rsidRDefault="005F7F75" w:rsidP="00FA0C07">
            <w:pPr>
              <w:pStyle w:val="TableBody"/>
            </w:pPr>
            <w:r>
              <w:t>MW</w:t>
            </w:r>
          </w:p>
        </w:tc>
        <w:tc>
          <w:tcPr>
            <w:tcW w:w="3725" w:type="pct"/>
            <w:tcBorders>
              <w:top w:val="single" w:sz="6" w:space="0" w:color="auto"/>
              <w:left w:val="single" w:sz="6" w:space="0" w:color="auto"/>
              <w:bottom w:val="single" w:sz="6" w:space="0" w:color="auto"/>
              <w:right w:val="single" w:sz="4" w:space="0" w:color="auto"/>
            </w:tcBorders>
          </w:tcPr>
          <w:p w14:paraId="5B99CED3" w14:textId="77777777" w:rsidR="005F7F75" w:rsidRPr="00D164B6" w:rsidRDefault="005F7F75" w:rsidP="00FA0C07">
            <w:pPr>
              <w:pStyle w:val="TableBody"/>
              <w:rPr>
                <w:bCs/>
                <w:i/>
              </w:rPr>
            </w:pPr>
            <w:r>
              <w:rPr>
                <w:i/>
              </w:rPr>
              <w:t xml:space="preserve">PTP Obligation Purchase per </w:t>
            </w:r>
            <w:r>
              <w:rPr>
                <w:bCs/>
                <w:i/>
              </w:rPr>
              <w:t xml:space="preserve">Market Participant </w:t>
            </w:r>
            <w:r>
              <w:rPr>
                <w:i/>
              </w:rPr>
              <w:t>per source and sink pair per CRR Auction per hour</w:t>
            </w:r>
            <w:r>
              <w:t xml:space="preserve">—The MW quantity that represents the total of Market Participant </w:t>
            </w:r>
            <w:r w:rsidRPr="00DF336E">
              <w:rPr>
                <w:i/>
              </w:rPr>
              <w:t>mp</w:t>
            </w:r>
            <w:r>
              <w:t xml:space="preserve">’s PTP Obligation bids with the source </w:t>
            </w:r>
            <w:r>
              <w:rPr>
                <w:i/>
              </w:rPr>
              <w:t>j</w:t>
            </w:r>
            <w:r>
              <w:t xml:space="preserve"> and the sink </w:t>
            </w:r>
            <w:r>
              <w:rPr>
                <w:i/>
              </w:rPr>
              <w:t>k</w:t>
            </w:r>
            <w:r>
              <w:t xml:space="preserve"> awarded in CRR Auction </w:t>
            </w:r>
            <w:r>
              <w:rPr>
                <w:i/>
              </w:rPr>
              <w:t>a</w:t>
            </w:r>
            <w:r>
              <w:t xml:space="preserve">, for the hour </w:t>
            </w:r>
            <w:r>
              <w:rPr>
                <w:i/>
              </w:rPr>
              <w:t>h</w:t>
            </w:r>
            <w:r>
              <w:t>, where the Market Participant is a CRR Account Holder.</w:t>
            </w:r>
          </w:p>
        </w:tc>
      </w:tr>
      <w:tr w:rsidR="005F7F75" w14:paraId="4C8FD084" w14:textId="77777777" w:rsidTr="00D465F5">
        <w:trPr>
          <w:cantSplit/>
        </w:trPr>
        <w:tc>
          <w:tcPr>
            <w:tcW w:w="813" w:type="pct"/>
            <w:tcBorders>
              <w:top w:val="single" w:sz="6" w:space="0" w:color="auto"/>
              <w:left w:val="single" w:sz="4" w:space="0" w:color="auto"/>
              <w:bottom w:val="single" w:sz="6" w:space="0" w:color="auto"/>
              <w:right w:val="single" w:sz="6" w:space="0" w:color="auto"/>
            </w:tcBorders>
          </w:tcPr>
          <w:p w14:paraId="3F070869" w14:textId="77777777" w:rsidR="005F7F75" w:rsidRPr="00D164B6" w:rsidRDefault="005F7F75" w:rsidP="00FA0C07">
            <w:pPr>
              <w:pStyle w:val="TableBody"/>
              <w:rPr>
                <w:rFonts w:eastAsia="Calibri"/>
              </w:rPr>
            </w:pPr>
            <w:r>
              <w:rPr>
                <w:rFonts w:eastAsia="Calibri"/>
              </w:rPr>
              <w:t>UOBLP</w:t>
            </w:r>
            <w:r w:rsidRPr="004A7A0E">
              <w:rPr>
                <w:rFonts w:eastAsia="Calibri"/>
                <w:i/>
              </w:rPr>
              <w:t xml:space="preserve"> </w:t>
            </w:r>
            <w:r w:rsidRPr="004A7A0E">
              <w:rPr>
                <w:rFonts w:eastAsia="Calibri"/>
                <w:i/>
                <w:vertAlign w:val="subscript"/>
              </w:rPr>
              <w:t>mp</w:t>
            </w:r>
          </w:p>
        </w:tc>
        <w:tc>
          <w:tcPr>
            <w:tcW w:w="461" w:type="pct"/>
            <w:tcBorders>
              <w:top w:val="single" w:sz="6" w:space="0" w:color="auto"/>
              <w:left w:val="single" w:sz="6" w:space="0" w:color="auto"/>
              <w:bottom w:val="single" w:sz="6" w:space="0" w:color="auto"/>
              <w:right w:val="single" w:sz="6" w:space="0" w:color="auto"/>
            </w:tcBorders>
          </w:tcPr>
          <w:p w14:paraId="0BDA82EF" w14:textId="77777777" w:rsidR="005F7F75" w:rsidRDefault="005F7F75" w:rsidP="00FA0C07">
            <w:pPr>
              <w:pStyle w:val="TableBody"/>
            </w:pPr>
            <w:r>
              <w:t>MWh</w:t>
            </w:r>
          </w:p>
        </w:tc>
        <w:tc>
          <w:tcPr>
            <w:tcW w:w="3725" w:type="pct"/>
            <w:tcBorders>
              <w:top w:val="single" w:sz="6" w:space="0" w:color="auto"/>
              <w:left w:val="single" w:sz="6" w:space="0" w:color="auto"/>
              <w:bottom w:val="single" w:sz="6" w:space="0" w:color="auto"/>
              <w:right w:val="single" w:sz="4" w:space="0" w:color="auto"/>
            </w:tcBorders>
          </w:tcPr>
          <w:p w14:paraId="58DDB5AF" w14:textId="77777777" w:rsidR="005F7F75" w:rsidRPr="00D164B6" w:rsidRDefault="00326226" w:rsidP="00FA0C07">
            <w:pPr>
              <w:pStyle w:val="TableBody"/>
              <w:rPr>
                <w:bCs/>
                <w:i/>
              </w:rPr>
            </w:pPr>
            <w:r>
              <w:rPr>
                <w:i/>
              </w:rPr>
              <w:t xml:space="preserve">Uplift </w:t>
            </w:r>
            <w:r w:rsidR="005F7F75">
              <w:rPr>
                <w:i/>
              </w:rPr>
              <w:t xml:space="preserve">PTP Obligation Purchase per </w:t>
            </w:r>
            <w:r w:rsidR="005F7F75">
              <w:rPr>
                <w:bCs/>
                <w:i/>
              </w:rPr>
              <w:t>Market Participant</w:t>
            </w:r>
            <w:r w:rsidR="005F7F75">
              <w:t xml:space="preserve">—The MW quantity that represents the monthly total of Market Participant </w:t>
            </w:r>
            <w:r w:rsidR="005F7F75" w:rsidRPr="00DF336E">
              <w:rPr>
                <w:i/>
              </w:rPr>
              <w:t>mp</w:t>
            </w:r>
            <w:r w:rsidR="005F7F75">
              <w:t>’s PTP Obligation bids awarded in CRR Auctions, counting the quantity only once per source and sink pair, where the Market Participant is a CRR Account Holder assigned to the registered Counter-Party.</w:t>
            </w:r>
          </w:p>
        </w:tc>
      </w:tr>
      <w:tr w:rsidR="003E0FF7" w14:paraId="41B882BD" w14:textId="77777777" w:rsidTr="00D465F5">
        <w:trPr>
          <w:cantSplit/>
        </w:trPr>
        <w:tc>
          <w:tcPr>
            <w:tcW w:w="5000" w:type="pct"/>
            <w:gridSpan w:val="3"/>
            <w:tcBorders>
              <w:top w:val="single" w:sz="6" w:space="0" w:color="auto"/>
              <w:left w:val="single" w:sz="4" w:space="0" w:color="auto"/>
              <w:bottom w:val="single" w:sz="6" w:space="0" w:color="auto"/>
              <w:right w:val="single" w:sz="4" w:space="0" w:color="auto"/>
            </w:tcBorders>
          </w:tcPr>
          <w:tbl>
            <w:tblPr>
              <w:tblW w:w="9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427"/>
            </w:tblGrid>
            <w:tr w:rsidR="003E0FF7" w14:paraId="7CAF9CD6" w14:textId="77777777" w:rsidTr="00D465F5">
              <w:trPr>
                <w:trHeight w:val="206"/>
              </w:trPr>
              <w:tc>
                <w:tcPr>
                  <w:tcW w:w="9427" w:type="dxa"/>
                  <w:shd w:val="pct12" w:color="auto" w:fill="auto"/>
                </w:tcPr>
                <w:p w14:paraId="6B14167D" w14:textId="55135881" w:rsidR="003E0FF7" w:rsidRPr="0018762D" w:rsidRDefault="003E0FF7" w:rsidP="0018762D">
                  <w:pPr>
                    <w:pStyle w:val="Instructions"/>
                    <w:spacing w:before="120"/>
                  </w:pPr>
                  <w:r>
                    <w:t>[NPRR</w:t>
                  </w:r>
                  <w:r>
                    <w:rPr>
                      <w:lang w:val="en-US"/>
                    </w:rPr>
                    <w:t>1</w:t>
                  </w:r>
                  <w:r w:rsidR="0018762D">
                    <w:rPr>
                      <w:lang w:val="en-US"/>
                    </w:rPr>
                    <w:t>201</w:t>
                  </w:r>
                  <w:r>
                    <w:t xml:space="preserve">:  </w:t>
                  </w:r>
                  <w:r w:rsidR="0018762D">
                    <w:rPr>
                      <w:lang w:val="en-US"/>
                    </w:rPr>
                    <w:t>Delete</w:t>
                  </w:r>
                  <w:r>
                    <w:t xml:space="preserve"> the variables </w:t>
                  </w:r>
                  <w:r w:rsidR="0018762D">
                    <w:rPr>
                      <w:lang w:val="en-US"/>
                    </w:rPr>
                    <w:t>“</w:t>
                  </w:r>
                  <w:r w:rsidR="0018762D">
                    <w:t xml:space="preserve">OPTS </w:t>
                  </w:r>
                  <w:r w:rsidR="0018762D" w:rsidRPr="004A7A0E">
                    <w:rPr>
                      <w:rFonts w:eastAsia="Calibri"/>
                      <w:vertAlign w:val="subscript"/>
                    </w:rPr>
                    <w:t>mp</w:t>
                  </w:r>
                  <w:r w:rsidR="0018762D" w:rsidRPr="004A7A0E">
                    <w:rPr>
                      <w:vertAlign w:val="subscript"/>
                    </w:rPr>
                    <w:t>, (j, k), a, h</w:t>
                  </w:r>
                  <w:r w:rsidR="0018762D">
                    <w:rPr>
                      <w:lang w:val="en-US"/>
                    </w:rPr>
                    <w:t>”, “</w:t>
                  </w:r>
                  <w:r w:rsidR="0018762D">
                    <w:rPr>
                      <w:rFonts w:eastAsia="Calibri"/>
                    </w:rPr>
                    <w:t xml:space="preserve">UOPTS </w:t>
                  </w:r>
                  <w:r w:rsidR="0018762D" w:rsidRPr="004A7A0E">
                    <w:rPr>
                      <w:rFonts w:eastAsia="Calibri"/>
                      <w:vertAlign w:val="subscript"/>
                    </w:rPr>
                    <w:t>mp</w:t>
                  </w:r>
                  <w:r w:rsidR="0018762D">
                    <w:rPr>
                      <w:lang w:val="en-US"/>
                    </w:rPr>
                    <w:t>”, “</w:t>
                  </w:r>
                  <w:r w:rsidR="007B05E5">
                    <w:t xml:space="preserve">OBLS </w:t>
                  </w:r>
                  <w:r w:rsidR="007B05E5" w:rsidRPr="004A7A0E">
                    <w:rPr>
                      <w:rFonts w:eastAsia="Calibri"/>
                      <w:vertAlign w:val="subscript"/>
                    </w:rPr>
                    <w:t>mp</w:t>
                  </w:r>
                  <w:r w:rsidR="007B05E5" w:rsidRPr="004A7A0E">
                    <w:rPr>
                      <w:vertAlign w:val="subscript"/>
                    </w:rPr>
                    <w:t>, (j, k), a, h</w:t>
                  </w:r>
                  <w:r w:rsidR="0018762D">
                    <w:rPr>
                      <w:lang w:val="en-US"/>
                    </w:rPr>
                    <w:t>”,</w:t>
                  </w:r>
                  <w:r w:rsidR="007B05E5">
                    <w:rPr>
                      <w:lang w:val="en-US"/>
                    </w:rPr>
                    <w:t xml:space="preserve"> “</w:t>
                  </w:r>
                  <w:r w:rsidR="007B05E5">
                    <w:rPr>
                      <w:rFonts w:eastAsia="Calibri"/>
                    </w:rPr>
                    <w:t xml:space="preserve">UOBLS </w:t>
                  </w:r>
                  <w:r w:rsidR="007B05E5" w:rsidRPr="004A7A0E">
                    <w:rPr>
                      <w:rFonts w:eastAsia="Calibri"/>
                      <w:vertAlign w:val="subscript"/>
                    </w:rPr>
                    <w:t>mp</w:t>
                  </w:r>
                  <w:r w:rsidR="007B05E5">
                    <w:rPr>
                      <w:lang w:val="en-US"/>
                    </w:rPr>
                    <w:t xml:space="preserve">”, </w:t>
                  </w:r>
                  <w:r w:rsidR="0018762D">
                    <w:rPr>
                      <w:lang w:val="en-US"/>
                    </w:rPr>
                    <w:t>“</w:t>
                  </w:r>
                  <w:r w:rsidR="007B05E5">
                    <w:t xml:space="preserve">OPTP </w:t>
                  </w:r>
                  <w:r w:rsidR="007B05E5" w:rsidRPr="004A7A0E">
                    <w:rPr>
                      <w:rFonts w:eastAsia="Calibri"/>
                      <w:vertAlign w:val="subscript"/>
                    </w:rPr>
                    <w:t>mp</w:t>
                  </w:r>
                  <w:r w:rsidR="007B05E5" w:rsidRPr="004A7A0E">
                    <w:rPr>
                      <w:vertAlign w:val="subscript"/>
                    </w:rPr>
                    <w:t>, (j, k), a, h</w:t>
                  </w:r>
                  <w:r w:rsidR="0018762D">
                    <w:rPr>
                      <w:lang w:val="en-US"/>
                    </w:rPr>
                    <w:t>”, “</w:t>
                  </w:r>
                  <w:r w:rsidR="007B05E5">
                    <w:rPr>
                      <w:rFonts w:eastAsia="Calibri"/>
                    </w:rPr>
                    <w:t xml:space="preserve">UOPTP </w:t>
                  </w:r>
                  <w:r w:rsidR="007B05E5" w:rsidRPr="004A7A0E">
                    <w:rPr>
                      <w:rFonts w:eastAsia="Calibri"/>
                      <w:vertAlign w:val="subscript"/>
                    </w:rPr>
                    <w:t>mp</w:t>
                  </w:r>
                  <w:r w:rsidR="0018762D">
                    <w:rPr>
                      <w:lang w:val="en-US"/>
                    </w:rPr>
                    <w:t>”, “</w:t>
                  </w:r>
                  <w:r w:rsidR="007B05E5">
                    <w:t xml:space="preserve">OBLP </w:t>
                  </w:r>
                  <w:r w:rsidR="007B05E5" w:rsidRPr="004A7A0E">
                    <w:rPr>
                      <w:rFonts w:eastAsia="Calibri"/>
                      <w:vertAlign w:val="subscript"/>
                    </w:rPr>
                    <w:t>mp</w:t>
                  </w:r>
                  <w:r w:rsidR="007B05E5" w:rsidRPr="004A7A0E">
                    <w:rPr>
                      <w:vertAlign w:val="subscript"/>
                    </w:rPr>
                    <w:t>, (j, k), a, h</w:t>
                  </w:r>
                  <w:r w:rsidR="0018762D">
                    <w:rPr>
                      <w:lang w:val="en-US"/>
                    </w:rPr>
                    <w:t>”, “</w:t>
                  </w:r>
                  <w:r w:rsidR="007B05E5">
                    <w:rPr>
                      <w:rFonts w:eastAsia="Calibri"/>
                    </w:rPr>
                    <w:t>UOBLP</w:t>
                  </w:r>
                  <w:r w:rsidR="007B05E5" w:rsidRPr="004A7A0E">
                    <w:rPr>
                      <w:rFonts w:eastAsia="Calibri"/>
                    </w:rPr>
                    <w:t xml:space="preserve"> </w:t>
                  </w:r>
                  <w:r w:rsidR="007B05E5" w:rsidRPr="004A7A0E">
                    <w:rPr>
                      <w:rFonts w:eastAsia="Calibri"/>
                      <w:vertAlign w:val="subscript"/>
                    </w:rPr>
                    <w:t>mp</w:t>
                  </w:r>
                  <w:r w:rsidR="0018762D">
                    <w:rPr>
                      <w:lang w:val="en-US"/>
                    </w:rPr>
                    <w:t>”</w:t>
                  </w:r>
                  <w:r w:rsidR="007B05E5">
                    <w:rPr>
                      <w:lang w:val="en-US"/>
                    </w:rPr>
                    <w:t xml:space="preserve"> </w:t>
                  </w:r>
                  <w:r w:rsidR="0018762D">
                    <w:rPr>
                      <w:lang w:val="en-US"/>
                    </w:rPr>
                    <w:t>above</w:t>
                  </w:r>
                  <w:r>
                    <w:t xml:space="preserve"> upon system implementation</w:t>
                  </w:r>
                  <w:r w:rsidR="00EF1E8A">
                    <w:rPr>
                      <w:lang w:val="en-US"/>
                    </w:rPr>
                    <w:t>.</w:t>
                  </w:r>
                  <w:r>
                    <w:t>]</w:t>
                  </w:r>
                </w:p>
              </w:tc>
            </w:tr>
          </w:tbl>
          <w:p w14:paraId="1B08F555" w14:textId="77777777" w:rsidR="003E0FF7" w:rsidRDefault="003E0FF7" w:rsidP="00FA0C07">
            <w:pPr>
              <w:pStyle w:val="TableBody"/>
              <w:rPr>
                <w:i/>
              </w:rPr>
            </w:pPr>
          </w:p>
        </w:tc>
      </w:tr>
      <w:tr w:rsidR="00326226" w14:paraId="59CBA00C" w14:textId="77777777" w:rsidTr="00D465F5">
        <w:trPr>
          <w:cantSplit/>
        </w:trPr>
        <w:tc>
          <w:tcPr>
            <w:tcW w:w="813" w:type="pct"/>
            <w:tcBorders>
              <w:top w:val="single" w:sz="6" w:space="0" w:color="auto"/>
              <w:left w:val="single" w:sz="4" w:space="0" w:color="auto"/>
              <w:bottom w:val="single" w:sz="6" w:space="0" w:color="auto"/>
              <w:right w:val="single" w:sz="6" w:space="0" w:color="auto"/>
            </w:tcBorders>
          </w:tcPr>
          <w:p w14:paraId="443F3EE8" w14:textId="77777777" w:rsidR="00326226" w:rsidRPr="00D164B6" w:rsidRDefault="00326226" w:rsidP="003858AA">
            <w:pPr>
              <w:pStyle w:val="TableBody"/>
              <w:rPr>
                <w:rFonts w:eastAsia="Calibri"/>
              </w:rPr>
            </w:pPr>
            <w:r>
              <w:rPr>
                <w:iCs w:val="0"/>
              </w:rPr>
              <w:t>U</w:t>
            </w:r>
            <w:r w:rsidRPr="00741BD7">
              <w:rPr>
                <w:iCs w:val="0"/>
              </w:rPr>
              <w:t>WSLTOT</w:t>
            </w:r>
            <w:r w:rsidRPr="004A7A0E">
              <w:rPr>
                <w:i/>
                <w:iCs w:val="0"/>
                <w:vertAlign w:val="subscript"/>
              </w:rPr>
              <w:t xml:space="preserve"> mp</w:t>
            </w:r>
          </w:p>
        </w:tc>
        <w:tc>
          <w:tcPr>
            <w:tcW w:w="461" w:type="pct"/>
            <w:tcBorders>
              <w:top w:val="single" w:sz="6" w:space="0" w:color="auto"/>
              <w:left w:val="single" w:sz="6" w:space="0" w:color="auto"/>
              <w:bottom w:val="single" w:sz="6" w:space="0" w:color="auto"/>
              <w:right w:val="single" w:sz="6" w:space="0" w:color="auto"/>
            </w:tcBorders>
          </w:tcPr>
          <w:p w14:paraId="495D13C9" w14:textId="77777777" w:rsidR="00326226" w:rsidRDefault="00326226" w:rsidP="003858AA">
            <w:pPr>
              <w:pStyle w:val="TableBody"/>
            </w:pPr>
            <w:r w:rsidRPr="00741BD7">
              <w:rPr>
                <w:iCs w:val="0"/>
              </w:rPr>
              <w:t>MWh</w:t>
            </w:r>
          </w:p>
        </w:tc>
        <w:tc>
          <w:tcPr>
            <w:tcW w:w="3725" w:type="pct"/>
            <w:tcBorders>
              <w:top w:val="single" w:sz="6" w:space="0" w:color="auto"/>
              <w:left w:val="single" w:sz="6" w:space="0" w:color="auto"/>
              <w:bottom w:val="single" w:sz="6" w:space="0" w:color="auto"/>
              <w:right w:val="single" w:sz="4" w:space="0" w:color="auto"/>
            </w:tcBorders>
          </w:tcPr>
          <w:p w14:paraId="12CCE721" w14:textId="77777777" w:rsidR="00326226" w:rsidRPr="00D164B6" w:rsidRDefault="00326226" w:rsidP="003858AA">
            <w:pPr>
              <w:pStyle w:val="TableBody"/>
              <w:rPr>
                <w:bCs/>
                <w:i/>
              </w:rPr>
            </w:pPr>
            <w:r>
              <w:rPr>
                <w:i/>
                <w:iCs w:val="0"/>
              </w:rPr>
              <w:t xml:space="preserve">Uplift </w:t>
            </w:r>
            <w:r w:rsidRPr="00741BD7">
              <w:rPr>
                <w:i/>
                <w:iCs w:val="0"/>
              </w:rPr>
              <w:t xml:space="preserve">Metered Energy for Wholesale </w:t>
            </w:r>
            <w:r>
              <w:rPr>
                <w:i/>
                <w:iCs w:val="0"/>
              </w:rPr>
              <w:t xml:space="preserve">Storage </w:t>
            </w:r>
            <w:r w:rsidRPr="00741BD7">
              <w:rPr>
                <w:i/>
                <w:iCs w:val="0"/>
              </w:rPr>
              <w:t>Load at bus per Market Participant</w:t>
            </w:r>
            <w:r w:rsidRPr="00741BD7">
              <w:rPr>
                <w:iCs w:val="0"/>
              </w:rPr>
              <w:sym w:font="Symbol" w:char="F0BE"/>
            </w:r>
            <w:r w:rsidRPr="00741BD7">
              <w:rPr>
                <w:iCs w:val="0"/>
              </w:rPr>
              <w:t xml:space="preserve">The monthly sum of Market Participant </w:t>
            </w:r>
            <w:r w:rsidRPr="00741BD7">
              <w:rPr>
                <w:i/>
                <w:iCs w:val="0"/>
              </w:rPr>
              <w:t>mp</w:t>
            </w:r>
            <w:r w:rsidRPr="00741BD7">
              <w:rPr>
                <w:iCs w:val="0"/>
              </w:rPr>
              <w:t xml:space="preserve">’s </w:t>
            </w:r>
            <w:r>
              <w:rPr>
                <w:iCs w:val="0"/>
              </w:rPr>
              <w:t>Wholesale Storage Load (</w:t>
            </w:r>
            <w:r w:rsidRPr="00741BD7">
              <w:rPr>
                <w:iCs w:val="0"/>
              </w:rPr>
              <w:t>WSL</w:t>
            </w:r>
            <w:r>
              <w:rPr>
                <w:iCs w:val="0"/>
              </w:rPr>
              <w:t>)</w:t>
            </w:r>
            <w:r w:rsidRPr="00741BD7">
              <w:rPr>
                <w:iCs w:val="0"/>
              </w:rPr>
              <w:t xml:space="preserve"> energy metered by the Settlement Meter which measures WSL.</w:t>
            </w:r>
          </w:p>
        </w:tc>
      </w:tr>
      <w:tr w:rsidR="00326226" w14:paraId="2BB6FD79" w14:textId="77777777" w:rsidTr="00D465F5">
        <w:trPr>
          <w:cantSplit/>
        </w:trPr>
        <w:tc>
          <w:tcPr>
            <w:tcW w:w="813" w:type="pct"/>
            <w:tcBorders>
              <w:top w:val="single" w:sz="6" w:space="0" w:color="auto"/>
              <w:left w:val="single" w:sz="4" w:space="0" w:color="auto"/>
              <w:bottom w:val="single" w:sz="6" w:space="0" w:color="auto"/>
              <w:right w:val="single" w:sz="6" w:space="0" w:color="auto"/>
            </w:tcBorders>
          </w:tcPr>
          <w:p w14:paraId="73C7DC00" w14:textId="77777777" w:rsidR="00326226" w:rsidRPr="00D164B6" w:rsidRDefault="00326226" w:rsidP="003858AA">
            <w:pPr>
              <w:pStyle w:val="TableBody"/>
              <w:rPr>
                <w:rFonts w:eastAsia="Calibri"/>
              </w:rPr>
            </w:pPr>
            <w:r w:rsidRPr="00741BD7">
              <w:rPr>
                <w:bCs/>
                <w:iCs w:val="0"/>
              </w:rPr>
              <w:t xml:space="preserve">MEBL </w:t>
            </w:r>
            <w:r w:rsidRPr="004A7A0E">
              <w:rPr>
                <w:bCs/>
                <w:i/>
                <w:iCs w:val="0"/>
                <w:vertAlign w:val="subscript"/>
              </w:rPr>
              <w:t>mp, r, b</w:t>
            </w:r>
          </w:p>
        </w:tc>
        <w:tc>
          <w:tcPr>
            <w:tcW w:w="461" w:type="pct"/>
            <w:tcBorders>
              <w:top w:val="single" w:sz="6" w:space="0" w:color="auto"/>
              <w:left w:val="single" w:sz="6" w:space="0" w:color="auto"/>
              <w:bottom w:val="single" w:sz="6" w:space="0" w:color="auto"/>
              <w:right w:val="single" w:sz="6" w:space="0" w:color="auto"/>
            </w:tcBorders>
          </w:tcPr>
          <w:p w14:paraId="554FDE90" w14:textId="77777777" w:rsidR="00326226" w:rsidRDefault="00326226" w:rsidP="003858AA">
            <w:pPr>
              <w:pStyle w:val="TableBody"/>
            </w:pPr>
            <w:r w:rsidRPr="00741BD7">
              <w:rPr>
                <w:iCs w:val="0"/>
              </w:rPr>
              <w:t>MWh</w:t>
            </w:r>
          </w:p>
        </w:tc>
        <w:tc>
          <w:tcPr>
            <w:tcW w:w="3725" w:type="pct"/>
            <w:tcBorders>
              <w:top w:val="single" w:sz="6" w:space="0" w:color="auto"/>
              <w:left w:val="single" w:sz="6" w:space="0" w:color="auto"/>
              <w:bottom w:val="single" w:sz="6" w:space="0" w:color="auto"/>
              <w:right w:val="single" w:sz="4" w:space="0" w:color="auto"/>
            </w:tcBorders>
          </w:tcPr>
          <w:p w14:paraId="741A302C" w14:textId="77777777" w:rsidR="00326226" w:rsidRPr="00D164B6" w:rsidRDefault="00326226" w:rsidP="003858AA">
            <w:pPr>
              <w:pStyle w:val="TableBody"/>
              <w:rPr>
                <w:bCs/>
                <w:i/>
              </w:rPr>
            </w:pPr>
            <w:r w:rsidRPr="00741BD7">
              <w:rPr>
                <w:i/>
                <w:iCs w:val="0"/>
              </w:rPr>
              <w:t xml:space="preserve">Metered Energy for Wholesale </w:t>
            </w:r>
            <w:r>
              <w:rPr>
                <w:i/>
                <w:iCs w:val="0"/>
              </w:rPr>
              <w:t xml:space="preserve">Storage </w:t>
            </w:r>
            <w:r w:rsidRPr="00741BD7">
              <w:rPr>
                <w:i/>
                <w:iCs w:val="0"/>
              </w:rPr>
              <w:t>Load at bus</w:t>
            </w:r>
            <w:r w:rsidRPr="00741BD7">
              <w:rPr>
                <w:iCs w:val="0"/>
              </w:rPr>
              <w:sym w:font="Symbol" w:char="F0BE"/>
            </w:r>
            <w:r w:rsidRPr="00741BD7">
              <w:rPr>
                <w:iCs w:val="0"/>
              </w:rPr>
              <w:t xml:space="preserve">The WSL energy metered by the Settlement Meter which measures WSL for the 15-minute Settlement Interval represented as a negative value, for the </w:t>
            </w:r>
            <w:r>
              <w:rPr>
                <w:iCs w:val="0"/>
              </w:rPr>
              <w:t>Market Participant</w:t>
            </w:r>
            <w:r w:rsidRPr="00741BD7">
              <w:rPr>
                <w:iCs w:val="0"/>
              </w:rPr>
              <w:t xml:space="preserve"> </w:t>
            </w:r>
            <w:r>
              <w:rPr>
                <w:i/>
                <w:iCs w:val="0"/>
              </w:rPr>
              <w:t>mp</w:t>
            </w:r>
            <w:r w:rsidRPr="00741BD7">
              <w:rPr>
                <w:iCs w:val="0"/>
              </w:rPr>
              <w:t xml:space="preserve">, Resource </w:t>
            </w:r>
            <w:r w:rsidRPr="00741BD7">
              <w:rPr>
                <w:i/>
                <w:iCs w:val="0"/>
              </w:rPr>
              <w:t>r</w:t>
            </w:r>
            <w:r w:rsidRPr="00741BD7">
              <w:rPr>
                <w:iCs w:val="0"/>
              </w:rPr>
              <w:t xml:space="preserve">, at bus </w:t>
            </w:r>
            <w:r w:rsidRPr="00741BD7">
              <w:rPr>
                <w:i/>
                <w:iCs w:val="0"/>
              </w:rPr>
              <w:t>b</w:t>
            </w:r>
            <w:r w:rsidRPr="00741BD7">
              <w:rPr>
                <w:iCs w:val="0"/>
              </w:rPr>
              <w:t xml:space="preserve">.  </w:t>
            </w:r>
          </w:p>
        </w:tc>
      </w:tr>
      <w:tr w:rsidR="00D211B0" w14:paraId="48BD7289" w14:textId="77777777" w:rsidTr="00D465F5">
        <w:trPr>
          <w:cantSplit/>
        </w:trPr>
        <w:tc>
          <w:tcPr>
            <w:tcW w:w="5000" w:type="pct"/>
            <w:gridSpan w:val="3"/>
            <w:tcBorders>
              <w:top w:val="single" w:sz="6" w:space="0" w:color="auto"/>
              <w:left w:val="single" w:sz="4" w:space="0" w:color="auto"/>
              <w:bottom w:val="single" w:sz="6" w:space="0" w:color="auto"/>
              <w:right w:val="single" w:sz="4" w:space="0" w:color="auto"/>
            </w:tcBorders>
          </w:tcPr>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35"/>
            </w:tblGrid>
            <w:tr w:rsidR="00D211B0" w14:paraId="2CF364F5" w14:textId="77777777" w:rsidTr="001552F0">
              <w:trPr>
                <w:trHeight w:val="206"/>
              </w:trPr>
              <w:tc>
                <w:tcPr>
                  <w:tcW w:w="9535" w:type="dxa"/>
                  <w:shd w:val="pct12" w:color="auto" w:fill="auto"/>
                </w:tcPr>
                <w:p w14:paraId="603E789E" w14:textId="39A58DFF" w:rsidR="00D211B0" w:rsidRDefault="00D211B0" w:rsidP="00D211B0">
                  <w:pPr>
                    <w:pStyle w:val="Instructions"/>
                    <w:spacing w:before="120"/>
                  </w:pPr>
                  <w:r>
                    <w:lastRenderedPageBreak/>
                    <w:t>[NPRR</w:t>
                  </w:r>
                  <w:r>
                    <w:rPr>
                      <w:lang w:val="en-US"/>
                    </w:rPr>
                    <w:t>1012</w:t>
                  </w:r>
                  <w:r>
                    <w:t>:  Insert the variables below upon system implementation</w:t>
                  </w:r>
                  <w:r>
                    <w:rPr>
                      <w:lang w:val="en-US"/>
                    </w:rPr>
                    <w:t xml:space="preserve"> of the Real-Time Co-Optimization (RTC) project</w:t>
                  </w:r>
                  <w: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443"/>
                    <w:gridCol w:w="736"/>
                    <w:gridCol w:w="6116"/>
                  </w:tblGrid>
                  <w:tr w:rsidR="00D211B0" w:rsidRPr="0003648D" w14:paraId="0705788D" w14:textId="77777777" w:rsidTr="001552F0">
                    <w:trPr>
                      <w:cantSplit/>
                    </w:trPr>
                    <w:tc>
                      <w:tcPr>
                        <w:tcW w:w="1314" w:type="pct"/>
                        <w:tcBorders>
                          <w:bottom w:val="single" w:sz="4" w:space="0" w:color="auto"/>
                        </w:tcBorders>
                      </w:tcPr>
                      <w:p w14:paraId="57A62E4C" w14:textId="75378D21" w:rsidR="00D211B0" w:rsidRPr="0003648D" w:rsidRDefault="00D211B0" w:rsidP="00D211B0">
                        <w:pPr>
                          <w:pStyle w:val="tablebody0"/>
                        </w:pPr>
                        <w:r>
                          <w:t>UDAASOAWD</w:t>
                        </w:r>
                        <w:r w:rsidRPr="00815A15">
                          <w:rPr>
                            <w:i/>
                            <w:vertAlign w:val="subscript"/>
                          </w:rPr>
                          <w:t xml:space="preserve"> mp</w:t>
                        </w:r>
                      </w:p>
                    </w:tc>
                    <w:tc>
                      <w:tcPr>
                        <w:tcW w:w="396" w:type="pct"/>
                        <w:tcBorders>
                          <w:bottom w:val="single" w:sz="4" w:space="0" w:color="auto"/>
                        </w:tcBorders>
                      </w:tcPr>
                      <w:p w14:paraId="1D4AFED7" w14:textId="6F2E2FE9" w:rsidR="00D211B0" w:rsidRPr="0003648D" w:rsidRDefault="00D211B0" w:rsidP="00D211B0">
                        <w:pPr>
                          <w:pStyle w:val="tablebody0"/>
                        </w:pPr>
                        <w:r>
                          <w:t>MWh</w:t>
                        </w:r>
                      </w:p>
                    </w:tc>
                    <w:tc>
                      <w:tcPr>
                        <w:tcW w:w="3290" w:type="pct"/>
                        <w:tcBorders>
                          <w:bottom w:val="single" w:sz="4" w:space="0" w:color="auto"/>
                        </w:tcBorders>
                      </w:tcPr>
                      <w:p w14:paraId="611F40CA" w14:textId="59F0E079" w:rsidR="00D211B0" w:rsidRPr="0003648D" w:rsidRDefault="00D211B0" w:rsidP="00D211B0">
                        <w:pPr>
                          <w:pStyle w:val="tablebody0"/>
                          <w:rPr>
                            <w:i/>
                          </w:rPr>
                        </w:pPr>
                        <w:r w:rsidRPr="008649D0">
                          <w:rPr>
                            <w:i/>
                          </w:rPr>
                          <w:t xml:space="preserve">Uplift Day-Ahead Ancillary Service </w:t>
                        </w:r>
                        <w:r>
                          <w:rPr>
                            <w:i/>
                          </w:rPr>
                          <w:t xml:space="preserve">Only </w:t>
                        </w:r>
                        <w:r w:rsidRPr="008649D0">
                          <w:rPr>
                            <w:i/>
                          </w:rPr>
                          <w:t>Award per Market Participant—</w:t>
                        </w:r>
                        <w:r w:rsidRPr="008649D0">
                          <w:t xml:space="preserve">The monthly total of </w:t>
                        </w:r>
                        <w:r>
                          <w:t xml:space="preserve">Market Participant </w:t>
                        </w:r>
                        <w:r>
                          <w:rPr>
                            <w:i/>
                          </w:rPr>
                          <w:t xml:space="preserve">mp’s </w:t>
                        </w:r>
                        <w:r>
                          <w:t>A</w:t>
                        </w:r>
                        <w:r w:rsidRPr="008649D0">
                          <w:t xml:space="preserve">ncillary </w:t>
                        </w:r>
                        <w:r>
                          <w:t>S</w:t>
                        </w:r>
                        <w:r w:rsidRPr="008649D0">
                          <w:t xml:space="preserve">ervice </w:t>
                        </w:r>
                        <w:r>
                          <w:t xml:space="preserve">Only Offers </w:t>
                        </w:r>
                        <w:r w:rsidRPr="00EF4A50">
                          <w:t>awarded in DAM</w:t>
                        </w:r>
                        <w:r w:rsidRPr="008649D0">
                          <w:t>, where the Market Participant is a QSE assigned to the registered Counter-Party.</w:t>
                        </w:r>
                      </w:p>
                    </w:tc>
                  </w:tr>
                  <w:tr w:rsidR="00D211B0" w:rsidRPr="0003648D" w14:paraId="210635D4" w14:textId="77777777" w:rsidTr="001552F0">
                    <w:trPr>
                      <w:cantSplit/>
                    </w:trPr>
                    <w:tc>
                      <w:tcPr>
                        <w:tcW w:w="1314" w:type="pct"/>
                        <w:tcBorders>
                          <w:bottom w:val="single" w:sz="4" w:space="0" w:color="auto"/>
                        </w:tcBorders>
                      </w:tcPr>
                      <w:p w14:paraId="77EE73AA" w14:textId="08E07247" w:rsidR="00D211B0" w:rsidRPr="00892119" w:rsidRDefault="00D211B0" w:rsidP="00D211B0">
                        <w:pPr>
                          <w:pStyle w:val="tablebody0"/>
                        </w:pPr>
                        <w:r w:rsidRPr="008649D0">
                          <w:t xml:space="preserve">DARUOAWD </w:t>
                        </w:r>
                        <w:r w:rsidRPr="008649D0">
                          <w:rPr>
                            <w:i/>
                            <w:vertAlign w:val="subscript"/>
                          </w:rPr>
                          <w:t>mp, h</w:t>
                        </w:r>
                      </w:p>
                    </w:tc>
                    <w:tc>
                      <w:tcPr>
                        <w:tcW w:w="396" w:type="pct"/>
                        <w:tcBorders>
                          <w:bottom w:val="single" w:sz="4" w:space="0" w:color="auto"/>
                        </w:tcBorders>
                      </w:tcPr>
                      <w:p w14:paraId="11D834AD" w14:textId="258CCBFC" w:rsidR="00D211B0" w:rsidRPr="00892119" w:rsidRDefault="00D211B0" w:rsidP="00D211B0">
                        <w:pPr>
                          <w:pStyle w:val="tablebody0"/>
                          <w:rPr>
                            <w:bCs/>
                          </w:rPr>
                        </w:pPr>
                        <w:r w:rsidRPr="008649D0">
                          <w:t>MW</w:t>
                        </w:r>
                      </w:p>
                    </w:tc>
                    <w:tc>
                      <w:tcPr>
                        <w:tcW w:w="3290" w:type="pct"/>
                        <w:tcBorders>
                          <w:bottom w:val="single" w:sz="4" w:space="0" w:color="auto"/>
                        </w:tcBorders>
                      </w:tcPr>
                      <w:p w14:paraId="2E698453" w14:textId="24FFCBFB" w:rsidR="00D211B0" w:rsidRPr="00892119" w:rsidRDefault="00D211B0" w:rsidP="0020251B">
                        <w:pPr>
                          <w:pStyle w:val="tablebody0"/>
                          <w:rPr>
                            <w:i/>
                          </w:rPr>
                        </w:pPr>
                        <w:r w:rsidRPr="008649D0">
                          <w:rPr>
                            <w:i/>
                          </w:rPr>
                          <w:t>Day-Ahead Reg-Up Only Award per Market Participant</w:t>
                        </w:r>
                        <w:r w:rsidRPr="008649D0">
                          <w:sym w:font="Symbol" w:char="F0BE"/>
                        </w:r>
                        <w:r w:rsidRPr="008649D0">
                          <w:t>The Reg-Up Only capacity quantity awarded in the D</w:t>
                        </w:r>
                        <w:r>
                          <w:t>AM</w:t>
                        </w:r>
                        <w:r w:rsidRPr="008649D0">
                          <w:t xml:space="preserve"> to the Market Participant </w:t>
                        </w:r>
                        <w:r w:rsidRPr="008649D0">
                          <w:rPr>
                            <w:i/>
                          </w:rPr>
                          <w:t>mp</w:t>
                        </w:r>
                        <w:r w:rsidRPr="008649D0">
                          <w:t xml:space="preserve"> for the hour </w:t>
                        </w:r>
                        <w:r w:rsidRPr="008649D0">
                          <w:rPr>
                            <w:i/>
                          </w:rPr>
                          <w:t>h</w:t>
                        </w:r>
                        <w:r w:rsidRPr="008649D0">
                          <w:t>.</w:t>
                        </w:r>
                      </w:p>
                    </w:tc>
                  </w:tr>
                  <w:tr w:rsidR="00D211B0" w:rsidRPr="0003648D" w14:paraId="55A269D8" w14:textId="77777777" w:rsidTr="00D211B0">
                    <w:trPr>
                      <w:cantSplit/>
                    </w:trPr>
                    <w:tc>
                      <w:tcPr>
                        <w:tcW w:w="1314" w:type="pct"/>
                      </w:tcPr>
                      <w:p w14:paraId="064BB90C" w14:textId="60D8636A" w:rsidR="00D211B0" w:rsidRPr="0003648D" w:rsidRDefault="00D211B0" w:rsidP="00D211B0">
                        <w:pPr>
                          <w:pStyle w:val="tablebody0"/>
                        </w:pPr>
                        <w:r>
                          <w:t>DARD</w:t>
                        </w:r>
                        <w:r w:rsidRPr="00815A15">
                          <w:t xml:space="preserve">OAWD </w:t>
                        </w:r>
                        <w:r w:rsidRPr="00815A15">
                          <w:rPr>
                            <w:i/>
                            <w:vertAlign w:val="subscript"/>
                          </w:rPr>
                          <w:t>mp, h</w:t>
                        </w:r>
                      </w:p>
                    </w:tc>
                    <w:tc>
                      <w:tcPr>
                        <w:tcW w:w="396" w:type="pct"/>
                      </w:tcPr>
                      <w:p w14:paraId="2206A939" w14:textId="686AB6F1" w:rsidR="00D211B0" w:rsidRPr="0003648D" w:rsidRDefault="00D211B0" w:rsidP="00D211B0">
                        <w:pPr>
                          <w:pStyle w:val="tablebody0"/>
                        </w:pPr>
                        <w:r w:rsidRPr="00815A15">
                          <w:t>MW</w:t>
                        </w:r>
                      </w:p>
                    </w:tc>
                    <w:tc>
                      <w:tcPr>
                        <w:tcW w:w="3290" w:type="pct"/>
                      </w:tcPr>
                      <w:p w14:paraId="7496BB75" w14:textId="04412325" w:rsidR="00D211B0" w:rsidRPr="0003648D" w:rsidRDefault="00D211B0" w:rsidP="000E5BA4">
                        <w:pPr>
                          <w:pStyle w:val="tablebody0"/>
                          <w:rPr>
                            <w:i/>
                          </w:rPr>
                        </w:pPr>
                        <w:r w:rsidRPr="00815A15">
                          <w:rPr>
                            <w:i/>
                          </w:rPr>
                          <w:t xml:space="preserve">Day-Ahead </w:t>
                        </w:r>
                        <w:r>
                          <w:rPr>
                            <w:i/>
                          </w:rPr>
                          <w:t>Reg-Down</w:t>
                        </w:r>
                        <w:r w:rsidRPr="00815A15">
                          <w:rPr>
                            <w:i/>
                          </w:rPr>
                          <w:t xml:space="preserve"> Only Award per Market Participant</w:t>
                        </w:r>
                        <w:r w:rsidRPr="00815A15">
                          <w:sym w:font="Symbol" w:char="F0BE"/>
                        </w:r>
                        <w:r>
                          <w:t>The Reg-Down</w:t>
                        </w:r>
                        <w:r w:rsidRPr="00815A15">
                          <w:t xml:space="preserve"> Only capacity quantity awarded in the D</w:t>
                        </w:r>
                        <w:r>
                          <w:t>AM</w:t>
                        </w:r>
                        <w:r w:rsidRPr="00815A15">
                          <w:t xml:space="preserve"> to the Market Participant </w:t>
                        </w:r>
                        <w:r w:rsidRPr="00815A15">
                          <w:rPr>
                            <w:i/>
                          </w:rPr>
                          <w:t>mp</w:t>
                        </w:r>
                        <w:r w:rsidRPr="00815A15">
                          <w:t xml:space="preserve"> for the hour </w:t>
                        </w:r>
                        <w:r w:rsidRPr="00815A15">
                          <w:rPr>
                            <w:i/>
                          </w:rPr>
                          <w:t>h</w:t>
                        </w:r>
                        <w:r w:rsidRPr="00815A15">
                          <w:t>.</w:t>
                        </w:r>
                      </w:p>
                    </w:tc>
                  </w:tr>
                  <w:tr w:rsidR="00D211B0" w:rsidRPr="0003648D" w14:paraId="4F8473A2" w14:textId="77777777" w:rsidTr="00D211B0">
                    <w:trPr>
                      <w:cantSplit/>
                    </w:trPr>
                    <w:tc>
                      <w:tcPr>
                        <w:tcW w:w="1314" w:type="pct"/>
                      </w:tcPr>
                      <w:p w14:paraId="4E6F9361" w14:textId="519EED81" w:rsidR="00D211B0" w:rsidRPr="0003648D" w:rsidRDefault="00D211B0" w:rsidP="00D211B0">
                        <w:pPr>
                          <w:pStyle w:val="tablebody0"/>
                        </w:pPr>
                        <w:r>
                          <w:t>DARR</w:t>
                        </w:r>
                        <w:r w:rsidRPr="00815A15">
                          <w:t xml:space="preserve">OAWD </w:t>
                        </w:r>
                        <w:r w:rsidRPr="00815A15">
                          <w:rPr>
                            <w:i/>
                            <w:vertAlign w:val="subscript"/>
                          </w:rPr>
                          <w:t>mp, h</w:t>
                        </w:r>
                      </w:p>
                    </w:tc>
                    <w:tc>
                      <w:tcPr>
                        <w:tcW w:w="396" w:type="pct"/>
                      </w:tcPr>
                      <w:p w14:paraId="2975BE64" w14:textId="590A4E12" w:rsidR="00D211B0" w:rsidRPr="0003648D" w:rsidRDefault="00D211B0" w:rsidP="00D211B0">
                        <w:pPr>
                          <w:pStyle w:val="tablebody0"/>
                        </w:pPr>
                        <w:r w:rsidRPr="00815A15">
                          <w:t>MW</w:t>
                        </w:r>
                      </w:p>
                    </w:tc>
                    <w:tc>
                      <w:tcPr>
                        <w:tcW w:w="3290" w:type="pct"/>
                      </w:tcPr>
                      <w:p w14:paraId="2515C71D" w14:textId="42C9E7C7" w:rsidR="00D211B0" w:rsidRPr="0003648D" w:rsidRDefault="00D211B0" w:rsidP="00EA4531">
                        <w:pPr>
                          <w:pStyle w:val="tablebody0"/>
                          <w:rPr>
                            <w:i/>
                          </w:rPr>
                        </w:pPr>
                        <w:r w:rsidRPr="00815A15">
                          <w:rPr>
                            <w:i/>
                          </w:rPr>
                          <w:t xml:space="preserve">Day-Ahead </w:t>
                        </w:r>
                        <w:r>
                          <w:rPr>
                            <w:i/>
                          </w:rPr>
                          <w:t>Responsive Reserve</w:t>
                        </w:r>
                        <w:r w:rsidRPr="00815A15">
                          <w:rPr>
                            <w:i/>
                          </w:rPr>
                          <w:t xml:space="preserve"> Only Award per Market Participant</w:t>
                        </w:r>
                        <w:r w:rsidRPr="00815A15">
                          <w:sym w:font="Symbol" w:char="F0BE"/>
                        </w:r>
                        <w:r w:rsidRPr="00815A15">
                          <w:t xml:space="preserve"> The </w:t>
                        </w:r>
                        <w:r w:rsidR="00EA4531">
                          <w:t>Responsive Reserve (</w:t>
                        </w:r>
                        <w:r>
                          <w:t>RRS</w:t>
                        </w:r>
                        <w:r w:rsidR="00EA4531">
                          <w:t>)</w:t>
                        </w:r>
                        <w:r w:rsidRPr="00815A15">
                          <w:t xml:space="preserve"> Only capacity quantity awarded in the D</w:t>
                        </w:r>
                        <w:r>
                          <w:t>AM</w:t>
                        </w:r>
                        <w:r w:rsidRPr="00815A15">
                          <w:t xml:space="preserve"> to the Market Participant </w:t>
                        </w:r>
                        <w:r w:rsidRPr="00815A15">
                          <w:rPr>
                            <w:i/>
                          </w:rPr>
                          <w:t>mp</w:t>
                        </w:r>
                        <w:r w:rsidRPr="00815A15">
                          <w:t xml:space="preserve"> for the hour </w:t>
                        </w:r>
                        <w:r w:rsidRPr="00815A15">
                          <w:rPr>
                            <w:i/>
                          </w:rPr>
                          <w:t>h</w:t>
                        </w:r>
                        <w:r w:rsidRPr="00815A15">
                          <w:t>.</w:t>
                        </w:r>
                      </w:p>
                    </w:tc>
                  </w:tr>
                  <w:tr w:rsidR="00D211B0" w:rsidRPr="0003648D" w14:paraId="5842EC1B" w14:textId="77777777" w:rsidTr="00D211B0">
                    <w:trPr>
                      <w:cantSplit/>
                    </w:trPr>
                    <w:tc>
                      <w:tcPr>
                        <w:tcW w:w="1314" w:type="pct"/>
                      </w:tcPr>
                      <w:p w14:paraId="2754EE5C" w14:textId="7683E5E8" w:rsidR="00D211B0" w:rsidRPr="0003648D" w:rsidRDefault="00D211B0" w:rsidP="00D211B0">
                        <w:pPr>
                          <w:pStyle w:val="tablebody0"/>
                        </w:pPr>
                        <w:r>
                          <w:t>DANS</w:t>
                        </w:r>
                        <w:r w:rsidRPr="00815A15">
                          <w:t xml:space="preserve">OAWD </w:t>
                        </w:r>
                        <w:r w:rsidRPr="00815A15">
                          <w:rPr>
                            <w:i/>
                            <w:vertAlign w:val="subscript"/>
                          </w:rPr>
                          <w:t>mp, h</w:t>
                        </w:r>
                      </w:p>
                    </w:tc>
                    <w:tc>
                      <w:tcPr>
                        <w:tcW w:w="396" w:type="pct"/>
                      </w:tcPr>
                      <w:p w14:paraId="00491778" w14:textId="3D17E380" w:rsidR="00D211B0" w:rsidRPr="0003648D" w:rsidRDefault="00D211B0" w:rsidP="00D211B0">
                        <w:pPr>
                          <w:pStyle w:val="tablebody0"/>
                        </w:pPr>
                        <w:r w:rsidRPr="00815A15">
                          <w:t>MW</w:t>
                        </w:r>
                      </w:p>
                    </w:tc>
                    <w:tc>
                      <w:tcPr>
                        <w:tcW w:w="3290" w:type="pct"/>
                      </w:tcPr>
                      <w:p w14:paraId="0F15F41E" w14:textId="2858D688" w:rsidR="00D211B0" w:rsidRPr="0003648D" w:rsidRDefault="00D211B0" w:rsidP="000E5BA4">
                        <w:pPr>
                          <w:pStyle w:val="tablebody0"/>
                          <w:rPr>
                            <w:i/>
                          </w:rPr>
                        </w:pPr>
                        <w:r w:rsidRPr="00815A15">
                          <w:rPr>
                            <w:i/>
                          </w:rPr>
                          <w:t xml:space="preserve">Day-Ahead </w:t>
                        </w:r>
                        <w:r>
                          <w:rPr>
                            <w:i/>
                          </w:rPr>
                          <w:t>Non-Spin</w:t>
                        </w:r>
                        <w:r w:rsidRPr="00815A15">
                          <w:rPr>
                            <w:i/>
                          </w:rPr>
                          <w:t xml:space="preserve"> Only Award per Market Participant</w:t>
                        </w:r>
                        <w:r w:rsidRPr="00815A15">
                          <w:sym w:font="Symbol" w:char="F0BE"/>
                        </w:r>
                        <w:r w:rsidRPr="00815A15">
                          <w:t xml:space="preserve">The </w:t>
                        </w:r>
                        <w:r>
                          <w:t>Non-Spin</w:t>
                        </w:r>
                        <w:r w:rsidRPr="00815A15">
                          <w:t xml:space="preserve"> Only capacity quantity awarded in the D</w:t>
                        </w:r>
                        <w:r>
                          <w:t>AM</w:t>
                        </w:r>
                        <w:r w:rsidRPr="00815A15">
                          <w:t xml:space="preserve"> to the Market Participant </w:t>
                        </w:r>
                        <w:r w:rsidRPr="00815A15">
                          <w:rPr>
                            <w:i/>
                          </w:rPr>
                          <w:t>mp</w:t>
                        </w:r>
                        <w:r w:rsidRPr="00815A15">
                          <w:t xml:space="preserve"> for the hour </w:t>
                        </w:r>
                        <w:r w:rsidRPr="00815A15">
                          <w:rPr>
                            <w:i/>
                          </w:rPr>
                          <w:t>h</w:t>
                        </w:r>
                        <w:r w:rsidRPr="00815A15">
                          <w:t>.</w:t>
                        </w:r>
                      </w:p>
                    </w:tc>
                  </w:tr>
                  <w:tr w:rsidR="00D211B0" w:rsidRPr="0003648D" w14:paraId="433E7732" w14:textId="77777777" w:rsidTr="001552F0">
                    <w:trPr>
                      <w:cantSplit/>
                    </w:trPr>
                    <w:tc>
                      <w:tcPr>
                        <w:tcW w:w="1314" w:type="pct"/>
                        <w:tcBorders>
                          <w:bottom w:val="single" w:sz="4" w:space="0" w:color="auto"/>
                        </w:tcBorders>
                      </w:tcPr>
                      <w:p w14:paraId="3A8BE367" w14:textId="2F647159" w:rsidR="00D211B0" w:rsidRPr="0003648D" w:rsidRDefault="00D211B0" w:rsidP="00D211B0">
                        <w:pPr>
                          <w:pStyle w:val="tablebody0"/>
                        </w:pPr>
                        <w:r>
                          <w:t>DAECR</w:t>
                        </w:r>
                        <w:r w:rsidRPr="00815A15">
                          <w:t xml:space="preserve">OAWD </w:t>
                        </w:r>
                        <w:r w:rsidRPr="00815A15">
                          <w:rPr>
                            <w:i/>
                            <w:vertAlign w:val="subscript"/>
                          </w:rPr>
                          <w:t>mp, h</w:t>
                        </w:r>
                      </w:p>
                    </w:tc>
                    <w:tc>
                      <w:tcPr>
                        <w:tcW w:w="396" w:type="pct"/>
                        <w:tcBorders>
                          <w:bottom w:val="single" w:sz="4" w:space="0" w:color="auto"/>
                        </w:tcBorders>
                      </w:tcPr>
                      <w:p w14:paraId="239FC2A8" w14:textId="3B5D2040" w:rsidR="00D211B0" w:rsidRPr="0003648D" w:rsidRDefault="00D211B0" w:rsidP="00D211B0">
                        <w:pPr>
                          <w:pStyle w:val="tablebody0"/>
                        </w:pPr>
                        <w:r w:rsidRPr="00815A15">
                          <w:t>MW</w:t>
                        </w:r>
                      </w:p>
                    </w:tc>
                    <w:tc>
                      <w:tcPr>
                        <w:tcW w:w="3290" w:type="pct"/>
                        <w:tcBorders>
                          <w:bottom w:val="single" w:sz="4" w:space="0" w:color="auto"/>
                        </w:tcBorders>
                      </w:tcPr>
                      <w:p w14:paraId="42FB7183" w14:textId="30B50B9F" w:rsidR="00D211B0" w:rsidRPr="0003648D" w:rsidRDefault="00D211B0" w:rsidP="00EA4531">
                        <w:pPr>
                          <w:pStyle w:val="tablebody0"/>
                          <w:rPr>
                            <w:i/>
                          </w:rPr>
                        </w:pPr>
                        <w:r w:rsidRPr="00815A15">
                          <w:rPr>
                            <w:i/>
                          </w:rPr>
                          <w:t xml:space="preserve">Day-Ahead </w:t>
                        </w:r>
                        <w:r>
                          <w:rPr>
                            <w:i/>
                          </w:rPr>
                          <w:t>ERCOT Contingency Reserve Service Only</w:t>
                        </w:r>
                        <w:r w:rsidRPr="00815A15">
                          <w:rPr>
                            <w:i/>
                          </w:rPr>
                          <w:t xml:space="preserve"> Award per Market Participant</w:t>
                        </w:r>
                        <w:r w:rsidRPr="00815A15">
                          <w:sym w:font="Symbol" w:char="F0BE"/>
                        </w:r>
                        <w:r w:rsidRPr="00815A15">
                          <w:t xml:space="preserve">The </w:t>
                        </w:r>
                        <w:r w:rsidR="00EA4531">
                          <w:t>ERCOT Contingency Reserve Service (</w:t>
                        </w:r>
                        <w:r>
                          <w:t>ECRS</w:t>
                        </w:r>
                        <w:r w:rsidR="00EA4531">
                          <w:t>)</w:t>
                        </w:r>
                        <w:r w:rsidRPr="00815A15">
                          <w:t xml:space="preserve"> Only capacity quantity awarded in the D</w:t>
                        </w:r>
                        <w:r>
                          <w:t>AM</w:t>
                        </w:r>
                        <w:r w:rsidRPr="00815A15">
                          <w:t xml:space="preserve"> to the Market Participant </w:t>
                        </w:r>
                        <w:r w:rsidRPr="00815A15">
                          <w:rPr>
                            <w:i/>
                          </w:rPr>
                          <w:t>mp</w:t>
                        </w:r>
                        <w:r w:rsidRPr="00815A15">
                          <w:t xml:space="preserve"> for the hour </w:t>
                        </w:r>
                        <w:r w:rsidRPr="00815A15">
                          <w:rPr>
                            <w:i/>
                          </w:rPr>
                          <w:t>h</w:t>
                        </w:r>
                        <w:r w:rsidRPr="00815A15">
                          <w:t>.</w:t>
                        </w:r>
                      </w:p>
                    </w:tc>
                  </w:tr>
                </w:tbl>
                <w:p w14:paraId="52C36480" w14:textId="77777777" w:rsidR="00D211B0" w:rsidRPr="00AF45BD" w:rsidRDefault="00D211B0" w:rsidP="00D211B0">
                  <w:pPr>
                    <w:pStyle w:val="tablebody0"/>
                    <w:rPr>
                      <w:i/>
                    </w:rPr>
                  </w:pPr>
                </w:p>
              </w:tc>
            </w:tr>
          </w:tbl>
          <w:p w14:paraId="20C53636" w14:textId="77777777" w:rsidR="00D211B0" w:rsidRPr="00741BD7" w:rsidRDefault="00D211B0" w:rsidP="003858AA">
            <w:pPr>
              <w:pStyle w:val="TableBody"/>
              <w:rPr>
                <w:i/>
                <w:iCs w:val="0"/>
              </w:rPr>
            </w:pPr>
          </w:p>
        </w:tc>
      </w:tr>
      <w:tr w:rsidR="00FA77FA" w14:paraId="3FE54762" w14:textId="77777777" w:rsidTr="00D465F5">
        <w:trPr>
          <w:cantSplit/>
        </w:trPr>
        <w:tc>
          <w:tcPr>
            <w:tcW w:w="813" w:type="pct"/>
            <w:tcBorders>
              <w:top w:val="single" w:sz="6" w:space="0" w:color="auto"/>
              <w:left w:val="single" w:sz="4" w:space="0" w:color="auto"/>
              <w:bottom w:val="single" w:sz="6" w:space="0" w:color="auto"/>
              <w:right w:val="single" w:sz="6" w:space="0" w:color="auto"/>
            </w:tcBorders>
          </w:tcPr>
          <w:p w14:paraId="58D7AA28" w14:textId="571BF902" w:rsidR="00FA77FA" w:rsidRPr="00D164B6" w:rsidRDefault="00FA77FA" w:rsidP="00FA77FA">
            <w:pPr>
              <w:pStyle w:val="TableBody"/>
              <w:rPr>
                <w:rFonts w:eastAsia="Calibri"/>
              </w:rPr>
            </w:pPr>
            <w:r w:rsidRPr="00DA2165">
              <w:rPr>
                <w:rFonts w:eastAsia="Calibri"/>
              </w:rPr>
              <w:t>USOGTOT</w:t>
            </w:r>
            <w:r w:rsidRPr="00DA2165">
              <w:rPr>
                <w:rFonts w:eastAsia="Calibri"/>
                <w:i/>
              </w:rPr>
              <w:t xml:space="preserve"> </w:t>
            </w:r>
            <w:r w:rsidRPr="00DA2165">
              <w:rPr>
                <w:rFonts w:eastAsia="Calibri"/>
                <w:i/>
                <w:vertAlign w:val="subscript"/>
              </w:rPr>
              <w:t>mp</w:t>
            </w:r>
          </w:p>
        </w:tc>
        <w:tc>
          <w:tcPr>
            <w:tcW w:w="461" w:type="pct"/>
            <w:tcBorders>
              <w:top w:val="single" w:sz="6" w:space="0" w:color="auto"/>
              <w:left w:val="single" w:sz="6" w:space="0" w:color="auto"/>
              <w:bottom w:val="single" w:sz="6" w:space="0" w:color="auto"/>
              <w:right w:val="single" w:sz="6" w:space="0" w:color="auto"/>
            </w:tcBorders>
          </w:tcPr>
          <w:p w14:paraId="64A796FF" w14:textId="3450673F" w:rsidR="00FA77FA" w:rsidRDefault="00FA77FA" w:rsidP="00FA77FA">
            <w:pPr>
              <w:pStyle w:val="TableBody"/>
            </w:pPr>
            <w:r w:rsidRPr="00DA2165">
              <w:t>MWh</w:t>
            </w:r>
          </w:p>
        </w:tc>
        <w:tc>
          <w:tcPr>
            <w:tcW w:w="3725" w:type="pct"/>
            <w:tcBorders>
              <w:top w:val="single" w:sz="6" w:space="0" w:color="auto"/>
              <w:left w:val="single" w:sz="6" w:space="0" w:color="auto"/>
              <w:bottom w:val="single" w:sz="6" w:space="0" w:color="auto"/>
              <w:right w:val="single" w:sz="4" w:space="0" w:color="auto"/>
            </w:tcBorders>
          </w:tcPr>
          <w:p w14:paraId="3A2EC035" w14:textId="63A7BAA4" w:rsidR="00116EF1" w:rsidRPr="00D164B6" w:rsidRDefault="00FA77FA" w:rsidP="00FA77FA">
            <w:pPr>
              <w:pStyle w:val="TableBody"/>
              <w:rPr>
                <w:bCs/>
                <w:i/>
              </w:rPr>
            </w:pPr>
            <w:r w:rsidRPr="00DA2165">
              <w:rPr>
                <w:i/>
              </w:rPr>
              <w:t>Uplift Real</w:t>
            </w:r>
            <w:r w:rsidR="00D04163">
              <w:rPr>
                <w:i/>
              </w:rPr>
              <w:t>-</w:t>
            </w:r>
            <w:r w:rsidRPr="00DA2165">
              <w:rPr>
                <w:i/>
              </w:rPr>
              <w:t>Time Settlement Only Generator Site per Market Participant</w:t>
            </w:r>
            <w:r w:rsidRPr="00DA2165">
              <w:t xml:space="preserve">—The monthly sum of Real-Time energy produced by Settlement Only Generators (SOGs) represented by Market Participant </w:t>
            </w:r>
            <w:r w:rsidRPr="00DA2165">
              <w:rPr>
                <w:i/>
              </w:rPr>
              <w:t>mp</w:t>
            </w:r>
            <w:r w:rsidRPr="00DA2165">
              <w:t xml:space="preserve">, where the Market Participant is a QSE assigned to the registered Counter-Party.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6695"/>
            </w:tblGrid>
            <w:tr w:rsidR="00116EF1" w14:paraId="2D5948A6" w14:textId="77777777" w:rsidTr="00CB43C2">
              <w:trPr>
                <w:trHeight w:val="206"/>
              </w:trPr>
              <w:tc>
                <w:tcPr>
                  <w:tcW w:w="0" w:type="auto"/>
                  <w:shd w:val="pct12" w:color="auto" w:fill="auto"/>
                </w:tcPr>
                <w:p w14:paraId="2E90961C" w14:textId="77777777" w:rsidR="00116EF1" w:rsidRDefault="00116EF1" w:rsidP="00116EF1">
                  <w:pPr>
                    <w:pStyle w:val="Instructions"/>
                    <w:spacing w:before="120"/>
                  </w:pPr>
                  <w:r>
                    <w:t>[NPRR</w:t>
                  </w:r>
                  <w:r>
                    <w:rPr>
                      <w:lang w:val="en-US"/>
                    </w:rPr>
                    <w:t>995</w:t>
                  </w:r>
                  <w:r>
                    <w:t>:  Replace the definition above with the following upon system implementation:]</w:t>
                  </w:r>
                </w:p>
                <w:p w14:paraId="7BDB7660" w14:textId="2F745DD1" w:rsidR="00116EF1" w:rsidRPr="008F39F7" w:rsidRDefault="00D04163" w:rsidP="00116EF1">
                  <w:pPr>
                    <w:pStyle w:val="TableBody"/>
                  </w:pPr>
                  <w:r w:rsidRPr="005D0F36">
                    <w:rPr>
                      <w:i/>
                    </w:rPr>
                    <w:t>Uplift Real</w:t>
                  </w:r>
                  <w:r>
                    <w:rPr>
                      <w:i/>
                    </w:rPr>
                    <w:t>-</w:t>
                  </w:r>
                  <w:r w:rsidRPr="005D0F36">
                    <w:rPr>
                      <w:i/>
                    </w:rPr>
                    <w:t>Time Settlement Only Generator Site per Market Participant</w:t>
                  </w:r>
                  <w:r w:rsidRPr="005D0F36">
                    <w:t xml:space="preserve">—The monthly sum of Real-Time energy produced by </w:t>
                  </w:r>
                  <w:r w:rsidRPr="005D0F36" w:rsidDel="005D0F36">
                    <w:t>Settlement Only Generators (SOGs)</w:t>
                  </w:r>
                  <w:r>
                    <w:t>, Settlement Only Distribution Generators</w:t>
                  </w:r>
                  <w:r w:rsidRPr="005D0F36" w:rsidDel="005D0F36">
                    <w:t xml:space="preserve"> </w:t>
                  </w:r>
                  <w:r>
                    <w:t xml:space="preserve">(SODGs), Settlement Only Transmission Generators (SOTGs), Settlement Only Distribution Energy Storage Systems (SODESSs), or Settlement Only Transmission Energy Storage Systems (SOTESSs) </w:t>
                  </w:r>
                  <w:r w:rsidRPr="005D0F36">
                    <w:t xml:space="preserve">represented by Market Participant </w:t>
                  </w:r>
                  <w:r w:rsidRPr="005D0F36">
                    <w:rPr>
                      <w:i/>
                    </w:rPr>
                    <w:t>mp</w:t>
                  </w:r>
                  <w:r w:rsidRPr="005D0F36">
                    <w:t>, where the Market Participant is a QSE assigned to the registered Counter-Party.</w:t>
                  </w:r>
                </w:p>
              </w:tc>
            </w:tr>
          </w:tbl>
          <w:p w14:paraId="0C58A602" w14:textId="2BDF8CF1" w:rsidR="00FA77FA" w:rsidRPr="00D164B6" w:rsidRDefault="00FA77FA" w:rsidP="00FA77FA">
            <w:pPr>
              <w:pStyle w:val="TableBody"/>
              <w:rPr>
                <w:bCs/>
                <w:i/>
              </w:rPr>
            </w:pPr>
          </w:p>
        </w:tc>
      </w:tr>
      <w:tr w:rsidR="00FA77FA" w14:paraId="2B996BDE" w14:textId="77777777" w:rsidTr="00D465F5">
        <w:trPr>
          <w:cantSplit/>
        </w:trPr>
        <w:tc>
          <w:tcPr>
            <w:tcW w:w="5000" w:type="pct"/>
            <w:gridSpan w:val="3"/>
            <w:tcBorders>
              <w:top w:val="single" w:sz="6" w:space="0" w:color="auto"/>
              <w:left w:val="single" w:sz="4" w:space="0" w:color="auto"/>
              <w:bottom w:val="single" w:sz="6" w:space="0" w:color="auto"/>
              <w:right w:val="single" w:sz="4" w:space="0" w:color="auto"/>
            </w:tcBorders>
          </w:tcPr>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35"/>
            </w:tblGrid>
            <w:tr w:rsidR="00FA77FA" w:rsidRPr="00AF45BD" w14:paraId="528A3C25" w14:textId="77777777" w:rsidTr="00CB43C2">
              <w:trPr>
                <w:trHeight w:val="206"/>
              </w:trPr>
              <w:tc>
                <w:tcPr>
                  <w:tcW w:w="9535" w:type="dxa"/>
                  <w:shd w:val="pct12" w:color="auto" w:fill="auto"/>
                </w:tcPr>
                <w:p w14:paraId="117FB8F7" w14:textId="2FA75489" w:rsidR="00FA77FA" w:rsidRDefault="00FA77FA" w:rsidP="00FA77FA">
                  <w:pPr>
                    <w:pStyle w:val="Instructions"/>
                    <w:spacing w:before="120"/>
                  </w:pPr>
                  <w:r>
                    <w:t>[NPRR</w:t>
                  </w:r>
                  <w:r>
                    <w:rPr>
                      <w:lang w:val="en-US"/>
                    </w:rPr>
                    <w:t>R995</w:t>
                  </w:r>
                  <w:r>
                    <w:t xml:space="preserve">:  </w:t>
                  </w:r>
                  <w:r>
                    <w:rPr>
                      <w:lang w:val="en-US"/>
                    </w:rPr>
                    <w:t>Insert</w:t>
                  </w:r>
                  <w:r>
                    <w:t xml:space="preserve"> the variable</w:t>
                  </w:r>
                  <w:r>
                    <w:rPr>
                      <w:lang w:val="en-US"/>
                    </w:rPr>
                    <w:t xml:space="preserve"> “</w:t>
                  </w:r>
                  <w:r w:rsidRPr="00FA77FA">
                    <w:rPr>
                      <w:rFonts w:eastAsia="Calibri"/>
                    </w:rPr>
                    <w:t xml:space="preserve">USOCLTOT </w:t>
                  </w:r>
                  <w:r w:rsidRPr="00FA77FA">
                    <w:rPr>
                      <w:rFonts w:eastAsia="Calibri"/>
                      <w:vertAlign w:val="subscript"/>
                    </w:rPr>
                    <w:t>mp</w:t>
                  </w:r>
                  <w:r>
                    <w:rPr>
                      <w:lang w:val="en-US"/>
                    </w:rPr>
                    <w:t>”</w:t>
                  </w:r>
                  <w:r>
                    <w:t xml:space="preserve"> </w:t>
                  </w:r>
                  <w:r>
                    <w:rPr>
                      <w:lang w:val="en-US"/>
                    </w:rPr>
                    <w:t>below</w:t>
                  </w:r>
                  <w:r>
                    <w:t xml:space="preserve"> upon system implementation:]</w:t>
                  </w:r>
                </w:p>
                <w:tbl>
                  <w:tblPr>
                    <w:tblW w:w="49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442"/>
                    <w:gridCol w:w="736"/>
                    <w:gridCol w:w="6039"/>
                  </w:tblGrid>
                  <w:tr w:rsidR="00FA77FA" w:rsidRPr="0003648D" w14:paraId="50499E1F" w14:textId="77777777" w:rsidTr="00D465F5">
                    <w:trPr>
                      <w:cantSplit/>
                    </w:trPr>
                    <w:tc>
                      <w:tcPr>
                        <w:tcW w:w="1325" w:type="pct"/>
                        <w:tcBorders>
                          <w:bottom w:val="single" w:sz="4" w:space="0" w:color="auto"/>
                        </w:tcBorders>
                      </w:tcPr>
                      <w:p w14:paraId="6BE79A85" w14:textId="037839F6" w:rsidR="00FA77FA" w:rsidRPr="0003648D" w:rsidRDefault="00FA77FA" w:rsidP="00FA77FA">
                        <w:pPr>
                          <w:pStyle w:val="tablebody0"/>
                        </w:pPr>
                        <w:r>
                          <w:rPr>
                            <w:rFonts w:eastAsia="Calibri"/>
                          </w:rPr>
                          <w:t>USOCL</w:t>
                        </w:r>
                        <w:r w:rsidRPr="005D0F36">
                          <w:rPr>
                            <w:rFonts w:eastAsia="Calibri"/>
                          </w:rPr>
                          <w:t>TOT</w:t>
                        </w:r>
                        <w:r w:rsidRPr="005D0F36">
                          <w:rPr>
                            <w:rFonts w:eastAsia="Calibri"/>
                            <w:i/>
                          </w:rPr>
                          <w:t xml:space="preserve"> </w:t>
                        </w:r>
                        <w:r w:rsidRPr="005D0F36">
                          <w:rPr>
                            <w:rFonts w:eastAsia="Calibri"/>
                            <w:i/>
                            <w:vertAlign w:val="subscript"/>
                          </w:rPr>
                          <w:t>mp</w:t>
                        </w:r>
                      </w:p>
                    </w:tc>
                    <w:tc>
                      <w:tcPr>
                        <w:tcW w:w="399" w:type="pct"/>
                        <w:tcBorders>
                          <w:bottom w:val="single" w:sz="4" w:space="0" w:color="auto"/>
                        </w:tcBorders>
                      </w:tcPr>
                      <w:p w14:paraId="2F1FC266" w14:textId="5A4D3E09" w:rsidR="00FA77FA" w:rsidRPr="0003648D" w:rsidRDefault="00FA77FA" w:rsidP="00FA77FA">
                        <w:pPr>
                          <w:pStyle w:val="tablebody0"/>
                        </w:pPr>
                        <w:r w:rsidRPr="005D0F36">
                          <w:t>MWh</w:t>
                        </w:r>
                      </w:p>
                    </w:tc>
                    <w:tc>
                      <w:tcPr>
                        <w:tcW w:w="3275" w:type="pct"/>
                        <w:tcBorders>
                          <w:bottom w:val="single" w:sz="4" w:space="0" w:color="auto"/>
                        </w:tcBorders>
                      </w:tcPr>
                      <w:p w14:paraId="7071940D" w14:textId="3A2EFD54" w:rsidR="00FA77FA" w:rsidRPr="0003648D" w:rsidRDefault="00FA77FA" w:rsidP="00FA77FA">
                        <w:pPr>
                          <w:pStyle w:val="tablebody0"/>
                          <w:rPr>
                            <w:i/>
                          </w:rPr>
                        </w:pPr>
                        <w:r>
                          <w:rPr>
                            <w:i/>
                          </w:rPr>
                          <w:t>Uplift Real-</w:t>
                        </w:r>
                        <w:r w:rsidRPr="005D0F36">
                          <w:rPr>
                            <w:i/>
                          </w:rPr>
                          <w:t xml:space="preserve">Time Settlement Only </w:t>
                        </w:r>
                        <w:r>
                          <w:rPr>
                            <w:i/>
                          </w:rPr>
                          <w:t>Charging Load</w:t>
                        </w:r>
                        <w:r w:rsidRPr="005D0F36">
                          <w:rPr>
                            <w:i/>
                          </w:rPr>
                          <w:t xml:space="preserve"> per Market Participant</w:t>
                        </w:r>
                        <w:r w:rsidRPr="005D0F36">
                          <w:t xml:space="preserve">—The monthly sum of Real-Time </w:t>
                        </w:r>
                        <w:r>
                          <w:t>charging Load</w:t>
                        </w:r>
                        <w:r w:rsidRPr="005D0F36">
                          <w:t xml:space="preserve"> </w:t>
                        </w:r>
                        <w:r>
                          <w:t xml:space="preserve">that is WSL </w:t>
                        </w:r>
                        <w:r w:rsidRPr="005D0F36">
                          <w:t xml:space="preserve">by </w:t>
                        </w:r>
                        <w:r>
                          <w:t>SODESSs</w:t>
                        </w:r>
                        <w:r w:rsidR="00D04163">
                          <w:t xml:space="preserve"> </w:t>
                        </w:r>
                        <w:r>
                          <w:t xml:space="preserve">and SOTESSs </w:t>
                        </w:r>
                        <w:r w:rsidRPr="005D0F36">
                          <w:t xml:space="preserve">represented by Market Participant </w:t>
                        </w:r>
                        <w:r w:rsidRPr="005D0F36">
                          <w:rPr>
                            <w:i/>
                          </w:rPr>
                          <w:t>mp</w:t>
                        </w:r>
                        <w:r w:rsidRPr="005D0F36">
                          <w:t xml:space="preserve">, where the Market Participant is a QSE assigned to the registered Counter-Party. </w:t>
                        </w:r>
                      </w:p>
                    </w:tc>
                  </w:tr>
                </w:tbl>
                <w:p w14:paraId="3343FE94" w14:textId="77777777" w:rsidR="00FA77FA" w:rsidRPr="00AF45BD" w:rsidRDefault="00FA77FA" w:rsidP="00FA77FA">
                  <w:pPr>
                    <w:pStyle w:val="tablebody0"/>
                    <w:rPr>
                      <w:i/>
                    </w:rPr>
                  </w:pPr>
                </w:p>
              </w:tc>
            </w:tr>
          </w:tbl>
          <w:p w14:paraId="0D059E5F" w14:textId="77777777" w:rsidR="00FA77FA" w:rsidRPr="00612551" w:rsidRDefault="00FA77FA" w:rsidP="00FA77FA">
            <w:pPr>
              <w:pStyle w:val="TableBody"/>
              <w:rPr>
                <w:i/>
              </w:rPr>
            </w:pPr>
          </w:p>
        </w:tc>
      </w:tr>
      <w:tr w:rsidR="00FA77FA" w14:paraId="0BE4C5A3" w14:textId="77777777" w:rsidTr="00D465F5">
        <w:trPr>
          <w:cantSplit/>
        </w:trPr>
        <w:tc>
          <w:tcPr>
            <w:tcW w:w="813" w:type="pct"/>
            <w:tcBorders>
              <w:top w:val="single" w:sz="6" w:space="0" w:color="auto"/>
              <w:left w:val="single" w:sz="4" w:space="0" w:color="auto"/>
              <w:bottom w:val="single" w:sz="6" w:space="0" w:color="auto"/>
              <w:right w:val="single" w:sz="6" w:space="0" w:color="auto"/>
            </w:tcBorders>
          </w:tcPr>
          <w:p w14:paraId="725384A5" w14:textId="4CB732CB" w:rsidR="00FA77FA" w:rsidRDefault="00FA77FA" w:rsidP="00FA77FA">
            <w:pPr>
              <w:pStyle w:val="TableBody"/>
              <w:rPr>
                <w:iCs w:val="0"/>
              </w:rPr>
            </w:pPr>
            <w:r w:rsidRPr="00DA2165">
              <w:lastRenderedPageBreak/>
              <w:t xml:space="preserve">RTMGSOGZ </w:t>
            </w:r>
            <w:r w:rsidRPr="00DA2165">
              <w:rPr>
                <w:i/>
                <w:vertAlign w:val="subscript"/>
              </w:rPr>
              <w:t>mp. p, i</w:t>
            </w:r>
          </w:p>
        </w:tc>
        <w:tc>
          <w:tcPr>
            <w:tcW w:w="461" w:type="pct"/>
            <w:tcBorders>
              <w:top w:val="single" w:sz="6" w:space="0" w:color="auto"/>
              <w:left w:val="single" w:sz="6" w:space="0" w:color="auto"/>
              <w:bottom w:val="single" w:sz="6" w:space="0" w:color="auto"/>
              <w:right w:val="single" w:sz="6" w:space="0" w:color="auto"/>
            </w:tcBorders>
          </w:tcPr>
          <w:p w14:paraId="0914A29C" w14:textId="2B246386" w:rsidR="00FA77FA" w:rsidRPr="00741BD7" w:rsidRDefault="00FA77FA" w:rsidP="00FA77FA">
            <w:pPr>
              <w:pStyle w:val="TableBody"/>
              <w:rPr>
                <w:iCs w:val="0"/>
              </w:rPr>
            </w:pPr>
            <w:r w:rsidRPr="00DA2165">
              <w:t>MWh</w:t>
            </w:r>
          </w:p>
        </w:tc>
        <w:tc>
          <w:tcPr>
            <w:tcW w:w="3725" w:type="pct"/>
            <w:tcBorders>
              <w:top w:val="single" w:sz="6" w:space="0" w:color="auto"/>
              <w:left w:val="single" w:sz="6" w:space="0" w:color="auto"/>
              <w:bottom w:val="single" w:sz="6" w:space="0" w:color="auto"/>
              <w:right w:val="single" w:sz="4" w:space="0" w:color="auto"/>
            </w:tcBorders>
          </w:tcPr>
          <w:p w14:paraId="2EB12152" w14:textId="6F4809DC" w:rsidR="00FA77FA" w:rsidRDefault="00FA77FA" w:rsidP="00FA77FA">
            <w:pPr>
              <w:pStyle w:val="TableBody"/>
            </w:pPr>
            <w:r w:rsidRPr="00612551">
              <w:rPr>
                <w:i/>
              </w:rPr>
              <w:t xml:space="preserve">Real-Time Metered Generation from </w:t>
            </w:r>
            <w:r>
              <w:rPr>
                <w:i/>
              </w:rPr>
              <w:t>Settlement Only G</w:t>
            </w:r>
            <w:r w:rsidRPr="00612551">
              <w:rPr>
                <w:i/>
              </w:rPr>
              <w:t>enerators</w:t>
            </w:r>
            <w:r>
              <w:rPr>
                <w:i/>
              </w:rPr>
              <w:t xml:space="preserve"> Zonal</w:t>
            </w:r>
            <w:r w:rsidRPr="00612551">
              <w:rPr>
                <w:i/>
              </w:rPr>
              <w:t xml:space="preserve"> per QSE per Settlement Point</w:t>
            </w:r>
            <w:r w:rsidRPr="00612551">
              <w:t xml:space="preserve">—The total Real-Time energy produced by </w:t>
            </w:r>
            <w:r>
              <w:t>Settlement Only Transmission Self-Generators (</w:t>
            </w:r>
            <w:r w:rsidRPr="00271E37">
              <w:t>SOTSG</w:t>
            </w:r>
            <w:r w:rsidRPr="0083340A">
              <w:t>s</w:t>
            </w:r>
            <w:r>
              <w:t xml:space="preserve">) </w:t>
            </w:r>
            <w:r w:rsidRPr="00CD2C01">
              <w:t xml:space="preserve">for the Market Participant </w:t>
            </w:r>
            <w:r w:rsidRPr="00CD2C01">
              <w:rPr>
                <w:i/>
              </w:rPr>
              <w:t>mp</w:t>
            </w:r>
            <w:r w:rsidRPr="00612551">
              <w:t xml:space="preserve"> in Load Zone Settlement Point </w:t>
            </w:r>
            <w:r w:rsidRPr="00612551">
              <w:rPr>
                <w:i/>
              </w:rPr>
              <w:t>p</w:t>
            </w:r>
            <w:r w:rsidRPr="00612551">
              <w:t>, for the 15-minute Settlement Interval.</w:t>
            </w:r>
            <w:r>
              <w:t xml:space="preserve">  </w:t>
            </w:r>
            <w:r w:rsidRPr="006D79BF">
              <w:t xml:space="preserve">MWh quantities for </w:t>
            </w:r>
            <w:r>
              <w:t>Energy Storage System (ESS), Settlement Only Distribution Generators (</w:t>
            </w:r>
            <w:r w:rsidRPr="00BE0CCF">
              <w:t>SODG</w:t>
            </w:r>
            <w:r>
              <w:t>s), and Settlement Only Transmission Generators (</w:t>
            </w:r>
            <w:r w:rsidRPr="00BE0CCF">
              <w:t>SOTG</w:t>
            </w:r>
            <w:r>
              <w:t xml:space="preserve">s) at sites </w:t>
            </w:r>
            <w:r w:rsidRPr="00A3268D">
              <w:t xml:space="preserve">where </w:t>
            </w:r>
            <w:r>
              <w:t xml:space="preserve">the ESS capacity constitutes more than 50% of the total SOG nameplate capacity </w:t>
            </w:r>
            <w:r w:rsidRPr="006D79BF">
              <w:t>will be included in this value.</w:t>
            </w:r>
            <w:r>
              <w:t xml:space="preserve">  MWh quantities for </w:t>
            </w:r>
            <w:r w:rsidRPr="00BE0CCF">
              <w:t>SODG</w:t>
            </w:r>
            <w:r>
              <w:t xml:space="preserve">s and </w:t>
            </w:r>
            <w:r w:rsidRPr="00BE0CCF">
              <w:t>SOTG</w:t>
            </w:r>
            <w:r>
              <w:t xml:space="preserve">s that opted out of nodal pricing pursuant to </w:t>
            </w:r>
            <w:r w:rsidRPr="006804FC">
              <w:t>Section 6.6.3.</w:t>
            </w:r>
            <w:r w:rsidR="00406205">
              <w:t>8</w:t>
            </w:r>
            <w:r>
              <w:t>, Real-Time Payment or Charge for Energy from a Settlement Only Distribution Generator (SODG) or a Settlement Only Transmission Generator (SOTG), will also be included in this value.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6695"/>
            </w:tblGrid>
            <w:tr w:rsidR="00FA77FA" w14:paraId="032D62D8" w14:textId="77777777" w:rsidTr="00CB43C2">
              <w:trPr>
                <w:trHeight w:val="206"/>
              </w:trPr>
              <w:tc>
                <w:tcPr>
                  <w:tcW w:w="0" w:type="auto"/>
                  <w:shd w:val="pct12" w:color="auto" w:fill="auto"/>
                </w:tcPr>
                <w:p w14:paraId="436E6675" w14:textId="2F5AB22C" w:rsidR="00FA77FA" w:rsidRDefault="00FA77FA" w:rsidP="00FA77FA">
                  <w:pPr>
                    <w:pStyle w:val="Instructions"/>
                    <w:spacing w:before="120"/>
                  </w:pPr>
                  <w:r>
                    <w:t>[NPRR</w:t>
                  </w:r>
                  <w:r>
                    <w:rPr>
                      <w:lang w:val="en-US"/>
                    </w:rPr>
                    <w:t>995</w:t>
                  </w:r>
                  <w:r>
                    <w:t>:  Replace the definition above with the following upon system implementation:]</w:t>
                  </w:r>
                </w:p>
                <w:p w14:paraId="7D5D6660" w14:textId="39AF2380" w:rsidR="00FA77FA" w:rsidRPr="008F39F7" w:rsidRDefault="00D04163" w:rsidP="00FA77FA">
                  <w:pPr>
                    <w:pStyle w:val="TableBody"/>
                  </w:pPr>
                  <w:r w:rsidRPr="005D0F36">
                    <w:rPr>
                      <w:i/>
                    </w:rPr>
                    <w:t>Real-Time Metered Generation from Settlement Only Generators Zonal per QSE per Settlement Point</w:t>
                  </w:r>
                  <w:r w:rsidRPr="005D0F36">
                    <w:t xml:space="preserve">—The total Real-Time energy produced by Settlement Only Transmission Self-Generators (SOTSGs) for the Market Participant </w:t>
                  </w:r>
                  <w:r w:rsidRPr="005D0F36">
                    <w:rPr>
                      <w:i/>
                    </w:rPr>
                    <w:t>mp</w:t>
                  </w:r>
                  <w:r w:rsidRPr="005D0F36">
                    <w:t xml:space="preserve"> in Load Zone </w:t>
                  </w:r>
                  <w:r w:rsidRPr="00092F5C">
                    <w:t xml:space="preserve">Settlement Point </w:t>
                  </w:r>
                  <w:r w:rsidRPr="00092F5C">
                    <w:rPr>
                      <w:i/>
                    </w:rPr>
                    <w:t>p</w:t>
                  </w:r>
                  <w:r w:rsidRPr="00092F5C">
                    <w:t>, for the 15-minute Settlement Interval.  MWh quantities for Energy Storage System (ESS), SODGs</w:t>
                  </w:r>
                  <w:r>
                    <w:t>,</w:t>
                  </w:r>
                  <w:r w:rsidRPr="00092F5C">
                    <w:t xml:space="preserve"> and SOTGs at sites where the ESS capacity constitutes more than 50% of the total SOG nameplate capacity will be included in this value</w:t>
                  </w:r>
                  <w:r>
                    <w:t>.</w:t>
                  </w:r>
                  <w:r w:rsidRPr="00092F5C">
                    <w:t xml:space="preserve"> </w:t>
                  </w:r>
                  <w:r>
                    <w:t xml:space="preserve"> </w:t>
                  </w:r>
                  <w:r w:rsidRPr="00092F5C">
                    <w:t>MWh quantities for SODGs and SOTGs that opted out of nodal pricing pursuant to Section 6.6.3.</w:t>
                  </w:r>
                  <w:r w:rsidR="00406205">
                    <w:t>8</w:t>
                  </w:r>
                  <w:r w:rsidRPr="00092F5C">
                    <w:t xml:space="preserve">, Real-Time Payment or Charge for Energy from a Settlement Only Distribution Generator (SODG), Settlement Only Transmission Generator (SOTG), </w:t>
                  </w:r>
                  <w:r w:rsidRPr="00031AC3">
                    <w:t xml:space="preserve">Settlement Only Distribution Energy Storage System </w:t>
                  </w:r>
                  <w:r>
                    <w:t>(</w:t>
                  </w:r>
                  <w:r w:rsidRPr="00092F5C">
                    <w:t>SODESS</w:t>
                  </w:r>
                  <w:r>
                    <w:t>)</w:t>
                  </w:r>
                  <w:r w:rsidRPr="00092F5C">
                    <w:t xml:space="preserve">, or </w:t>
                  </w:r>
                  <w:r w:rsidRPr="00031AC3">
                    <w:t xml:space="preserve">Settlement Only Transmission Energy Storage System </w:t>
                  </w:r>
                  <w:r>
                    <w:t>(</w:t>
                  </w:r>
                  <w:r w:rsidRPr="00092F5C">
                    <w:t>SOTESS</w:t>
                  </w:r>
                  <w:r>
                    <w:t>)</w:t>
                  </w:r>
                  <w:r w:rsidRPr="00092F5C">
                    <w:t>, will also be included in this value.</w:t>
                  </w:r>
                </w:p>
              </w:tc>
            </w:tr>
          </w:tbl>
          <w:p w14:paraId="77AEE71A" w14:textId="2943F23F" w:rsidR="00FA77FA" w:rsidRDefault="00FA77FA" w:rsidP="00FA77FA">
            <w:pPr>
              <w:pStyle w:val="TableBody"/>
              <w:rPr>
                <w:i/>
                <w:iCs w:val="0"/>
              </w:rPr>
            </w:pPr>
          </w:p>
        </w:tc>
      </w:tr>
      <w:tr w:rsidR="00FA77FA" w14:paraId="09FE93AD" w14:textId="77777777" w:rsidTr="00D465F5">
        <w:trPr>
          <w:cantSplit/>
        </w:trPr>
        <w:tc>
          <w:tcPr>
            <w:tcW w:w="813" w:type="pct"/>
            <w:tcBorders>
              <w:top w:val="single" w:sz="6" w:space="0" w:color="auto"/>
              <w:left w:val="single" w:sz="4" w:space="0" w:color="auto"/>
              <w:bottom w:val="single" w:sz="6" w:space="0" w:color="auto"/>
              <w:right w:val="single" w:sz="6" w:space="0" w:color="auto"/>
            </w:tcBorders>
          </w:tcPr>
          <w:p w14:paraId="37B72A23" w14:textId="70734F3F" w:rsidR="00FA77FA" w:rsidRDefault="00FA77FA" w:rsidP="00FA77FA">
            <w:pPr>
              <w:pStyle w:val="TableBody"/>
              <w:rPr>
                <w:iCs w:val="0"/>
              </w:rPr>
            </w:pPr>
            <w:r w:rsidRPr="00DA2165">
              <w:t>MEBSOGNET</w:t>
            </w:r>
            <w:r w:rsidRPr="00DA2165">
              <w:rPr>
                <w:i/>
                <w:vertAlign w:val="subscript"/>
              </w:rPr>
              <w:t xml:space="preserve"> q, gsc</w:t>
            </w:r>
          </w:p>
        </w:tc>
        <w:tc>
          <w:tcPr>
            <w:tcW w:w="461" w:type="pct"/>
            <w:tcBorders>
              <w:top w:val="single" w:sz="6" w:space="0" w:color="auto"/>
              <w:left w:val="single" w:sz="6" w:space="0" w:color="auto"/>
              <w:bottom w:val="single" w:sz="6" w:space="0" w:color="auto"/>
              <w:right w:val="single" w:sz="6" w:space="0" w:color="auto"/>
            </w:tcBorders>
          </w:tcPr>
          <w:p w14:paraId="08D85011" w14:textId="12B428E3" w:rsidR="00FA77FA" w:rsidRPr="00741BD7" w:rsidRDefault="00FA77FA" w:rsidP="00FA77FA">
            <w:pPr>
              <w:pStyle w:val="TableBody"/>
              <w:rPr>
                <w:iCs w:val="0"/>
              </w:rPr>
            </w:pPr>
            <w:r w:rsidRPr="00DA2165">
              <w:t>MWh</w:t>
            </w:r>
          </w:p>
        </w:tc>
        <w:tc>
          <w:tcPr>
            <w:tcW w:w="3725" w:type="pct"/>
            <w:tcBorders>
              <w:top w:val="single" w:sz="6" w:space="0" w:color="auto"/>
              <w:left w:val="single" w:sz="6" w:space="0" w:color="auto"/>
              <w:bottom w:val="single" w:sz="6" w:space="0" w:color="auto"/>
              <w:right w:val="single" w:sz="4" w:space="0" w:color="auto"/>
            </w:tcBorders>
          </w:tcPr>
          <w:p w14:paraId="3551CF5F" w14:textId="07F3281E" w:rsidR="00FA77FA" w:rsidRDefault="00FA77FA" w:rsidP="00FA77FA">
            <w:pPr>
              <w:pStyle w:val="TableBody"/>
            </w:pPr>
            <w:r w:rsidRPr="00DA2165">
              <w:rPr>
                <w:i/>
              </w:rPr>
              <w:t>Net Metered energy at gsc for an SODG or SOTG Site</w:t>
            </w:r>
            <w:r w:rsidRPr="00DA2165">
              <w:sym w:font="Symbol" w:char="F0BE"/>
            </w:r>
            <w:r w:rsidRPr="00DA2165">
              <w:t>The net sum for all Settlement Meters for SODG or SOTG site</w:t>
            </w:r>
            <w:r w:rsidRPr="00DA2165">
              <w:rPr>
                <w:i/>
              </w:rPr>
              <w:t xml:space="preserve"> gsc</w:t>
            </w:r>
            <w:r w:rsidRPr="00DA2165">
              <w:t xml:space="preserve"> represented by QSE </w:t>
            </w:r>
            <w:r w:rsidRPr="00DA2165">
              <w:rPr>
                <w:i/>
              </w:rPr>
              <w:t>q</w:t>
            </w:r>
            <w:r w:rsidRPr="00DA2165">
              <w:t>.  A positive value indicates an injection of power to the ERCOT System.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6695"/>
            </w:tblGrid>
            <w:tr w:rsidR="00116EF1" w14:paraId="4F533DB7" w14:textId="77777777" w:rsidTr="00CB43C2">
              <w:trPr>
                <w:trHeight w:val="206"/>
              </w:trPr>
              <w:tc>
                <w:tcPr>
                  <w:tcW w:w="0" w:type="auto"/>
                  <w:shd w:val="pct12" w:color="auto" w:fill="auto"/>
                </w:tcPr>
                <w:p w14:paraId="2484BB7D" w14:textId="77777777" w:rsidR="00116EF1" w:rsidRDefault="00116EF1" w:rsidP="00116EF1">
                  <w:pPr>
                    <w:pStyle w:val="Instructions"/>
                    <w:spacing w:before="120"/>
                  </w:pPr>
                  <w:r>
                    <w:t>[NPRR</w:t>
                  </w:r>
                  <w:r>
                    <w:rPr>
                      <w:lang w:val="en-US"/>
                    </w:rPr>
                    <w:t>995</w:t>
                  </w:r>
                  <w:r>
                    <w:t>:  Replace the definition above with the following upon system implementation:]</w:t>
                  </w:r>
                </w:p>
                <w:p w14:paraId="13195EB7" w14:textId="787D257A" w:rsidR="00116EF1" w:rsidRPr="008F39F7" w:rsidRDefault="00116EF1" w:rsidP="00116EF1">
                  <w:pPr>
                    <w:pStyle w:val="TableBody"/>
                  </w:pPr>
                  <w:r w:rsidRPr="009752BE">
                    <w:rPr>
                      <w:i/>
                    </w:rPr>
                    <w:t xml:space="preserve">Net Metered energy at gsc </w:t>
                  </w:r>
                  <w:r w:rsidRPr="005D0F36">
                    <w:rPr>
                      <w:i/>
                    </w:rPr>
                    <w:t>for an SODG</w:t>
                  </w:r>
                  <w:r>
                    <w:rPr>
                      <w:i/>
                    </w:rPr>
                    <w:t>,</w:t>
                  </w:r>
                  <w:r w:rsidRPr="005D0F36">
                    <w:rPr>
                      <w:i/>
                    </w:rPr>
                    <w:t xml:space="preserve"> SOTG</w:t>
                  </w:r>
                  <w:r>
                    <w:rPr>
                      <w:i/>
                    </w:rPr>
                    <w:t>, SODESS, or SOTESS</w:t>
                  </w:r>
                  <w:r w:rsidRPr="005D0F36">
                    <w:rPr>
                      <w:i/>
                    </w:rPr>
                    <w:t xml:space="preserve"> Site</w:t>
                  </w:r>
                  <w:r w:rsidRPr="005D0F36">
                    <w:sym w:font="Symbol" w:char="F0BE"/>
                  </w:r>
                  <w:r w:rsidRPr="005D0F36">
                    <w:t xml:space="preserve">The </w:t>
                  </w:r>
                  <w:r>
                    <w:t>net sum for all</w:t>
                  </w:r>
                  <w:r w:rsidRPr="005D0F36">
                    <w:t xml:space="preserve"> Settlement Meters for SODG</w:t>
                  </w:r>
                  <w:r>
                    <w:t xml:space="preserve">, </w:t>
                  </w:r>
                  <w:r w:rsidRPr="005D0F36">
                    <w:t>SOTG</w:t>
                  </w:r>
                  <w:r>
                    <w:t>, SODESS, or SOTESS</w:t>
                  </w:r>
                  <w:r w:rsidRPr="005D0F36">
                    <w:t xml:space="preserve"> site </w:t>
                  </w:r>
                  <w:r w:rsidRPr="005D0F36">
                    <w:rPr>
                      <w:i/>
                    </w:rPr>
                    <w:t>gsc</w:t>
                  </w:r>
                  <w:r w:rsidRPr="005D0F36">
                    <w:t xml:space="preserve"> represented by </w:t>
                  </w:r>
                  <w:r>
                    <w:t>QSE</w:t>
                  </w:r>
                  <w:r w:rsidRPr="005D0F36">
                    <w:t xml:space="preserve"> </w:t>
                  </w:r>
                  <w:r>
                    <w:rPr>
                      <w:i/>
                    </w:rPr>
                    <w:t xml:space="preserve">q </w:t>
                  </w:r>
                  <w:r w:rsidRPr="00CA280F">
                    <w:t xml:space="preserve">for the 15-minute Settlement </w:t>
                  </w:r>
                  <w:r w:rsidRPr="009752BE">
                    <w:t>Interval.  A positive value indicates an injection of power to the ERCOT System.</w:t>
                  </w:r>
                </w:p>
              </w:tc>
            </w:tr>
          </w:tbl>
          <w:p w14:paraId="6D845D5C" w14:textId="704F8297" w:rsidR="00116EF1" w:rsidRDefault="00116EF1" w:rsidP="00FA77FA">
            <w:pPr>
              <w:pStyle w:val="TableBody"/>
              <w:rPr>
                <w:i/>
                <w:iCs w:val="0"/>
              </w:rPr>
            </w:pPr>
          </w:p>
        </w:tc>
      </w:tr>
      <w:tr w:rsidR="00FA77FA" w14:paraId="2E5E5961" w14:textId="77777777" w:rsidTr="00D465F5">
        <w:trPr>
          <w:cantSplit/>
        </w:trPr>
        <w:tc>
          <w:tcPr>
            <w:tcW w:w="5000" w:type="pct"/>
            <w:gridSpan w:val="3"/>
            <w:tcBorders>
              <w:top w:val="single" w:sz="6" w:space="0" w:color="auto"/>
              <w:left w:val="single" w:sz="4" w:space="0" w:color="auto"/>
              <w:bottom w:val="single" w:sz="6" w:space="0" w:color="auto"/>
              <w:right w:val="single" w:sz="4" w:space="0" w:color="auto"/>
            </w:tcBorders>
          </w:tcPr>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35"/>
            </w:tblGrid>
            <w:tr w:rsidR="00116EF1" w:rsidRPr="00AF45BD" w14:paraId="62D5F986" w14:textId="77777777" w:rsidTr="00CB43C2">
              <w:trPr>
                <w:trHeight w:val="206"/>
              </w:trPr>
              <w:tc>
                <w:tcPr>
                  <w:tcW w:w="9535" w:type="dxa"/>
                  <w:shd w:val="pct12" w:color="auto" w:fill="auto"/>
                </w:tcPr>
                <w:p w14:paraId="3AC760E1" w14:textId="1200E1F8" w:rsidR="00116EF1" w:rsidRDefault="00116EF1" w:rsidP="00116EF1">
                  <w:pPr>
                    <w:pStyle w:val="Instructions"/>
                    <w:spacing w:before="120"/>
                  </w:pPr>
                  <w:r>
                    <w:t>[NPRR</w:t>
                  </w:r>
                  <w:r>
                    <w:rPr>
                      <w:lang w:val="en-US"/>
                    </w:rPr>
                    <w:t>R995</w:t>
                  </w:r>
                  <w:r>
                    <w:t xml:space="preserve">:  </w:t>
                  </w:r>
                  <w:r>
                    <w:rPr>
                      <w:lang w:val="en-US"/>
                    </w:rPr>
                    <w:t>Insert</w:t>
                  </w:r>
                  <w:r>
                    <w:t xml:space="preserve"> the variable</w:t>
                  </w:r>
                  <w:r>
                    <w:rPr>
                      <w:lang w:val="en-US"/>
                    </w:rPr>
                    <w:t xml:space="preserve"> “</w:t>
                  </w:r>
                  <w:r w:rsidRPr="00116EF1">
                    <w:rPr>
                      <w:rFonts w:eastAsia="Calibri"/>
                    </w:rPr>
                    <w:t>WSOL</w:t>
                  </w:r>
                  <w:r w:rsidRPr="00116EF1">
                    <w:rPr>
                      <w:rFonts w:eastAsia="Calibri"/>
                      <w:vertAlign w:val="subscript"/>
                    </w:rPr>
                    <w:t xml:space="preserve"> mp, gsc, b</w:t>
                  </w:r>
                  <w:r>
                    <w:rPr>
                      <w:lang w:val="en-US"/>
                    </w:rPr>
                    <w:t>”</w:t>
                  </w:r>
                  <w:r>
                    <w:t xml:space="preserve"> </w:t>
                  </w:r>
                  <w:r>
                    <w:rPr>
                      <w:lang w:val="en-US"/>
                    </w:rPr>
                    <w:t>below</w:t>
                  </w:r>
                  <w:r>
                    <w:t xml:space="preserve"> upon system implementation:]</w:t>
                  </w:r>
                </w:p>
                <w:tbl>
                  <w:tblPr>
                    <w:tblW w:w="48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443"/>
                    <w:gridCol w:w="736"/>
                    <w:gridCol w:w="5858"/>
                  </w:tblGrid>
                  <w:tr w:rsidR="00116EF1" w:rsidRPr="0003648D" w14:paraId="15F816BD" w14:textId="77777777" w:rsidTr="00D465F5">
                    <w:trPr>
                      <w:cantSplit/>
                    </w:trPr>
                    <w:tc>
                      <w:tcPr>
                        <w:tcW w:w="1352" w:type="pct"/>
                        <w:tcBorders>
                          <w:bottom w:val="single" w:sz="4" w:space="0" w:color="auto"/>
                        </w:tcBorders>
                      </w:tcPr>
                      <w:p w14:paraId="0DDC72C8" w14:textId="2C0B8E6B" w:rsidR="00116EF1" w:rsidRPr="0003648D" w:rsidRDefault="00116EF1" w:rsidP="00116EF1">
                        <w:pPr>
                          <w:pStyle w:val="tablebody0"/>
                        </w:pPr>
                        <w:r w:rsidRPr="006E7B76">
                          <w:t xml:space="preserve">WSOL </w:t>
                        </w:r>
                        <w:r>
                          <w:rPr>
                            <w:i/>
                            <w:vertAlign w:val="subscript"/>
                          </w:rPr>
                          <w:t>mp</w:t>
                        </w:r>
                        <w:r w:rsidRPr="00E61497">
                          <w:rPr>
                            <w:i/>
                            <w:vertAlign w:val="subscript"/>
                          </w:rPr>
                          <w:t>,</w:t>
                        </w:r>
                        <w:r>
                          <w:rPr>
                            <w:i/>
                            <w:vertAlign w:val="subscript"/>
                          </w:rPr>
                          <w:t xml:space="preserve"> </w:t>
                        </w:r>
                        <w:r w:rsidRPr="00E61497">
                          <w:rPr>
                            <w:i/>
                            <w:vertAlign w:val="subscript"/>
                          </w:rPr>
                          <w:t>gsc,</w:t>
                        </w:r>
                        <w:r>
                          <w:rPr>
                            <w:i/>
                            <w:vertAlign w:val="subscript"/>
                          </w:rPr>
                          <w:t xml:space="preserve"> </w:t>
                        </w:r>
                        <w:r w:rsidRPr="00E61497">
                          <w:rPr>
                            <w:i/>
                            <w:vertAlign w:val="subscript"/>
                          </w:rPr>
                          <w:t>b</w:t>
                        </w:r>
                      </w:p>
                    </w:tc>
                    <w:tc>
                      <w:tcPr>
                        <w:tcW w:w="407" w:type="pct"/>
                        <w:tcBorders>
                          <w:bottom w:val="single" w:sz="4" w:space="0" w:color="auto"/>
                        </w:tcBorders>
                      </w:tcPr>
                      <w:p w14:paraId="5D2C0A5E" w14:textId="6A2CC563" w:rsidR="00116EF1" w:rsidRPr="0003648D" w:rsidRDefault="00116EF1" w:rsidP="00116EF1">
                        <w:pPr>
                          <w:pStyle w:val="tablebody0"/>
                        </w:pPr>
                        <w:r>
                          <w:t>MWh</w:t>
                        </w:r>
                      </w:p>
                    </w:tc>
                    <w:tc>
                      <w:tcPr>
                        <w:tcW w:w="3241" w:type="pct"/>
                        <w:tcBorders>
                          <w:bottom w:val="single" w:sz="4" w:space="0" w:color="auto"/>
                        </w:tcBorders>
                      </w:tcPr>
                      <w:p w14:paraId="7D969C53" w14:textId="3336C8C4" w:rsidR="00116EF1" w:rsidRPr="0003648D" w:rsidRDefault="00116EF1" w:rsidP="00116EF1">
                        <w:pPr>
                          <w:pStyle w:val="tablebody0"/>
                          <w:rPr>
                            <w:i/>
                          </w:rPr>
                        </w:pPr>
                        <w:r>
                          <w:rPr>
                            <w:i/>
                          </w:rPr>
                          <w:t>WSL</w:t>
                        </w:r>
                        <w:r w:rsidRPr="006E7B76">
                          <w:rPr>
                            <w:i/>
                          </w:rPr>
                          <w:t xml:space="preserve"> for an SODES</w:t>
                        </w:r>
                        <w:r>
                          <w:rPr>
                            <w:i/>
                          </w:rPr>
                          <w:t>S</w:t>
                        </w:r>
                        <w:r w:rsidRPr="006E7B76">
                          <w:rPr>
                            <w:i/>
                          </w:rPr>
                          <w:t xml:space="preserve"> or SOTES</w:t>
                        </w:r>
                        <w:r>
                          <w:rPr>
                            <w:i/>
                          </w:rPr>
                          <w:t>S</w:t>
                        </w:r>
                        <w:r w:rsidRPr="006E7B76">
                          <w:rPr>
                            <w:i/>
                          </w:rPr>
                          <w:t xml:space="preserve"> Site</w:t>
                        </w:r>
                        <w:r w:rsidR="00D04163" w:rsidRPr="00DA2165">
                          <w:sym w:font="Symbol" w:char="F0BE"/>
                        </w:r>
                        <w:r w:rsidRPr="00E61497">
                          <w:t xml:space="preserve">The </w:t>
                        </w:r>
                        <w:r>
                          <w:t>WSL</w:t>
                        </w:r>
                        <w:r w:rsidRPr="00E61497">
                          <w:t xml:space="preserve"> </w:t>
                        </w:r>
                        <w:r>
                          <w:t>as measured</w:t>
                        </w:r>
                        <w:r w:rsidRPr="00E61497">
                          <w:t xml:space="preserve"> for an for SODES</w:t>
                        </w:r>
                        <w:r>
                          <w:t>S</w:t>
                        </w:r>
                        <w:r w:rsidRPr="00E61497">
                          <w:t xml:space="preserve"> or SOTES</w:t>
                        </w:r>
                        <w:r>
                          <w:t>S</w:t>
                        </w:r>
                        <w:r w:rsidRPr="00E61497">
                          <w:t xml:space="preserve"> site </w:t>
                        </w:r>
                        <w:r w:rsidRPr="001E15B9">
                          <w:rPr>
                            <w:i/>
                          </w:rPr>
                          <w:t xml:space="preserve">gsc </w:t>
                        </w:r>
                        <w:r w:rsidRPr="00E61497">
                          <w:t xml:space="preserve">at Electrical Bus </w:t>
                        </w:r>
                        <w:r w:rsidRPr="001E15B9">
                          <w:rPr>
                            <w:i/>
                          </w:rPr>
                          <w:t>b</w:t>
                        </w:r>
                        <w:r w:rsidRPr="00E61497">
                          <w:t xml:space="preserve">, represented by </w:t>
                        </w:r>
                        <w:r>
                          <w:t xml:space="preserve">the Market Participant </w:t>
                        </w:r>
                        <w:r>
                          <w:rPr>
                            <w:i/>
                          </w:rPr>
                          <w:t>mp,</w:t>
                        </w:r>
                        <w:r w:rsidRPr="00CA280F">
                          <w:t xml:space="preserve"> </w:t>
                        </w:r>
                        <w:r>
                          <w:t>represented as a negative value,</w:t>
                        </w:r>
                        <w:r w:rsidRPr="00CA280F">
                          <w:t xml:space="preserve"> for the 15-minute Settlement Interval.</w:t>
                        </w:r>
                      </w:p>
                    </w:tc>
                  </w:tr>
                </w:tbl>
                <w:p w14:paraId="698D0A6D" w14:textId="77777777" w:rsidR="00116EF1" w:rsidRPr="00AF45BD" w:rsidRDefault="00116EF1" w:rsidP="00116EF1">
                  <w:pPr>
                    <w:pStyle w:val="tablebody0"/>
                    <w:rPr>
                      <w:i/>
                    </w:rPr>
                  </w:pPr>
                </w:p>
              </w:tc>
            </w:tr>
          </w:tbl>
          <w:p w14:paraId="5D089C3B" w14:textId="77777777" w:rsidR="00FA77FA" w:rsidRPr="00DA2165" w:rsidRDefault="00FA77FA" w:rsidP="00FA77FA">
            <w:pPr>
              <w:pStyle w:val="TableBody"/>
              <w:rPr>
                <w:i/>
              </w:rPr>
            </w:pPr>
          </w:p>
        </w:tc>
      </w:tr>
      <w:tr w:rsidR="004A7A0E" w14:paraId="187D2BFF" w14:textId="77777777" w:rsidTr="00D465F5">
        <w:trPr>
          <w:cantSplit/>
        </w:trPr>
        <w:tc>
          <w:tcPr>
            <w:tcW w:w="5000" w:type="pct"/>
            <w:gridSpan w:val="3"/>
            <w:tcBorders>
              <w:top w:val="single" w:sz="6" w:space="0" w:color="auto"/>
              <w:left w:val="single" w:sz="4" w:space="0" w:color="auto"/>
              <w:bottom w:val="single" w:sz="6" w:space="0" w:color="auto"/>
              <w:right w:val="single" w:sz="4" w:space="0" w:color="auto"/>
            </w:tcBorders>
          </w:tcPr>
          <w:p w14:paraId="67A0A23F" w14:textId="77777777" w:rsidR="004A7A0E" w:rsidRPr="00E63934" w:rsidRDefault="004A7A0E" w:rsidP="003858AA">
            <w:pPr>
              <w:pStyle w:val="TableBody"/>
              <w:rPr>
                <w:bCs/>
              </w:rPr>
            </w:pPr>
          </w:p>
        </w:tc>
      </w:tr>
      <w:tr w:rsidR="00326226" w14:paraId="5F77BB57" w14:textId="77777777" w:rsidTr="00D465F5">
        <w:trPr>
          <w:cantSplit/>
        </w:trPr>
        <w:tc>
          <w:tcPr>
            <w:tcW w:w="813" w:type="pct"/>
            <w:tcBorders>
              <w:top w:val="single" w:sz="6" w:space="0" w:color="auto"/>
              <w:left w:val="single" w:sz="4" w:space="0" w:color="auto"/>
              <w:bottom w:val="single" w:sz="6" w:space="0" w:color="auto"/>
              <w:right w:val="single" w:sz="6" w:space="0" w:color="auto"/>
            </w:tcBorders>
          </w:tcPr>
          <w:p w14:paraId="150D98B3" w14:textId="7268197E" w:rsidR="00326226" w:rsidRPr="004A7A0E" w:rsidRDefault="0006505C" w:rsidP="003858AA">
            <w:pPr>
              <w:pStyle w:val="TableBody"/>
              <w:rPr>
                <w:rFonts w:eastAsia="Calibri"/>
                <w:i/>
              </w:rPr>
            </w:pPr>
            <w:r>
              <w:rPr>
                <w:rFonts w:eastAsia="Calibri"/>
                <w:i/>
              </w:rPr>
              <w:t>c</w:t>
            </w:r>
            <w:r w:rsidR="00326226" w:rsidRPr="004A7A0E">
              <w:rPr>
                <w:rFonts w:eastAsia="Calibri"/>
                <w:i/>
              </w:rPr>
              <w:t>p</w:t>
            </w:r>
          </w:p>
        </w:tc>
        <w:tc>
          <w:tcPr>
            <w:tcW w:w="461" w:type="pct"/>
            <w:tcBorders>
              <w:top w:val="single" w:sz="6" w:space="0" w:color="auto"/>
              <w:left w:val="single" w:sz="6" w:space="0" w:color="auto"/>
              <w:bottom w:val="single" w:sz="6" w:space="0" w:color="auto"/>
              <w:right w:val="single" w:sz="6" w:space="0" w:color="auto"/>
            </w:tcBorders>
          </w:tcPr>
          <w:p w14:paraId="45A7D44F" w14:textId="77777777" w:rsidR="00326226" w:rsidRDefault="00326226" w:rsidP="003858AA">
            <w:pPr>
              <w:pStyle w:val="TableBody"/>
            </w:pPr>
            <w:r>
              <w:t>none</w:t>
            </w:r>
          </w:p>
        </w:tc>
        <w:tc>
          <w:tcPr>
            <w:tcW w:w="3725" w:type="pct"/>
            <w:tcBorders>
              <w:top w:val="single" w:sz="6" w:space="0" w:color="auto"/>
              <w:left w:val="single" w:sz="6" w:space="0" w:color="auto"/>
              <w:bottom w:val="single" w:sz="6" w:space="0" w:color="auto"/>
              <w:right w:val="single" w:sz="4" w:space="0" w:color="auto"/>
            </w:tcBorders>
          </w:tcPr>
          <w:p w14:paraId="5288A6E7" w14:textId="77777777" w:rsidR="00326226" w:rsidRPr="00E63934" w:rsidRDefault="00326226" w:rsidP="003858AA">
            <w:pPr>
              <w:pStyle w:val="TableBody"/>
              <w:rPr>
                <w:bCs/>
              </w:rPr>
            </w:pPr>
            <w:r w:rsidRPr="00E63934">
              <w:rPr>
                <w:bCs/>
              </w:rPr>
              <w:t>A registered Counter-Party.</w:t>
            </w:r>
          </w:p>
        </w:tc>
      </w:tr>
      <w:tr w:rsidR="00326226" w14:paraId="7198DFCA" w14:textId="77777777" w:rsidTr="00D465F5">
        <w:trPr>
          <w:cantSplit/>
        </w:trPr>
        <w:tc>
          <w:tcPr>
            <w:tcW w:w="813" w:type="pct"/>
            <w:tcBorders>
              <w:top w:val="single" w:sz="6" w:space="0" w:color="auto"/>
              <w:left w:val="single" w:sz="4" w:space="0" w:color="auto"/>
              <w:bottom w:val="single" w:sz="6" w:space="0" w:color="auto"/>
              <w:right w:val="single" w:sz="6" w:space="0" w:color="auto"/>
            </w:tcBorders>
          </w:tcPr>
          <w:p w14:paraId="0F5AE721" w14:textId="77777777" w:rsidR="00326226" w:rsidRPr="004A7A0E" w:rsidRDefault="00326226" w:rsidP="003858AA">
            <w:pPr>
              <w:pStyle w:val="TableBody"/>
              <w:rPr>
                <w:rFonts w:eastAsia="Calibri"/>
                <w:i/>
              </w:rPr>
            </w:pPr>
            <w:r w:rsidRPr="004A7A0E">
              <w:rPr>
                <w:rFonts w:eastAsia="Calibri"/>
                <w:i/>
              </w:rPr>
              <w:t>mp</w:t>
            </w:r>
          </w:p>
        </w:tc>
        <w:tc>
          <w:tcPr>
            <w:tcW w:w="461" w:type="pct"/>
            <w:tcBorders>
              <w:top w:val="single" w:sz="6" w:space="0" w:color="auto"/>
              <w:left w:val="single" w:sz="6" w:space="0" w:color="auto"/>
              <w:bottom w:val="single" w:sz="6" w:space="0" w:color="auto"/>
              <w:right w:val="single" w:sz="6" w:space="0" w:color="auto"/>
            </w:tcBorders>
          </w:tcPr>
          <w:p w14:paraId="2D618D65" w14:textId="77777777" w:rsidR="00326226" w:rsidRDefault="00326226" w:rsidP="003858AA">
            <w:pPr>
              <w:pStyle w:val="TableBody"/>
            </w:pPr>
            <w:r>
              <w:t>none</w:t>
            </w:r>
          </w:p>
        </w:tc>
        <w:tc>
          <w:tcPr>
            <w:tcW w:w="3725" w:type="pct"/>
            <w:tcBorders>
              <w:top w:val="single" w:sz="6" w:space="0" w:color="auto"/>
              <w:left w:val="single" w:sz="6" w:space="0" w:color="auto"/>
              <w:bottom w:val="single" w:sz="6" w:space="0" w:color="auto"/>
              <w:right w:val="single" w:sz="4" w:space="0" w:color="auto"/>
            </w:tcBorders>
          </w:tcPr>
          <w:p w14:paraId="127A1C35" w14:textId="715C0228" w:rsidR="00326226" w:rsidRPr="00E63934" w:rsidRDefault="00326226" w:rsidP="006B44B4">
            <w:pPr>
              <w:pStyle w:val="TableBody"/>
              <w:rPr>
                <w:bCs/>
              </w:rPr>
            </w:pPr>
            <w:r w:rsidRPr="00E63934">
              <w:rPr>
                <w:bCs/>
              </w:rPr>
              <w:t xml:space="preserve">A Market Participant </w:t>
            </w:r>
            <w:r w:rsidR="006B44B4">
              <w:rPr>
                <w:bCs/>
              </w:rPr>
              <w:t xml:space="preserve">with </w:t>
            </w:r>
            <w:r w:rsidR="006B44B4" w:rsidRPr="005D287F">
              <w:t xml:space="preserve">MWh activity </w:t>
            </w:r>
            <w:r w:rsidR="006B44B4">
              <w:rPr>
                <w:bCs/>
              </w:rPr>
              <w:t>in the reference month</w:t>
            </w:r>
            <w:r w:rsidR="006B44B4" w:rsidRPr="00E63934">
              <w:rPr>
                <w:bCs/>
              </w:rPr>
              <w:t xml:space="preserve"> </w:t>
            </w:r>
            <w:r w:rsidRPr="00E63934">
              <w:rPr>
                <w:bCs/>
              </w:rPr>
              <w:t xml:space="preserve">that is a </w:t>
            </w:r>
            <w:r w:rsidR="006B44B4">
              <w:rPr>
                <w:bCs/>
              </w:rPr>
              <w:t>currently-registered</w:t>
            </w:r>
            <w:r w:rsidRPr="00E63934">
              <w:rPr>
                <w:bCs/>
              </w:rPr>
              <w:t xml:space="preserve"> QSE or CRR Account Holder</w:t>
            </w:r>
            <w:r w:rsidR="006B44B4">
              <w:rPr>
                <w:bCs/>
              </w:rPr>
              <w:t xml:space="preserve"> or that voluntarily terminated its </w:t>
            </w:r>
            <w:r w:rsidR="006B44B4" w:rsidRPr="005D287F">
              <w:rPr>
                <w:bCs/>
              </w:rPr>
              <w:t>QSE or CRR Account Holder</w:t>
            </w:r>
            <w:r w:rsidR="006B44B4">
              <w:rPr>
                <w:bCs/>
              </w:rPr>
              <w:t xml:space="preserve"> registration</w:t>
            </w:r>
            <w:r w:rsidRPr="00E63934">
              <w:rPr>
                <w:bCs/>
              </w:rPr>
              <w:t>.</w:t>
            </w:r>
          </w:p>
        </w:tc>
      </w:tr>
      <w:tr w:rsidR="00326226" w14:paraId="7981776C" w14:textId="77777777" w:rsidTr="00D465F5">
        <w:trPr>
          <w:cantSplit/>
        </w:trPr>
        <w:tc>
          <w:tcPr>
            <w:tcW w:w="813" w:type="pct"/>
            <w:tcBorders>
              <w:top w:val="single" w:sz="6" w:space="0" w:color="auto"/>
              <w:left w:val="single" w:sz="4" w:space="0" w:color="auto"/>
              <w:bottom w:val="single" w:sz="6" w:space="0" w:color="auto"/>
              <w:right w:val="single" w:sz="6" w:space="0" w:color="auto"/>
            </w:tcBorders>
          </w:tcPr>
          <w:p w14:paraId="10CE2D9D" w14:textId="77777777" w:rsidR="00326226" w:rsidRPr="004A7A0E" w:rsidRDefault="00326226" w:rsidP="003858AA">
            <w:pPr>
              <w:pStyle w:val="TableBody"/>
              <w:rPr>
                <w:rFonts w:eastAsia="Calibri"/>
                <w:i/>
              </w:rPr>
            </w:pPr>
            <w:r w:rsidRPr="004A7A0E">
              <w:rPr>
                <w:rFonts w:eastAsia="Calibri"/>
                <w:i/>
              </w:rPr>
              <w:lastRenderedPageBreak/>
              <w:t>j</w:t>
            </w:r>
          </w:p>
        </w:tc>
        <w:tc>
          <w:tcPr>
            <w:tcW w:w="461" w:type="pct"/>
            <w:tcBorders>
              <w:top w:val="single" w:sz="6" w:space="0" w:color="auto"/>
              <w:left w:val="single" w:sz="6" w:space="0" w:color="auto"/>
              <w:bottom w:val="single" w:sz="6" w:space="0" w:color="auto"/>
              <w:right w:val="single" w:sz="6" w:space="0" w:color="auto"/>
            </w:tcBorders>
          </w:tcPr>
          <w:p w14:paraId="50B8A2CC" w14:textId="77777777" w:rsidR="00326226" w:rsidRDefault="00326226" w:rsidP="003858AA">
            <w:pPr>
              <w:pStyle w:val="TableBody"/>
            </w:pPr>
            <w:r w:rsidRPr="00D164B6">
              <w:t>none</w:t>
            </w:r>
          </w:p>
        </w:tc>
        <w:tc>
          <w:tcPr>
            <w:tcW w:w="3725" w:type="pct"/>
            <w:tcBorders>
              <w:top w:val="single" w:sz="6" w:space="0" w:color="auto"/>
              <w:left w:val="single" w:sz="6" w:space="0" w:color="auto"/>
              <w:bottom w:val="single" w:sz="6" w:space="0" w:color="auto"/>
              <w:right w:val="single" w:sz="4" w:space="0" w:color="auto"/>
            </w:tcBorders>
          </w:tcPr>
          <w:p w14:paraId="564A3FE1" w14:textId="77777777" w:rsidR="00326226" w:rsidRPr="00E63934" w:rsidRDefault="00326226" w:rsidP="003858AA">
            <w:pPr>
              <w:pStyle w:val="TableBody"/>
              <w:rPr>
                <w:bCs/>
              </w:rPr>
            </w:pPr>
            <w:r w:rsidRPr="00E63934">
              <w:rPr>
                <w:bCs/>
              </w:rPr>
              <w:t>A source Settlement Point.</w:t>
            </w:r>
          </w:p>
        </w:tc>
      </w:tr>
      <w:tr w:rsidR="00326226" w14:paraId="214EDF6C" w14:textId="77777777" w:rsidTr="00D465F5">
        <w:trPr>
          <w:cantSplit/>
        </w:trPr>
        <w:tc>
          <w:tcPr>
            <w:tcW w:w="813" w:type="pct"/>
            <w:tcBorders>
              <w:top w:val="single" w:sz="6" w:space="0" w:color="auto"/>
              <w:left w:val="single" w:sz="4" w:space="0" w:color="auto"/>
              <w:bottom w:val="single" w:sz="6" w:space="0" w:color="auto"/>
              <w:right w:val="single" w:sz="6" w:space="0" w:color="auto"/>
            </w:tcBorders>
          </w:tcPr>
          <w:p w14:paraId="76CF5E85" w14:textId="77777777" w:rsidR="00326226" w:rsidRPr="004A7A0E" w:rsidRDefault="00326226" w:rsidP="003858AA">
            <w:pPr>
              <w:pStyle w:val="TableBody"/>
              <w:rPr>
                <w:rFonts w:eastAsia="Calibri"/>
                <w:i/>
              </w:rPr>
            </w:pPr>
            <w:r w:rsidRPr="004A7A0E">
              <w:rPr>
                <w:rFonts w:eastAsia="Calibri"/>
                <w:i/>
              </w:rPr>
              <w:t>k</w:t>
            </w:r>
          </w:p>
        </w:tc>
        <w:tc>
          <w:tcPr>
            <w:tcW w:w="461" w:type="pct"/>
            <w:tcBorders>
              <w:top w:val="single" w:sz="6" w:space="0" w:color="auto"/>
              <w:left w:val="single" w:sz="6" w:space="0" w:color="auto"/>
              <w:bottom w:val="single" w:sz="6" w:space="0" w:color="auto"/>
              <w:right w:val="single" w:sz="6" w:space="0" w:color="auto"/>
            </w:tcBorders>
          </w:tcPr>
          <w:p w14:paraId="0C6A10ED" w14:textId="77777777" w:rsidR="00326226" w:rsidRPr="00D164B6" w:rsidRDefault="00326226" w:rsidP="003858AA">
            <w:pPr>
              <w:pStyle w:val="TableBody"/>
            </w:pPr>
            <w:r w:rsidRPr="00D164B6">
              <w:t>none</w:t>
            </w:r>
          </w:p>
        </w:tc>
        <w:tc>
          <w:tcPr>
            <w:tcW w:w="3725" w:type="pct"/>
            <w:tcBorders>
              <w:top w:val="single" w:sz="6" w:space="0" w:color="auto"/>
              <w:left w:val="single" w:sz="6" w:space="0" w:color="auto"/>
              <w:bottom w:val="single" w:sz="6" w:space="0" w:color="auto"/>
              <w:right w:val="single" w:sz="4" w:space="0" w:color="auto"/>
            </w:tcBorders>
          </w:tcPr>
          <w:p w14:paraId="5C180A45" w14:textId="77777777" w:rsidR="00326226" w:rsidRPr="00E63934" w:rsidRDefault="00326226" w:rsidP="003858AA">
            <w:pPr>
              <w:pStyle w:val="TableBody"/>
              <w:rPr>
                <w:bCs/>
              </w:rPr>
            </w:pPr>
            <w:r w:rsidRPr="00E63934">
              <w:rPr>
                <w:bCs/>
              </w:rPr>
              <w:t>A sink Settlement Point.</w:t>
            </w:r>
          </w:p>
        </w:tc>
      </w:tr>
      <w:tr w:rsidR="00326226" w14:paraId="6C7654BA" w14:textId="77777777" w:rsidTr="00D465F5">
        <w:trPr>
          <w:cantSplit/>
        </w:trPr>
        <w:tc>
          <w:tcPr>
            <w:tcW w:w="813" w:type="pct"/>
            <w:tcBorders>
              <w:top w:val="single" w:sz="6" w:space="0" w:color="auto"/>
              <w:left w:val="single" w:sz="4" w:space="0" w:color="auto"/>
              <w:bottom w:val="single" w:sz="6" w:space="0" w:color="auto"/>
              <w:right w:val="single" w:sz="6" w:space="0" w:color="auto"/>
            </w:tcBorders>
          </w:tcPr>
          <w:p w14:paraId="69DDEA5A" w14:textId="77777777" w:rsidR="00326226" w:rsidRPr="004A7A0E" w:rsidRDefault="00326226" w:rsidP="003858AA">
            <w:pPr>
              <w:pStyle w:val="TableBody"/>
              <w:rPr>
                <w:rFonts w:eastAsia="Calibri"/>
                <w:i/>
              </w:rPr>
            </w:pPr>
            <w:r w:rsidRPr="004A7A0E">
              <w:rPr>
                <w:rFonts w:eastAsia="Calibri"/>
                <w:i/>
              </w:rPr>
              <w:t>a</w:t>
            </w:r>
          </w:p>
        </w:tc>
        <w:tc>
          <w:tcPr>
            <w:tcW w:w="461" w:type="pct"/>
            <w:tcBorders>
              <w:top w:val="single" w:sz="6" w:space="0" w:color="auto"/>
              <w:left w:val="single" w:sz="6" w:space="0" w:color="auto"/>
              <w:bottom w:val="single" w:sz="6" w:space="0" w:color="auto"/>
              <w:right w:val="single" w:sz="6" w:space="0" w:color="auto"/>
            </w:tcBorders>
          </w:tcPr>
          <w:p w14:paraId="017480C6" w14:textId="77777777" w:rsidR="00326226" w:rsidRPr="00D164B6" w:rsidRDefault="00326226" w:rsidP="003858AA">
            <w:pPr>
              <w:pStyle w:val="TableBody"/>
            </w:pPr>
            <w:r>
              <w:t>none</w:t>
            </w:r>
          </w:p>
        </w:tc>
        <w:tc>
          <w:tcPr>
            <w:tcW w:w="3725" w:type="pct"/>
            <w:tcBorders>
              <w:top w:val="single" w:sz="6" w:space="0" w:color="auto"/>
              <w:left w:val="single" w:sz="6" w:space="0" w:color="auto"/>
              <w:bottom w:val="single" w:sz="6" w:space="0" w:color="auto"/>
              <w:right w:val="single" w:sz="4" w:space="0" w:color="auto"/>
            </w:tcBorders>
          </w:tcPr>
          <w:p w14:paraId="6D7CEBFE" w14:textId="77777777" w:rsidR="00326226" w:rsidRPr="00E63934" w:rsidRDefault="00326226" w:rsidP="003858AA">
            <w:pPr>
              <w:pStyle w:val="TableBody"/>
              <w:rPr>
                <w:bCs/>
              </w:rPr>
            </w:pPr>
            <w:r w:rsidRPr="00E63934">
              <w:rPr>
                <w:bCs/>
              </w:rPr>
              <w:t>A CRR Auction.</w:t>
            </w:r>
          </w:p>
        </w:tc>
      </w:tr>
      <w:tr w:rsidR="00326226" w14:paraId="1C01B9B0" w14:textId="77777777" w:rsidTr="00D465F5">
        <w:trPr>
          <w:cantSplit/>
        </w:trPr>
        <w:tc>
          <w:tcPr>
            <w:tcW w:w="813" w:type="pct"/>
            <w:tcBorders>
              <w:top w:val="single" w:sz="6" w:space="0" w:color="auto"/>
              <w:left w:val="single" w:sz="4" w:space="0" w:color="auto"/>
              <w:bottom w:val="single" w:sz="6" w:space="0" w:color="auto"/>
              <w:right w:val="single" w:sz="6" w:space="0" w:color="auto"/>
            </w:tcBorders>
          </w:tcPr>
          <w:p w14:paraId="129D46B4" w14:textId="77777777" w:rsidR="00326226" w:rsidRPr="004A7A0E" w:rsidRDefault="00326226" w:rsidP="003858AA">
            <w:pPr>
              <w:pStyle w:val="TableBody"/>
              <w:rPr>
                <w:rFonts w:eastAsia="Calibri"/>
                <w:i/>
              </w:rPr>
            </w:pPr>
            <w:r w:rsidRPr="004A7A0E">
              <w:rPr>
                <w:rFonts w:eastAsia="Calibri"/>
                <w:i/>
              </w:rPr>
              <w:t>p</w:t>
            </w:r>
          </w:p>
        </w:tc>
        <w:tc>
          <w:tcPr>
            <w:tcW w:w="461" w:type="pct"/>
            <w:tcBorders>
              <w:top w:val="single" w:sz="6" w:space="0" w:color="auto"/>
              <w:left w:val="single" w:sz="6" w:space="0" w:color="auto"/>
              <w:bottom w:val="single" w:sz="6" w:space="0" w:color="auto"/>
              <w:right w:val="single" w:sz="6" w:space="0" w:color="auto"/>
            </w:tcBorders>
          </w:tcPr>
          <w:p w14:paraId="36AE26DB" w14:textId="77777777" w:rsidR="00326226" w:rsidRDefault="00326226" w:rsidP="003858AA">
            <w:pPr>
              <w:pStyle w:val="TableBody"/>
            </w:pPr>
            <w:r>
              <w:t>none</w:t>
            </w:r>
          </w:p>
        </w:tc>
        <w:tc>
          <w:tcPr>
            <w:tcW w:w="3725" w:type="pct"/>
            <w:tcBorders>
              <w:top w:val="single" w:sz="6" w:space="0" w:color="auto"/>
              <w:left w:val="single" w:sz="6" w:space="0" w:color="auto"/>
              <w:bottom w:val="single" w:sz="6" w:space="0" w:color="auto"/>
              <w:right w:val="single" w:sz="4" w:space="0" w:color="auto"/>
            </w:tcBorders>
          </w:tcPr>
          <w:p w14:paraId="521573A1" w14:textId="77777777" w:rsidR="00326226" w:rsidRPr="00E63934" w:rsidRDefault="00326226" w:rsidP="003858AA">
            <w:pPr>
              <w:pStyle w:val="TableBody"/>
              <w:rPr>
                <w:bCs/>
              </w:rPr>
            </w:pPr>
            <w:r w:rsidRPr="00E63934">
              <w:rPr>
                <w:bCs/>
              </w:rPr>
              <w:t>A Settlement Point.</w:t>
            </w:r>
          </w:p>
        </w:tc>
      </w:tr>
      <w:tr w:rsidR="00326226" w14:paraId="42F620A3" w14:textId="77777777" w:rsidTr="00D465F5">
        <w:trPr>
          <w:cantSplit/>
        </w:trPr>
        <w:tc>
          <w:tcPr>
            <w:tcW w:w="813" w:type="pct"/>
            <w:tcBorders>
              <w:top w:val="single" w:sz="6" w:space="0" w:color="auto"/>
              <w:left w:val="single" w:sz="4" w:space="0" w:color="auto"/>
              <w:bottom w:val="single" w:sz="6" w:space="0" w:color="auto"/>
              <w:right w:val="single" w:sz="6" w:space="0" w:color="auto"/>
            </w:tcBorders>
          </w:tcPr>
          <w:p w14:paraId="093D5262" w14:textId="77777777" w:rsidR="00326226" w:rsidRPr="004A7A0E" w:rsidRDefault="00326226" w:rsidP="003858AA">
            <w:pPr>
              <w:pStyle w:val="TableBody"/>
              <w:rPr>
                <w:rFonts w:eastAsia="Calibri"/>
                <w:i/>
              </w:rPr>
            </w:pPr>
            <w:r w:rsidRPr="004A7A0E">
              <w:rPr>
                <w:rFonts w:eastAsia="Calibri"/>
                <w:i/>
              </w:rPr>
              <w:t>i</w:t>
            </w:r>
          </w:p>
        </w:tc>
        <w:tc>
          <w:tcPr>
            <w:tcW w:w="461" w:type="pct"/>
            <w:tcBorders>
              <w:top w:val="single" w:sz="6" w:space="0" w:color="auto"/>
              <w:left w:val="single" w:sz="6" w:space="0" w:color="auto"/>
              <w:bottom w:val="single" w:sz="6" w:space="0" w:color="auto"/>
              <w:right w:val="single" w:sz="6" w:space="0" w:color="auto"/>
            </w:tcBorders>
          </w:tcPr>
          <w:p w14:paraId="108E2AFC" w14:textId="77777777" w:rsidR="00326226" w:rsidRDefault="00326226" w:rsidP="003858AA">
            <w:pPr>
              <w:pStyle w:val="TableBody"/>
            </w:pPr>
            <w:r>
              <w:t>none</w:t>
            </w:r>
          </w:p>
        </w:tc>
        <w:tc>
          <w:tcPr>
            <w:tcW w:w="3725" w:type="pct"/>
            <w:tcBorders>
              <w:top w:val="single" w:sz="6" w:space="0" w:color="auto"/>
              <w:left w:val="single" w:sz="6" w:space="0" w:color="auto"/>
              <w:bottom w:val="single" w:sz="6" w:space="0" w:color="auto"/>
              <w:right w:val="single" w:sz="4" w:space="0" w:color="auto"/>
            </w:tcBorders>
          </w:tcPr>
          <w:p w14:paraId="3913AD8F" w14:textId="77777777" w:rsidR="00326226" w:rsidRPr="00E63934" w:rsidRDefault="00326226" w:rsidP="003858AA">
            <w:pPr>
              <w:pStyle w:val="TableBody"/>
              <w:rPr>
                <w:bCs/>
              </w:rPr>
            </w:pPr>
            <w:r w:rsidRPr="00E63934">
              <w:rPr>
                <w:bCs/>
              </w:rPr>
              <w:t>A 15-minute Settlement Interval.</w:t>
            </w:r>
          </w:p>
        </w:tc>
      </w:tr>
      <w:tr w:rsidR="00326226" w14:paraId="33778ABF" w14:textId="77777777" w:rsidTr="00D465F5">
        <w:trPr>
          <w:cantSplit/>
        </w:trPr>
        <w:tc>
          <w:tcPr>
            <w:tcW w:w="813" w:type="pct"/>
            <w:tcBorders>
              <w:top w:val="single" w:sz="6" w:space="0" w:color="auto"/>
              <w:left w:val="single" w:sz="4" w:space="0" w:color="auto"/>
              <w:bottom w:val="single" w:sz="6" w:space="0" w:color="auto"/>
              <w:right w:val="single" w:sz="6" w:space="0" w:color="auto"/>
            </w:tcBorders>
          </w:tcPr>
          <w:p w14:paraId="774EF74F" w14:textId="77777777" w:rsidR="00326226" w:rsidRPr="004A7A0E" w:rsidRDefault="00326226" w:rsidP="003858AA">
            <w:pPr>
              <w:pStyle w:val="TableBody"/>
              <w:rPr>
                <w:rFonts w:eastAsia="Calibri"/>
                <w:i/>
              </w:rPr>
            </w:pPr>
            <w:r w:rsidRPr="004A7A0E">
              <w:rPr>
                <w:rFonts w:eastAsia="Calibri"/>
                <w:i/>
              </w:rPr>
              <w:t>h</w:t>
            </w:r>
          </w:p>
        </w:tc>
        <w:tc>
          <w:tcPr>
            <w:tcW w:w="461" w:type="pct"/>
            <w:tcBorders>
              <w:top w:val="single" w:sz="6" w:space="0" w:color="auto"/>
              <w:left w:val="single" w:sz="6" w:space="0" w:color="auto"/>
              <w:bottom w:val="single" w:sz="6" w:space="0" w:color="auto"/>
              <w:right w:val="single" w:sz="6" w:space="0" w:color="auto"/>
            </w:tcBorders>
          </w:tcPr>
          <w:p w14:paraId="2B7299B2" w14:textId="77777777" w:rsidR="00326226" w:rsidRDefault="00326226" w:rsidP="003858AA">
            <w:pPr>
              <w:pStyle w:val="TableBody"/>
            </w:pPr>
            <w:r>
              <w:t>none</w:t>
            </w:r>
          </w:p>
        </w:tc>
        <w:tc>
          <w:tcPr>
            <w:tcW w:w="3725" w:type="pct"/>
            <w:tcBorders>
              <w:top w:val="single" w:sz="6" w:space="0" w:color="auto"/>
              <w:left w:val="single" w:sz="6" w:space="0" w:color="auto"/>
              <w:bottom w:val="single" w:sz="6" w:space="0" w:color="auto"/>
              <w:right w:val="single" w:sz="4" w:space="0" w:color="auto"/>
            </w:tcBorders>
          </w:tcPr>
          <w:p w14:paraId="667F0F36" w14:textId="77777777" w:rsidR="00326226" w:rsidRPr="00E63934" w:rsidRDefault="00326226" w:rsidP="003858AA">
            <w:pPr>
              <w:pStyle w:val="TableBody"/>
              <w:rPr>
                <w:bCs/>
              </w:rPr>
            </w:pPr>
            <w:r w:rsidRPr="00E63934">
              <w:rPr>
                <w:bCs/>
              </w:rPr>
              <w:t xml:space="preserve">The hour that includes the Settlement Interval i. </w:t>
            </w:r>
          </w:p>
        </w:tc>
      </w:tr>
      <w:tr w:rsidR="00326226" w14:paraId="2A664AC7" w14:textId="77777777" w:rsidTr="00D465F5">
        <w:trPr>
          <w:cantSplit/>
        </w:trPr>
        <w:tc>
          <w:tcPr>
            <w:tcW w:w="813" w:type="pct"/>
            <w:tcBorders>
              <w:top w:val="single" w:sz="6" w:space="0" w:color="auto"/>
              <w:left w:val="single" w:sz="4" w:space="0" w:color="auto"/>
              <w:bottom w:val="single" w:sz="6" w:space="0" w:color="auto"/>
              <w:right w:val="single" w:sz="6" w:space="0" w:color="auto"/>
            </w:tcBorders>
          </w:tcPr>
          <w:p w14:paraId="0C128C18" w14:textId="77777777" w:rsidR="00326226" w:rsidRPr="004A7A0E" w:rsidRDefault="00326226" w:rsidP="003858AA">
            <w:pPr>
              <w:pStyle w:val="TableBody"/>
              <w:rPr>
                <w:rFonts w:eastAsia="Calibri"/>
                <w:i/>
              </w:rPr>
            </w:pPr>
            <w:r w:rsidRPr="004A7A0E">
              <w:rPr>
                <w:rFonts w:eastAsia="Calibri"/>
                <w:i/>
              </w:rPr>
              <w:t>r</w:t>
            </w:r>
          </w:p>
        </w:tc>
        <w:tc>
          <w:tcPr>
            <w:tcW w:w="461" w:type="pct"/>
            <w:tcBorders>
              <w:top w:val="single" w:sz="6" w:space="0" w:color="auto"/>
              <w:left w:val="single" w:sz="6" w:space="0" w:color="auto"/>
              <w:bottom w:val="single" w:sz="6" w:space="0" w:color="auto"/>
              <w:right w:val="single" w:sz="6" w:space="0" w:color="auto"/>
            </w:tcBorders>
          </w:tcPr>
          <w:p w14:paraId="3E952BDE" w14:textId="77777777" w:rsidR="00326226" w:rsidRDefault="00326226" w:rsidP="003858AA">
            <w:pPr>
              <w:pStyle w:val="TableBody"/>
            </w:pPr>
            <w:r>
              <w:t xml:space="preserve">none </w:t>
            </w:r>
          </w:p>
        </w:tc>
        <w:tc>
          <w:tcPr>
            <w:tcW w:w="3725" w:type="pct"/>
            <w:tcBorders>
              <w:top w:val="single" w:sz="6" w:space="0" w:color="auto"/>
              <w:left w:val="single" w:sz="6" w:space="0" w:color="auto"/>
              <w:bottom w:val="single" w:sz="6" w:space="0" w:color="auto"/>
              <w:right w:val="single" w:sz="4" w:space="0" w:color="auto"/>
            </w:tcBorders>
          </w:tcPr>
          <w:p w14:paraId="7BC0B17F" w14:textId="77777777" w:rsidR="00326226" w:rsidRPr="00E63934" w:rsidRDefault="00326226" w:rsidP="003858AA">
            <w:pPr>
              <w:pStyle w:val="TableBody"/>
              <w:rPr>
                <w:bCs/>
              </w:rPr>
            </w:pPr>
            <w:r w:rsidRPr="00E63934">
              <w:rPr>
                <w:bCs/>
              </w:rPr>
              <w:t xml:space="preserve">A Resource. </w:t>
            </w:r>
          </w:p>
        </w:tc>
      </w:tr>
      <w:tr w:rsidR="00116EF1" w14:paraId="4C09AA25" w14:textId="77777777" w:rsidTr="00D465F5">
        <w:trPr>
          <w:cantSplit/>
        </w:trPr>
        <w:tc>
          <w:tcPr>
            <w:tcW w:w="813" w:type="pct"/>
            <w:tcBorders>
              <w:top w:val="single" w:sz="6" w:space="0" w:color="auto"/>
              <w:left w:val="single" w:sz="4" w:space="0" w:color="auto"/>
              <w:bottom w:val="single" w:sz="6" w:space="0" w:color="auto"/>
              <w:right w:val="single" w:sz="6" w:space="0" w:color="auto"/>
            </w:tcBorders>
          </w:tcPr>
          <w:p w14:paraId="0CA39C17" w14:textId="588B2E49" w:rsidR="00116EF1" w:rsidRPr="004A7A0E" w:rsidRDefault="00116EF1" w:rsidP="00116EF1">
            <w:pPr>
              <w:pStyle w:val="TableBody"/>
              <w:rPr>
                <w:rFonts w:eastAsia="Calibri"/>
                <w:i/>
              </w:rPr>
            </w:pPr>
            <w:r w:rsidRPr="005D4689">
              <w:rPr>
                <w:i/>
              </w:rPr>
              <w:t>gsc</w:t>
            </w:r>
          </w:p>
        </w:tc>
        <w:tc>
          <w:tcPr>
            <w:tcW w:w="461" w:type="pct"/>
            <w:tcBorders>
              <w:top w:val="single" w:sz="6" w:space="0" w:color="auto"/>
              <w:left w:val="single" w:sz="6" w:space="0" w:color="auto"/>
              <w:bottom w:val="single" w:sz="6" w:space="0" w:color="auto"/>
              <w:right w:val="single" w:sz="6" w:space="0" w:color="auto"/>
            </w:tcBorders>
          </w:tcPr>
          <w:p w14:paraId="7BA7DF9D" w14:textId="6E7B8860" w:rsidR="00116EF1" w:rsidRDefault="00116EF1" w:rsidP="00116EF1">
            <w:pPr>
              <w:pStyle w:val="TableBody"/>
            </w:pPr>
            <w:r>
              <w:t>n</w:t>
            </w:r>
            <w:r w:rsidRPr="005D4689">
              <w:t>one</w:t>
            </w:r>
          </w:p>
        </w:tc>
        <w:tc>
          <w:tcPr>
            <w:tcW w:w="3725" w:type="pct"/>
            <w:tcBorders>
              <w:top w:val="single" w:sz="6" w:space="0" w:color="auto"/>
              <w:left w:val="single" w:sz="6" w:space="0" w:color="auto"/>
              <w:bottom w:val="single" w:sz="6" w:space="0" w:color="auto"/>
              <w:right w:val="single" w:sz="4" w:space="0" w:color="auto"/>
            </w:tcBorders>
          </w:tcPr>
          <w:p w14:paraId="723A9241" w14:textId="142BAD42" w:rsidR="00116EF1" w:rsidRPr="00E63934" w:rsidRDefault="00116EF1" w:rsidP="00116EF1">
            <w:pPr>
              <w:pStyle w:val="TableBody"/>
              <w:rPr>
                <w:bCs/>
              </w:rPr>
            </w:pPr>
            <w:r w:rsidRPr="005D4689">
              <w:t>A generation site code.</w:t>
            </w:r>
          </w:p>
        </w:tc>
      </w:tr>
      <w:tr w:rsidR="00116EF1" w14:paraId="5BBC5328" w14:textId="77777777" w:rsidTr="00D465F5">
        <w:trPr>
          <w:cantSplit/>
        </w:trPr>
        <w:tc>
          <w:tcPr>
            <w:tcW w:w="813" w:type="pct"/>
            <w:tcBorders>
              <w:top w:val="single" w:sz="6" w:space="0" w:color="auto"/>
              <w:left w:val="single" w:sz="4" w:space="0" w:color="auto"/>
              <w:bottom w:val="single" w:sz="6" w:space="0" w:color="auto"/>
              <w:right w:val="single" w:sz="6" w:space="0" w:color="auto"/>
            </w:tcBorders>
          </w:tcPr>
          <w:p w14:paraId="60D4B168" w14:textId="6AA2837B" w:rsidR="00116EF1" w:rsidRPr="004A7A0E" w:rsidRDefault="00116EF1" w:rsidP="00116EF1">
            <w:pPr>
              <w:pStyle w:val="TableBody"/>
              <w:rPr>
                <w:rFonts w:eastAsia="Calibri"/>
                <w:i/>
              </w:rPr>
            </w:pPr>
            <w:r w:rsidRPr="005D4689">
              <w:rPr>
                <w:i/>
              </w:rPr>
              <w:t>b</w:t>
            </w:r>
          </w:p>
        </w:tc>
        <w:tc>
          <w:tcPr>
            <w:tcW w:w="461" w:type="pct"/>
            <w:tcBorders>
              <w:top w:val="single" w:sz="6" w:space="0" w:color="auto"/>
              <w:left w:val="single" w:sz="6" w:space="0" w:color="auto"/>
              <w:bottom w:val="single" w:sz="6" w:space="0" w:color="auto"/>
              <w:right w:val="single" w:sz="6" w:space="0" w:color="auto"/>
            </w:tcBorders>
          </w:tcPr>
          <w:p w14:paraId="5AA6C5E9" w14:textId="779B02F6" w:rsidR="00116EF1" w:rsidRDefault="00116EF1" w:rsidP="00116EF1">
            <w:pPr>
              <w:pStyle w:val="TableBody"/>
            </w:pPr>
            <w:r>
              <w:t>n</w:t>
            </w:r>
            <w:r w:rsidRPr="005D4689">
              <w:t>one</w:t>
            </w:r>
          </w:p>
        </w:tc>
        <w:tc>
          <w:tcPr>
            <w:tcW w:w="3725" w:type="pct"/>
            <w:tcBorders>
              <w:top w:val="single" w:sz="6" w:space="0" w:color="auto"/>
              <w:left w:val="single" w:sz="6" w:space="0" w:color="auto"/>
              <w:bottom w:val="single" w:sz="6" w:space="0" w:color="auto"/>
              <w:right w:val="single" w:sz="4" w:space="0" w:color="auto"/>
            </w:tcBorders>
          </w:tcPr>
          <w:p w14:paraId="4B036166" w14:textId="10CD8C2F" w:rsidR="00116EF1" w:rsidRPr="00E63934" w:rsidRDefault="00116EF1" w:rsidP="00116EF1">
            <w:pPr>
              <w:pStyle w:val="TableBody"/>
              <w:rPr>
                <w:bCs/>
              </w:rPr>
            </w:pPr>
            <w:r w:rsidRPr="005D4689">
              <w:t>An Electrical Bus.</w:t>
            </w:r>
          </w:p>
        </w:tc>
      </w:tr>
      <w:bookmarkEnd w:id="529"/>
    </w:tbl>
    <w:p w14:paraId="6AF5CFB8" w14:textId="77777777" w:rsidR="00834D02" w:rsidRDefault="00834D02" w:rsidP="00834D02">
      <w:pPr>
        <w:pStyle w:val="List"/>
        <w:spacing w:after="0"/>
      </w:pPr>
    </w:p>
    <w:p w14:paraId="732EB675" w14:textId="77777777" w:rsidR="0014132B" w:rsidRDefault="00A43CDA" w:rsidP="00326226">
      <w:pPr>
        <w:pStyle w:val="List"/>
        <w:tabs>
          <w:tab w:val="left" w:pos="720"/>
        </w:tabs>
        <w:ind w:left="720"/>
      </w:pPr>
      <w:r>
        <w:t>(3</w:t>
      </w:r>
      <w:r w:rsidRPr="0065195B">
        <w:t>)</w:t>
      </w:r>
      <w:r w:rsidRPr="0065195B">
        <w:tab/>
        <w:t xml:space="preserve">The </w:t>
      </w:r>
      <w:r>
        <w:t>u</w:t>
      </w:r>
      <w:r w:rsidRPr="0065195B">
        <w:t>plifted short-paid amount will be allocated to the Market Participants (</w:t>
      </w:r>
      <w:r>
        <w:t>QSEs or CRR Account Holders</w:t>
      </w:r>
      <w:r w:rsidRPr="0065195B">
        <w:t>) assigned to a registered Counter</w:t>
      </w:r>
      <w:r>
        <w:t>-</w:t>
      </w:r>
      <w:r w:rsidRPr="0065195B">
        <w:t xml:space="preserve">Party based on the pro-rata share of MWhs that </w:t>
      </w:r>
      <w:r>
        <w:t>the QSE or CRR Account Holder</w:t>
      </w:r>
      <w:r w:rsidRPr="0065195B">
        <w:t xml:space="preserve"> contributed to </w:t>
      </w:r>
      <w:r>
        <w:t>its</w:t>
      </w:r>
      <w:r w:rsidRPr="0065195B">
        <w:t xml:space="preserve"> Counter</w:t>
      </w:r>
      <w:r>
        <w:t>-</w:t>
      </w:r>
      <w:r w:rsidRPr="0065195B">
        <w:t>Party’s maximum MWh activity ratio share.</w:t>
      </w:r>
    </w:p>
    <w:p w14:paraId="621AA701" w14:textId="77777777" w:rsidR="0014132B" w:rsidRDefault="00A43CDA">
      <w:pPr>
        <w:pStyle w:val="List"/>
        <w:tabs>
          <w:tab w:val="left" w:pos="720"/>
        </w:tabs>
        <w:ind w:left="720"/>
      </w:pPr>
      <w:r>
        <w:t>(4)</w:t>
      </w:r>
      <w:r>
        <w:tab/>
        <w:t>Any uplifted short-paid amount greater than $2,500,000 must be scheduled so that no amount greater than $2,500,000 is charged on each set of Default Uplift Invoices until ERCOT uplifts the total short-paid amount.  ERCOT must issue Default Uplift Invoices at least 30 days apart from each other.</w:t>
      </w:r>
    </w:p>
    <w:p w14:paraId="3385BEFC" w14:textId="6BF4D686" w:rsidR="0014132B" w:rsidRPr="00EB11F5" w:rsidRDefault="00350834">
      <w:pPr>
        <w:pStyle w:val="BodyText"/>
        <w:ind w:left="720" w:hanging="720"/>
      </w:pPr>
      <w:r w:rsidRPr="008436F5">
        <w:t>(5)</w:t>
      </w:r>
      <w:r w:rsidRPr="008436F5">
        <w:tab/>
        <w:t xml:space="preserve">ERCOT shall issue Default Uplift Invoices no earlier than </w:t>
      </w:r>
      <w:r w:rsidR="006358F5">
        <w:t>90</w:t>
      </w:r>
      <w:r w:rsidRPr="008436F5">
        <w:t xml:space="preserve"> days following a short-pay of a Settlement Invoice on the date specified in the Settlement Calendar.  The Invoice Recipient is responsible for accessing the Invoice on the MIS Certified Area once posted by ERCOT.</w:t>
      </w:r>
    </w:p>
    <w:p w14:paraId="2CFC996C" w14:textId="77777777" w:rsidR="00A43CDA" w:rsidRDefault="00A43CDA" w:rsidP="00A43CDA">
      <w:pPr>
        <w:pStyle w:val="BodyTextNumbered"/>
      </w:pPr>
      <w:r>
        <w:t>(6)</w:t>
      </w:r>
      <w:r>
        <w:tab/>
        <w:t>Each Default Uplift Invoice must contain:</w:t>
      </w:r>
    </w:p>
    <w:p w14:paraId="71968FD6" w14:textId="77777777" w:rsidR="00A43CDA" w:rsidRDefault="00A43CDA" w:rsidP="00A43CDA">
      <w:pPr>
        <w:pStyle w:val="List"/>
      </w:pPr>
      <w:r>
        <w:t>(a)</w:t>
      </w:r>
      <w:r>
        <w:tab/>
        <w:t>The Invoice Recipient’s name;</w:t>
      </w:r>
    </w:p>
    <w:p w14:paraId="3818E926" w14:textId="77777777" w:rsidR="00A43CDA" w:rsidRDefault="00A43CDA" w:rsidP="00A43CDA">
      <w:pPr>
        <w:pStyle w:val="List"/>
      </w:pPr>
      <w:r>
        <w:t>(b)</w:t>
      </w:r>
      <w:r>
        <w:tab/>
        <w:t>The ERCOT identifier (Settlement identification number issued by ERCOT);</w:t>
      </w:r>
    </w:p>
    <w:p w14:paraId="2EB51991" w14:textId="77777777" w:rsidR="00A43CDA" w:rsidRDefault="00A43CDA" w:rsidP="00A43CDA">
      <w:pPr>
        <w:pStyle w:val="List"/>
      </w:pPr>
      <w:r>
        <w:t>(c)</w:t>
      </w:r>
      <w:r>
        <w:tab/>
        <w:t>Net Amount Due or Payable – the aggregate summary of all charges owed by a Default Uplift Invoice Recipient;</w:t>
      </w:r>
    </w:p>
    <w:p w14:paraId="74A2A371" w14:textId="77777777" w:rsidR="00A43CDA" w:rsidRDefault="00A43CDA" w:rsidP="00A43CDA">
      <w:pPr>
        <w:pStyle w:val="List"/>
      </w:pPr>
      <w:r>
        <w:t>(d)</w:t>
      </w:r>
      <w:r>
        <w:tab/>
        <w:t>Run Date – the date on which ERCOT created and published the Default Uplift Invoice;</w:t>
      </w:r>
    </w:p>
    <w:p w14:paraId="1E65291A" w14:textId="77777777" w:rsidR="00A43CDA" w:rsidRDefault="00A43CDA" w:rsidP="00A43CDA">
      <w:pPr>
        <w:pStyle w:val="List"/>
      </w:pPr>
      <w:r>
        <w:t>(e)</w:t>
      </w:r>
      <w:r>
        <w:tab/>
        <w:t>Invoice Reference Number – a unique number generated by the ERCOT applications for payment tracking purposes;</w:t>
      </w:r>
    </w:p>
    <w:p w14:paraId="29E69873" w14:textId="77777777" w:rsidR="00A43CDA" w:rsidRDefault="00A43CDA" w:rsidP="00A43CDA">
      <w:pPr>
        <w:pStyle w:val="List"/>
      </w:pPr>
      <w:r>
        <w:t>(f)</w:t>
      </w:r>
      <w:r>
        <w:tab/>
        <w:t>Default Uplift Invoice Reference – an identification code used to reference the amount uplifted;</w:t>
      </w:r>
    </w:p>
    <w:p w14:paraId="0E732AA1" w14:textId="77777777" w:rsidR="00A43CDA" w:rsidRDefault="00A43CDA" w:rsidP="00A43CDA">
      <w:pPr>
        <w:pStyle w:val="List"/>
      </w:pPr>
      <w:r>
        <w:t>(g)</w:t>
      </w:r>
      <w:r>
        <w:tab/>
        <w:t>Payment Date and Time – the date and time that Default Uplift Invoice amounts must be paid;</w:t>
      </w:r>
    </w:p>
    <w:p w14:paraId="73371476" w14:textId="77777777" w:rsidR="00A43CDA" w:rsidRDefault="00A43CDA" w:rsidP="00A43CDA">
      <w:pPr>
        <w:pStyle w:val="List"/>
      </w:pPr>
      <w:r>
        <w:lastRenderedPageBreak/>
        <w:t>(h)</w:t>
      </w:r>
      <w:r>
        <w:tab/>
        <w:t>Remittance Information Details – details including the account number, bank name, and electronic transfer instructions of the ERCOT account to which any amounts owed by the Invoice Recipient are to be paid or of the Invoice Recipient’s account from which ERCOT may draw payments due; and</w:t>
      </w:r>
    </w:p>
    <w:p w14:paraId="2318F8FE" w14:textId="77777777" w:rsidR="0014132B" w:rsidRDefault="00A43CDA">
      <w:pPr>
        <w:pStyle w:val="BodyText"/>
        <w:ind w:left="1440" w:hanging="720"/>
      </w:pPr>
      <w:r>
        <w:t>(i)</w:t>
      </w:r>
      <w:r>
        <w:tab/>
        <w:t>Overdue Terms – the terms that would apply if the Market Participant makes a late payment.</w:t>
      </w:r>
    </w:p>
    <w:p w14:paraId="1014E126" w14:textId="77777777" w:rsidR="0014132B" w:rsidRDefault="00A43CDA">
      <w:pPr>
        <w:pStyle w:val="BodyText"/>
        <w:ind w:left="720" w:hanging="720"/>
      </w:pPr>
      <w:r>
        <w:t>(7)</w:t>
      </w:r>
      <w:r>
        <w:tab/>
        <w:t>Each Invoice Recipient shall pay any net debit shown on the Default Uplift Invoice on the payment due date whether or not there is any Settlement and billing dispute regarding the amount of the debit.</w:t>
      </w:r>
    </w:p>
    <w:p w14:paraId="0C0E1D1D" w14:textId="77777777" w:rsidR="00A43CDA" w:rsidRPr="008910B8" w:rsidRDefault="00A43CDA" w:rsidP="00A43CDA">
      <w:pPr>
        <w:pStyle w:val="H3"/>
        <w:rPr>
          <w:b/>
          <w:i/>
        </w:rPr>
      </w:pPr>
      <w:bookmarkStart w:id="530" w:name="_Toc309731113"/>
      <w:bookmarkStart w:id="531" w:name="_Toc405814086"/>
      <w:bookmarkStart w:id="532" w:name="_Toc422207977"/>
      <w:bookmarkStart w:id="533" w:name="_Toc438044888"/>
      <w:bookmarkStart w:id="534" w:name="_Toc447622671"/>
      <w:bookmarkStart w:id="535" w:name="_Toc80175322"/>
      <w:r w:rsidRPr="008910B8">
        <w:rPr>
          <w:b/>
          <w:i/>
        </w:rPr>
        <w:t>9.19.2</w:t>
      </w:r>
      <w:r w:rsidRPr="008910B8">
        <w:rPr>
          <w:b/>
          <w:i/>
        </w:rPr>
        <w:tab/>
        <w:t>Payment Process for Default Uplift Invoices</w:t>
      </w:r>
      <w:bookmarkEnd w:id="530"/>
      <w:bookmarkEnd w:id="531"/>
      <w:bookmarkEnd w:id="532"/>
      <w:bookmarkEnd w:id="533"/>
      <w:bookmarkEnd w:id="534"/>
      <w:bookmarkEnd w:id="535"/>
    </w:p>
    <w:p w14:paraId="147F9EC1" w14:textId="77777777" w:rsidR="00A43CDA" w:rsidRDefault="00A0123C" w:rsidP="00660ED3">
      <w:pPr>
        <w:pStyle w:val="BodyTextNumbered"/>
      </w:pPr>
      <w:r>
        <w:rPr>
          <w:iCs/>
        </w:rPr>
        <w:t>(1)</w:t>
      </w:r>
      <w:r>
        <w:rPr>
          <w:iCs/>
        </w:rPr>
        <w:tab/>
      </w:r>
      <w:r w:rsidR="00A43CDA">
        <w:t>Payments for Default Uplift Invoices are due on a Bank Business Day and Business Day basis in a two-day, two-step process as detailed in this Section 9.19.2.</w:t>
      </w:r>
    </w:p>
    <w:p w14:paraId="7EFA14F2" w14:textId="77777777" w:rsidR="00A43CDA" w:rsidRPr="00B36CF0" w:rsidRDefault="00A43CDA" w:rsidP="00A43CDA">
      <w:pPr>
        <w:pStyle w:val="H4"/>
      </w:pPr>
      <w:bookmarkStart w:id="536" w:name="_Toc309731114"/>
      <w:bookmarkStart w:id="537" w:name="_Toc405814087"/>
      <w:bookmarkStart w:id="538" w:name="_Toc422207978"/>
      <w:bookmarkStart w:id="539" w:name="_Toc438044889"/>
      <w:bookmarkStart w:id="540" w:name="_Toc447622672"/>
      <w:bookmarkStart w:id="541" w:name="_Toc80175323"/>
      <w:r>
        <w:t>9.19.2.1</w:t>
      </w:r>
      <w:r>
        <w:tab/>
        <w:t>Invoice Recipient Payment to ERCOT for Default Uplift</w:t>
      </w:r>
      <w:bookmarkEnd w:id="536"/>
      <w:bookmarkEnd w:id="537"/>
      <w:bookmarkEnd w:id="538"/>
      <w:bookmarkEnd w:id="539"/>
      <w:bookmarkEnd w:id="540"/>
      <w:bookmarkEnd w:id="541"/>
    </w:p>
    <w:p w14:paraId="5B028904" w14:textId="77777777" w:rsidR="00A43CDA" w:rsidRDefault="00A43CDA" w:rsidP="00A43CDA">
      <w:pPr>
        <w:pStyle w:val="BodyTextNumbered"/>
      </w:pPr>
      <w:r>
        <w:t>(1)</w:t>
      </w:r>
      <w:r>
        <w:tab/>
        <w:t>The payment due date and time for the</w:t>
      </w:r>
      <w:r w:rsidRPr="00FF456F">
        <w:t xml:space="preserve"> </w:t>
      </w:r>
      <w:r>
        <w:t>Default</w:t>
      </w:r>
      <w:r w:rsidDel="00FF456F">
        <w:t xml:space="preserve"> </w:t>
      </w:r>
      <w:r>
        <w:t>Uplift Invoice with funds owed by an Invoice Recipient is 1700 on the fifth Bank Business Day after the Default Uplift Invoice date, unless fifth</w:t>
      </w:r>
      <w:r>
        <w:rPr>
          <w:vertAlign w:val="superscript"/>
        </w:rPr>
        <w:t xml:space="preserve"> </w:t>
      </w:r>
      <w:r>
        <w:t>Bank Business Day is not a Business Day.  If the fifth Bank Business Day is not a Business Day, then the payment is due by 1700 on the next Bank Business Day after the fifth Bank Business Day that is also a Business Day.</w:t>
      </w:r>
    </w:p>
    <w:p w14:paraId="0B4F3719" w14:textId="77777777" w:rsidR="0014132B" w:rsidRDefault="00C114BB" w:rsidP="00C114BB">
      <w:pPr>
        <w:pStyle w:val="BodyText"/>
        <w:ind w:left="720" w:hanging="720"/>
      </w:pPr>
      <w:r>
        <w:t>(2)</w:t>
      </w:r>
      <w:r>
        <w:tab/>
        <w:t>All Default Uplift Invoices due, with funds owed by an Invoice Recipient, must be paid to ERCOT in U.S. Dollars (USDs) by Electronic Funds Transfer (EFT) in immediately available or good funds (i.e., not subject to reversal) on or before the payment due date.</w:t>
      </w:r>
    </w:p>
    <w:p w14:paraId="087CDAE6" w14:textId="77777777" w:rsidR="00A43CDA" w:rsidRDefault="00A43CDA" w:rsidP="00F55173">
      <w:pPr>
        <w:pStyle w:val="H4"/>
      </w:pPr>
      <w:bookmarkStart w:id="542" w:name="_Toc309731115"/>
      <w:bookmarkStart w:id="543" w:name="_Toc405814088"/>
      <w:bookmarkStart w:id="544" w:name="_Toc422207979"/>
      <w:bookmarkStart w:id="545" w:name="_Toc438044890"/>
      <w:bookmarkStart w:id="546" w:name="_Toc447622673"/>
      <w:bookmarkStart w:id="547" w:name="_Toc80175324"/>
      <w:r>
        <w:t>9.19.2.2</w:t>
      </w:r>
      <w:r>
        <w:tab/>
        <w:t>ERCOT Payment to Invoice Recipients for Default Uplift</w:t>
      </w:r>
      <w:bookmarkEnd w:id="542"/>
      <w:bookmarkEnd w:id="543"/>
      <w:bookmarkEnd w:id="544"/>
      <w:bookmarkEnd w:id="545"/>
      <w:bookmarkEnd w:id="546"/>
      <w:bookmarkEnd w:id="547"/>
    </w:p>
    <w:p w14:paraId="38E661D4" w14:textId="77777777" w:rsidR="00A43CDA" w:rsidRDefault="00A43CDA" w:rsidP="00A43CDA">
      <w:pPr>
        <w:pStyle w:val="BodyTextNumbered"/>
      </w:pPr>
      <w:r>
        <w:t>(1)</w:t>
      </w:r>
      <w:r>
        <w:tab/>
        <w:t xml:space="preserve">Subject to the availability of funds as discussed in paragraph (2) below, uplifted funds received from Default Uplift Invoices must be paid by ERCOT to short-paid Invoice Recipients by 1700 on the next Bank Business Day after payments are due for that Default Uplift Invoice under Section </w:t>
      </w:r>
      <w:r w:rsidRPr="00AC79F9">
        <w:t>9.19.2.1</w:t>
      </w:r>
      <w:r>
        <w:t xml:space="preserve">, Invoice Recipient Payment to ERCOT for Default Uplift, subject to ERCOT’s right to withhold payments under Section 16, Registration and Qualification of Market Participants, or pursuant to common law unless that next Bank Business Day is not a Business Day.  If that next Bank Business Day is not a Business Day, the payment is due on the next Bank Business Day thereafter that is also a Business Day. </w:t>
      </w:r>
    </w:p>
    <w:p w14:paraId="7943C54C" w14:textId="77777777" w:rsidR="00A43CDA" w:rsidRDefault="00A43CDA" w:rsidP="00A43CDA">
      <w:pPr>
        <w:pStyle w:val="BodyTextNumbered"/>
      </w:pPr>
      <w:r>
        <w:t>(2)</w:t>
      </w:r>
      <w:r>
        <w:tab/>
        <w:t xml:space="preserve">ERCOT shall give irrevocable instructions to the ERCOT financial institution to remit to each short-paid Invoice Recipient for same day value the amounts determined by ERCOT to be available for payment to that short-paid Invoice Recipient under paragraph </w:t>
      </w:r>
      <w:r w:rsidR="00AF146B">
        <w:t>(1)</w:t>
      </w:r>
      <w:r>
        <w:t xml:space="preserve">(d) of </w:t>
      </w:r>
      <w:r w:rsidRPr="00B36CF0">
        <w:rPr>
          <w:iCs/>
        </w:rPr>
        <w:t xml:space="preserve">Section </w:t>
      </w:r>
      <w:r w:rsidRPr="00AC79F9">
        <w:rPr>
          <w:iCs/>
        </w:rPr>
        <w:t>9.19</w:t>
      </w:r>
      <w:r>
        <w:rPr>
          <w:iCs/>
        </w:rPr>
        <w:t>, Partial Payments by Invoice Recipients</w:t>
      </w:r>
      <w:r>
        <w:t xml:space="preserve">. </w:t>
      </w:r>
    </w:p>
    <w:p w14:paraId="638CF81D" w14:textId="77777777" w:rsidR="0014132B" w:rsidRDefault="00350834" w:rsidP="00F55173">
      <w:pPr>
        <w:pStyle w:val="BodyText"/>
        <w:ind w:left="720" w:hanging="720"/>
      </w:pPr>
      <w:r w:rsidRPr="008436F5">
        <w:lastRenderedPageBreak/>
        <w:t>(3)</w:t>
      </w:r>
      <w:r w:rsidRPr="008436F5">
        <w:tab/>
        <w:t>Any short payments of Default Uplift Invoices must be handled under Section 9.19</w:t>
      </w:r>
      <w:r w:rsidR="008C0CC8">
        <w:t xml:space="preserve">, </w:t>
      </w:r>
      <w:r w:rsidR="008C0CC8" w:rsidRPr="008C0CC8">
        <w:t>Partial Payments by Invoice Recipients</w:t>
      </w:r>
      <w:r w:rsidRPr="008436F5">
        <w:t>.</w:t>
      </w:r>
    </w:p>
    <w:p w14:paraId="32175983" w14:textId="77777777" w:rsidR="00326226" w:rsidRPr="00E63934" w:rsidRDefault="00326226" w:rsidP="00326226">
      <w:pPr>
        <w:pStyle w:val="H3"/>
        <w:rPr>
          <w:b/>
          <w:bCs/>
          <w:i/>
        </w:rPr>
      </w:pPr>
      <w:bookmarkStart w:id="548" w:name="_Toc405814089"/>
      <w:bookmarkStart w:id="549" w:name="_Toc422207980"/>
      <w:bookmarkStart w:id="550" w:name="_Toc438044891"/>
      <w:bookmarkStart w:id="551" w:name="_Toc447622674"/>
      <w:bookmarkStart w:id="552" w:name="_Toc80175325"/>
      <w:r w:rsidRPr="00E63934">
        <w:rPr>
          <w:b/>
          <w:bCs/>
          <w:i/>
        </w:rPr>
        <w:t>9.19.3</w:t>
      </w:r>
      <w:r w:rsidRPr="00E63934">
        <w:rPr>
          <w:b/>
          <w:bCs/>
          <w:i/>
        </w:rPr>
        <w:tab/>
      </w:r>
      <w:r w:rsidR="004B0FF9">
        <w:rPr>
          <w:b/>
          <w:bCs/>
          <w:i/>
        </w:rPr>
        <w:t>Default Uplift Supporting Data Reporting</w:t>
      </w:r>
      <w:bookmarkEnd w:id="548"/>
      <w:bookmarkEnd w:id="549"/>
      <w:bookmarkEnd w:id="550"/>
      <w:bookmarkEnd w:id="551"/>
      <w:bookmarkEnd w:id="552"/>
    </w:p>
    <w:p w14:paraId="44D1D36D" w14:textId="77777777" w:rsidR="00A33960" w:rsidRDefault="00A0123C" w:rsidP="004B0FF9">
      <w:pPr>
        <w:pStyle w:val="BodyText"/>
        <w:ind w:left="720" w:hanging="720"/>
      </w:pPr>
      <w:r>
        <w:rPr>
          <w:iCs w:val="0"/>
        </w:rPr>
        <w:t>(1)</w:t>
      </w:r>
      <w:r>
        <w:rPr>
          <w:iCs w:val="0"/>
        </w:rPr>
        <w:tab/>
      </w:r>
      <w:r w:rsidR="004B0FF9" w:rsidRPr="00B163CC">
        <w:t>ERCOT shall post once each month on the MIS Certified Area</w:t>
      </w:r>
      <w:r w:rsidR="004B0FF9" w:rsidRPr="00911B31">
        <w:t xml:space="preserve">, the </w:t>
      </w:r>
      <w:r w:rsidR="004B0FF9" w:rsidRPr="00B163CC">
        <w:t xml:space="preserve">Maximum MWh Activity (MMA), </w:t>
      </w:r>
      <w:r w:rsidR="004B0FF9" w:rsidRPr="00911B31">
        <w:t>Maximum MWh Activity Total (MMATOT)</w:t>
      </w:r>
      <w:r w:rsidR="004B0FF9">
        <w:t>,</w:t>
      </w:r>
      <w:r w:rsidR="004B0FF9" w:rsidRPr="0076216F">
        <w:t xml:space="preserve"> </w:t>
      </w:r>
      <w:r w:rsidR="004B0FF9">
        <w:t xml:space="preserve">Maximum MWh Activity Ratio Share (MMARS), and the Counter-Party level components of MMA calculation as defined in </w:t>
      </w:r>
      <w:r w:rsidR="004B0FF9" w:rsidRPr="00911B31">
        <w:t>paragraph (2) of Section 9.19.1</w:t>
      </w:r>
      <w:r w:rsidR="004B0FF9" w:rsidRPr="00B163CC">
        <w:t>, Default Uplift Invoices</w:t>
      </w:r>
      <w:r w:rsidR="004B0FF9">
        <w:t>.  Each month’s report shall be updated with Final and True-Up Settlement data when ERCOT’s systems contain the necessary information to complete the report with the updated data.</w:t>
      </w:r>
    </w:p>
    <w:p w14:paraId="5499369C" w14:textId="77777777" w:rsidR="00C1366C" w:rsidRDefault="00C1366C" w:rsidP="00C1366C">
      <w:pPr>
        <w:pStyle w:val="H3"/>
        <w:rPr>
          <w:b/>
          <w:i/>
        </w:rPr>
      </w:pPr>
      <w:bookmarkStart w:id="553" w:name="_Toc80175326"/>
      <w:r>
        <w:rPr>
          <w:b/>
          <w:i/>
        </w:rPr>
        <w:t>9.</w:t>
      </w:r>
      <w:r w:rsidRPr="00C1366C">
        <w:rPr>
          <w:b/>
          <w:bCs/>
          <w:i/>
        </w:rPr>
        <w:t>19</w:t>
      </w:r>
      <w:r>
        <w:rPr>
          <w:b/>
          <w:i/>
        </w:rPr>
        <w:t>.4</w:t>
      </w:r>
      <w:r>
        <w:rPr>
          <w:b/>
          <w:i/>
        </w:rPr>
        <w:tab/>
        <w:t>Exemption for Central Counter-Party Clearinghouses Regulated as Derivatives Clearing Organizations</w:t>
      </w:r>
      <w:bookmarkEnd w:id="553"/>
    </w:p>
    <w:p w14:paraId="76E86A76" w14:textId="77777777" w:rsidR="00AB093A" w:rsidRDefault="00C1366C" w:rsidP="00AB093A">
      <w:pPr>
        <w:spacing w:after="240"/>
        <w:ind w:left="720" w:hanging="720"/>
      </w:pPr>
      <w:r>
        <w:t>(1)</w:t>
      </w:r>
      <w:r>
        <w:tab/>
      </w:r>
      <w:r w:rsidR="00AB093A">
        <w:t xml:space="preserve">Notwithstanding any other provision of Section 9.19, Partial Payments by Invoice Recipients, or these Protocols, ERCOT shall not issue a Default Uplift Invoice to, and shall not otherwise collect any short-pay amounts from, any QSE that:  </w:t>
      </w:r>
    </w:p>
    <w:p w14:paraId="4D491F16" w14:textId="77777777" w:rsidR="00AB093A" w:rsidRDefault="00AB093A" w:rsidP="00AB093A">
      <w:pPr>
        <w:spacing w:after="240"/>
        <w:ind w:left="1440" w:hanging="720"/>
      </w:pPr>
      <w:r>
        <w:t xml:space="preserve">(a) </w:t>
      </w:r>
      <w:r>
        <w:tab/>
        <w:t xml:space="preserve">Otherwise would be subject to an uplift charge solely as a result of acting as a central Counter-Party clearinghouse in wholesale market transactions in ERCOT; and </w:t>
      </w:r>
    </w:p>
    <w:p w14:paraId="093A7054" w14:textId="77777777" w:rsidR="00AB093A" w:rsidRPr="00C1366C" w:rsidRDefault="00AB093A" w:rsidP="00AB093A">
      <w:pPr>
        <w:spacing w:after="240"/>
        <w:ind w:left="1440" w:hanging="720"/>
        <w:rPr>
          <w:b/>
          <w:iCs/>
        </w:rPr>
      </w:pPr>
      <w:r>
        <w:t xml:space="preserve">(b) </w:t>
      </w:r>
      <w:r>
        <w:tab/>
        <w:t>Is regulated as a Derivatives Clearing Organization as defined by the Commodity Exchange Act, 7 U.S.C. § 1a.</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B214A7" w:rsidRPr="004B32CF" w14:paraId="532220F7" w14:textId="77777777" w:rsidTr="00C643BC">
        <w:trPr>
          <w:trHeight w:val="656"/>
        </w:trPr>
        <w:tc>
          <w:tcPr>
            <w:tcW w:w="9350" w:type="dxa"/>
            <w:shd w:val="pct12" w:color="auto" w:fill="auto"/>
          </w:tcPr>
          <w:p w14:paraId="56E8BC4A" w14:textId="63A7462F" w:rsidR="00B214A7" w:rsidRPr="006D0E4C" w:rsidRDefault="00B214A7" w:rsidP="00C643BC">
            <w:pPr>
              <w:spacing w:after="240"/>
              <w:rPr>
                <w:b/>
                <w:i/>
                <w:iCs/>
              </w:rPr>
            </w:pPr>
            <w:r w:rsidRPr="006D0E4C">
              <w:rPr>
                <w:b/>
                <w:i/>
                <w:iCs/>
              </w:rPr>
              <w:t>[NPRR1</w:t>
            </w:r>
            <w:r>
              <w:rPr>
                <w:b/>
                <w:i/>
                <w:iCs/>
              </w:rPr>
              <w:t>208</w:t>
            </w:r>
            <w:r w:rsidRPr="006D0E4C">
              <w:rPr>
                <w:b/>
                <w:i/>
                <w:iCs/>
              </w:rPr>
              <w:t xml:space="preserve">: </w:t>
            </w:r>
            <w:r>
              <w:rPr>
                <w:b/>
                <w:i/>
                <w:iCs/>
              </w:rPr>
              <w:t xml:space="preserve"> Insert Section 9.20 below</w:t>
            </w:r>
            <w:r w:rsidRPr="006D0E4C">
              <w:rPr>
                <w:b/>
                <w:i/>
                <w:iCs/>
              </w:rPr>
              <w:t xml:space="preserve"> upon system implementation:]</w:t>
            </w:r>
          </w:p>
          <w:p w14:paraId="10540D16" w14:textId="77777777" w:rsidR="00B214A7" w:rsidRDefault="00B214A7" w:rsidP="00B214A7">
            <w:pPr>
              <w:pStyle w:val="H2"/>
              <w:spacing w:before="0"/>
            </w:pPr>
            <w:r w:rsidRPr="004471AB">
              <w:t>9.20</w:t>
            </w:r>
            <w:r>
              <w:tab/>
            </w:r>
            <w:r w:rsidRPr="004471AB">
              <w:t>ERCOT Invoice Report</w:t>
            </w:r>
          </w:p>
          <w:p w14:paraId="0386C3C9" w14:textId="77777777" w:rsidR="00B214A7" w:rsidRDefault="00B214A7" w:rsidP="00B214A7">
            <w:pPr>
              <w:pStyle w:val="BodyText"/>
              <w:ind w:left="720" w:hanging="720"/>
              <w:rPr>
                <w:lang w:eastAsia="x-none"/>
              </w:rPr>
            </w:pPr>
            <w:r>
              <w:rPr>
                <w:lang w:eastAsia="x-none"/>
              </w:rPr>
              <w:t>(1)</w:t>
            </w:r>
            <w:r>
              <w:rPr>
                <w:lang w:eastAsia="x-none"/>
              </w:rPr>
              <w:tab/>
              <w:t>ERCOT will post daily, on the Market Information System (MIS) Certified Area, a Counter-Party report that lists the following Invoices that were issued for the current day and prior day to the Qualified Scheduling Entity(s) (QSE(s)) and Congestion Revenue Right (CRR) Account Holder(s) represented by the Counter-Party:</w:t>
            </w:r>
          </w:p>
          <w:p w14:paraId="6411B1BC" w14:textId="77777777" w:rsidR="00B214A7" w:rsidRDefault="00B214A7" w:rsidP="00B214A7">
            <w:pPr>
              <w:pStyle w:val="BodyText"/>
              <w:ind w:left="1440" w:hanging="720"/>
              <w:rPr>
                <w:lang w:eastAsia="x-none"/>
              </w:rPr>
            </w:pPr>
            <w:r>
              <w:rPr>
                <w:lang w:eastAsia="x-none"/>
              </w:rPr>
              <w:t>(a)</w:t>
            </w:r>
            <w:r>
              <w:rPr>
                <w:lang w:eastAsia="x-none"/>
              </w:rPr>
              <w:tab/>
              <w:t>Settlement Invoice;</w:t>
            </w:r>
          </w:p>
          <w:p w14:paraId="15DC7096" w14:textId="77777777" w:rsidR="00B214A7" w:rsidRDefault="00B214A7" w:rsidP="00B214A7">
            <w:pPr>
              <w:pStyle w:val="BodyText"/>
              <w:ind w:left="1440" w:hanging="720"/>
              <w:rPr>
                <w:lang w:eastAsia="x-none"/>
              </w:rPr>
            </w:pPr>
            <w:r>
              <w:rPr>
                <w:lang w:eastAsia="x-none"/>
              </w:rPr>
              <w:t>(b)</w:t>
            </w:r>
            <w:r>
              <w:rPr>
                <w:lang w:eastAsia="x-none"/>
              </w:rPr>
              <w:tab/>
              <w:t>CRR Auction Invoice;</w:t>
            </w:r>
          </w:p>
          <w:p w14:paraId="44D7E490" w14:textId="77777777" w:rsidR="00B214A7" w:rsidRPr="00875D69" w:rsidRDefault="00B214A7" w:rsidP="00B214A7">
            <w:pPr>
              <w:pStyle w:val="BodyText"/>
              <w:ind w:left="1440" w:hanging="720"/>
              <w:rPr>
                <w:lang w:eastAsia="x-none"/>
              </w:rPr>
            </w:pPr>
            <w:r w:rsidRPr="00875D69">
              <w:rPr>
                <w:lang w:eastAsia="x-none"/>
              </w:rPr>
              <w:t>(c)</w:t>
            </w:r>
            <w:r w:rsidRPr="00875D69">
              <w:rPr>
                <w:lang w:eastAsia="x-none"/>
              </w:rPr>
              <w:tab/>
              <w:t>CRR Auction Revenue Distribution Invoice;</w:t>
            </w:r>
          </w:p>
          <w:p w14:paraId="29683963" w14:textId="77777777" w:rsidR="00B214A7" w:rsidRDefault="00B214A7" w:rsidP="00B214A7">
            <w:pPr>
              <w:pStyle w:val="BodyText"/>
              <w:ind w:left="1440" w:hanging="720"/>
              <w:rPr>
                <w:lang w:eastAsia="x-none"/>
              </w:rPr>
            </w:pPr>
            <w:r>
              <w:rPr>
                <w:lang w:eastAsia="x-none"/>
              </w:rPr>
              <w:t>(d)</w:t>
            </w:r>
            <w:r>
              <w:rPr>
                <w:lang w:eastAsia="x-none"/>
              </w:rPr>
              <w:tab/>
              <w:t>CRR Balancing Account Invoice;</w:t>
            </w:r>
          </w:p>
          <w:p w14:paraId="1E6E52F9" w14:textId="77777777" w:rsidR="00B214A7" w:rsidRDefault="00B214A7" w:rsidP="00B214A7">
            <w:pPr>
              <w:pStyle w:val="BodyText"/>
              <w:ind w:left="1440" w:hanging="720"/>
              <w:rPr>
                <w:lang w:eastAsia="x-none"/>
              </w:rPr>
            </w:pPr>
            <w:r>
              <w:rPr>
                <w:lang w:eastAsia="x-none"/>
              </w:rPr>
              <w:t>(e)</w:t>
            </w:r>
            <w:r>
              <w:rPr>
                <w:lang w:eastAsia="x-none"/>
              </w:rPr>
              <w:tab/>
              <w:t>Miscellaneous Invoice;</w:t>
            </w:r>
          </w:p>
          <w:p w14:paraId="0971E34A" w14:textId="77777777" w:rsidR="00B214A7" w:rsidRDefault="00B214A7" w:rsidP="00B214A7">
            <w:pPr>
              <w:pStyle w:val="BodyText"/>
              <w:ind w:left="1440" w:hanging="720"/>
              <w:rPr>
                <w:lang w:eastAsia="x-none"/>
              </w:rPr>
            </w:pPr>
            <w:r>
              <w:rPr>
                <w:lang w:eastAsia="x-none"/>
              </w:rPr>
              <w:lastRenderedPageBreak/>
              <w:t>(f)</w:t>
            </w:r>
            <w:r>
              <w:rPr>
                <w:lang w:eastAsia="x-none"/>
              </w:rPr>
              <w:tab/>
              <w:t>Default Uplift Invoice;</w:t>
            </w:r>
          </w:p>
          <w:p w14:paraId="712956A3" w14:textId="77777777" w:rsidR="00B214A7" w:rsidRDefault="00B214A7" w:rsidP="00B214A7">
            <w:pPr>
              <w:pStyle w:val="BodyText"/>
              <w:ind w:left="1440" w:hanging="720"/>
              <w:rPr>
                <w:lang w:eastAsia="x-none"/>
              </w:rPr>
            </w:pPr>
            <w:r>
              <w:rPr>
                <w:lang w:eastAsia="x-none"/>
              </w:rPr>
              <w:t>(g)</w:t>
            </w:r>
            <w:r>
              <w:rPr>
                <w:lang w:eastAsia="x-none"/>
              </w:rPr>
              <w:tab/>
              <w:t>Securitization Uplift Charge Initial Invoice;</w:t>
            </w:r>
          </w:p>
          <w:p w14:paraId="59ED935D" w14:textId="77777777" w:rsidR="00B214A7" w:rsidRDefault="00B214A7" w:rsidP="00B214A7">
            <w:pPr>
              <w:pStyle w:val="BodyText"/>
              <w:ind w:left="1440" w:hanging="720"/>
              <w:rPr>
                <w:lang w:eastAsia="x-none"/>
              </w:rPr>
            </w:pPr>
            <w:r>
              <w:rPr>
                <w:lang w:eastAsia="x-none"/>
              </w:rPr>
              <w:t>(h)</w:t>
            </w:r>
            <w:r>
              <w:rPr>
                <w:lang w:eastAsia="x-none"/>
              </w:rPr>
              <w:tab/>
              <w:t>Securitization Uplift Charge Reallocation Invoice;</w:t>
            </w:r>
          </w:p>
          <w:p w14:paraId="0A3B4336" w14:textId="77777777" w:rsidR="00B214A7" w:rsidRDefault="00B214A7" w:rsidP="00B214A7">
            <w:pPr>
              <w:pStyle w:val="BodyText"/>
              <w:ind w:left="1440" w:hanging="720"/>
              <w:rPr>
                <w:lang w:eastAsia="x-none"/>
              </w:rPr>
            </w:pPr>
            <w:r>
              <w:rPr>
                <w:lang w:eastAsia="x-none"/>
              </w:rPr>
              <w:t>(i)</w:t>
            </w:r>
            <w:r>
              <w:rPr>
                <w:lang w:eastAsia="x-none"/>
              </w:rPr>
              <w:tab/>
              <w:t>Securitization Default Charge Invoice;</w:t>
            </w:r>
          </w:p>
          <w:p w14:paraId="1E8E1BBA" w14:textId="77777777" w:rsidR="00B214A7" w:rsidRDefault="00B214A7" w:rsidP="00B214A7">
            <w:pPr>
              <w:pStyle w:val="BodyText"/>
              <w:ind w:left="1440" w:hanging="720"/>
              <w:rPr>
                <w:lang w:eastAsia="x-none"/>
              </w:rPr>
            </w:pPr>
            <w:r>
              <w:rPr>
                <w:lang w:eastAsia="x-none"/>
              </w:rPr>
              <w:t>(j)</w:t>
            </w:r>
            <w:r>
              <w:rPr>
                <w:lang w:eastAsia="x-none"/>
              </w:rPr>
              <w:tab/>
              <w:t>Electric Reliability Organization (ERO) Invoice;</w:t>
            </w:r>
          </w:p>
          <w:p w14:paraId="4CCA6F62" w14:textId="77777777" w:rsidR="00B214A7" w:rsidRDefault="00B214A7" w:rsidP="00B214A7">
            <w:pPr>
              <w:pStyle w:val="BodyText"/>
              <w:ind w:left="1440" w:hanging="720"/>
              <w:rPr>
                <w:lang w:eastAsia="x-none"/>
              </w:rPr>
            </w:pPr>
            <w:r>
              <w:rPr>
                <w:lang w:eastAsia="x-none"/>
              </w:rPr>
              <w:t>(k)</w:t>
            </w:r>
            <w:r>
              <w:rPr>
                <w:lang w:eastAsia="x-none"/>
              </w:rPr>
              <w:tab/>
              <w:t>Wide Area Network (WAN) Invoice; and</w:t>
            </w:r>
          </w:p>
          <w:p w14:paraId="398C36E1" w14:textId="574E5014" w:rsidR="00B214A7" w:rsidRPr="00FA3373" w:rsidRDefault="00B214A7" w:rsidP="00B214A7">
            <w:pPr>
              <w:pStyle w:val="BodyText"/>
              <w:ind w:left="1440" w:hanging="720"/>
              <w:rPr>
                <w:lang w:eastAsia="x-none"/>
              </w:rPr>
            </w:pPr>
            <w:r>
              <w:rPr>
                <w:lang w:eastAsia="x-none"/>
              </w:rPr>
              <w:t>(l)</w:t>
            </w:r>
            <w:r>
              <w:rPr>
                <w:lang w:eastAsia="x-none"/>
              </w:rPr>
              <w:tab/>
              <w:t>Weatherization Inspection Invoice.</w:t>
            </w:r>
          </w:p>
        </w:tc>
      </w:tr>
    </w:tbl>
    <w:p w14:paraId="5326DE48" w14:textId="21F3F81F" w:rsidR="00AD4FFA" w:rsidRPr="00C1366C" w:rsidRDefault="00AD4FFA" w:rsidP="00AB093A">
      <w:pPr>
        <w:spacing w:after="240"/>
        <w:ind w:left="720" w:hanging="720"/>
        <w:rPr>
          <w:b/>
          <w:iCs/>
        </w:rPr>
      </w:pPr>
    </w:p>
    <w:sectPr w:rsidR="00AD4FFA" w:rsidRPr="00C1366C" w:rsidSect="002F5868">
      <w:headerReference w:type="default" r:id="rId26"/>
      <w:footerReference w:type="default" r:id="rId27"/>
      <w:pgSz w:w="12240" w:h="15840" w:code="1"/>
      <w:pgMar w:top="1440" w:right="1440" w:bottom="1440" w:left="1440" w:header="720" w:footer="720" w:gutter="0"/>
      <w:pgNumType w:start="1" w:chapStyle="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53B6DB" w14:textId="77777777" w:rsidR="007D681D" w:rsidRDefault="007D681D">
      <w:r>
        <w:separator/>
      </w:r>
    </w:p>
  </w:endnote>
  <w:endnote w:type="continuationSeparator" w:id="0">
    <w:p w14:paraId="0C29E8D7" w14:textId="77777777" w:rsidR="007D681D" w:rsidRDefault="007D68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792E0" w14:textId="6E34E6F5" w:rsidR="007D681D" w:rsidRDefault="007D681D">
    <w:pPr>
      <w:pStyle w:val="Footer"/>
      <w:spacing w:before="0" w:after="0"/>
    </w:pPr>
    <w:r>
      <w:t xml:space="preserve">ERCOT Nodal Protocols – </w:t>
    </w:r>
    <w:r w:rsidR="003E0FF7">
      <w:t>Ma</w:t>
    </w:r>
    <w:r w:rsidR="00B214A7">
      <w:t>y</w:t>
    </w:r>
    <w:r w:rsidR="0064455F">
      <w:t xml:space="preserve"> </w:t>
    </w:r>
    <w:r w:rsidR="003026B4">
      <w:t>1</w:t>
    </w:r>
    <w:r>
      <w:t>, 202</w:t>
    </w:r>
    <w:r w:rsidR="003E0FF7">
      <w:t>4</w:t>
    </w:r>
  </w:p>
  <w:p w14:paraId="7AEA6E8B" w14:textId="77777777" w:rsidR="007D681D" w:rsidRDefault="007D681D">
    <w:pPr>
      <w:pStyle w:val="Footer"/>
      <w:spacing w:before="0" w:after="0"/>
      <w:jc w:val="center"/>
    </w:pPr>
    <w:r>
      <w:t>PUBLIC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2ABA6" w14:textId="77777777" w:rsidR="007D681D" w:rsidRDefault="007D681D">
    <w:pPr>
      <w:pStyle w:val="Footer"/>
      <w:pBdr>
        <w:top w:val="none" w:sz="0" w:space="0" w:color="auto"/>
      </w:pBdr>
      <w:jc w:val="center"/>
    </w:pPr>
    <w: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9105C" w14:textId="56AA9783" w:rsidR="007D681D" w:rsidRDefault="007D681D">
    <w:pPr>
      <w:pStyle w:val="Footer"/>
      <w:spacing w:before="0" w:after="0"/>
    </w:pPr>
    <w:r>
      <w:t xml:space="preserve">ERCOT Nodal Protocols – </w:t>
    </w:r>
    <w:r w:rsidR="003E3547">
      <w:t>October</w:t>
    </w:r>
    <w:r w:rsidR="0064455F">
      <w:t xml:space="preserve"> </w:t>
    </w:r>
    <w:r w:rsidR="003026B4">
      <w:t>1</w:t>
    </w:r>
    <w:r>
      <w:t>, 202</w:t>
    </w:r>
    <w:r w:rsidR="003E0FF7">
      <w:t>4</w:t>
    </w:r>
  </w:p>
  <w:p w14:paraId="7415A682" w14:textId="77777777" w:rsidR="007D681D" w:rsidRDefault="007D681D">
    <w:pPr>
      <w:pStyle w:val="Footer"/>
      <w:spacing w:before="0" w:after="0"/>
      <w:jc w:val="center"/>
    </w:pPr>
    <w:r>
      <w:t>PUBLIC</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C67C2" w14:textId="1856F683" w:rsidR="007D681D" w:rsidRDefault="007D681D">
    <w:pPr>
      <w:pStyle w:val="Footer"/>
      <w:spacing w:before="0" w:after="0"/>
      <w:rPr>
        <w:rStyle w:val="PageNumber"/>
      </w:rPr>
    </w:pPr>
    <w:r>
      <w:t xml:space="preserve">ERCOT Nodal Protocols – </w:t>
    </w:r>
    <w:r w:rsidR="003E3547">
      <w:t>October</w:t>
    </w:r>
    <w:r w:rsidR="0064455F">
      <w:t xml:space="preserve"> </w:t>
    </w:r>
    <w:r w:rsidR="003026B4">
      <w:t>1</w:t>
    </w:r>
    <w:r>
      <w:t>, 202</w:t>
    </w:r>
    <w:r w:rsidR="003E0FF7">
      <w:t>4</w:t>
    </w:r>
    <w:r>
      <w:tab/>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9-23</w:t>
    </w:r>
    <w:r>
      <w:rPr>
        <w:rStyle w:val="PageNumber"/>
      </w:rPr>
      <w:fldChar w:fldCharType="end"/>
    </w:r>
  </w:p>
  <w:p w14:paraId="59D53380" w14:textId="77777777" w:rsidR="007D681D" w:rsidRDefault="007D681D">
    <w:pPr>
      <w:pStyle w:val="Footer"/>
      <w:spacing w:before="0" w:after="0"/>
      <w:jc w:val="center"/>
    </w:pPr>
    <w:r>
      <w:rPr>
        <w:rStyle w:val="PageNumber"/>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B30E31" w14:textId="77777777" w:rsidR="007D681D" w:rsidRDefault="007D681D">
      <w:r>
        <w:separator/>
      </w:r>
    </w:p>
  </w:footnote>
  <w:footnote w:type="continuationSeparator" w:id="0">
    <w:p w14:paraId="1167B0FA" w14:textId="77777777" w:rsidR="007D681D" w:rsidRDefault="007D68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04E7C" w14:textId="77777777" w:rsidR="007D681D" w:rsidRDefault="007D681D">
    <w:pPr>
      <w:pStyle w:val="Header"/>
    </w:pPr>
    <w:r>
      <w:t>Section 9: Table of Contents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25FDE" w14:textId="77777777" w:rsidR="007D681D" w:rsidRDefault="007D681D">
    <w:pPr>
      <w:pStyle w:val="Header"/>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5141D" w14:textId="77777777" w:rsidR="007D681D" w:rsidRDefault="007D681D">
    <w:pPr>
      <w:pStyle w:val="Header"/>
    </w:pPr>
    <w:r>
      <w:t>Section 9:  Table of Contents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750A3" w14:textId="77777777" w:rsidR="007D681D" w:rsidRDefault="007D681D">
    <w:pPr>
      <w:pStyle w:val="Header"/>
    </w:pPr>
    <w:r>
      <w:t>Section 9:  Settlement and Billing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B12593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1428DC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634147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372636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2C6CEC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FF4C3B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B22399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EC6A94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B6E03B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EBCE49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18"/>
    <w:multiLevelType w:val="singleLevel"/>
    <w:tmpl w:val="0BD2B42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33A750B"/>
    <w:multiLevelType w:val="multilevel"/>
    <w:tmpl w:val="3F1A4D8E"/>
    <w:lvl w:ilvl="0">
      <w:start w:val="3"/>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04781AB4"/>
    <w:multiLevelType w:val="hybridMultilevel"/>
    <w:tmpl w:val="3AE613B2"/>
    <w:lvl w:ilvl="0" w:tplc="5E706E62">
      <w:start w:val="2"/>
      <w:numFmt w:val="lowerRoman"/>
      <w:lvlText w:val="(%1)"/>
      <w:lvlJc w:val="left"/>
      <w:pPr>
        <w:tabs>
          <w:tab w:val="num" w:pos="2340"/>
        </w:tabs>
        <w:ind w:left="2340" w:hanging="720"/>
      </w:pPr>
      <w:rPr>
        <w:rFonts w:hint="default"/>
        <w:b/>
      </w:r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13" w15:restartNumberingAfterBreak="0">
    <w:nsid w:val="08F9639D"/>
    <w:multiLevelType w:val="hybridMultilevel"/>
    <w:tmpl w:val="53A8CF6C"/>
    <w:lvl w:ilvl="0" w:tplc="DD3AA038">
      <w:start w:val="1"/>
      <w:numFmt w:val="lowerLetter"/>
      <w:lvlText w:val="(%1)"/>
      <w:lvlJc w:val="left"/>
      <w:pPr>
        <w:tabs>
          <w:tab w:val="num" w:pos="1440"/>
        </w:tabs>
        <w:ind w:left="1440" w:hanging="360"/>
      </w:pPr>
      <w:rPr>
        <w:rFonts w:ascii="Times New Roman" w:eastAsia="Times New Roman" w:hAnsi="Times New Roman" w:cs="Times New Roman"/>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 w15:restartNumberingAfterBreak="0">
    <w:nsid w:val="0A9D4757"/>
    <w:multiLevelType w:val="hybridMultilevel"/>
    <w:tmpl w:val="4620B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116220CD"/>
    <w:multiLevelType w:val="hybridMultilevel"/>
    <w:tmpl w:val="2D707610"/>
    <w:lvl w:ilvl="0" w:tplc="5A3C0448">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08A7E9E"/>
    <w:multiLevelType w:val="hybridMultilevel"/>
    <w:tmpl w:val="9DD68524"/>
    <w:lvl w:ilvl="0" w:tplc="CC428218">
      <w:start w:val="3"/>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0993BF6"/>
    <w:multiLevelType w:val="multilevel"/>
    <w:tmpl w:val="3F1A4D8E"/>
    <w:lvl w:ilvl="0">
      <w:start w:val="3"/>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20DF51AB"/>
    <w:multiLevelType w:val="hybridMultilevel"/>
    <w:tmpl w:val="C41A9A32"/>
    <w:lvl w:ilvl="0" w:tplc="AF444E38">
      <w:start w:val="1"/>
      <w:numFmt w:val="bullet"/>
      <w:lvlText w:val=""/>
      <w:lvlJc w:val="left"/>
      <w:pPr>
        <w:tabs>
          <w:tab w:val="num" w:pos="360"/>
        </w:tabs>
        <w:ind w:left="360" w:hanging="360"/>
      </w:pPr>
      <w:rPr>
        <w:rFonts w:ascii="Symbol" w:hAnsi="Symbol" w:hint="default"/>
      </w:rPr>
    </w:lvl>
    <w:lvl w:ilvl="1" w:tplc="21D8C14C" w:tentative="1">
      <w:start w:val="1"/>
      <w:numFmt w:val="bullet"/>
      <w:lvlText w:val="o"/>
      <w:lvlJc w:val="left"/>
      <w:pPr>
        <w:tabs>
          <w:tab w:val="num" w:pos="1440"/>
        </w:tabs>
        <w:ind w:left="1440" w:hanging="360"/>
      </w:pPr>
      <w:rPr>
        <w:rFonts w:ascii="Courier New" w:hAnsi="Courier New" w:cs="Courier New" w:hint="default"/>
      </w:rPr>
    </w:lvl>
    <w:lvl w:ilvl="2" w:tplc="12720ABE" w:tentative="1">
      <w:start w:val="1"/>
      <w:numFmt w:val="bullet"/>
      <w:lvlText w:val=""/>
      <w:lvlJc w:val="left"/>
      <w:pPr>
        <w:tabs>
          <w:tab w:val="num" w:pos="2160"/>
        </w:tabs>
        <w:ind w:left="2160" w:hanging="360"/>
      </w:pPr>
      <w:rPr>
        <w:rFonts w:ascii="Wingdings" w:hAnsi="Wingdings" w:hint="default"/>
      </w:rPr>
    </w:lvl>
    <w:lvl w:ilvl="3" w:tplc="8340C67A" w:tentative="1">
      <w:start w:val="1"/>
      <w:numFmt w:val="bullet"/>
      <w:lvlText w:val=""/>
      <w:lvlJc w:val="left"/>
      <w:pPr>
        <w:tabs>
          <w:tab w:val="num" w:pos="2880"/>
        </w:tabs>
        <w:ind w:left="2880" w:hanging="360"/>
      </w:pPr>
      <w:rPr>
        <w:rFonts w:ascii="Symbol" w:hAnsi="Symbol" w:hint="default"/>
      </w:rPr>
    </w:lvl>
    <w:lvl w:ilvl="4" w:tplc="BC8CCE36" w:tentative="1">
      <w:start w:val="1"/>
      <w:numFmt w:val="bullet"/>
      <w:lvlText w:val="o"/>
      <w:lvlJc w:val="left"/>
      <w:pPr>
        <w:tabs>
          <w:tab w:val="num" w:pos="3600"/>
        </w:tabs>
        <w:ind w:left="3600" w:hanging="360"/>
      </w:pPr>
      <w:rPr>
        <w:rFonts w:ascii="Courier New" w:hAnsi="Courier New" w:cs="Courier New" w:hint="default"/>
      </w:rPr>
    </w:lvl>
    <w:lvl w:ilvl="5" w:tplc="8B70EB5C" w:tentative="1">
      <w:start w:val="1"/>
      <w:numFmt w:val="bullet"/>
      <w:lvlText w:val=""/>
      <w:lvlJc w:val="left"/>
      <w:pPr>
        <w:tabs>
          <w:tab w:val="num" w:pos="4320"/>
        </w:tabs>
        <w:ind w:left="4320" w:hanging="360"/>
      </w:pPr>
      <w:rPr>
        <w:rFonts w:ascii="Wingdings" w:hAnsi="Wingdings" w:hint="default"/>
      </w:rPr>
    </w:lvl>
    <w:lvl w:ilvl="6" w:tplc="A81A79B8" w:tentative="1">
      <w:start w:val="1"/>
      <w:numFmt w:val="bullet"/>
      <w:lvlText w:val=""/>
      <w:lvlJc w:val="left"/>
      <w:pPr>
        <w:tabs>
          <w:tab w:val="num" w:pos="5040"/>
        </w:tabs>
        <w:ind w:left="5040" w:hanging="360"/>
      </w:pPr>
      <w:rPr>
        <w:rFonts w:ascii="Symbol" w:hAnsi="Symbol" w:hint="default"/>
      </w:rPr>
    </w:lvl>
    <w:lvl w:ilvl="7" w:tplc="14488C8C" w:tentative="1">
      <w:start w:val="1"/>
      <w:numFmt w:val="bullet"/>
      <w:lvlText w:val="o"/>
      <w:lvlJc w:val="left"/>
      <w:pPr>
        <w:tabs>
          <w:tab w:val="num" w:pos="5760"/>
        </w:tabs>
        <w:ind w:left="5760" w:hanging="360"/>
      </w:pPr>
      <w:rPr>
        <w:rFonts w:ascii="Courier New" w:hAnsi="Courier New" w:cs="Courier New" w:hint="default"/>
      </w:rPr>
    </w:lvl>
    <w:lvl w:ilvl="8" w:tplc="3DDC8736"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31B5FD6"/>
    <w:multiLevelType w:val="hybridMultilevel"/>
    <w:tmpl w:val="9C1EB6B0"/>
    <w:lvl w:ilvl="0" w:tplc="CDF0F1EA">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3F87D58"/>
    <w:multiLevelType w:val="hybridMultilevel"/>
    <w:tmpl w:val="F39062F8"/>
    <w:lvl w:ilvl="0" w:tplc="84BA3F04">
      <w:start w:val="1"/>
      <w:numFmt w:val="bullet"/>
      <w:lvlText w:val=""/>
      <w:lvlJc w:val="left"/>
      <w:pPr>
        <w:tabs>
          <w:tab w:val="num" w:pos="2520"/>
        </w:tabs>
        <w:ind w:left="2520" w:hanging="720"/>
      </w:pPr>
      <w:rPr>
        <w:rFonts w:ascii="Symbol" w:hAnsi="Symbol" w:hint="default"/>
      </w:rPr>
    </w:lvl>
    <w:lvl w:ilvl="1" w:tplc="04090019" w:tentative="1">
      <w:start w:val="1"/>
      <w:numFmt w:val="bullet"/>
      <w:lvlText w:val="o"/>
      <w:lvlJc w:val="left"/>
      <w:pPr>
        <w:tabs>
          <w:tab w:val="num" w:pos="3960"/>
        </w:tabs>
        <w:ind w:left="3960" w:hanging="360"/>
      </w:pPr>
      <w:rPr>
        <w:rFonts w:ascii="Courier New" w:hAnsi="Courier New" w:hint="default"/>
      </w:rPr>
    </w:lvl>
    <w:lvl w:ilvl="2" w:tplc="0409001B" w:tentative="1">
      <w:start w:val="1"/>
      <w:numFmt w:val="bullet"/>
      <w:lvlText w:val=""/>
      <w:lvlJc w:val="left"/>
      <w:pPr>
        <w:tabs>
          <w:tab w:val="num" w:pos="4680"/>
        </w:tabs>
        <w:ind w:left="4680" w:hanging="360"/>
      </w:pPr>
      <w:rPr>
        <w:rFonts w:ascii="Wingdings" w:hAnsi="Wingdings" w:hint="default"/>
      </w:rPr>
    </w:lvl>
    <w:lvl w:ilvl="3" w:tplc="0409000F" w:tentative="1">
      <w:start w:val="1"/>
      <w:numFmt w:val="bullet"/>
      <w:lvlText w:val=""/>
      <w:lvlJc w:val="left"/>
      <w:pPr>
        <w:tabs>
          <w:tab w:val="num" w:pos="5400"/>
        </w:tabs>
        <w:ind w:left="5400" w:hanging="360"/>
      </w:pPr>
      <w:rPr>
        <w:rFonts w:ascii="Symbol" w:hAnsi="Symbol" w:hint="default"/>
      </w:rPr>
    </w:lvl>
    <w:lvl w:ilvl="4" w:tplc="04090019" w:tentative="1">
      <w:start w:val="1"/>
      <w:numFmt w:val="bullet"/>
      <w:lvlText w:val="o"/>
      <w:lvlJc w:val="left"/>
      <w:pPr>
        <w:tabs>
          <w:tab w:val="num" w:pos="6120"/>
        </w:tabs>
        <w:ind w:left="6120" w:hanging="360"/>
      </w:pPr>
      <w:rPr>
        <w:rFonts w:ascii="Courier New" w:hAnsi="Courier New" w:hint="default"/>
      </w:rPr>
    </w:lvl>
    <w:lvl w:ilvl="5" w:tplc="0409001B" w:tentative="1">
      <w:start w:val="1"/>
      <w:numFmt w:val="bullet"/>
      <w:lvlText w:val=""/>
      <w:lvlJc w:val="left"/>
      <w:pPr>
        <w:tabs>
          <w:tab w:val="num" w:pos="6840"/>
        </w:tabs>
        <w:ind w:left="6840" w:hanging="360"/>
      </w:pPr>
      <w:rPr>
        <w:rFonts w:ascii="Wingdings" w:hAnsi="Wingdings" w:hint="default"/>
      </w:rPr>
    </w:lvl>
    <w:lvl w:ilvl="6" w:tplc="0409000F" w:tentative="1">
      <w:start w:val="1"/>
      <w:numFmt w:val="bullet"/>
      <w:lvlText w:val=""/>
      <w:lvlJc w:val="left"/>
      <w:pPr>
        <w:tabs>
          <w:tab w:val="num" w:pos="7560"/>
        </w:tabs>
        <w:ind w:left="7560" w:hanging="360"/>
      </w:pPr>
      <w:rPr>
        <w:rFonts w:ascii="Symbol" w:hAnsi="Symbol" w:hint="default"/>
      </w:rPr>
    </w:lvl>
    <w:lvl w:ilvl="7" w:tplc="04090019" w:tentative="1">
      <w:start w:val="1"/>
      <w:numFmt w:val="bullet"/>
      <w:lvlText w:val="o"/>
      <w:lvlJc w:val="left"/>
      <w:pPr>
        <w:tabs>
          <w:tab w:val="num" w:pos="8280"/>
        </w:tabs>
        <w:ind w:left="8280" w:hanging="360"/>
      </w:pPr>
      <w:rPr>
        <w:rFonts w:ascii="Courier New" w:hAnsi="Courier New" w:hint="default"/>
      </w:rPr>
    </w:lvl>
    <w:lvl w:ilvl="8" w:tplc="0409001B" w:tentative="1">
      <w:start w:val="1"/>
      <w:numFmt w:val="bullet"/>
      <w:lvlText w:val=""/>
      <w:lvlJc w:val="left"/>
      <w:pPr>
        <w:tabs>
          <w:tab w:val="num" w:pos="9000"/>
        </w:tabs>
        <w:ind w:left="9000" w:hanging="360"/>
      </w:pPr>
      <w:rPr>
        <w:rFonts w:ascii="Wingdings" w:hAnsi="Wingdings" w:hint="default"/>
      </w:rPr>
    </w:lvl>
  </w:abstractNum>
  <w:abstractNum w:abstractNumId="21" w15:restartNumberingAfterBreak="0">
    <w:nsid w:val="41312BF3"/>
    <w:multiLevelType w:val="hybridMultilevel"/>
    <w:tmpl w:val="D04A38F8"/>
    <w:lvl w:ilvl="0" w:tplc="99A861D6">
      <w:start w:val="5"/>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508308B9"/>
    <w:multiLevelType w:val="hybridMultilevel"/>
    <w:tmpl w:val="0C1017D0"/>
    <w:lvl w:ilvl="0" w:tplc="5A3C0448">
      <w:start w:val="1"/>
      <w:numFmt w:val="lowerRoman"/>
      <w:lvlText w:val="(%1)"/>
      <w:lvlJc w:val="left"/>
      <w:pPr>
        <w:tabs>
          <w:tab w:val="num" w:pos="2160"/>
        </w:tabs>
        <w:ind w:left="2160" w:hanging="720"/>
      </w:pPr>
      <w:rPr>
        <w:rFonts w:hint="default"/>
      </w:rPr>
    </w:lvl>
    <w:lvl w:ilvl="1" w:tplc="04090003" w:tentative="1">
      <w:start w:val="1"/>
      <w:numFmt w:val="lowerLetter"/>
      <w:lvlText w:val="%2."/>
      <w:lvlJc w:val="left"/>
      <w:pPr>
        <w:tabs>
          <w:tab w:val="num" w:pos="2520"/>
        </w:tabs>
        <w:ind w:left="2520" w:hanging="360"/>
      </w:pPr>
    </w:lvl>
    <w:lvl w:ilvl="2" w:tplc="04090005" w:tentative="1">
      <w:start w:val="1"/>
      <w:numFmt w:val="lowerRoman"/>
      <w:lvlText w:val="%3."/>
      <w:lvlJc w:val="right"/>
      <w:pPr>
        <w:tabs>
          <w:tab w:val="num" w:pos="3240"/>
        </w:tabs>
        <w:ind w:left="3240" w:hanging="180"/>
      </w:pPr>
    </w:lvl>
    <w:lvl w:ilvl="3" w:tplc="04090001" w:tentative="1">
      <w:start w:val="1"/>
      <w:numFmt w:val="decimal"/>
      <w:lvlText w:val="%4."/>
      <w:lvlJc w:val="left"/>
      <w:pPr>
        <w:tabs>
          <w:tab w:val="num" w:pos="3960"/>
        </w:tabs>
        <w:ind w:left="3960" w:hanging="360"/>
      </w:pPr>
    </w:lvl>
    <w:lvl w:ilvl="4" w:tplc="04090003" w:tentative="1">
      <w:start w:val="1"/>
      <w:numFmt w:val="lowerLetter"/>
      <w:lvlText w:val="%5."/>
      <w:lvlJc w:val="left"/>
      <w:pPr>
        <w:tabs>
          <w:tab w:val="num" w:pos="4680"/>
        </w:tabs>
        <w:ind w:left="4680" w:hanging="360"/>
      </w:pPr>
    </w:lvl>
    <w:lvl w:ilvl="5" w:tplc="04090005" w:tentative="1">
      <w:start w:val="1"/>
      <w:numFmt w:val="lowerRoman"/>
      <w:lvlText w:val="%6."/>
      <w:lvlJc w:val="right"/>
      <w:pPr>
        <w:tabs>
          <w:tab w:val="num" w:pos="5400"/>
        </w:tabs>
        <w:ind w:left="5400" w:hanging="180"/>
      </w:pPr>
    </w:lvl>
    <w:lvl w:ilvl="6" w:tplc="04090001" w:tentative="1">
      <w:start w:val="1"/>
      <w:numFmt w:val="decimal"/>
      <w:lvlText w:val="%7."/>
      <w:lvlJc w:val="left"/>
      <w:pPr>
        <w:tabs>
          <w:tab w:val="num" w:pos="6120"/>
        </w:tabs>
        <w:ind w:left="6120" w:hanging="360"/>
      </w:pPr>
    </w:lvl>
    <w:lvl w:ilvl="7" w:tplc="04090003" w:tentative="1">
      <w:start w:val="1"/>
      <w:numFmt w:val="lowerLetter"/>
      <w:lvlText w:val="%8."/>
      <w:lvlJc w:val="left"/>
      <w:pPr>
        <w:tabs>
          <w:tab w:val="num" w:pos="6840"/>
        </w:tabs>
        <w:ind w:left="6840" w:hanging="360"/>
      </w:pPr>
    </w:lvl>
    <w:lvl w:ilvl="8" w:tplc="04090005" w:tentative="1">
      <w:start w:val="1"/>
      <w:numFmt w:val="lowerRoman"/>
      <w:lvlText w:val="%9."/>
      <w:lvlJc w:val="right"/>
      <w:pPr>
        <w:tabs>
          <w:tab w:val="num" w:pos="7560"/>
        </w:tabs>
        <w:ind w:left="7560" w:hanging="180"/>
      </w:pPr>
    </w:lvl>
  </w:abstractNum>
  <w:abstractNum w:abstractNumId="23" w15:restartNumberingAfterBreak="0">
    <w:nsid w:val="56E023C9"/>
    <w:multiLevelType w:val="multilevel"/>
    <w:tmpl w:val="3F1A4D8E"/>
    <w:lvl w:ilvl="0">
      <w:start w:val="3"/>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654B2C67"/>
    <w:multiLevelType w:val="hybridMultilevel"/>
    <w:tmpl w:val="6A5CC3FA"/>
    <w:lvl w:ilvl="0" w:tplc="1F0A4492">
      <w:start w:val="1"/>
      <w:numFmt w:val="bullet"/>
      <w:lvlText w:val=""/>
      <w:lvlJc w:val="left"/>
      <w:pPr>
        <w:tabs>
          <w:tab w:val="num" w:pos="720"/>
        </w:tabs>
        <w:ind w:left="720" w:hanging="72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6510064"/>
    <w:multiLevelType w:val="multilevel"/>
    <w:tmpl w:val="EF02CFE2"/>
    <w:lvl w:ilvl="0">
      <w:start w:val="9"/>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pStyle w:val="Heading4"/>
      <w:lvlText w:val="%1.%2.%3.%4"/>
      <w:lvlJc w:val="left"/>
      <w:pPr>
        <w:tabs>
          <w:tab w:val="num" w:pos="954"/>
        </w:tabs>
        <w:ind w:left="95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6" w15:restartNumberingAfterBreak="0">
    <w:nsid w:val="6B6437E5"/>
    <w:multiLevelType w:val="multilevel"/>
    <w:tmpl w:val="3F1A4D8E"/>
    <w:lvl w:ilvl="0">
      <w:start w:val="3"/>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756D24EF"/>
    <w:multiLevelType w:val="multilevel"/>
    <w:tmpl w:val="B4F0F0D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75742AD4"/>
    <w:multiLevelType w:val="hybridMultilevel"/>
    <w:tmpl w:val="FC2CA9E2"/>
    <w:lvl w:ilvl="0" w:tplc="D6A8998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B331525"/>
    <w:multiLevelType w:val="singleLevel"/>
    <w:tmpl w:val="C4C65388"/>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7EC1182C"/>
    <w:multiLevelType w:val="hybridMultilevel"/>
    <w:tmpl w:val="F3ACD432"/>
    <w:lvl w:ilvl="0" w:tplc="8BB07F14">
      <w:start w:val="1"/>
      <w:numFmt w:val="decimal"/>
      <w:lvlText w:val="%1."/>
      <w:lvlJc w:val="left"/>
      <w:pPr>
        <w:tabs>
          <w:tab w:val="num" w:pos="720"/>
        </w:tabs>
        <w:ind w:left="720" w:hanging="360"/>
      </w:pPr>
    </w:lvl>
    <w:lvl w:ilvl="1" w:tplc="C1987EEA" w:tentative="1">
      <w:start w:val="1"/>
      <w:numFmt w:val="lowerLetter"/>
      <w:lvlText w:val="%2."/>
      <w:lvlJc w:val="left"/>
      <w:pPr>
        <w:tabs>
          <w:tab w:val="num" w:pos="1440"/>
        </w:tabs>
        <w:ind w:left="1440" w:hanging="360"/>
      </w:pPr>
    </w:lvl>
    <w:lvl w:ilvl="2" w:tplc="36D85990" w:tentative="1">
      <w:start w:val="1"/>
      <w:numFmt w:val="lowerRoman"/>
      <w:lvlText w:val="%3."/>
      <w:lvlJc w:val="right"/>
      <w:pPr>
        <w:tabs>
          <w:tab w:val="num" w:pos="2160"/>
        </w:tabs>
        <w:ind w:left="2160" w:hanging="180"/>
      </w:pPr>
    </w:lvl>
    <w:lvl w:ilvl="3" w:tplc="60228B9A" w:tentative="1">
      <w:start w:val="1"/>
      <w:numFmt w:val="decimal"/>
      <w:lvlText w:val="%4."/>
      <w:lvlJc w:val="left"/>
      <w:pPr>
        <w:tabs>
          <w:tab w:val="num" w:pos="2880"/>
        </w:tabs>
        <w:ind w:left="2880" w:hanging="360"/>
      </w:pPr>
    </w:lvl>
    <w:lvl w:ilvl="4" w:tplc="3BE87B8E" w:tentative="1">
      <w:start w:val="1"/>
      <w:numFmt w:val="lowerLetter"/>
      <w:lvlText w:val="%5."/>
      <w:lvlJc w:val="left"/>
      <w:pPr>
        <w:tabs>
          <w:tab w:val="num" w:pos="3600"/>
        </w:tabs>
        <w:ind w:left="3600" w:hanging="360"/>
      </w:pPr>
    </w:lvl>
    <w:lvl w:ilvl="5" w:tplc="52BA3372" w:tentative="1">
      <w:start w:val="1"/>
      <w:numFmt w:val="lowerRoman"/>
      <w:lvlText w:val="%6."/>
      <w:lvlJc w:val="right"/>
      <w:pPr>
        <w:tabs>
          <w:tab w:val="num" w:pos="4320"/>
        </w:tabs>
        <w:ind w:left="4320" w:hanging="180"/>
      </w:pPr>
    </w:lvl>
    <w:lvl w:ilvl="6" w:tplc="F77E5400" w:tentative="1">
      <w:start w:val="1"/>
      <w:numFmt w:val="decimal"/>
      <w:lvlText w:val="%7."/>
      <w:lvlJc w:val="left"/>
      <w:pPr>
        <w:tabs>
          <w:tab w:val="num" w:pos="5040"/>
        </w:tabs>
        <w:ind w:left="5040" w:hanging="360"/>
      </w:pPr>
    </w:lvl>
    <w:lvl w:ilvl="7" w:tplc="02C6AD80" w:tentative="1">
      <w:start w:val="1"/>
      <w:numFmt w:val="lowerLetter"/>
      <w:lvlText w:val="%8."/>
      <w:lvlJc w:val="left"/>
      <w:pPr>
        <w:tabs>
          <w:tab w:val="num" w:pos="5760"/>
        </w:tabs>
        <w:ind w:left="5760" w:hanging="360"/>
      </w:pPr>
    </w:lvl>
    <w:lvl w:ilvl="8" w:tplc="8B304010" w:tentative="1">
      <w:start w:val="1"/>
      <w:numFmt w:val="lowerRoman"/>
      <w:lvlText w:val="%9."/>
      <w:lvlJc w:val="right"/>
      <w:pPr>
        <w:tabs>
          <w:tab w:val="num" w:pos="6480"/>
        </w:tabs>
        <w:ind w:left="6480" w:hanging="180"/>
      </w:pPr>
    </w:lvl>
  </w:abstractNum>
  <w:abstractNum w:abstractNumId="31" w15:restartNumberingAfterBreak="0">
    <w:nsid w:val="7EFF4508"/>
    <w:multiLevelType w:val="hybridMultilevel"/>
    <w:tmpl w:val="A796BF22"/>
    <w:lvl w:ilvl="0" w:tplc="0409000F">
      <w:start w:val="1"/>
      <w:numFmt w:val="bullet"/>
      <w:lvlText w:val=""/>
      <w:lvlJc w:val="left"/>
      <w:pPr>
        <w:tabs>
          <w:tab w:val="num" w:pos="720"/>
        </w:tabs>
        <w:ind w:left="720" w:hanging="360"/>
      </w:pPr>
      <w:rPr>
        <w:rFonts w:ascii="Wingdings" w:hAnsi="Wingdings"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16cid:durableId="573467686">
    <w:abstractNumId w:val="29"/>
  </w:num>
  <w:num w:numId="2" w16cid:durableId="1288002103">
    <w:abstractNumId w:val="10"/>
  </w:num>
  <w:num w:numId="3" w16cid:durableId="1304234771">
    <w:abstractNumId w:val="25"/>
  </w:num>
  <w:num w:numId="4" w16cid:durableId="2106875207">
    <w:abstractNumId w:val="18"/>
  </w:num>
  <w:num w:numId="5" w16cid:durableId="141503427">
    <w:abstractNumId w:val="31"/>
  </w:num>
  <w:num w:numId="6" w16cid:durableId="309677572">
    <w:abstractNumId w:val="14"/>
  </w:num>
  <w:num w:numId="7" w16cid:durableId="1912305347">
    <w:abstractNumId w:val="22"/>
  </w:num>
  <w:num w:numId="8" w16cid:durableId="1832601492">
    <w:abstractNumId w:val="24"/>
  </w:num>
  <w:num w:numId="9" w16cid:durableId="464199930">
    <w:abstractNumId w:val="19"/>
  </w:num>
  <w:num w:numId="10" w16cid:durableId="1567910947">
    <w:abstractNumId w:val="15"/>
  </w:num>
  <w:num w:numId="11" w16cid:durableId="915434783">
    <w:abstractNumId w:val="30"/>
  </w:num>
  <w:num w:numId="12" w16cid:durableId="665284931">
    <w:abstractNumId w:val="9"/>
  </w:num>
  <w:num w:numId="13" w16cid:durableId="365257050">
    <w:abstractNumId w:val="7"/>
  </w:num>
  <w:num w:numId="14" w16cid:durableId="862981098">
    <w:abstractNumId w:val="6"/>
  </w:num>
  <w:num w:numId="15" w16cid:durableId="638993251">
    <w:abstractNumId w:val="5"/>
  </w:num>
  <w:num w:numId="16" w16cid:durableId="718169904">
    <w:abstractNumId w:val="4"/>
  </w:num>
  <w:num w:numId="17" w16cid:durableId="701636814">
    <w:abstractNumId w:val="8"/>
  </w:num>
  <w:num w:numId="18" w16cid:durableId="1928466182">
    <w:abstractNumId w:val="3"/>
  </w:num>
  <w:num w:numId="19" w16cid:durableId="145367291">
    <w:abstractNumId w:val="2"/>
  </w:num>
  <w:num w:numId="20" w16cid:durableId="340009782">
    <w:abstractNumId w:val="1"/>
  </w:num>
  <w:num w:numId="21" w16cid:durableId="1068384732">
    <w:abstractNumId w:val="0"/>
  </w:num>
  <w:num w:numId="22" w16cid:durableId="1578175653">
    <w:abstractNumId w:val="23"/>
  </w:num>
  <w:num w:numId="23" w16cid:durableId="743572768">
    <w:abstractNumId w:val="17"/>
  </w:num>
  <w:num w:numId="24" w16cid:durableId="152383013">
    <w:abstractNumId w:val="11"/>
  </w:num>
  <w:num w:numId="25" w16cid:durableId="1389841854">
    <w:abstractNumId w:val="26"/>
  </w:num>
  <w:num w:numId="26" w16cid:durableId="1442992585">
    <w:abstractNumId w:val="20"/>
  </w:num>
  <w:num w:numId="27" w16cid:durableId="263148068">
    <w:abstractNumId w:val="27"/>
  </w:num>
  <w:num w:numId="28" w16cid:durableId="228612848">
    <w:abstractNumId w:val="16"/>
  </w:num>
  <w:num w:numId="29" w16cid:durableId="525681856">
    <w:abstractNumId w:val="28"/>
  </w:num>
  <w:num w:numId="30" w16cid:durableId="796949283">
    <w:abstractNumId w:val="13"/>
  </w:num>
  <w:num w:numId="31" w16cid:durableId="1033117208">
    <w:abstractNumId w:val="21"/>
  </w:num>
  <w:num w:numId="32" w16cid:durableId="2037778575">
    <w:abstractNumId w:val="1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1606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5868"/>
    <w:rsid w:val="000000C5"/>
    <w:rsid w:val="000007DC"/>
    <w:rsid w:val="00001F8D"/>
    <w:rsid w:val="000035E6"/>
    <w:rsid w:val="0000544B"/>
    <w:rsid w:val="000056D6"/>
    <w:rsid w:val="00006895"/>
    <w:rsid w:val="000068BD"/>
    <w:rsid w:val="00007792"/>
    <w:rsid w:val="00007947"/>
    <w:rsid w:val="000136C7"/>
    <w:rsid w:val="00023C8A"/>
    <w:rsid w:val="000251BE"/>
    <w:rsid w:val="000253C4"/>
    <w:rsid w:val="000254C0"/>
    <w:rsid w:val="00025C0C"/>
    <w:rsid w:val="0002714F"/>
    <w:rsid w:val="00027150"/>
    <w:rsid w:val="00030273"/>
    <w:rsid w:val="00030C8E"/>
    <w:rsid w:val="000320CD"/>
    <w:rsid w:val="00033C22"/>
    <w:rsid w:val="00033F48"/>
    <w:rsid w:val="0003417E"/>
    <w:rsid w:val="00035E9F"/>
    <w:rsid w:val="00036BB6"/>
    <w:rsid w:val="00037429"/>
    <w:rsid w:val="000409C1"/>
    <w:rsid w:val="0004101E"/>
    <w:rsid w:val="0004403E"/>
    <w:rsid w:val="000460A8"/>
    <w:rsid w:val="000468B0"/>
    <w:rsid w:val="00047280"/>
    <w:rsid w:val="00052258"/>
    <w:rsid w:val="00054A8E"/>
    <w:rsid w:val="00054E2F"/>
    <w:rsid w:val="00056322"/>
    <w:rsid w:val="00056548"/>
    <w:rsid w:val="0006082B"/>
    <w:rsid w:val="00063EF0"/>
    <w:rsid w:val="0006505C"/>
    <w:rsid w:val="00065FFF"/>
    <w:rsid w:val="00066B18"/>
    <w:rsid w:val="00067966"/>
    <w:rsid w:val="00071147"/>
    <w:rsid w:val="00071782"/>
    <w:rsid w:val="000755E1"/>
    <w:rsid w:val="00076E1C"/>
    <w:rsid w:val="00076F66"/>
    <w:rsid w:val="00082CB5"/>
    <w:rsid w:val="00083BFB"/>
    <w:rsid w:val="00085B8E"/>
    <w:rsid w:val="00085EAD"/>
    <w:rsid w:val="0008638A"/>
    <w:rsid w:val="00090D02"/>
    <w:rsid w:val="00090FD2"/>
    <w:rsid w:val="00093653"/>
    <w:rsid w:val="00094D3D"/>
    <w:rsid w:val="000A050F"/>
    <w:rsid w:val="000A0FDB"/>
    <w:rsid w:val="000A1E12"/>
    <w:rsid w:val="000A226C"/>
    <w:rsid w:val="000A2A47"/>
    <w:rsid w:val="000A3652"/>
    <w:rsid w:val="000A384D"/>
    <w:rsid w:val="000A4764"/>
    <w:rsid w:val="000A5460"/>
    <w:rsid w:val="000A55EF"/>
    <w:rsid w:val="000A5E65"/>
    <w:rsid w:val="000A639A"/>
    <w:rsid w:val="000A75FE"/>
    <w:rsid w:val="000A7801"/>
    <w:rsid w:val="000B0996"/>
    <w:rsid w:val="000B1CA3"/>
    <w:rsid w:val="000B38B6"/>
    <w:rsid w:val="000B61FF"/>
    <w:rsid w:val="000B7292"/>
    <w:rsid w:val="000B7C5F"/>
    <w:rsid w:val="000B7DF0"/>
    <w:rsid w:val="000C058D"/>
    <w:rsid w:val="000C2689"/>
    <w:rsid w:val="000C2A50"/>
    <w:rsid w:val="000C2AC0"/>
    <w:rsid w:val="000C37A7"/>
    <w:rsid w:val="000C57A5"/>
    <w:rsid w:val="000C67FC"/>
    <w:rsid w:val="000D12D8"/>
    <w:rsid w:val="000D477E"/>
    <w:rsid w:val="000D4F96"/>
    <w:rsid w:val="000D5D50"/>
    <w:rsid w:val="000E0BA1"/>
    <w:rsid w:val="000E1301"/>
    <w:rsid w:val="000E23F9"/>
    <w:rsid w:val="000E5BA4"/>
    <w:rsid w:val="000E65C3"/>
    <w:rsid w:val="000E6BBB"/>
    <w:rsid w:val="000E7284"/>
    <w:rsid w:val="000F1BF0"/>
    <w:rsid w:val="000F2071"/>
    <w:rsid w:val="000F3178"/>
    <w:rsid w:val="000F6026"/>
    <w:rsid w:val="000F7956"/>
    <w:rsid w:val="000F7AF0"/>
    <w:rsid w:val="000F7C60"/>
    <w:rsid w:val="001009FD"/>
    <w:rsid w:val="001012EA"/>
    <w:rsid w:val="00102381"/>
    <w:rsid w:val="00102BDF"/>
    <w:rsid w:val="0010494F"/>
    <w:rsid w:val="001121BB"/>
    <w:rsid w:val="00113C12"/>
    <w:rsid w:val="00116EF1"/>
    <w:rsid w:val="00117151"/>
    <w:rsid w:val="00117208"/>
    <w:rsid w:val="00117B75"/>
    <w:rsid w:val="0012035F"/>
    <w:rsid w:val="00120CFD"/>
    <w:rsid w:val="00124699"/>
    <w:rsid w:val="0013016F"/>
    <w:rsid w:val="00130281"/>
    <w:rsid w:val="00131D44"/>
    <w:rsid w:val="001322AF"/>
    <w:rsid w:val="00133204"/>
    <w:rsid w:val="00133F0B"/>
    <w:rsid w:val="001343DA"/>
    <w:rsid w:val="001349D5"/>
    <w:rsid w:val="00134D27"/>
    <w:rsid w:val="001364E1"/>
    <w:rsid w:val="00140D6D"/>
    <w:rsid w:val="0014132B"/>
    <w:rsid w:val="001430C8"/>
    <w:rsid w:val="001435D4"/>
    <w:rsid w:val="00145945"/>
    <w:rsid w:val="00147169"/>
    <w:rsid w:val="00147A72"/>
    <w:rsid w:val="00147DBF"/>
    <w:rsid w:val="00150057"/>
    <w:rsid w:val="00152B1F"/>
    <w:rsid w:val="001552F0"/>
    <w:rsid w:val="00160DE6"/>
    <w:rsid w:val="00160F14"/>
    <w:rsid w:val="00163446"/>
    <w:rsid w:val="001648A3"/>
    <w:rsid w:val="00165BDC"/>
    <w:rsid w:val="0016715C"/>
    <w:rsid w:val="00171BE5"/>
    <w:rsid w:val="001741C9"/>
    <w:rsid w:val="001745B7"/>
    <w:rsid w:val="00176EAC"/>
    <w:rsid w:val="00180464"/>
    <w:rsid w:val="00183051"/>
    <w:rsid w:val="001844E7"/>
    <w:rsid w:val="00186525"/>
    <w:rsid w:val="0018761D"/>
    <w:rsid w:val="0018762D"/>
    <w:rsid w:val="001918D1"/>
    <w:rsid w:val="00191A7A"/>
    <w:rsid w:val="0019398C"/>
    <w:rsid w:val="001A0C65"/>
    <w:rsid w:val="001A2B58"/>
    <w:rsid w:val="001A56DD"/>
    <w:rsid w:val="001A5D5B"/>
    <w:rsid w:val="001A6BAA"/>
    <w:rsid w:val="001A72B8"/>
    <w:rsid w:val="001B1100"/>
    <w:rsid w:val="001B2D9D"/>
    <w:rsid w:val="001B5C4D"/>
    <w:rsid w:val="001C0B6C"/>
    <w:rsid w:val="001C33B8"/>
    <w:rsid w:val="001C43A0"/>
    <w:rsid w:val="001C48D1"/>
    <w:rsid w:val="001C5BB4"/>
    <w:rsid w:val="001C6D26"/>
    <w:rsid w:val="001C73A8"/>
    <w:rsid w:val="001D043B"/>
    <w:rsid w:val="001D38FF"/>
    <w:rsid w:val="001D53C0"/>
    <w:rsid w:val="001E0643"/>
    <w:rsid w:val="001E138A"/>
    <w:rsid w:val="001E19BA"/>
    <w:rsid w:val="001E7A6D"/>
    <w:rsid w:val="001F7E25"/>
    <w:rsid w:val="002002D1"/>
    <w:rsid w:val="00201626"/>
    <w:rsid w:val="00201A4C"/>
    <w:rsid w:val="0020251B"/>
    <w:rsid w:val="0020301C"/>
    <w:rsid w:val="00204362"/>
    <w:rsid w:val="00205879"/>
    <w:rsid w:val="00206CF3"/>
    <w:rsid w:val="002071AA"/>
    <w:rsid w:val="00211EBD"/>
    <w:rsid w:val="00214538"/>
    <w:rsid w:val="0021757A"/>
    <w:rsid w:val="002175B0"/>
    <w:rsid w:val="00220EF6"/>
    <w:rsid w:val="002232DC"/>
    <w:rsid w:val="002258DD"/>
    <w:rsid w:val="00226522"/>
    <w:rsid w:val="00226940"/>
    <w:rsid w:val="00226A9A"/>
    <w:rsid w:val="00234841"/>
    <w:rsid w:val="00234DC8"/>
    <w:rsid w:val="00235107"/>
    <w:rsid w:val="00236629"/>
    <w:rsid w:val="0024094E"/>
    <w:rsid w:val="00242528"/>
    <w:rsid w:val="00242B20"/>
    <w:rsid w:val="0024350A"/>
    <w:rsid w:val="002441AB"/>
    <w:rsid w:val="00244D5B"/>
    <w:rsid w:val="00246FD3"/>
    <w:rsid w:val="00250433"/>
    <w:rsid w:val="00250643"/>
    <w:rsid w:val="0025112A"/>
    <w:rsid w:val="00251194"/>
    <w:rsid w:val="00251909"/>
    <w:rsid w:val="00252948"/>
    <w:rsid w:val="00253C93"/>
    <w:rsid w:val="00254725"/>
    <w:rsid w:val="00261EB0"/>
    <w:rsid w:val="0026416B"/>
    <w:rsid w:val="00265942"/>
    <w:rsid w:val="0027128D"/>
    <w:rsid w:val="00271E37"/>
    <w:rsid w:val="0027779A"/>
    <w:rsid w:val="00281166"/>
    <w:rsid w:val="00282FA6"/>
    <w:rsid w:val="00284002"/>
    <w:rsid w:val="00285F2A"/>
    <w:rsid w:val="00290A7B"/>
    <w:rsid w:val="00291EC0"/>
    <w:rsid w:val="00292C62"/>
    <w:rsid w:val="00293B42"/>
    <w:rsid w:val="00293CA4"/>
    <w:rsid w:val="00293E99"/>
    <w:rsid w:val="00294083"/>
    <w:rsid w:val="002951E2"/>
    <w:rsid w:val="002960A1"/>
    <w:rsid w:val="00296824"/>
    <w:rsid w:val="00297FF1"/>
    <w:rsid w:val="002A1127"/>
    <w:rsid w:val="002A13DC"/>
    <w:rsid w:val="002A1D73"/>
    <w:rsid w:val="002A2A80"/>
    <w:rsid w:val="002A3AFB"/>
    <w:rsid w:val="002A4B10"/>
    <w:rsid w:val="002A739E"/>
    <w:rsid w:val="002B138E"/>
    <w:rsid w:val="002B3B59"/>
    <w:rsid w:val="002B4852"/>
    <w:rsid w:val="002B5422"/>
    <w:rsid w:val="002B56CF"/>
    <w:rsid w:val="002B6842"/>
    <w:rsid w:val="002C1500"/>
    <w:rsid w:val="002C23D0"/>
    <w:rsid w:val="002C36B3"/>
    <w:rsid w:val="002C3780"/>
    <w:rsid w:val="002D002D"/>
    <w:rsid w:val="002D20CF"/>
    <w:rsid w:val="002D2F8E"/>
    <w:rsid w:val="002D4B14"/>
    <w:rsid w:val="002D55E3"/>
    <w:rsid w:val="002D6B9C"/>
    <w:rsid w:val="002D6D19"/>
    <w:rsid w:val="002D6E97"/>
    <w:rsid w:val="002E1299"/>
    <w:rsid w:val="002E18E2"/>
    <w:rsid w:val="002E37E9"/>
    <w:rsid w:val="002E4F8A"/>
    <w:rsid w:val="002E51C0"/>
    <w:rsid w:val="002E5F2C"/>
    <w:rsid w:val="002E6E6E"/>
    <w:rsid w:val="002F265C"/>
    <w:rsid w:val="002F2B12"/>
    <w:rsid w:val="002F5868"/>
    <w:rsid w:val="003026B4"/>
    <w:rsid w:val="0030285A"/>
    <w:rsid w:val="003035B1"/>
    <w:rsid w:val="00303D8F"/>
    <w:rsid w:val="003060F3"/>
    <w:rsid w:val="003061A0"/>
    <w:rsid w:val="00306300"/>
    <w:rsid w:val="00306A37"/>
    <w:rsid w:val="00310475"/>
    <w:rsid w:val="00311602"/>
    <w:rsid w:val="00311E1F"/>
    <w:rsid w:val="003135A1"/>
    <w:rsid w:val="00313E64"/>
    <w:rsid w:val="00314D14"/>
    <w:rsid w:val="00321B52"/>
    <w:rsid w:val="00322069"/>
    <w:rsid w:val="00324EB2"/>
    <w:rsid w:val="00326226"/>
    <w:rsid w:val="00343EDE"/>
    <w:rsid w:val="003459E3"/>
    <w:rsid w:val="003460D2"/>
    <w:rsid w:val="00350834"/>
    <w:rsid w:val="00351268"/>
    <w:rsid w:val="00351A42"/>
    <w:rsid w:val="0035251C"/>
    <w:rsid w:val="00353B99"/>
    <w:rsid w:val="00353E26"/>
    <w:rsid w:val="003562CD"/>
    <w:rsid w:val="00357003"/>
    <w:rsid w:val="00361781"/>
    <w:rsid w:val="0036205D"/>
    <w:rsid w:val="0036242F"/>
    <w:rsid w:val="00364431"/>
    <w:rsid w:val="00364AC0"/>
    <w:rsid w:val="00366583"/>
    <w:rsid w:val="003711CE"/>
    <w:rsid w:val="00371574"/>
    <w:rsid w:val="003720B5"/>
    <w:rsid w:val="00372438"/>
    <w:rsid w:val="00374222"/>
    <w:rsid w:val="003756CB"/>
    <w:rsid w:val="00376976"/>
    <w:rsid w:val="003770A6"/>
    <w:rsid w:val="0038222B"/>
    <w:rsid w:val="0038246D"/>
    <w:rsid w:val="003858AA"/>
    <w:rsid w:val="00390863"/>
    <w:rsid w:val="003919AB"/>
    <w:rsid w:val="00391BDA"/>
    <w:rsid w:val="00394C21"/>
    <w:rsid w:val="0039567D"/>
    <w:rsid w:val="0039611D"/>
    <w:rsid w:val="00396995"/>
    <w:rsid w:val="00397195"/>
    <w:rsid w:val="00397880"/>
    <w:rsid w:val="003A1BE2"/>
    <w:rsid w:val="003A2E31"/>
    <w:rsid w:val="003A4253"/>
    <w:rsid w:val="003A4817"/>
    <w:rsid w:val="003A49A0"/>
    <w:rsid w:val="003A5B80"/>
    <w:rsid w:val="003A5FD2"/>
    <w:rsid w:val="003A7B7F"/>
    <w:rsid w:val="003B1EED"/>
    <w:rsid w:val="003B5154"/>
    <w:rsid w:val="003B64A7"/>
    <w:rsid w:val="003B6C4D"/>
    <w:rsid w:val="003C1D36"/>
    <w:rsid w:val="003C5049"/>
    <w:rsid w:val="003C6682"/>
    <w:rsid w:val="003D26CE"/>
    <w:rsid w:val="003D6DF8"/>
    <w:rsid w:val="003E07D7"/>
    <w:rsid w:val="003E08C1"/>
    <w:rsid w:val="003E0FF7"/>
    <w:rsid w:val="003E1247"/>
    <w:rsid w:val="003E15FE"/>
    <w:rsid w:val="003E3547"/>
    <w:rsid w:val="003E66E6"/>
    <w:rsid w:val="003F197D"/>
    <w:rsid w:val="003F391C"/>
    <w:rsid w:val="003F4A82"/>
    <w:rsid w:val="003F65D9"/>
    <w:rsid w:val="00400932"/>
    <w:rsid w:val="00402766"/>
    <w:rsid w:val="00402E00"/>
    <w:rsid w:val="00403125"/>
    <w:rsid w:val="00403487"/>
    <w:rsid w:val="00403ADC"/>
    <w:rsid w:val="0040428D"/>
    <w:rsid w:val="00406205"/>
    <w:rsid w:val="00406DA7"/>
    <w:rsid w:val="004107CF"/>
    <w:rsid w:val="00412101"/>
    <w:rsid w:val="004143F8"/>
    <w:rsid w:val="00415636"/>
    <w:rsid w:val="00417F93"/>
    <w:rsid w:val="00421041"/>
    <w:rsid w:val="00423B63"/>
    <w:rsid w:val="00425AE1"/>
    <w:rsid w:val="00425E3A"/>
    <w:rsid w:val="004270F7"/>
    <w:rsid w:val="004275E0"/>
    <w:rsid w:val="004313A1"/>
    <w:rsid w:val="0043210C"/>
    <w:rsid w:val="00432228"/>
    <w:rsid w:val="00432B04"/>
    <w:rsid w:val="00434F7C"/>
    <w:rsid w:val="004354AA"/>
    <w:rsid w:val="00442074"/>
    <w:rsid w:val="0044569E"/>
    <w:rsid w:val="00445B41"/>
    <w:rsid w:val="00445B98"/>
    <w:rsid w:val="0044617F"/>
    <w:rsid w:val="00446BD6"/>
    <w:rsid w:val="00446EFA"/>
    <w:rsid w:val="00447305"/>
    <w:rsid w:val="00447DED"/>
    <w:rsid w:val="00455407"/>
    <w:rsid w:val="00456467"/>
    <w:rsid w:val="00457513"/>
    <w:rsid w:val="00457834"/>
    <w:rsid w:val="00457860"/>
    <w:rsid w:val="00462F4A"/>
    <w:rsid w:val="00463997"/>
    <w:rsid w:val="00463C16"/>
    <w:rsid w:val="00464C0B"/>
    <w:rsid w:val="004650F4"/>
    <w:rsid w:val="0046574D"/>
    <w:rsid w:val="004658AF"/>
    <w:rsid w:val="00466379"/>
    <w:rsid w:val="00466A21"/>
    <w:rsid w:val="00466EC2"/>
    <w:rsid w:val="00470219"/>
    <w:rsid w:val="0047159D"/>
    <w:rsid w:val="004715D5"/>
    <w:rsid w:val="00472482"/>
    <w:rsid w:val="0047587C"/>
    <w:rsid w:val="00475AF6"/>
    <w:rsid w:val="004762BF"/>
    <w:rsid w:val="00477FF2"/>
    <w:rsid w:val="00482564"/>
    <w:rsid w:val="00484E17"/>
    <w:rsid w:val="00485FED"/>
    <w:rsid w:val="004910D9"/>
    <w:rsid w:val="004935E4"/>
    <w:rsid w:val="0049412E"/>
    <w:rsid w:val="00496044"/>
    <w:rsid w:val="004A11AF"/>
    <w:rsid w:val="004A46F4"/>
    <w:rsid w:val="004A7A0E"/>
    <w:rsid w:val="004A7BAB"/>
    <w:rsid w:val="004B0FF9"/>
    <w:rsid w:val="004B209B"/>
    <w:rsid w:val="004B2A63"/>
    <w:rsid w:val="004B44A5"/>
    <w:rsid w:val="004B5FAB"/>
    <w:rsid w:val="004B66C1"/>
    <w:rsid w:val="004B7604"/>
    <w:rsid w:val="004C2C73"/>
    <w:rsid w:val="004C53DD"/>
    <w:rsid w:val="004C5654"/>
    <w:rsid w:val="004D35E0"/>
    <w:rsid w:val="004D3B1C"/>
    <w:rsid w:val="004D4792"/>
    <w:rsid w:val="004D574D"/>
    <w:rsid w:val="004E080B"/>
    <w:rsid w:val="004E2C89"/>
    <w:rsid w:val="004E366D"/>
    <w:rsid w:val="004E3707"/>
    <w:rsid w:val="004E7C37"/>
    <w:rsid w:val="004F28FF"/>
    <w:rsid w:val="004F3D2C"/>
    <w:rsid w:val="004F48AC"/>
    <w:rsid w:val="004F5535"/>
    <w:rsid w:val="004F602F"/>
    <w:rsid w:val="004F6967"/>
    <w:rsid w:val="005003EA"/>
    <w:rsid w:val="00500A61"/>
    <w:rsid w:val="0050297C"/>
    <w:rsid w:val="0050306A"/>
    <w:rsid w:val="00504253"/>
    <w:rsid w:val="00505105"/>
    <w:rsid w:val="00512504"/>
    <w:rsid w:val="005125D9"/>
    <w:rsid w:val="00513304"/>
    <w:rsid w:val="00515754"/>
    <w:rsid w:val="00517288"/>
    <w:rsid w:val="00517D5E"/>
    <w:rsid w:val="00520303"/>
    <w:rsid w:val="00521229"/>
    <w:rsid w:val="00522B6A"/>
    <w:rsid w:val="00523B63"/>
    <w:rsid w:val="005243C6"/>
    <w:rsid w:val="00524BE3"/>
    <w:rsid w:val="00527F0A"/>
    <w:rsid w:val="00530CDD"/>
    <w:rsid w:val="005317FF"/>
    <w:rsid w:val="00531AB3"/>
    <w:rsid w:val="00532DB6"/>
    <w:rsid w:val="0053522E"/>
    <w:rsid w:val="0053718F"/>
    <w:rsid w:val="0054157C"/>
    <w:rsid w:val="00541972"/>
    <w:rsid w:val="005438B0"/>
    <w:rsid w:val="00544C15"/>
    <w:rsid w:val="0054792C"/>
    <w:rsid w:val="00547BEB"/>
    <w:rsid w:val="00551866"/>
    <w:rsid w:val="00560A5E"/>
    <w:rsid w:val="005627BA"/>
    <w:rsid w:val="005637BA"/>
    <w:rsid w:val="0057112D"/>
    <w:rsid w:val="00574919"/>
    <w:rsid w:val="00575087"/>
    <w:rsid w:val="0058003D"/>
    <w:rsid w:val="00581EC4"/>
    <w:rsid w:val="00582F8A"/>
    <w:rsid w:val="0058580E"/>
    <w:rsid w:val="00585AFA"/>
    <w:rsid w:val="00587BE3"/>
    <w:rsid w:val="005902CB"/>
    <w:rsid w:val="005908C4"/>
    <w:rsid w:val="005938C0"/>
    <w:rsid w:val="00593E66"/>
    <w:rsid w:val="005944AA"/>
    <w:rsid w:val="00595D16"/>
    <w:rsid w:val="0059696A"/>
    <w:rsid w:val="005A6716"/>
    <w:rsid w:val="005B12F9"/>
    <w:rsid w:val="005B4116"/>
    <w:rsid w:val="005B4921"/>
    <w:rsid w:val="005B5951"/>
    <w:rsid w:val="005B6FDB"/>
    <w:rsid w:val="005C29D8"/>
    <w:rsid w:val="005C544C"/>
    <w:rsid w:val="005D281B"/>
    <w:rsid w:val="005D3F0E"/>
    <w:rsid w:val="005D4619"/>
    <w:rsid w:val="005D5E8B"/>
    <w:rsid w:val="005E1A1D"/>
    <w:rsid w:val="005E2D2D"/>
    <w:rsid w:val="005E45CD"/>
    <w:rsid w:val="005E554F"/>
    <w:rsid w:val="005E5E49"/>
    <w:rsid w:val="005E61C3"/>
    <w:rsid w:val="005F19AF"/>
    <w:rsid w:val="005F38B8"/>
    <w:rsid w:val="005F3989"/>
    <w:rsid w:val="005F5141"/>
    <w:rsid w:val="005F69F3"/>
    <w:rsid w:val="005F6DBC"/>
    <w:rsid w:val="005F7F75"/>
    <w:rsid w:val="00600503"/>
    <w:rsid w:val="0060131A"/>
    <w:rsid w:val="00601E1B"/>
    <w:rsid w:val="00602C0F"/>
    <w:rsid w:val="006043B3"/>
    <w:rsid w:val="00605117"/>
    <w:rsid w:val="00610D6D"/>
    <w:rsid w:val="006125F3"/>
    <w:rsid w:val="0061513E"/>
    <w:rsid w:val="006152A0"/>
    <w:rsid w:val="006154BC"/>
    <w:rsid w:val="00616A90"/>
    <w:rsid w:val="0061794E"/>
    <w:rsid w:val="00620036"/>
    <w:rsid w:val="006200C1"/>
    <w:rsid w:val="0062198B"/>
    <w:rsid w:val="00621AD4"/>
    <w:rsid w:val="00622553"/>
    <w:rsid w:val="0062315C"/>
    <w:rsid w:val="00624C4D"/>
    <w:rsid w:val="0062542E"/>
    <w:rsid w:val="00625828"/>
    <w:rsid w:val="00626FE5"/>
    <w:rsid w:val="00627BEB"/>
    <w:rsid w:val="00630156"/>
    <w:rsid w:val="006333BA"/>
    <w:rsid w:val="006358F5"/>
    <w:rsid w:val="00635A74"/>
    <w:rsid w:val="00635D3F"/>
    <w:rsid w:val="00636BAF"/>
    <w:rsid w:val="00642868"/>
    <w:rsid w:val="00642A90"/>
    <w:rsid w:val="006439CE"/>
    <w:rsid w:val="006439F4"/>
    <w:rsid w:val="0064455F"/>
    <w:rsid w:val="00646971"/>
    <w:rsid w:val="006503A0"/>
    <w:rsid w:val="0065052C"/>
    <w:rsid w:val="00651FCB"/>
    <w:rsid w:val="00652EBA"/>
    <w:rsid w:val="00655C6A"/>
    <w:rsid w:val="00656F6C"/>
    <w:rsid w:val="00657D04"/>
    <w:rsid w:val="00660ED3"/>
    <w:rsid w:val="00661B66"/>
    <w:rsid w:val="006639BC"/>
    <w:rsid w:val="00667AE2"/>
    <w:rsid w:val="00672846"/>
    <w:rsid w:val="00673C77"/>
    <w:rsid w:val="0067451A"/>
    <w:rsid w:val="00674B17"/>
    <w:rsid w:val="0067556D"/>
    <w:rsid w:val="006766E6"/>
    <w:rsid w:val="006772EC"/>
    <w:rsid w:val="006804FC"/>
    <w:rsid w:val="00680ED0"/>
    <w:rsid w:val="00681A15"/>
    <w:rsid w:val="006832D2"/>
    <w:rsid w:val="006843C4"/>
    <w:rsid w:val="00684AD0"/>
    <w:rsid w:val="00684E7F"/>
    <w:rsid w:val="00687B58"/>
    <w:rsid w:val="0069541C"/>
    <w:rsid w:val="00697C34"/>
    <w:rsid w:val="006A035C"/>
    <w:rsid w:val="006A0DCD"/>
    <w:rsid w:val="006A172D"/>
    <w:rsid w:val="006A3225"/>
    <w:rsid w:val="006A5B3A"/>
    <w:rsid w:val="006A5EF0"/>
    <w:rsid w:val="006A6713"/>
    <w:rsid w:val="006A68CE"/>
    <w:rsid w:val="006B1969"/>
    <w:rsid w:val="006B2CF0"/>
    <w:rsid w:val="006B2D58"/>
    <w:rsid w:val="006B4446"/>
    <w:rsid w:val="006B44B4"/>
    <w:rsid w:val="006B65B7"/>
    <w:rsid w:val="006C0ADB"/>
    <w:rsid w:val="006C2755"/>
    <w:rsid w:val="006C2837"/>
    <w:rsid w:val="006C296F"/>
    <w:rsid w:val="006C3580"/>
    <w:rsid w:val="006C690E"/>
    <w:rsid w:val="006D27AD"/>
    <w:rsid w:val="006D3549"/>
    <w:rsid w:val="006D4C93"/>
    <w:rsid w:val="006D7C6D"/>
    <w:rsid w:val="006E068D"/>
    <w:rsid w:val="006E1956"/>
    <w:rsid w:val="006E32CE"/>
    <w:rsid w:val="006E631F"/>
    <w:rsid w:val="006E76AA"/>
    <w:rsid w:val="006F3394"/>
    <w:rsid w:val="006F4018"/>
    <w:rsid w:val="006F4A24"/>
    <w:rsid w:val="006F4D8C"/>
    <w:rsid w:val="007004AA"/>
    <w:rsid w:val="0070162F"/>
    <w:rsid w:val="0070210E"/>
    <w:rsid w:val="00703204"/>
    <w:rsid w:val="00705090"/>
    <w:rsid w:val="0070570F"/>
    <w:rsid w:val="00705F90"/>
    <w:rsid w:val="00707E5B"/>
    <w:rsid w:val="00710B0D"/>
    <w:rsid w:val="007126D3"/>
    <w:rsid w:val="00713198"/>
    <w:rsid w:val="007135A2"/>
    <w:rsid w:val="00715342"/>
    <w:rsid w:val="0071686C"/>
    <w:rsid w:val="00717EAF"/>
    <w:rsid w:val="00724433"/>
    <w:rsid w:val="00725F3B"/>
    <w:rsid w:val="00727827"/>
    <w:rsid w:val="0072783B"/>
    <w:rsid w:val="00727BFA"/>
    <w:rsid w:val="007331D3"/>
    <w:rsid w:val="0073560B"/>
    <w:rsid w:val="00737C55"/>
    <w:rsid w:val="007400F8"/>
    <w:rsid w:val="00742FDD"/>
    <w:rsid w:val="00743878"/>
    <w:rsid w:val="00745EF5"/>
    <w:rsid w:val="00747607"/>
    <w:rsid w:val="00752EC8"/>
    <w:rsid w:val="0076019C"/>
    <w:rsid w:val="007603E3"/>
    <w:rsid w:val="007616A5"/>
    <w:rsid w:val="00761BFD"/>
    <w:rsid w:val="00761C22"/>
    <w:rsid w:val="00763592"/>
    <w:rsid w:val="00765D7C"/>
    <w:rsid w:val="007672D2"/>
    <w:rsid w:val="007701F7"/>
    <w:rsid w:val="0077177A"/>
    <w:rsid w:val="0077281D"/>
    <w:rsid w:val="00773589"/>
    <w:rsid w:val="00774092"/>
    <w:rsid w:val="00775CFE"/>
    <w:rsid w:val="0078006B"/>
    <w:rsid w:val="007819BD"/>
    <w:rsid w:val="0078270A"/>
    <w:rsid w:val="00783464"/>
    <w:rsid w:val="007905A0"/>
    <w:rsid w:val="00790EE9"/>
    <w:rsid w:val="00791141"/>
    <w:rsid w:val="00792DE7"/>
    <w:rsid w:val="007945B4"/>
    <w:rsid w:val="00796FEE"/>
    <w:rsid w:val="007A089B"/>
    <w:rsid w:val="007A2026"/>
    <w:rsid w:val="007A285B"/>
    <w:rsid w:val="007A43DD"/>
    <w:rsid w:val="007A62DD"/>
    <w:rsid w:val="007A79A2"/>
    <w:rsid w:val="007B033B"/>
    <w:rsid w:val="007B05E5"/>
    <w:rsid w:val="007B06D6"/>
    <w:rsid w:val="007B102B"/>
    <w:rsid w:val="007B1EEB"/>
    <w:rsid w:val="007B2A42"/>
    <w:rsid w:val="007B4563"/>
    <w:rsid w:val="007B47A4"/>
    <w:rsid w:val="007B726C"/>
    <w:rsid w:val="007B741F"/>
    <w:rsid w:val="007C0E6C"/>
    <w:rsid w:val="007C25A5"/>
    <w:rsid w:val="007C365C"/>
    <w:rsid w:val="007C6A78"/>
    <w:rsid w:val="007C76AC"/>
    <w:rsid w:val="007C7737"/>
    <w:rsid w:val="007D06AD"/>
    <w:rsid w:val="007D2C11"/>
    <w:rsid w:val="007D5143"/>
    <w:rsid w:val="007D681D"/>
    <w:rsid w:val="007D7CB8"/>
    <w:rsid w:val="007E3C4D"/>
    <w:rsid w:val="007E4F71"/>
    <w:rsid w:val="007E5131"/>
    <w:rsid w:val="007E5195"/>
    <w:rsid w:val="007E5368"/>
    <w:rsid w:val="007F0D31"/>
    <w:rsid w:val="007F130D"/>
    <w:rsid w:val="007F3617"/>
    <w:rsid w:val="007F3DD2"/>
    <w:rsid w:val="008055DB"/>
    <w:rsid w:val="00805BD8"/>
    <w:rsid w:val="00805DC0"/>
    <w:rsid w:val="00806C76"/>
    <w:rsid w:val="00807BAA"/>
    <w:rsid w:val="0081505A"/>
    <w:rsid w:val="00817ABD"/>
    <w:rsid w:val="00821435"/>
    <w:rsid w:val="008233F3"/>
    <w:rsid w:val="00827F8E"/>
    <w:rsid w:val="00830A7A"/>
    <w:rsid w:val="0083340A"/>
    <w:rsid w:val="008335B5"/>
    <w:rsid w:val="00834A5C"/>
    <w:rsid w:val="00834D02"/>
    <w:rsid w:val="00836781"/>
    <w:rsid w:val="00840089"/>
    <w:rsid w:val="008436F5"/>
    <w:rsid w:val="008523DC"/>
    <w:rsid w:val="00861226"/>
    <w:rsid w:val="00862BAE"/>
    <w:rsid w:val="00862F43"/>
    <w:rsid w:val="008657B6"/>
    <w:rsid w:val="00866CD3"/>
    <w:rsid w:val="00867102"/>
    <w:rsid w:val="008673D6"/>
    <w:rsid w:val="00870DFE"/>
    <w:rsid w:val="00873A65"/>
    <w:rsid w:val="00875F58"/>
    <w:rsid w:val="0087738E"/>
    <w:rsid w:val="00881601"/>
    <w:rsid w:val="00881D39"/>
    <w:rsid w:val="008828C3"/>
    <w:rsid w:val="00885921"/>
    <w:rsid w:val="00886509"/>
    <w:rsid w:val="00890292"/>
    <w:rsid w:val="008910B8"/>
    <w:rsid w:val="0089634C"/>
    <w:rsid w:val="00897313"/>
    <w:rsid w:val="008A04B3"/>
    <w:rsid w:val="008A04EF"/>
    <w:rsid w:val="008A5E12"/>
    <w:rsid w:val="008A6F94"/>
    <w:rsid w:val="008A7C8A"/>
    <w:rsid w:val="008B009F"/>
    <w:rsid w:val="008B1276"/>
    <w:rsid w:val="008B1A4B"/>
    <w:rsid w:val="008B1FB4"/>
    <w:rsid w:val="008B567A"/>
    <w:rsid w:val="008B56F0"/>
    <w:rsid w:val="008C0CC8"/>
    <w:rsid w:val="008C389A"/>
    <w:rsid w:val="008C5651"/>
    <w:rsid w:val="008C6F03"/>
    <w:rsid w:val="008C7844"/>
    <w:rsid w:val="008D1435"/>
    <w:rsid w:val="008D24E9"/>
    <w:rsid w:val="008D29CB"/>
    <w:rsid w:val="008D4343"/>
    <w:rsid w:val="008D4BED"/>
    <w:rsid w:val="008D5547"/>
    <w:rsid w:val="008D795B"/>
    <w:rsid w:val="008E3212"/>
    <w:rsid w:val="008E4139"/>
    <w:rsid w:val="008E41ED"/>
    <w:rsid w:val="008E54D9"/>
    <w:rsid w:val="008E5C98"/>
    <w:rsid w:val="008E5E2B"/>
    <w:rsid w:val="008E78FC"/>
    <w:rsid w:val="008E7DFD"/>
    <w:rsid w:val="008F0EE9"/>
    <w:rsid w:val="008F4DA5"/>
    <w:rsid w:val="008F5450"/>
    <w:rsid w:val="008F5610"/>
    <w:rsid w:val="008F5C1F"/>
    <w:rsid w:val="00901575"/>
    <w:rsid w:val="0090287B"/>
    <w:rsid w:val="0090521F"/>
    <w:rsid w:val="00906451"/>
    <w:rsid w:val="009070AA"/>
    <w:rsid w:val="00912BF3"/>
    <w:rsid w:val="00914286"/>
    <w:rsid w:val="009144A0"/>
    <w:rsid w:val="0091696B"/>
    <w:rsid w:val="009174A8"/>
    <w:rsid w:val="009247D0"/>
    <w:rsid w:val="00926C4B"/>
    <w:rsid w:val="00927BA7"/>
    <w:rsid w:val="00934DBB"/>
    <w:rsid w:val="0093595F"/>
    <w:rsid w:val="00936295"/>
    <w:rsid w:val="00940731"/>
    <w:rsid w:val="00945E22"/>
    <w:rsid w:val="00950B85"/>
    <w:rsid w:val="009515C2"/>
    <w:rsid w:val="00952A87"/>
    <w:rsid w:val="009541DB"/>
    <w:rsid w:val="00955719"/>
    <w:rsid w:val="00955F72"/>
    <w:rsid w:val="009563DF"/>
    <w:rsid w:val="00957C3D"/>
    <w:rsid w:val="00957C8F"/>
    <w:rsid w:val="009634D0"/>
    <w:rsid w:val="009641F0"/>
    <w:rsid w:val="00965C63"/>
    <w:rsid w:val="00967AB9"/>
    <w:rsid w:val="00970361"/>
    <w:rsid w:val="00971B33"/>
    <w:rsid w:val="00974D32"/>
    <w:rsid w:val="00975D78"/>
    <w:rsid w:val="00980773"/>
    <w:rsid w:val="009810FA"/>
    <w:rsid w:val="009824DC"/>
    <w:rsid w:val="00982EB9"/>
    <w:rsid w:val="0098333C"/>
    <w:rsid w:val="00983E12"/>
    <w:rsid w:val="00984538"/>
    <w:rsid w:val="009868C6"/>
    <w:rsid w:val="00986EAF"/>
    <w:rsid w:val="0099556D"/>
    <w:rsid w:val="00997FBD"/>
    <w:rsid w:val="009A1A1C"/>
    <w:rsid w:val="009A33C2"/>
    <w:rsid w:val="009A7BE2"/>
    <w:rsid w:val="009B0206"/>
    <w:rsid w:val="009B31DD"/>
    <w:rsid w:val="009B64DF"/>
    <w:rsid w:val="009C0FDD"/>
    <w:rsid w:val="009C13B9"/>
    <w:rsid w:val="009C1754"/>
    <w:rsid w:val="009C65F4"/>
    <w:rsid w:val="009C7EAA"/>
    <w:rsid w:val="009D05E9"/>
    <w:rsid w:val="009D1657"/>
    <w:rsid w:val="009D2CFF"/>
    <w:rsid w:val="009D50C7"/>
    <w:rsid w:val="009E0A71"/>
    <w:rsid w:val="009E0ADE"/>
    <w:rsid w:val="009F0903"/>
    <w:rsid w:val="009F09AC"/>
    <w:rsid w:val="009F0B1C"/>
    <w:rsid w:val="009F5B12"/>
    <w:rsid w:val="009F5FB6"/>
    <w:rsid w:val="009F6187"/>
    <w:rsid w:val="009F7EBA"/>
    <w:rsid w:val="00A0123C"/>
    <w:rsid w:val="00A04F41"/>
    <w:rsid w:val="00A06E01"/>
    <w:rsid w:val="00A0709E"/>
    <w:rsid w:val="00A10480"/>
    <w:rsid w:val="00A11307"/>
    <w:rsid w:val="00A11754"/>
    <w:rsid w:val="00A15623"/>
    <w:rsid w:val="00A16DB0"/>
    <w:rsid w:val="00A16DC8"/>
    <w:rsid w:val="00A171AC"/>
    <w:rsid w:val="00A22348"/>
    <w:rsid w:val="00A247B5"/>
    <w:rsid w:val="00A26DE0"/>
    <w:rsid w:val="00A27DF3"/>
    <w:rsid w:val="00A30919"/>
    <w:rsid w:val="00A31F5E"/>
    <w:rsid w:val="00A327D9"/>
    <w:rsid w:val="00A335AB"/>
    <w:rsid w:val="00A33960"/>
    <w:rsid w:val="00A35A72"/>
    <w:rsid w:val="00A375E0"/>
    <w:rsid w:val="00A40B11"/>
    <w:rsid w:val="00A40DA5"/>
    <w:rsid w:val="00A41D21"/>
    <w:rsid w:val="00A43CDA"/>
    <w:rsid w:val="00A44C61"/>
    <w:rsid w:val="00A45BD6"/>
    <w:rsid w:val="00A45F4D"/>
    <w:rsid w:val="00A46174"/>
    <w:rsid w:val="00A50ACF"/>
    <w:rsid w:val="00A516B7"/>
    <w:rsid w:val="00A51FF4"/>
    <w:rsid w:val="00A52987"/>
    <w:rsid w:val="00A5439E"/>
    <w:rsid w:val="00A566FB"/>
    <w:rsid w:val="00A57452"/>
    <w:rsid w:val="00A65FFB"/>
    <w:rsid w:val="00A7219F"/>
    <w:rsid w:val="00A739B7"/>
    <w:rsid w:val="00A74809"/>
    <w:rsid w:val="00A75C9C"/>
    <w:rsid w:val="00A8151D"/>
    <w:rsid w:val="00A81766"/>
    <w:rsid w:val="00A81CDE"/>
    <w:rsid w:val="00A827A7"/>
    <w:rsid w:val="00A828AC"/>
    <w:rsid w:val="00A83131"/>
    <w:rsid w:val="00A83E2D"/>
    <w:rsid w:val="00A85410"/>
    <w:rsid w:val="00A85BCD"/>
    <w:rsid w:val="00A86A56"/>
    <w:rsid w:val="00A86BA1"/>
    <w:rsid w:val="00A8785C"/>
    <w:rsid w:val="00A9261D"/>
    <w:rsid w:val="00A927C1"/>
    <w:rsid w:val="00A95999"/>
    <w:rsid w:val="00A959CA"/>
    <w:rsid w:val="00A97D30"/>
    <w:rsid w:val="00AA2B4C"/>
    <w:rsid w:val="00AA3B01"/>
    <w:rsid w:val="00AA4115"/>
    <w:rsid w:val="00AA494E"/>
    <w:rsid w:val="00AA58A1"/>
    <w:rsid w:val="00AA671F"/>
    <w:rsid w:val="00AA729C"/>
    <w:rsid w:val="00AA72D6"/>
    <w:rsid w:val="00AB093A"/>
    <w:rsid w:val="00AB0B54"/>
    <w:rsid w:val="00AB2585"/>
    <w:rsid w:val="00AB4C5C"/>
    <w:rsid w:val="00AB4FCB"/>
    <w:rsid w:val="00AC12CB"/>
    <w:rsid w:val="00AC1974"/>
    <w:rsid w:val="00AC397E"/>
    <w:rsid w:val="00AC45D1"/>
    <w:rsid w:val="00AC498E"/>
    <w:rsid w:val="00AC51AD"/>
    <w:rsid w:val="00AD0BAD"/>
    <w:rsid w:val="00AD4FFA"/>
    <w:rsid w:val="00AD62CD"/>
    <w:rsid w:val="00AE3DFF"/>
    <w:rsid w:val="00AE412A"/>
    <w:rsid w:val="00AF0151"/>
    <w:rsid w:val="00AF0364"/>
    <w:rsid w:val="00AF1334"/>
    <w:rsid w:val="00AF146B"/>
    <w:rsid w:val="00AF423B"/>
    <w:rsid w:val="00B02138"/>
    <w:rsid w:val="00B0370F"/>
    <w:rsid w:val="00B04421"/>
    <w:rsid w:val="00B05AB1"/>
    <w:rsid w:val="00B069B6"/>
    <w:rsid w:val="00B070C8"/>
    <w:rsid w:val="00B10197"/>
    <w:rsid w:val="00B104FF"/>
    <w:rsid w:val="00B10807"/>
    <w:rsid w:val="00B12127"/>
    <w:rsid w:val="00B176DE"/>
    <w:rsid w:val="00B17E16"/>
    <w:rsid w:val="00B2075D"/>
    <w:rsid w:val="00B214A7"/>
    <w:rsid w:val="00B23DD9"/>
    <w:rsid w:val="00B260EF"/>
    <w:rsid w:val="00B3110F"/>
    <w:rsid w:val="00B31C4A"/>
    <w:rsid w:val="00B32771"/>
    <w:rsid w:val="00B32A96"/>
    <w:rsid w:val="00B32EC5"/>
    <w:rsid w:val="00B34F9F"/>
    <w:rsid w:val="00B404F7"/>
    <w:rsid w:val="00B41E60"/>
    <w:rsid w:val="00B4348A"/>
    <w:rsid w:val="00B4369A"/>
    <w:rsid w:val="00B436A1"/>
    <w:rsid w:val="00B4510E"/>
    <w:rsid w:val="00B45B18"/>
    <w:rsid w:val="00B46E5F"/>
    <w:rsid w:val="00B4754C"/>
    <w:rsid w:val="00B51A68"/>
    <w:rsid w:val="00B51DBE"/>
    <w:rsid w:val="00B5301D"/>
    <w:rsid w:val="00B54050"/>
    <w:rsid w:val="00B54458"/>
    <w:rsid w:val="00B547D0"/>
    <w:rsid w:val="00B55198"/>
    <w:rsid w:val="00B56B07"/>
    <w:rsid w:val="00B578C1"/>
    <w:rsid w:val="00B60A8A"/>
    <w:rsid w:val="00B60B52"/>
    <w:rsid w:val="00B61678"/>
    <w:rsid w:val="00B61842"/>
    <w:rsid w:val="00B636C5"/>
    <w:rsid w:val="00B637B2"/>
    <w:rsid w:val="00B64340"/>
    <w:rsid w:val="00B64682"/>
    <w:rsid w:val="00B65A32"/>
    <w:rsid w:val="00B67065"/>
    <w:rsid w:val="00B72F60"/>
    <w:rsid w:val="00B7465A"/>
    <w:rsid w:val="00B761A9"/>
    <w:rsid w:val="00B763B4"/>
    <w:rsid w:val="00B7652C"/>
    <w:rsid w:val="00B77406"/>
    <w:rsid w:val="00B80215"/>
    <w:rsid w:val="00B81F1C"/>
    <w:rsid w:val="00B91651"/>
    <w:rsid w:val="00BA2175"/>
    <w:rsid w:val="00BA4639"/>
    <w:rsid w:val="00BB2714"/>
    <w:rsid w:val="00BB34B8"/>
    <w:rsid w:val="00BC0E66"/>
    <w:rsid w:val="00BC11EF"/>
    <w:rsid w:val="00BC51AE"/>
    <w:rsid w:val="00BC66E2"/>
    <w:rsid w:val="00BD15C8"/>
    <w:rsid w:val="00BD2348"/>
    <w:rsid w:val="00BD5CB4"/>
    <w:rsid w:val="00BD66C6"/>
    <w:rsid w:val="00BD69A1"/>
    <w:rsid w:val="00BD6EB4"/>
    <w:rsid w:val="00BD782D"/>
    <w:rsid w:val="00BD7FB8"/>
    <w:rsid w:val="00BE0C71"/>
    <w:rsid w:val="00BE0CCF"/>
    <w:rsid w:val="00BE0EF5"/>
    <w:rsid w:val="00BE2B09"/>
    <w:rsid w:val="00BE2C24"/>
    <w:rsid w:val="00BE428A"/>
    <w:rsid w:val="00BE75B3"/>
    <w:rsid w:val="00BE7C8B"/>
    <w:rsid w:val="00BF0AF2"/>
    <w:rsid w:val="00BF0D89"/>
    <w:rsid w:val="00BF1661"/>
    <w:rsid w:val="00BF1DA3"/>
    <w:rsid w:val="00BF2624"/>
    <w:rsid w:val="00BF308D"/>
    <w:rsid w:val="00BF5A2E"/>
    <w:rsid w:val="00C01026"/>
    <w:rsid w:val="00C027E8"/>
    <w:rsid w:val="00C029BA"/>
    <w:rsid w:val="00C02F2B"/>
    <w:rsid w:val="00C03A0B"/>
    <w:rsid w:val="00C04E6E"/>
    <w:rsid w:val="00C10591"/>
    <w:rsid w:val="00C10D4A"/>
    <w:rsid w:val="00C114BB"/>
    <w:rsid w:val="00C128CE"/>
    <w:rsid w:val="00C12F14"/>
    <w:rsid w:val="00C1366C"/>
    <w:rsid w:val="00C15ABF"/>
    <w:rsid w:val="00C15C18"/>
    <w:rsid w:val="00C15E63"/>
    <w:rsid w:val="00C16E4D"/>
    <w:rsid w:val="00C17663"/>
    <w:rsid w:val="00C20A8B"/>
    <w:rsid w:val="00C22141"/>
    <w:rsid w:val="00C2257A"/>
    <w:rsid w:val="00C260FF"/>
    <w:rsid w:val="00C27DC2"/>
    <w:rsid w:val="00C32638"/>
    <w:rsid w:val="00C339F8"/>
    <w:rsid w:val="00C341B5"/>
    <w:rsid w:val="00C342E1"/>
    <w:rsid w:val="00C376A6"/>
    <w:rsid w:val="00C4046B"/>
    <w:rsid w:val="00C45481"/>
    <w:rsid w:val="00C47FB4"/>
    <w:rsid w:val="00C50831"/>
    <w:rsid w:val="00C51A3E"/>
    <w:rsid w:val="00C562E9"/>
    <w:rsid w:val="00C60453"/>
    <w:rsid w:val="00C6585B"/>
    <w:rsid w:val="00C65B19"/>
    <w:rsid w:val="00C668DB"/>
    <w:rsid w:val="00C66B18"/>
    <w:rsid w:val="00C71179"/>
    <w:rsid w:val="00C715A2"/>
    <w:rsid w:val="00C738D0"/>
    <w:rsid w:val="00C74063"/>
    <w:rsid w:val="00C748BF"/>
    <w:rsid w:val="00C75306"/>
    <w:rsid w:val="00C76E36"/>
    <w:rsid w:val="00C76F59"/>
    <w:rsid w:val="00C80487"/>
    <w:rsid w:val="00C8154C"/>
    <w:rsid w:val="00C82FE1"/>
    <w:rsid w:val="00C83788"/>
    <w:rsid w:val="00C86594"/>
    <w:rsid w:val="00C92C22"/>
    <w:rsid w:val="00CA42CE"/>
    <w:rsid w:val="00CA6168"/>
    <w:rsid w:val="00CB1BFA"/>
    <w:rsid w:val="00CB3F46"/>
    <w:rsid w:val="00CB798B"/>
    <w:rsid w:val="00CC2254"/>
    <w:rsid w:val="00CC2724"/>
    <w:rsid w:val="00CC2C42"/>
    <w:rsid w:val="00CC3A2F"/>
    <w:rsid w:val="00CC3B58"/>
    <w:rsid w:val="00CC5824"/>
    <w:rsid w:val="00CC6D81"/>
    <w:rsid w:val="00CD010C"/>
    <w:rsid w:val="00CD023D"/>
    <w:rsid w:val="00CD02B5"/>
    <w:rsid w:val="00CD0616"/>
    <w:rsid w:val="00CD0AE1"/>
    <w:rsid w:val="00CD11DE"/>
    <w:rsid w:val="00CD12B4"/>
    <w:rsid w:val="00CD2A77"/>
    <w:rsid w:val="00CD356A"/>
    <w:rsid w:val="00CD6D10"/>
    <w:rsid w:val="00CE1AB7"/>
    <w:rsid w:val="00CE1EDD"/>
    <w:rsid w:val="00CF1772"/>
    <w:rsid w:val="00CF51F9"/>
    <w:rsid w:val="00CF5690"/>
    <w:rsid w:val="00D04163"/>
    <w:rsid w:val="00D064CD"/>
    <w:rsid w:val="00D07C9B"/>
    <w:rsid w:val="00D07D1E"/>
    <w:rsid w:val="00D14E88"/>
    <w:rsid w:val="00D163EA"/>
    <w:rsid w:val="00D164B6"/>
    <w:rsid w:val="00D16F66"/>
    <w:rsid w:val="00D211B0"/>
    <w:rsid w:val="00D212C9"/>
    <w:rsid w:val="00D21F33"/>
    <w:rsid w:val="00D2227E"/>
    <w:rsid w:val="00D22854"/>
    <w:rsid w:val="00D22BBF"/>
    <w:rsid w:val="00D26C2F"/>
    <w:rsid w:val="00D311B4"/>
    <w:rsid w:val="00D32259"/>
    <w:rsid w:val="00D33F7C"/>
    <w:rsid w:val="00D3504C"/>
    <w:rsid w:val="00D35C13"/>
    <w:rsid w:val="00D36908"/>
    <w:rsid w:val="00D373CC"/>
    <w:rsid w:val="00D40A3A"/>
    <w:rsid w:val="00D41086"/>
    <w:rsid w:val="00D4135D"/>
    <w:rsid w:val="00D41430"/>
    <w:rsid w:val="00D417F5"/>
    <w:rsid w:val="00D43AB7"/>
    <w:rsid w:val="00D43B8A"/>
    <w:rsid w:val="00D43D04"/>
    <w:rsid w:val="00D4593D"/>
    <w:rsid w:val="00D45A31"/>
    <w:rsid w:val="00D465F5"/>
    <w:rsid w:val="00D518CC"/>
    <w:rsid w:val="00D54B14"/>
    <w:rsid w:val="00D565A4"/>
    <w:rsid w:val="00D56D5C"/>
    <w:rsid w:val="00D573AF"/>
    <w:rsid w:val="00D60C3F"/>
    <w:rsid w:val="00D6200E"/>
    <w:rsid w:val="00D62CC6"/>
    <w:rsid w:val="00D63BBF"/>
    <w:rsid w:val="00D65DA5"/>
    <w:rsid w:val="00D72B65"/>
    <w:rsid w:val="00D76779"/>
    <w:rsid w:val="00D77884"/>
    <w:rsid w:val="00D83091"/>
    <w:rsid w:val="00D83210"/>
    <w:rsid w:val="00D861B4"/>
    <w:rsid w:val="00D86B1D"/>
    <w:rsid w:val="00D87C4F"/>
    <w:rsid w:val="00D90580"/>
    <w:rsid w:val="00D9168F"/>
    <w:rsid w:val="00D923D9"/>
    <w:rsid w:val="00D92915"/>
    <w:rsid w:val="00D94AF2"/>
    <w:rsid w:val="00D96653"/>
    <w:rsid w:val="00DA012B"/>
    <w:rsid w:val="00DA0705"/>
    <w:rsid w:val="00DA3DE5"/>
    <w:rsid w:val="00DA45C6"/>
    <w:rsid w:val="00DA4A4B"/>
    <w:rsid w:val="00DA6ECC"/>
    <w:rsid w:val="00DB050B"/>
    <w:rsid w:val="00DB060E"/>
    <w:rsid w:val="00DB18E6"/>
    <w:rsid w:val="00DB343C"/>
    <w:rsid w:val="00DC154D"/>
    <w:rsid w:val="00DC3C3A"/>
    <w:rsid w:val="00DC76FE"/>
    <w:rsid w:val="00DD1AC6"/>
    <w:rsid w:val="00DD1D08"/>
    <w:rsid w:val="00DD3F92"/>
    <w:rsid w:val="00DD509D"/>
    <w:rsid w:val="00DE328B"/>
    <w:rsid w:val="00DE4372"/>
    <w:rsid w:val="00DE75A1"/>
    <w:rsid w:val="00DF015C"/>
    <w:rsid w:val="00DF1CA0"/>
    <w:rsid w:val="00DF24EE"/>
    <w:rsid w:val="00DF392E"/>
    <w:rsid w:val="00DF5A03"/>
    <w:rsid w:val="00DF6481"/>
    <w:rsid w:val="00DF681F"/>
    <w:rsid w:val="00DF7D9B"/>
    <w:rsid w:val="00E03189"/>
    <w:rsid w:val="00E03C95"/>
    <w:rsid w:val="00E04981"/>
    <w:rsid w:val="00E05A67"/>
    <w:rsid w:val="00E06781"/>
    <w:rsid w:val="00E11944"/>
    <w:rsid w:val="00E12252"/>
    <w:rsid w:val="00E125AB"/>
    <w:rsid w:val="00E1370A"/>
    <w:rsid w:val="00E1441D"/>
    <w:rsid w:val="00E14FD5"/>
    <w:rsid w:val="00E1571F"/>
    <w:rsid w:val="00E162D3"/>
    <w:rsid w:val="00E16A8E"/>
    <w:rsid w:val="00E177D5"/>
    <w:rsid w:val="00E20193"/>
    <w:rsid w:val="00E20BFA"/>
    <w:rsid w:val="00E216F1"/>
    <w:rsid w:val="00E23282"/>
    <w:rsid w:val="00E2470C"/>
    <w:rsid w:val="00E2546F"/>
    <w:rsid w:val="00E27569"/>
    <w:rsid w:val="00E27A9C"/>
    <w:rsid w:val="00E3188F"/>
    <w:rsid w:val="00E31B2E"/>
    <w:rsid w:val="00E31BDC"/>
    <w:rsid w:val="00E33977"/>
    <w:rsid w:val="00E350FB"/>
    <w:rsid w:val="00E35938"/>
    <w:rsid w:val="00E370FE"/>
    <w:rsid w:val="00E378CD"/>
    <w:rsid w:val="00E4268D"/>
    <w:rsid w:val="00E42F29"/>
    <w:rsid w:val="00E43EEA"/>
    <w:rsid w:val="00E443A9"/>
    <w:rsid w:val="00E506A6"/>
    <w:rsid w:val="00E51290"/>
    <w:rsid w:val="00E51BF4"/>
    <w:rsid w:val="00E54021"/>
    <w:rsid w:val="00E54189"/>
    <w:rsid w:val="00E559DF"/>
    <w:rsid w:val="00E56166"/>
    <w:rsid w:val="00E575DC"/>
    <w:rsid w:val="00E57970"/>
    <w:rsid w:val="00E60681"/>
    <w:rsid w:val="00E63934"/>
    <w:rsid w:val="00E64F2C"/>
    <w:rsid w:val="00E65F0F"/>
    <w:rsid w:val="00E67D6C"/>
    <w:rsid w:val="00E71F2D"/>
    <w:rsid w:val="00E72980"/>
    <w:rsid w:val="00E74465"/>
    <w:rsid w:val="00E748ED"/>
    <w:rsid w:val="00E75557"/>
    <w:rsid w:val="00E77A0E"/>
    <w:rsid w:val="00E82827"/>
    <w:rsid w:val="00E8338A"/>
    <w:rsid w:val="00E84C24"/>
    <w:rsid w:val="00E86047"/>
    <w:rsid w:val="00E9199F"/>
    <w:rsid w:val="00EA0D20"/>
    <w:rsid w:val="00EA3180"/>
    <w:rsid w:val="00EA4531"/>
    <w:rsid w:val="00EA605F"/>
    <w:rsid w:val="00EA6E15"/>
    <w:rsid w:val="00EB11F5"/>
    <w:rsid w:val="00EB2801"/>
    <w:rsid w:val="00EB307E"/>
    <w:rsid w:val="00EB36D8"/>
    <w:rsid w:val="00EB4EA8"/>
    <w:rsid w:val="00EB54AF"/>
    <w:rsid w:val="00EB7FC3"/>
    <w:rsid w:val="00EC2765"/>
    <w:rsid w:val="00EC276F"/>
    <w:rsid w:val="00EC2B48"/>
    <w:rsid w:val="00EC2E79"/>
    <w:rsid w:val="00EC2F53"/>
    <w:rsid w:val="00EC4423"/>
    <w:rsid w:val="00EC44E0"/>
    <w:rsid w:val="00EC4B88"/>
    <w:rsid w:val="00EC51CE"/>
    <w:rsid w:val="00EC5E8F"/>
    <w:rsid w:val="00EC6F76"/>
    <w:rsid w:val="00ED0038"/>
    <w:rsid w:val="00ED05AB"/>
    <w:rsid w:val="00ED0C03"/>
    <w:rsid w:val="00ED19F9"/>
    <w:rsid w:val="00ED35B9"/>
    <w:rsid w:val="00ED3BE3"/>
    <w:rsid w:val="00ED49C8"/>
    <w:rsid w:val="00ED5AC8"/>
    <w:rsid w:val="00ED6443"/>
    <w:rsid w:val="00ED6474"/>
    <w:rsid w:val="00ED793D"/>
    <w:rsid w:val="00EE0EA4"/>
    <w:rsid w:val="00EE3099"/>
    <w:rsid w:val="00EE443F"/>
    <w:rsid w:val="00EE4CDF"/>
    <w:rsid w:val="00EE5703"/>
    <w:rsid w:val="00EE5CA0"/>
    <w:rsid w:val="00EE7EC0"/>
    <w:rsid w:val="00EF0C69"/>
    <w:rsid w:val="00EF1CD4"/>
    <w:rsid w:val="00EF1E8A"/>
    <w:rsid w:val="00EF3F35"/>
    <w:rsid w:val="00EF65A8"/>
    <w:rsid w:val="00EF75AB"/>
    <w:rsid w:val="00EF77C2"/>
    <w:rsid w:val="00F01559"/>
    <w:rsid w:val="00F0208D"/>
    <w:rsid w:val="00F0225C"/>
    <w:rsid w:val="00F030CF"/>
    <w:rsid w:val="00F033E3"/>
    <w:rsid w:val="00F05C1E"/>
    <w:rsid w:val="00F06F10"/>
    <w:rsid w:val="00F07C8A"/>
    <w:rsid w:val="00F112AD"/>
    <w:rsid w:val="00F12EDA"/>
    <w:rsid w:val="00F15F9D"/>
    <w:rsid w:val="00F168B9"/>
    <w:rsid w:val="00F17176"/>
    <w:rsid w:val="00F2002A"/>
    <w:rsid w:val="00F20B37"/>
    <w:rsid w:val="00F21F46"/>
    <w:rsid w:val="00F237E5"/>
    <w:rsid w:val="00F24307"/>
    <w:rsid w:val="00F26CD9"/>
    <w:rsid w:val="00F2728A"/>
    <w:rsid w:val="00F30330"/>
    <w:rsid w:val="00F31308"/>
    <w:rsid w:val="00F3293A"/>
    <w:rsid w:val="00F3299B"/>
    <w:rsid w:val="00F37BB1"/>
    <w:rsid w:val="00F40281"/>
    <w:rsid w:val="00F40345"/>
    <w:rsid w:val="00F41621"/>
    <w:rsid w:val="00F41EE8"/>
    <w:rsid w:val="00F44960"/>
    <w:rsid w:val="00F44D5C"/>
    <w:rsid w:val="00F452AF"/>
    <w:rsid w:val="00F47A20"/>
    <w:rsid w:val="00F50B0F"/>
    <w:rsid w:val="00F52B5F"/>
    <w:rsid w:val="00F53B62"/>
    <w:rsid w:val="00F53E4C"/>
    <w:rsid w:val="00F55173"/>
    <w:rsid w:val="00F56172"/>
    <w:rsid w:val="00F6161A"/>
    <w:rsid w:val="00F6394C"/>
    <w:rsid w:val="00F6481F"/>
    <w:rsid w:val="00F67BE0"/>
    <w:rsid w:val="00F70F4F"/>
    <w:rsid w:val="00F73C28"/>
    <w:rsid w:val="00F74D35"/>
    <w:rsid w:val="00F75920"/>
    <w:rsid w:val="00F77B4D"/>
    <w:rsid w:val="00F8063B"/>
    <w:rsid w:val="00F81E15"/>
    <w:rsid w:val="00F81EF4"/>
    <w:rsid w:val="00F8220C"/>
    <w:rsid w:val="00F831D5"/>
    <w:rsid w:val="00F8451F"/>
    <w:rsid w:val="00F91764"/>
    <w:rsid w:val="00F91DF9"/>
    <w:rsid w:val="00F93C7C"/>
    <w:rsid w:val="00F95C3A"/>
    <w:rsid w:val="00F97EA0"/>
    <w:rsid w:val="00FA0C07"/>
    <w:rsid w:val="00FA0F94"/>
    <w:rsid w:val="00FA181F"/>
    <w:rsid w:val="00FA41B9"/>
    <w:rsid w:val="00FA77FA"/>
    <w:rsid w:val="00FB2867"/>
    <w:rsid w:val="00FB42AF"/>
    <w:rsid w:val="00FB4B74"/>
    <w:rsid w:val="00FB5823"/>
    <w:rsid w:val="00FB5C20"/>
    <w:rsid w:val="00FB7D72"/>
    <w:rsid w:val="00FB7D9C"/>
    <w:rsid w:val="00FC76EA"/>
    <w:rsid w:val="00FD073D"/>
    <w:rsid w:val="00FD28C1"/>
    <w:rsid w:val="00FD6EAB"/>
    <w:rsid w:val="00FD720E"/>
    <w:rsid w:val="00FE26F3"/>
    <w:rsid w:val="00FE2CC5"/>
    <w:rsid w:val="00FE5EEF"/>
    <w:rsid w:val="00FE60C8"/>
    <w:rsid w:val="00FE62D1"/>
    <w:rsid w:val="00FE6F67"/>
    <w:rsid w:val="00FF0AAF"/>
    <w:rsid w:val="00FF4D5E"/>
    <w:rsid w:val="00FF55EB"/>
    <w:rsid w:val="00FF6840"/>
    <w:rsid w:val="00FF6E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PersonName"/>
  <w:smartTagType w:namespaceuri="urn:schemas-microsoft-com:office:smarttags" w:name="stockticker"/>
  <w:shapeDefaults>
    <o:shapedefaults v:ext="edit" spidmax="216065"/>
    <o:shapelayout v:ext="edit">
      <o:idmap v:ext="edit" data="1"/>
    </o:shapelayout>
  </w:shapeDefaults>
  <w:decimalSymbol w:val="."/>
  <w:listSeparator w:val=","/>
  <w14:docId w14:val="000555B9"/>
  <w15:chartTrackingRefBased/>
  <w15:docId w15:val="{B6681ACF-2A97-4843-95D8-58000B83B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F5868"/>
    <w:rPr>
      <w:sz w:val="24"/>
    </w:rPr>
  </w:style>
  <w:style w:type="paragraph" w:styleId="Heading1">
    <w:name w:val="heading 1"/>
    <w:aliases w:val="h1"/>
    <w:basedOn w:val="Normal"/>
    <w:next w:val="BodyText"/>
    <w:qFormat/>
    <w:rsid w:val="002F5868"/>
    <w:pPr>
      <w:keepNext/>
      <w:numPr>
        <w:numId w:val="3"/>
      </w:numPr>
      <w:spacing w:after="240"/>
      <w:outlineLvl w:val="0"/>
    </w:pPr>
    <w:rPr>
      <w:b/>
      <w:caps/>
    </w:rPr>
  </w:style>
  <w:style w:type="paragraph" w:styleId="Heading2">
    <w:name w:val="heading 2"/>
    <w:aliases w:val="h2"/>
    <w:basedOn w:val="Normal"/>
    <w:next w:val="BodyText"/>
    <w:qFormat/>
    <w:rsid w:val="002F5868"/>
    <w:pPr>
      <w:keepNext/>
      <w:numPr>
        <w:ilvl w:val="1"/>
        <w:numId w:val="3"/>
      </w:numPr>
      <w:tabs>
        <w:tab w:val="left" w:pos="720"/>
      </w:tabs>
      <w:spacing w:before="240" w:after="240"/>
      <w:outlineLvl w:val="1"/>
    </w:pPr>
    <w:rPr>
      <w:b/>
    </w:rPr>
  </w:style>
  <w:style w:type="paragraph" w:styleId="Heading3">
    <w:name w:val="heading 3"/>
    <w:aliases w:val=" Char2 Char,h3"/>
    <w:basedOn w:val="Normal"/>
    <w:next w:val="BodyText"/>
    <w:link w:val="Heading3Char"/>
    <w:qFormat/>
    <w:rsid w:val="002F5868"/>
    <w:pPr>
      <w:keepNext/>
      <w:numPr>
        <w:ilvl w:val="2"/>
        <w:numId w:val="3"/>
      </w:numPr>
      <w:tabs>
        <w:tab w:val="left" w:pos="1008"/>
      </w:tabs>
      <w:spacing w:before="240" w:after="240"/>
      <w:outlineLvl w:val="2"/>
    </w:pPr>
    <w:rPr>
      <w:b/>
      <w:bCs/>
      <w:i/>
    </w:rPr>
  </w:style>
  <w:style w:type="paragraph" w:styleId="Heading4">
    <w:name w:val="heading 4"/>
    <w:aliases w:val="h4"/>
    <w:basedOn w:val="Normal"/>
    <w:next w:val="BodyText"/>
    <w:link w:val="Heading4Char"/>
    <w:qFormat/>
    <w:rsid w:val="002F5868"/>
    <w:pPr>
      <w:keepNext/>
      <w:widowControl w:val="0"/>
      <w:numPr>
        <w:ilvl w:val="3"/>
        <w:numId w:val="3"/>
      </w:numPr>
      <w:tabs>
        <w:tab w:val="left" w:pos="1296"/>
      </w:tabs>
      <w:spacing w:before="240" w:after="240"/>
      <w:outlineLvl w:val="3"/>
    </w:pPr>
    <w:rPr>
      <w:b/>
      <w:bCs/>
      <w:snapToGrid w:val="0"/>
      <w:lang w:val="x-none" w:eastAsia="x-none"/>
    </w:rPr>
  </w:style>
  <w:style w:type="paragraph" w:styleId="Heading5">
    <w:name w:val="heading 5"/>
    <w:aliases w:val="h5"/>
    <w:basedOn w:val="Normal"/>
    <w:next w:val="BodyText"/>
    <w:link w:val="Heading5Char"/>
    <w:qFormat/>
    <w:rsid w:val="002F5868"/>
    <w:pPr>
      <w:keepNext/>
      <w:numPr>
        <w:ilvl w:val="4"/>
        <w:numId w:val="3"/>
      </w:numPr>
      <w:tabs>
        <w:tab w:val="left" w:pos="1440"/>
      </w:tabs>
      <w:spacing w:before="240" w:after="240"/>
      <w:outlineLvl w:val="4"/>
    </w:pPr>
    <w:rPr>
      <w:b/>
      <w:bCs/>
      <w:i/>
      <w:iCs/>
      <w:szCs w:val="26"/>
    </w:rPr>
  </w:style>
  <w:style w:type="paragraph" w:styleId="Heading6">
    <w:name w:val="heading 6"/>
    <w:aliases w:val="h6"/>
    <w:basedOn w:val="Normal"/>
    <w:next w:val="BodyText"/>
    <w:link w:val="Heading6Char"/>
    <w:qFormat/>
    <w:rsid w:val="002F5868"/>
    <w:pPr>
      <w:keepNext/>
      <w:numPr>
        <w:ilvl w:val="5"/>
        <w:numId w:val="3"/>
      </w:numPr>
      <w:tabs>
        <w:tab w:val="left" w:pos="1584"/>
      </w:tabs>
      <w:spacing w:before="240" w:after="240"/>
      <w:outlineLvl w:val="5"/>
    </w:pPr>
    <w:rPr>
      <w:b/>
      <w:bCs/>
      <w:szCs w:val="22"/>
      <w:lang w:val="x-none" w:eastAsia="x-none"/>
    </w:rPr>
  </w:style>
  <w:style w:type="paragraph" w:styleId="Heading7">
    <w:name w:val="heading 7"/>
    <w:basedOn w:val="Normal"/>
    <w:next w:val="BodyText"/>
    <w:qFormat/>
    <w:rsid w:val="002F5868"/>
    <w:pPr>
      <w:keepNext/>
      <w:numPr>
        <w:ilvl w:val="6"/>
        <w:numId w:val="3"/>
      </w:numPr>
      <w:tabs>
        <w:tab w:val="left" w:pos="1728"/>
      </w:tabs>
      <w:spacing w:before="240" w:after="240"/>
      <w:outlineLvl w:val="6"/>
    </w:pPr>
    <w:rPr>
      <w:szCs w:val="24"/>
    </w:rPr>
  </w:style>
  <w:style w:type="paragraph" w:styleId="Heading8">
    <w:name w:val="heading 8"/>
    <w:basedOn w:val="Normal"/>
    <w:next w:val="BodyText"/>
    <w:qFormat/>
    <w:rsid w:val="002F5868"/>
    <w:pPr>
      <w:keepNext/>
      <w:numPr>
        <w:ilvl w:val="7"/>
        <w:numId w:val="3"/>
      </w:numPr>
      <w:tabs>
        <w:tab w:val="left" w:pos="1872"/>
      </w:tabs>
      <w:spacing w:before="240" w:after="240"/>
      <w:outlineLvl w:val="7"/>
    </w:pPr>
    <w:rPr>
      <w:i/>
      <w:iCs/>
      <w:szCs w:val="24"/>
    </w:rPr>
  </w:style>
  <w:style w:type="paragraph" w:styleId="Heading9">
    <w:name w:val="heading 9"/>
    <w:basedOn w:val="Normal"/>
    <w:next w:val="BodyText"/>
    <w:qFormat/>
    <w:rsid w:val="002F5868"/>
    <w:pPr>
      <w:keepNext/>
      <w:numPr>
        <w:ilvl w:val="8"/>
        <w:numId w:val="3"/>
      </w:numPr>
      <w:tabs>
        <w:tab w:val="left" w:pos="2160"/>
      </w:tabs>
      <w:spacing w:before="240" w:after="240"/>
      <w:outlineLvl w:val="8"/>
    </w:pPr>
    <w:rPr>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 Char Char Char, Char1,Body Text Char Char, Char Char Char Char Char,Body Text Char2 Char Char,Body Text Char2 Char Char Char Char Char Char Char Char Char Char Char,Body Text Char2 Char,Body Text Char2,Body Text Char1 Char Ch, Char1 Char Char"/>
    <w:basedOn w:val="Normal"/>
    <w:link w:val="BodyTextChar3"/>
    <w:rsid w:val="002F5868"/>
    <w:pPr>
      <w:spacing w:after="240"/>
    </w:pPr>
    <w:rPr>
      <w:iCs/>
    </w:rPr>
  </w:style>
  <w:style w:type="character" w:customStyle="1" w:styleId="BodyTextChar3">
    <w:name w:val="Body Text Char3"/>
    <w:aliases w:val=" Char Char Char Char, Char1 Char1,Body Text Char Char Char, Char Char Char Char Char Char,Body Text Char2 Char Char Char1,Body Text Char2 Char Char Char Char Char Char Char Char Char Char Char Char1,Body Text Char2 Char Char2"/>
    <w:link w:val="BodyText"/>
    <w:rsid w:val="002F5868"/>
    <w:rPr>
      <w:iCs/>
      <w:sz w:val="24"/>
      <w:lang w:val="en-US" w:eastAsia="en-US" w:bidi="ar-SA"/>
    </w:rPr>
  </w:style>
  <w:style w:type="character" w:customStyle="1" w:styleId="Heading3Char">
    <w:name w:val="Heading 3 Char"/>
    <w:aliases w:val=" Char2 Char Char,h3 Char"/>
    <w:link w:val="Heading3"/>
    <w:rsid w:val="002F5868"/>
    <w:rPr>
      <w:b/>
      <w:bCs/>
      <w:i/>
      <w:sz w:val="24"/>
      <w:lang w:val="en-US" w:eastAsia="en-US" w:bidi="ar-SA"/>
    </w:rPr>
  </w:style>
  <w:style w:type="paragraph" w:customStyle="1" w:styleId="Instructions">
    <w:name w:val="Instructions"/>
    <w:basedOn w:val="BodyText"/>
    <w:link w:val="InstructionsChar"/>
    <w:rsid w:val="002F5868"/>
    <w:rPr>
      <w:b/>
      <w:i/>
      <w:szCs w:val="24"/>
      <w:lang w:val="x-none" w:eastAsia="x-none"/>
    </w:rPr>
  </w:style>
  <w:style w:type="paragraph" w:styleId="List">
    <w:name w:val="List"/>
    <w:aliases w:val=" Char2 Char Char Char Char"/>
    <w:basedOn w:val="Normal"/>
    <w:link w:val="ListChar"/>
    <w:rsid w:val="002F5868"/>
    <w:pPr>
      <w:spacing w:after="240"/>
      <w:ind w:left="1440" w:hanging="720"/>
    </w:pPr>
  </w:style>
  <w:style w:type="character" w:customStyle="1" w:styleId="ListChar">
    <w:name w:val="List Char"/>
    <w:aliases w:val=" Char2 Char Char Char Char Char1"/>
    <w:link w:val="List"/>
    <w:rsid w:val="002F5868"/>
    <w:rPr>
      <w:sz w:val="24"/>
      <w:lang w:val="en-US" w:eastAsia="en-US" w:bidi="ar-SA"/>
    </w:rPr>
  </w:style>
  <w:style w:type="paragraph" w:styleId="BodyTextIndent">
    <w:name w:val="Body Text Indent"/>
    <w:basedOn w:val="Normal"/>
    <w:link w:val="BodyTextIndentChar1"/>
    <w:rsid w:val="002F5868"/>
    <w:pPr>
      <w:spacing w:after="240"/>
      <w:ind w:left="720"/>
    </w:pPr>
    <w:rPr>
      <w:iCs/>
      <w:lang w:val="x-none" w:eastAsia="x-none"/>
    </w:rPr>
  </w:style>
  <w:style w:type="paragraph" w:customStyle="1" w:styleId="Bullet">
    <w:name w:val="Bullet"/>
    <w:basedOn w:val="Normal"/>
    <w:link w:val="BulletChar"/>
    <w:rsid w:val="002F5868"/>
    <w:pPr>
      <w:tabs>
        <w:tab w:val="num" w:pos="1440"/>
      </w:tabs>
      <w:spacing w:after="180"/>
      <w:ind w:left="1440" w:hanging="360"/>
    </w:pPr>
    <w:rPr>
      <w:lang w:val="x-none" w:eastAsia="x-none"/>
    </w:rPr>
  </w:style>
  <w:style w:type="paragraph" w:customStyle="1" w:styleId="BulletIndent">
    <w:name w:val="Bullet Indent"/>
    <w:basedOn w:val="Normal"/>
    <w:link w:val="BulletIndentChar"/>
    <w:rsid w:val="002F5868"/>
    <w:pPr>
      <w:spacing w:after="180"/>
      <w:ind w:left="2340" w:hanging="547"/>
    </w:pPr>
  </w:style>
  <w:style w:type="paragraph" w:styleId="Footer">
    <w:name w:val="footer"/>
    <w:basedOn w:val="Normal"/>
    <w:rsid w:val="002F5868"/>
    <w:pPr>
      <w:pBdr>
        <w:top w:val="single" w:sz="4" w:space="0" w:color="auto"/>
      </w:pBdr>
      <w:tabs>
        <w:tab w:val="center" w:pos="4680"/>
        <w:tab w:val="right" w:pos="9360"/>
      </w:tabs>
      <w:spacing w:before="120" w:after="120"/>
    </w:pPr>
    <w:rPr>
      <w:smallCaps/>
      <w:sz w:val="20"/>
    </w:rPr>
  </w:style>
  <w:style w:type="paragraph" w:styleId="FootnoteText">
    <w:name w:val="footnote text"/>
    <w:basedOn w:val="Normal"/>
    <w:semiHidden/>
    <w:rsid w:val="002F5868"/>
    <w:rPr>
      <w:sz w:val="18"/>
    </w:rPr>
  </w:style>
  <w:style w:type="paragraph" w:styleId="Header">
    <w:name w:val="header"/>
    <w:basedOn w:val="Normal"/>
    <w:link w:val="HeaderChar"/>
    <w:rsid w:val="002F5868"/>
    <w:pPr>
      <w:pBdr>
        <w:bottom w:val="single" w:sz="4" w:space="1" w:color="auto"/>
      </w:pBdr>
      <w:tabs>
        <w:tab w:val="center" w:pos="4680"/>
        <w:tab w:val="right" w:pos="9360"/>
      </w:tabs>
      <w:jc w:val="right"/>
    </w:pPr>
    <w:rPr>
      <w:smallCaps/>
      <w:sz w:val="20"/>
      <w:lang w:val="x-none" w:eastAsia="x-none"/>
    </w:rPr>
  </w:style>
  <w:style w:type="character" w:styleId="Hyperlink">
    <w:name w:val="Hyperlink"/>
    <w:uiPriority w:val="99"/>
    <w:rsid w:val="002F5868"/>
    <w:rPr>
      <w:color w:val="0000FF"/>
      <w:u w:val="single"/>
    </w:rPr>
  </w:style>
  <w:style w:type="paragraph" w:styleId="TOC1">
    <w:name w:val="toc 1"/>
    <w:basedOn w:val="Normal"/>
    <w:next w:val="Normal"/>
    <w:autoRedefine/>
    <w:uiPriority w:val="39"/>
    <w:rsid w:val="002E5F2C"/>
    <w:pPr>
      <w:tabs>
        <w:tab w:val="left" w:pos="540"/>
        <w:tab w:val="right" w:leader="dot" w:pos="9360"/>
      </w:tabs>
      <w:spacing w:before="120" w:after="120"/>
      <w:ind w:left="540" w:right="720" w:hanging="540"/>
    </w:pPr>
    <w:rPr>
      <w:b/>
      <w:bCs/>
      <w:noProof/>
      <w:szCs w:val="24"/>
    </w:rPr>
  </w:style>
  <w:style w:type="paragraph" w:styleId="TOC2">
    <w:name w:val="toc 2"/>
    <w:basedOn w:val="Normal"/>
    <w:next w:val="Normal"/>
    <w:autoRedefine/>
    <w:uiPriority w:val="39"/>
    <w:rsid w:val="002F5868"/>
    <w:pPr>
      <w:tabs>
        <w:tab w:val="left" w:pos="1260"/>
        <w:tab w:val="right" w:leader="dot" w:pos="9360"/>
      </w:tabs>
      <w:ind w:left="1260" w:right="720" w:hanging="720"/>
    </w:pPr>
    <w:rPr>
      <w:sz w:val="20"/>
    </w:rPr>
  </w:style>
  <w:style w:type="paragraph" w:styleId="TOC3">
    <w:name w:val="toc 3"/>
    <w:basedOn w:val="Normal"/>
    <w:next w:val="Normal"/>
    <w:autoRedefine/>
    <w:uiPriority w:val="39"/>
    <w:rsid w:val="002F5868"/>
    <w:pPr>
      <w:tabs>
        <w:tab w:val="left" w:pos="1980"/>
        <w:tab w:val="right" w:leader="dot" w:pos="9360"/>
      </w:tabs>
      <w:ind w:left="1980" w:right="720" w:hanging="900"/>
    </w:pPr>
    <w:rPr>
      <w:i/>
      <w:iCs/>
      <w:sz w:val="20"/>
    </w:rPr>
  </w:style>
  <w:style w:type="character" w:styleId="PageNumber">
    <w:name w:val="page number"/>
    <w:basedOn w:val="DefaultParagraphFont"/>
    <w:rsid w:val="002F5868"/>
  </w:style>
  <w:style w:type="table" w:styleId="TableGrid">
    <w:name w:val="Table Grid"/>
    <w:basedOn w:val="TableNormal"/>
    <w:rsid w:val="002F58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rsid w:val="00B214A7"/>
    <w:pPr>
      <w:tabs>
        <w:tab w:val="left" w:pos="2700"/>
        <w:tab w:val="right" w:leader="dot" w:pos="9360"/>
      </w:tabs>
      <w:ind w:left="2700" w:right="720" w:hanging="1080"/>
    </w:pPr>
    <w:rPr>
      <w:sz w:val="18"/>
      <w:szCs w:val="18"/>
    </w:rPr>
  </w:style>
  <w:style w:type="paragraph" w:styleId="TOC5">
    <w:name w:val="toc 5"/>
    <w:basedOn w:val="Normal"/>
    <w:next w:val="Normal"/>
    <w:autoRedefine/>
    <w:uiPriority w:val="39"/>
    <w:rsid w:val="002F5868"/>
    <w:pPr>
      <w:tabs>
        <w:tab w:val="left" w:pos="3600"/>
        <w:tab w:val="right" w:leader="dot" w:pos="9360"/>
      </w:tabs>
      <w:ind w:left="3600" w:right="720" w:hanging="1260"/>
    </w:pPr>
    <w:rPr>
      <w:i/>
      <w:noProof/>
      <w:sz w:val="18"/>
      <w:szCs w:val="18"/>
    </w:rPr>
  </w:style>
  <w:style w:type="paragraph" w:styleId="List2">
    <w:name w:val="List 2"/>
    <w:aliases w:val=" Char2"/>
    <w:basedOn w:val="Normal"/>
    <w:link w:val="List2Char"/>
    <w:rsid w:val="002F5868"/>
    <w:pPr>
      <w:spacing w:after="240"/>
      <w:ind w:left="2160" w:hanging="720"/>
    </w:pPr>
    <w:rPr>
      <w:lang w:val="x-none" w:eastAsia="x-none"/>
    </w:rPr>
  </w:style>
  <w:style w:type="paragraph" w:styleId="List3">
    <w:name w:val="List 3"/>
    <w:basedOn w:val="Normal"/>
    <w:rsid w:val="002F5868"/>
    <w:pPr>
      <w:spacing w:after="240"/>
      <w:ind w:left="2880" w:hanging="720"/>
    </w:pPr>
  </w:style>
  <w:style w:type="paragraph" w:styleId="TOC6">
    <w:name w:val="toc 6"/>
    <w:basedOn w:val="Normal"/>
    <w:next w:val="Normal"/>
    <w:autoRedefine/>
    <w:uiPriority w:val="39"/>
    <w:rsid w:val="002F5868"/>
    <w:pPr>
      <w:tabs>
        <w:tab w:val="left" w:pos="4500"/>
        <w:tab w:val="right" w:leader="dot" w:pos="9360"/>
      </w:tabs>
      <w:ind w:left="4500" w:right="720" w:hanging="1440"/>
    </w:pPr>
    <w:rPr>
      <w:sz w:val="18"/>
      <w:szCs w:val="18"/>
    </w:rPr>
  </w:style>
  <w:style w:type="paragraph" w:styleId="TOC7">
    <w:name w:val="toc 7"/>
    <w:basedOn w:val="Normal"/>
    <w:next w:val="Normal"/>
    <w:autoRedefine/>
    <w:uiPriority w:val="39"/>
    <w:rsid w:val="002F5868"/>
    <w:pPr>
      <w:tabs>
        <w:tab w:val="left" w:pos="5400"/>
        <w:tab w:val="right" w:leader="dot" w:pos="9360"/>
      </w:tabs>
      <w:ind w:left="5400" w:right="720" w:hanging="1620"/>
    </w:pPr>
    <w:rPr>
      <w:i/>
      <w:noProof/>
      <w:sz w:val="18"/>
      <w:szCs w:val="18"/>
    </w:rPr>
  </w:style>
  <w:style w:type="paragraph" w:styleId="TOC8">
    <w:name w:val="toc 8"/>
    <w:basedOn w:val="Normal"/>
    <w:next w:val="Normal"/>
    <w:autoRedefine/>
    <w:uiPriority w:val="39"/>
    <w:rsid w:val="002F5868"/>
    <w:pPr>
      <w:ind w:left="1680"/>
    </w:pPr>
    <w:rPr>
      <w:sz w:val="18"/>
      <w:szCs w:val="18"/>
    </w:rPr>
  </w:style>
  <w:style w:type="paragraph" w:styleId="TOC9">
    <w:name w:val="toc 9"/>
    <w:basedOn w:val="Normal"/>
    <w:next w:val="Normal"/>
    <w:autoRedefine/>
    <w:uiPriority w:val="39"/>
    <w:rsid w:val="002F5868"/>
    <w:pPr>
      <w:ind w:left="1920"/>
    </w:pPr>
    <w:rPr>
      <w:sz w:val="18"/>
      <w:szCs w:val="18"/>
    </w:rPr>
  </w:style>
  <w:style w:type="paragraph" w:customStyle="1" w:styleId="H5">
    <w:name w:val="H5"/>
    <w:basedOn w:val="Heading5"/>
    <w:next w:val="BodyText"/>
    <w:link w:val="H5Char"/>
    <w:rsid w:val="002F5868"/>
    <w:pPr>
      <w:numPr>
        <w:ilvl w:val="0"/>
        <w:numId w:val="0"/>
      </w:numPr>
      <w:tabs>
        <w:tab w:val="clear" w:pos="1440"/>
        <w:tab w:val="left" w:pos="1620"/>
      </w:tabs>
      <w:ind w:left="1620" w:hanging="1620"/>
    </w:pPr>
  </w:style>
  <w:style w:type="paragraph" w:customStyle="1" w:styleId="H2">
    <w:name w:val="H2"/>
    <w:basedOn w:val="Heading2"/>
    <w:next w:val="BodyText"/>
    <w:link w:val="H2Char"/>
    <w:rsid w:val="002F5868"/>
    <w:pPr>
      <w:numPr>
        <w:ilvl w:val="0"/>
        <w:numId w:val="0"/>
      </w:numPr>
      <w:tabs>
        <w:tab w:val="clear" w:pos="720"/>
        <w:tab w:val="left" w:pos="900"/>
      </w:tabs>
      <w:ind w:left="900" w:hanging="900"/>
    </w:pPr>
    <w:rPr>
      <w:lang w:val="x-none" w:eastAsia="x-none"/>
    </w:rPr>
  </w:style>
  <w:style w:type="paragraph" w:customStyle="1" w:styleId="H3">
    <w:name w:val="H3"/>
    <w:basedOn w:val="Heading3"/>
    <w:next w:val="BodyText"/>
    <w:link w:val="H3Char1"/>
    <w:rsid w:val="002F5868"/>
    <w:pPr>
      <w:numPr>
        <w:ilvl w:val="0"/>
        <w:numId w:val="0"/>
      </w:numPr>
      <w:tabs>
        <w:tab w:val="clear" w:pos="1008"/>
        <w:tab w:val="left" w:pos="1080"/>
      </w:tabs>
      <w:ind w:left="1080" w:hanging="1080"/>
    </w:pPr>
    <w:rPr>
      <w:b w:val="0"/>
      <w:bCs w:val="0"/>
      <w:i w:val="0"/>
    </w:rPr>
  </w:style>
  <w:style w:type="character" w:customStyle="1" w:styleId="H3Char1">
    <w:name w:val="H3 Char1"/>
    <w:link w:val="H3"/>
    <w:rsid w:val="002F5868"/>
    <w:rPr>
      <w:b w:val="0"/>
      <w:bCs w:val="0"/>
      <w:i w:val="0"/>
      <w:sz w:val="24"/>
      <w:lang w:val="en-US" w:eastAsia="en-US" w:bidi="ar-SA"/>
    </w:rPr>
  </w:style>
  <w:style w:type="paragraph" w:customStyle="1" w:styleId="H4">
    <w:name w:val="H4"/>
    <w:basedOn w:val="Heading4"/>
    <w:next w:val="BodyText"/>
    <w:link w:val="H4Char"/>
    <w:rsid w:val="002F5868"/>
    <w:pPr>
      <w:numPr>
        <w:ilvl w:val="0"/>
        <w:numId w:val="0"/>
      </w:numPr>
      <w:tabs>
        <w:tab w:val="clear" w:pos="1296"/>
        <w:tab w:val="left" w:pos="1260"/>
      </w:tabs>
      <w:ind w:left="1260" w:hanging="1260"/>
    </w:pPr>
    <w:rPr>
      <w:lang w:val="en-US" w:eastAsia="en-US"/>
    </w:rPr>
  </w:style>
  <w:style w:type="paragraph" w:customStyle="1" w:styleId="H6">
    <w:name w:val="H6"/>
    <w:basedOn w:val="Heading6"/>
    <w:next w:val="BodyText"/>
    <w:link w:val="H6Char"/>
    <w:rsid w:val="002F5868"/>
    <w:pPr>
      <w:numPr>
        <w:ilvl w:val="0"/>
        <w:numId w:val="0"/>
      </w:numPr>
      <w:tabs>
        <w:tab w:val="clear" w:pos="1584"/>
        <w:tab w:val="left" w:pos="1800"/>
      </w:tabs>
      <w:ind w:left="1800" w:hanging="1800"/>
    </w:pPr>
  </w:style>
  <w:style w:type="paragraph" w:customStyle="1" w:styleId="H7">
    <w:name w:val="H7"/>
    <w:basedOn w:val="Heading7"/>
    <w:next w:val="BodyText"/>
    <w:rsid w:val="002F5868"/>
    <w:pPr>
      <w:numPr>
        <w:ilvl w:val="0"/>
        <w:numId w:val="0"/>
      </w:numPr>
      <w:tabs>
        <w:tab w:val="clear" w:pos="1728"/>
        <w:tab w:val="left" w:pos="1980"/>
      </w:tabs>
      <w:ind w:left="1980" w:hanging="1980"/>
    </w:pPr>
    <w:rPr>
      <w:b/>
      <w:i/>
    </w:rPr>
  </w:style>
  <w:style w:type="paragraph" w:customStyle="1" w:styleId="H8">
    <w:name w:val="H8"/>
    <w:basedOn w:val="Heading8"/>
    <w:next w:val="BodyText"/>
    <w:rsid w:val="002F5868"/>
    <w:pPr>
      <w:numPr>
        <w:ilvl w:val="0"/>
        <w:numId w:val="0"/>
      </w:numPr>
      <w:tabs>
        <w:tab w:val="clear" w:pos="1872"/>
        <w:tab w:val="left" w:pos="2160"/>
      </w:tabs>
      <w:ind w:left="2160" w:hanging="2160"/>
    </w:pPr>
    <w:rPr>
      <w:b/>
      <w:i w:val="0"/>
    </w:rPr>
  </w:style>
  <w:style w:type="paragraph" w:customStyle="1" w:styleId="H9">
    <w:name w:val="H9"/>
    <w:basedOn w:val="Heading9"/>
    <w:next w:val="BodyText"/>
    <w:rsid w:val="002F5868"/>
    <w:pPr>
      <w:numPr>
        <w:ilvl w:val="0"/>
        <w:numId w:val="0"/>
      </w:numPr>
      <w:tabs>
        <w:tab w:val="clear" w:pos="2160"/>
        <w:tab w:val="left" w:pos="2340"/>
      </w:tabs>
      <w:ind w:left="2340" w:hanging="2340"/>
    </w:pPr>
    <w:rPr>
      <w:i/>
    </w:rPr>
  </w:style>
  <w:style w:type="table" w:customStyle="1" w:styleId="BoxedLanguage">
    <w:name w:val="Boxed Language"/>
    <w:basedOn w:val="TableNormal"/>
    <w:rsid w:val="002F5868"/>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Spaceafterbox">
    <w:name w:val="Space after box"/>
    <w:basedOn w:val="Normal"/>
    <w:rsid w:val="002F5868"/>
  </w:style>
  <w:style w:type="paragraph" w:customStyle="1" w:styleId="ListIntroduction">
    <w:name w:val="List Introduction"/>
    <w:basedOn w:val="BodyText"/>
    <w:link w:val="ListIntroductionChar"/>
    <w:rsid w:val="002F5868"/>
    <w:pPr>
      <w:keepNext/>
    </w:pPr>
  </w:style>
  <w:style w:type="character" w:customStyle="1" w:styleId="ListIntroductionChar">
    <w:name w:val="List Introduction Char"/>
    <w:link w:val="ListIntroduction"/>
    <w:rsid w:val="002F5868"/>
    <w:rPr>
      <w:iCs/>
      <w:sz w:val="24"/>
      <w:lang w:val="en-US" w:eastAsia="en-US" w:bidi="ar-SA"/>
    </w:rPr>
  </w:style>
  <w:style w:type="paragraph" w:customStyle="1" w:styleId="VariableDefinition">
    <w:name w:val="Variable Definition"/>
    <w:basedOn w:val="BodyTextIndent"/>
    <w:link w:val="VariableDefinitionChar"/>
    <w:rsid w:val="002F5868"/>
    <w:pPr>
      <w:tabs>
        <w:tab w:val="left" w:pos="2160"/>
      </w:tabs>
      <w:ind w:left="2160" w:hanging="1440"/>
      <w:contextualSpacing/>
    </w:pPr>
  </w:style>
  <w:style w:type="paragraph" w:customStyle="1" w:styleId="FormulaBold">
    <w:name w:val="Formula Bold"/>
    <w:basedOn w:val="Normal"/>
    <w:link w:val="FormulaBoldChar"/>
    <w:autoRedefine/>
    <w:rsid w:val="00D465F5"/>
    <w:pPr>
      <w:tabs>
        <w:tab w:val="left" w:pos="2340"/>
        <w:tab w:val="left" w:pos="3420"/>
      </w:tabs>
      <w:spacing w:before="240" w:after="240"/>
      <w:ind w:left="1440"/>
    </w:pPr>
    <w:rPr>
      <w:b/>
      <w:lang w:val="x-none" w:eastAsia="x-none"/>
    </w:rPr>
  </w:style>
  <w:style w:type="paragraph" w:customStyle="1" w:styleId="Formula">
    <w:name w:val="Formula"/>
    <w:basedOn w:val="Normal"/>
    <w:autoRedefine/>
    <w:rsid w:val="002F5868"/>
    <w:pPr>
      <w:tabs>
        <w:tab w:val="left" w:pos="2340"/>
        <w:tab w:val="left" w:pos="3420"/>
      </w:tabs>
      <w:spacing w:after="240"/>
      <w:ind w:left="3420" w:hanging="2700"/>
    </w:pPr>
    <w:rPr>
      <w:bCs/>
      <w:szCs w:val="24"/>
    </w:rPr>
  </w:style>
  <w:style w:type="paragraph" w:customStyle="1" w:styleId="ListSub">
    <w:name w:val="List Sub"/>
    <w:basedOn w:val="List"/>
    <w:link w:val="ListSubChar"/>
    <w:rsid w:val="002F5868"/>
    <w:pPr>
      <w:ind w:firstLine="0"/>
    </w:pPr>
  </w:style>
  <w:style w:type="table" w:customStyle="1" w:styleId="VariableTable">
    <w:name w:val="Variable Table"/>
    <w:basedOn w:val="TableNormal"/>
    <w:rsid w:val="002F5868"/>
    <w:tblPr/>
  </w:style>
  <w:style w:type="table" w:customStyle="1" w:styleId="FormulaVariableTable">
    <w:name w:val="Formula Variable Table"/>
    <w:basedOn w:val="TableNormal"/>
    <w:rsid w:val="002F5868"/>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eadSub">
    <w:name w:val="Head Sub"/>
    <w:basedOn w:val="BodyText"/>
    <w:next w:val="BodyText"/>
    <w:rsid w:val="002F5868"/>
    <w:pPr>
      <w:keepNext/>
      <w:spacing w:before="240"/>
    </w:pPr>
    <w:rPr>
      <w:b/>
    </w:rPr>
  </w:style>
  <w:style w:type="paragraph" w:customStyle="1" w:styleId="TableBody">
    <w:name w:val="Table Body"/>
    <w:basedOn w:val="BodyText"/>
    <w:uiPriority w:val="99"/>
    <w:rsid w:val="002F5868"/>
    <w:pPr>
      <w:spacing w:after="60"/>
    </w:pPr>
    <w:rPr>
      <w:sz w:val="20"/>
    </w:rPr>
  </w:style>
  <w:style w:type="paragraph" w:customStyle="1" w:styleId="TableHead">
    <w:name w:val="Table Head"/>
    <w:basedOn w:val="BodyText"/>
    <w:rsid w:val="002F5868"/>
    <w:pPr>
      <w:spacing w:after="120"/>
    </w:pPr>
    <w:rPr>
      <w:b/>
      <w:sz w:val="20"/>
    </w:rPr>
  </w:style>
  <w:style w:type="paragraph" w:customStyle="1" w:styleId="TableBullet">
    <w:name w:val="Table Bullet"/>
    <w:basedOn w:val="TableBody"/>
    <w:rsid w:val="002F5868"/>
    <w:pPr>
      <w:tabs>
        <w:tab w:val="num" w:pos="360"/>
      </w:tabs>
      <w:ind w:left="360" w:hanging="360"/>
    </w:pPr>
  </w:style>
  <w:style w:type="paragraph" w:styleId="BodyText2">
    <w:name w:val="Body Text 2"/>
    <w:basedOn w:val="Normal"/>
    <w:rsid w:val="002F5868"/>
    <w:pPr>
      <w:spacing w:after="120" w:line="480" w:lineRule="auto"/>
      <w:ind w:left="1440" w:hanging="720"/>
    </w:pPr>
  </w:style>
  <w:style w:type="paragraph" w:customStyle="1" w:styleId="BodyTextNumbered">
    <w:name w:val="Body Text Numbered"/>
    <w:basedOn w:val="BodyText"/>
    <w:link w:val="BodyTextNumberedChar"/>
    <w:rsid w:val="002F5868"/>
    <w:pPr>
      <w:ind w:left="720" w:hanging="720"/>
    </w:pPr>
    <w:rPr>
      <w:iCs w:val="0"/>
    </w:rPr>
  </w:style>
  <w:style w:type="character" w:customStyle="1" w:styleId="BodyTextNumberedChar">
    <w:name w:val="Body Text Numbered Char"/>
    <w:link w:val="BodyTextNumbered"/>
    <w:rsid w:val="002F5868"/>
    <w:rPr>
      <w:iCs w:val="0"/>
      <w:sz w:val="24"/>
      <w:lang w:val="en-US" w:eastAsia="en-US" w:bidi="ar-SA"/>
    </w:rPr>
  </w:style>
  <w:style w:type="paragraph" w:customStyle="1" w:styleId="H3Char">
    <w:name w:val="H3 Char"/>
    <w:basedOn w:val="Heading3"/>
    <w:next w:val="BodyText"/>
    <w:link w:val="H3CharChar"/>
    <w:rsid w:val="002F5868"/>
    <w:pPr>
      <w:numPr>
        <w:ilvl w:val="0"/>
        <w:numId w:val="0"/>
      </w:numPr>
      <w:tabs>
        <w:tab w:val="clear" w:pos="1008"/>
        <w:tab w:val="left" w:pos="1080"/>
      </w:tabs>
      <w:ind w:left="1080" w:hanging="1080"/>
    </w:pPr>
    <w:rPr>
      <w:b w:val="0"/>
      <w:bCs w:val="0"/>
      <w:i w:val="0"/>
    </w:rPr>
  </w:style>
  <w:style w:type="character" w:customStyle="1" w:styleId="H3CharChar">
    <w:name w:val="H3 Char Char"/>
    <w:link w:val="H3Char"/>
    <w:rsid w:val="002F5868"/>
    <w:rPr>
      <w:b w:val="0"/>
      <w:bCs w:val="0"/>
      <w:i w:val="0"/>
      <w:sz w:val="24"/>
      <w:lang w:val="en-US" w:eastAsia="en-US" w:bidi="ar-SA"/>
    </w:rPr>
  </w:style>
  <w:style w:type="character" w:customStyle="1" w:styleId="Char1CharChar">
    <w:name w:val="Char1 Char Char"/>
    <w:rsid w:val="002F5868"/>
    <w:rPr>
      <w:sz w:val="24"/>
      <w:lang w:val="en-US" w:eastAsia="en-US" w:bidi="ar-SA"/>
    </w:rPr>
  </w:style>
  <w:style w:type="paragraph" w:styleId="Index1">
    <w:name w:val="index 1"/>
    <w:basedOn w:val="Normal"/>
    <w:next w:val="Normal"/>
    <w:autoRedefine/>
    <w:semiHidden/>
    <w:rsid w:val="002F5868"/>
    <w:pPr>
      <w:ind w:left="240" w:hanging="240"/>
    </w:pPr>
    <w:rPr>
      <w:sz w:val="18"/>
      <w:szCs w:val="18"/>
    </w:rPr>
  </w:style>
  <w:style w:type="paragraph" w:styleId="Index2">
    <w:name w:val="index 2"/>
    <w:basedOn w:val="Normal"/>
    <w:next w:val="Normal"/>
    <w:autoRedefine/>
    <w:semiHidden/>
    <w:rsid w:val="002F5868"/>
    <w:pPr>
      <w:ind w:left="480" w:hanging="240"/>
    </w:pPr>
    <w:rPr>
      <w:sz w:val="18"/>
      <w:szCs w:val="18"/>
    </w:rPr>
  </w:style>
  <w:style w:type="paragraph" w:styleId="Index3">
    <w:name w:val="index 3"/>
    <w:basedOn w:val="Normal"/>
    <w:next w:val="Normal"/>
    <w:autoRedefine/>
    <w:semiHidden/>
    <w:rsid w:val="002F5868"/>
    <w:pPr>
      <w:ind w:left="720" w:hanging="240"/>
    </w:pPr>
    <w:rPr>
      <w:sz w:val="18"/>
      <w:szCs w:val="18"/>
    </w:rPr>
  </w:style>
  <w:style w:type="paragraph" w:styleId="Index4">
    <w:name w:val="index 4"/>
    <w:basedOn w:val="Normal"/>
    <w:next w:val="Normal"/>
    <w:autoRedefine/>
    <w:semiHidden/>
    <w:rsid w:val="002F5868"/>
    <w:pPr>
      <w:ind w:left="960" w:hanging="240"/>
    </w:pPr>
    <w:rPr>
      <w:sz w:val="18"/>
      <w:szCs w:val="18"/>
    </w:rPr>
  </w:style>
  <w:style w:type="paragraph" w:styleId="Index5">
    <w:name w:val="index 5"/>
    <w:basedOn w:val="Normal"/>
    <w:next w:val="Normal"/>
    <w:autoRedefine/>
    <w:semiHidden/>
    <w:rsid w:val="002F5868"/>
    <w:pPr>
      <w:ind w:left="1200" w:hanging="240"/>
    </w:pPr>
    <w:rPr>
      <w:sz w:val="18"/>
      <w:szCs w:val="18"/>
    </w:rPr>
  </w:style>
  <w:style w:type="paragraph" w:styleId="Index6">
    <w:name w:val="index 6"/>
    <w:basedOn w:val="Normal"/>
    <w:next w:val="Normal"/>
    <w:autoRedefine/>
    <w:semiHidden/>
    <w:rsid w:val="002F5868"/>
    <w:pPr>
      <w:ind w:left="1440" w:hanging="240"/>
    </w:pPr>
    <w:rPr>
      <w:sz w:val="18"/>
      <w:szCs w:val="18"/>
    </w:rPr>
  </w:style>
  <w:style w:type="paragraph" w:styleId="Index7">
    <w:name w:val="index 7"/>
    <w:basedOn w:val="Normal"/>
    <w:next w:val="Normal"/>
    <w:autoRedefine/>
    <w:semiHidden/>
    <w:rsid w:val="002F5868"/>
    <w:pPr>
      <w:ind w:left="1680" w:hanging="240"/>
    </w:pPr>
    <w:rPr>
      <w:sz w:val="18"/>
      <w:szCs w:val="18"/>
    </w:rPr>
  </w:style>
  <w:style w:type="paragraph" w:styleId="Index8">
    <w:name w:val="index 8"/>
    <w:basedOn w:val="Normal"/>
    <w:next w:val="Normal"/>
    <w:autoRedefine/>
    <w:semiHidden/>
    <w:rsid w:val="002F5868"/>
    <w:pPr>
      <w:ind w:left="1920" w:hanging="240"/>
    </w:pPr>
    <w:rPr>
      <w:sz w:val="18"/>
      <w:szCs w:val="18"/>
    </w:rPr>
  </w:style>
  <w:style w:type="paragraph" w:styleId="Index9">
    <w:name w:val="index 9"/>
    <w:basedOn w:val="Normal"/>
    <w:next w:val="Normal"/>
    <w:autoRedefine/>
    <w:semiHidden/>
    <w:rsid w:val="002F5868"/>
    <w:pPr>
      <w:ind w:left="2160" w:hanging="240"/>
    </w:pPr>
    <w:rPr>
      <w:sz w:val="18"/>
      <w:szCs w:val="18"/>
    </w:rPr>
  </w:style>
  <w:style w:type="paragraph" w:styleId="IndexHeading">
    <w:name w:val="index heading"/>
    <w:basedOn w:val="Normal"/>
    <w:next w:val="Index1"/>
    <w:semiHidden/>
    <w:rsid w:val="002F5868"/>
    <w:pPr>
      <w:spacing w:before="240" w:after="120"/>
      <w:jc w:val="center"/>
    </w:pPr>
    <w:rPr>
      <w:b/>
      <w:bCs/>
      <w:sz w:val="26"/>
      <w:szCs w:val="26"/>
    </w:rPr>
  </w:style>
  <w:style w:type="paragraph" w:styleId="BalloonText">
    <w:name w:val="Balloon Text"/>
    <w:basedOn w:val="Normal"/>
    <w:semiHidden/>
    <w:rsid w:val="002F5868"/>
    <w:rPr>
      <w:rFonts w:ascii="Tahoma" w:hAnsi="Tahoma" w:cs="Tahoma"/>
      <w:sz w:val="16"/>
      <w:szCs w:val="16"/>
    </w:rPr>
  </w:style>
  <w:style w:type="character" w:customStyle="1" w:styleId="FormulaChar">
    <w:name w:val="Formula Char"/>
    <w:rsid w:val="002F5868"/>
    <w:rPr>
      <w:b/>
    </w:rPr>
  </w:style>
  <w:style w:type="character" w:customStyle="1" w:styleId="BodyTextChar1">
    <w:name w:val="Body Text Char1"/>
    <w:rsid w:val="002F5868"/>
    <w:rPr>
      <w:iCs/>
      <w:sz w:val="24"/>
      <w:lang w:val="en-US" w:eastAsia="en-US" w:bidi="ar-SA"/>
    </w:rPr>
  </w:style>
  <w:style w:type="paragraph" w:styleId="CommentText">
    <w:name w:val="annotation text"/>
    <w:basedOn w:val="Normal"/>
    <w:semiHidden/>
    <w:rsid w:val="002F5868"/>
    <w:rPr>
      <w:sz w:val="20"/>
    </w:rPr>
  </w:style>
  <w:style w:type="character" w:customStyle="1" w:styleId="BodyTextChar">
    <w:name w:val="Body Text Char"/>
    <w:aliases w:val="Char Char Char Char Char Char Char,Char Char Char Char Char Char Charh2 Char,... Char, Char Char Char Char Char Char Char1, Char Char Char Char Char Char Char Char,Body Text Char1 Char Char Char"/>
    <w:rsid w:val="002F5868"/>
    <w:rPr>
      <w:iCs/>
      <w:sz w:val="24"/>
      <w:lang w:val="en-US" w:eastAsia="en-US" w:bidi="ar-SA"/>
    </w:rPr>
  </w:style>
  <w:style w:type="character" w:customStyle="1" w:styleId="ListSubChar">
    <w:name w:val="List Sub Char"/>
    <w:link w:val="ListSub"/>
    <w:rsid w:val="002F5868"/>
    <w:rPr>
      <w:sz w:val="24"/>
      <w:lang w:val="en-US" w:eastAsia="en-US" w:bidi="ar-SA"/>
    </w:rPr>
  </w:style>
  <w:style w:type="character" w:customStyle="1" w:styleId="CharCharCharChar">
    <w:name w:val="Char Char Char Char"/>
    <w:aliases w:val=" Char1 Char,Body Text Char Char Char1, Char Char Char Char Char Char1, Char1 Char Char Char1,Body Text Char2 Char Char Char,Body Text Char2 Char Char Char Char Char Char Char Char Char Char Char Char,Body Text Char2 Char Char1"/>
    <w:rsid w:val="002F5868"/>
    <w:rPr>
      <w:iCs/>
      <w:sz w:val="24"/>
      <w:lang w:val="en-US" w:eastAsia="en-US" w:bidi="ar-SA"/>
    </w:rPr>
  </w:style>
  <w:style w:type="character" w:customStyle="1" w:styleId="BodyTextNumberedCharChar">
    <w:name w:val="Body Text Numbered Char Char"/>
    <w:rsid w:val="002F5868"/>
    <w:rPr>
      <w:iCs w:val="0"/>
      <w:sz w:val="24"/>
      <w:lang w:val="en-US" w:eastAsia="en-US" w:bidi="ar-SA"/>
    </w:rPr>
  </w:style>
  <w:style w:type="paragraph" w:customStyle="1" w:styleId="NormalArial">
    <w:name w:val="Normal+Arial"/>
    <w:basedOn w:val="Normal"/>
    <w:link w:val="NormalArialChar"/>
    <w:rsid w:val="002F5868"/>
    <w:rPr>
      <w:rFonts w:ascii="Arial" w:hAnsi="Arial"/>
      <w:szCs w:val="24"/>
    </w:rPr>
  </w:style>
  <w:style w:type="character" w:customStyle="1" w:styleId="ListCharChar1">
    <w:name w:val="List Char Char1"/>
    <w:rsid w:val="002F5868"/>
    <w:rPr>
      <w:sz w:val="24"/>
      <w:lang w:val="en-US" w:eastAsia="en-US" w:bidi="ar-SA"/>
    </w:rPr>
  </w:style>
  <w:style w:type="character" w:customStyle="1" w:styleId="NormalArialChar">
    <w:name w:val="Normal+Arial Char"/>
    <w:link w:val="NormalArial"/>
    <w:rsid w:val="002F5868"/>
    <w:rPr>
      <w:rFonts w:ascii="Arial" w:hAnsi="Arial"/>
      <w:sz w:val="24"/>
      <w:szCs w:val="24"/>
      <w:lang w:val="en-US" w:eastAsia="en-US" w:bidi="ar-SA"/>
    </w:rPr>
  </w:style>
  <w:style w:type="character" w:customStyle="1" w:styleId="BulletIndentChar">
    <w:name w:val="Bullet Indent Char"/>
    <w:link w:val="BulletIndent"/>
    <w:rsid w:val="002F5868"/>
    <w:rPr>
      <w:sz w:val="24"/>
      <w:lang w:val="en-US" w:eastAsia="en-US" w:bidi="ar-SA"/>
    </w:rPr>
  </w:style>
  <w:style w:type="character" w:customStyle="1" w:styleId="CharChar">
    <w:name w:val="Char Char"/>
    <w:rsid w:val="002F5868"/>
    <w:rPr>
      <w:sz w:val="24"/>
      <w:lang w:val="en-US" w:eastAsia="en-US" w:bidi="ar-SA"/>
    </w:rPr>
  </w:style>
  <w:style w:type="paragraph" w:customStyle="1" w:styleId="TXUHeaderForm">
    <w:name w:val="TXUHeaderForm"/>
    <w:basedOn w:val="Normal"/>
    <w:next w:val="Normal"/>
    <w:uiPriority w:val="99"/>
    <w:rsid w:val="002F5868"/>
    <w:pPr>
      <w:tabs>
        <w:tab w:val="right" w:pos="9360"/>
      </w:tabs>
    </w:pPr>
    <w:rPr>
      <w:noProof/>
    </w:rPr>
  </w:style>
  <w:style w:type="paragraph" w:customStyle="1" w:styleId="Char3">
    <w:name w:val="Char3"/>
    <w:basedOn w:val="Normal"/>
    <w:rsid w:val="002F5868"/>
    <w:pPr>
      <w:spacing w:after="160" w:line="240" w:lineRule="exact"/>
    </w:pPr>
    <w:rPr>
      <w:rFonts w:ascii="Verdana" w:hAnsi="Verdana"/>
      <w:sz w:val="16"/>
    </w:rPr>
  </w:style>
  <w:style w:type="character" w:customStyle="1" w:styleId="H4Char">
    <w:name w:val="H4 Char"/>
    <w:link w:val="H4"/>
    <w:rsid w:val="002F5868"/>
    <w:rPr>
      <w:b/>
      <w:bCs/>
      <w:snapToGrid w:val="0"/>
      <w:sz w:val="24"/>
      <w:lang w:val="en-US" w:eastAsia="en-US" w:bidi="ar-SA"/>
    </w:rPr>
  </w:style>
  <w:style w:type="character" w:customStyle="1" w:styleId="H5Char">
    <w:name w:val="H5 Char"/>
    <w:link w:val="H5"/>
    <w:rsid w:val="002F5868"/>
    <w:rPr>
      <w:b/>
      <w:bCs/>
      <w:i/>
      <w:iCs/>
      <w:sz w:val="24"/>
      <w:szCs w:val="26"/>
      <w:lang w:val="en-US" w:eastAsia="en-US" w:bidi="ar-SA"/>
    </w:rPr>
  </w:style>
  <w:style w:type="paragraph" w:styleId="DocumentMap">
    <w:name w:val="Document Map"/>
    <w:basedOn w:val="Normal"/>
    <w:semiHidden/>
    <w:rsid w:val="002F5868"/>
    <w:pPr>
      <w:shd w:val="clear" w:color="auto" w:fill="000080"/>
    </w:pPr>
    <w:rPr>
      <w:rFonts w:ascii="Tahoma" w:hAnsi="Tahoma" w:cs="Tahoma"/>
      <w:sz w:val="20"/>
    </w:rPr>
  </w:style>
  <w:style w:type="character" w:styleId="CommentReference">
    <w:name w:val="annotation reference"/>
    <w:semiHidden/>
    <w:rsid w:val="002F5868"/>
    <w:rPr>
      <w:sz w:val="16"/>
      <w:szCs w:val="16"/>
    </w:rPr>
  </w:style>
  <w:style w:type="paragraph" w:styleId="CommentSubject">
    <w:name w:val="annotation subject"/>
    <w:basedOn w:val="CommentText"/>
    <w:next w:val="CommentText"/>
    <w:semiHidden/>
    <w:rsid w:val="002F5868"/>
    <w:rPr>
      <w:b/>
      <w:bCs/>
    </w:rPr>
  </w:style>
  <w:style w:type="paragraph" w:styleId="Revision">
    <w:name w:val="Revision"/>
    <w:hidden/>
    <w:semiHidden/>
    <w:rsid w:val="002F5868"/>
    <w:rPr>
      <w:sz w:val="24"/>
    </w:rPr>
  </w:style>
  <w:style w:type="character" w:customStyle="1" w:styleId="HeaderChar">
    <w:name w:val="Header Char"/>
    <w:link w:val="Header"/>
    <w:rsid w:val="00A43CDA"/>
    <w:rPr>
      <w:smallCaps/>
    </w:rPr>
  </w:style>
  <w:style w:type="character" w:styleId="FollowedHyperlink">
    <w:name w:val="FollowedHyperlink"/>
    <w:rsid w:val="009C65F4"/>
    <w:rPr>
      <w:color w:val="800080"/>
      <w:u w:val="single"/>
    </w:rPr>
  </w:style>
  <w:style w:type="character" w:customStyle="1" w:styleId="BodyTextNumberedChar1">
    <w:name w:val="Body Text Numbered Char1"/>
    <w:rsid w:val="00983E12"/>
    <w:rPr>
      <w:iCs/>
      <w:sz w:val="24"/>
    </w:rPr>
  </w:style>
  <w:style w:type="character" w:customStyle="1" w:styleId="InstructionsChar">
    <w:name w:val="Instructions Char"/>
    <w:link w:val="Instructions"/>
    <w:rsid w:val="00834D02"/>
    <w:rPr>
      <w:b/>
      <w:i/>
      <w:iCs/>
      <w:sz w:val="24"/>
      <w:szCs w:val="24"/>
    </w:rPr>
  </w:style>
  <w:style w:type="character" w:customStyle="1" w:styleId="FormulaBoldChar">
    <w:name w:val="Formula Bold Char"/>
    <w:link w:val="FormulaBold"/>
    <w:rsid w:val="00D465F5"/>
    <w:rPr>
      <w:b/>
      <w:sz w:val="24"/>
      <w:lang w:val="x-none" w:eastAsia="x-none"/>
    </w:rPr>
  </w:style>
  <w:style w:type="character" w:customStyle="1" w:styleId="Heading4Char">
    <w:name w:val="Heading 4 Char"/>
    <w:aliases w:val="h4 Char"/>
    <w:link w:val="Heading4"/>
    <w:rsid w:val="005E554F"/>
    <w:rPr>
      <w:b/>
      <w:bCs/>
      <w:snapToGrid w:val="0"/>
      <w:sz w:val="24"/>
    </w:rPr>
  </w:style>
  <w:style w:type="character" w:customStyle="1" w:styleId="ListChar1">
    <w:name w:val="List Char1"/>
    <w:aliases w:val=" Char2 Char Char Char Char Char, Char2 Char Char1"/>
    <w:rsid w:val="005E554F"/>
    <w:rPr>
      <w:sz w:val="24"/>
      <w:lang w:val="en-US" w:eastAsia="en-US" w:bidi="ar-SA"/>
    </w:rPr>
  </w:style>
  <w:style w:type="character" w:customStyle="1" w:styleId="List2Char">
    <w:name w:val="List 2 Char"/>
    <w:aliases w:val=" Char2 Char1"/>
    <w:link w:val="List2"/>
    <w:rsid w:val="005E554F"/>
    <w:rPr>
      <w:sz w:val="24"/>
    </w:rPr>
  </w:style>
  <w:style w:type="character" w:customStyle="1" w:styleId="H2Char">
    <w:name w:val="H2 Char"/>
    <w:link w:val="H2"/>
    <w:rsid w:val="005E554F"/>
    <w:rPr>
      <w:b/>
      <w:sz w:val="24"/>
    </w:rPr>
  </w:style>
  <w:style w:type="character" w:customStyle="1" w:styleId="H6Char">
    <w:name w:val="H6 Char"/>
    <w:link w:val="H6"/>
    <w:rsid w:val="005E554F"/>
    <w:rPr>
      <w:b/>
      <w:bCs/>
      <w:sz w:val="24"/>
      <w:szCs w:val="22"/>
    </w:rPr>
  </w:style>
  <w:style w:type="character" w:customStyle="1" w:styleId="CharChar1">
    <w:name w:val="Char Char1"/>
    <w:rsid w:val="005E554F"/>
    <w:rPr>
      <w:b/>
      <w:bCs/>
      <w:i/>
      <w:iCs/>
      <w:sz w:val="24"/>
      <w:szCs w:val="26"/>
      <w:lang w:val="en-US" w:eastAsia="en-US" w:bidi="ar-SA"/>
    </w:rPr>
  </w:style>
  <w:style w:type="character" w:customStyle="1" w:styleId="VariableDefinitionChar">
    <w:name w:val="Variable Definition Char"/>
    <w:link w:val="VariableDefinition"/>
    <w:rsid w:val="005E554F"/>
    <w:rPr>
      <w:iCs/>
      <w:sz w:val="24"/>
    </w:rPr>
  </w:style>
  <w:style w:type="paragraph" w:customStyle="1" w:styleId="note">
    <w:name w:val="note"/>
    <w:basedOn w:val="Normal"/>
    <w:rsid w:val="005E554F"/>
    <w:rPr>
      <w:sz w:val="22"/>
    </w:rPr>
  </w:style>
  <w:style w:type="paragraph" w:customStyle="1" w:styleId="Default">
    <w:name w:val="Default"/>
    <w:rsid w:val="005E554F"/>
    <w:pPr>
      <w:autoSpaceDE w:val="0"/>
      <w:autoSpaceDN w:val="0"/>
      <w:adjustRightInd w:val="0"/>
    </w:pPr>
    <w:rPr>
      <w:rFonts w:ascii="Arial" w:hAnsi="Arial" w:cs="Arial"/>
      <w:color w:val="000000"/>
      <w:sz w:val="24"/>
      <w:szCs w:val="24"/>
    </w:rPr>
  </w:style>
  <w:style w:type="paragraph" w:styleId="BlockText">
    <w:name w:val="Block Text"/>
    <w:basedOn w:val="Normal"/>
    <w:rsid w:val="005E554F"/>
    <w:pPr>
      <w:spacing w:after="120"/>
      <w:ind w:left="1440" w:right="1440"/>
    </w:pPr>
  </w:style>
  <w:style w:type="paragraph" w:styleId="NormalWeb">
    <w:name w:val="Normal (Web)"/>
    <w:basedOn w:val="Normal"/>
    <w:rsid w:val="005E554F"/>
    <w:pPr>
      <w:spacing w:before="100" w:beforeAutospacing="1" w:after="100" w:afterAutospacing="1"/>
    </w:pPr>
    <w:rPr>
      <w:szCs w:val="24"/>
    </w:rPr>
  </w:style>
  <w:style w:type="paragraph" w:customStyle="1" w:styleId="List1">
    <w:name w:val="List1"/>
    <w:basedOn w:val="H4"/>
    <w:rsid w:val="005E554F"/>
    <w:pPr>
      <w:tabs>
        <w:tab w:val="clear" w:pos="1260"/>
      </w:tabs>
      <w:ind w:left="1440" w:hanging="720"/>
    </w:pPr>
    <w:rPr>
      <w:b w:val="0"/>
    </w:rPr>
  </w:style>
  <w:style w:type="paragraph" w:customStyle="1" w:styleId="Char">
    <w:name w:val="Char"/>
    <w:basedOn w:val="Normal"/>
    <w:rsid w:val="005E554F"/>
    <w:pPr>
      <w:spacing w:after="160" w:line="240" w:lineRule="exact"/>
    </w:pPr>
    <w:rPr>
      <w:rFonts w:ascii="Verdana" w:hAnsi="Verdana"/>
      <w:sz w:val="16"/>
    </w:rPr>
  </w:style>
  <w:style w:type="character" w:customStyle="1" w:styleId="DeltaViewInsertion">
    <w:name w:val="DeltaView Insertion"/>
    <w:rsid w:val="005E554F"/>
    <w:rPr>
      <w:color w:val="0000FF"/>
      <w:spacing w:val="0"/>
      <w:u w:val="double"/>
    </w:rPr>
  </w:style>
  <w:style w:type="character" w:customStyle="1" w:styleId="DeltaViewMoveDestination">
    <w:name w:val="DeltaView Move Destination"/>
    <w:rsid w:val="005E554F"/>
    <w:rPr>
      <w:color w:val="00C000"/>
      <w:spacing w:val="0"/>
      <w:u w:val="double"/>
    </w:rPr>
  </w:style>
  <w:style w:type="character" w:customStyle="1" w:styleId="BulletChar">
    <w:name w:val="Bullet Char"/>
    <w:link w:val="Bullet"/>
    <w:rsid w:val="005E554F"/>
    <w:rPr>
      <w:sz w:val="24"/>
    </w:rPr>
  </w:style>
  <w:style w:type="paragraph" w:customStyle="1" w:styleId="Bullet15">
    <w:name w:val="Bullet (1.5)"/>
    <w:basedOn w:val="Normal"/>
    <w:rsid w:val="005E554F"/>
    <w:pPr>
      <w:tabs>
        <w:tab w:val="num" w:pos="2520"/>
      </w:tabs>
      <w:spacing w:after="120"/>
      <w:ind w:left="2520" w:hanging="720"/>
    </w:pPr>
  </w:style>
  <w:style w:type="paragraph" w:customStyle="1" w:styleId="BulletCharChar">
    <w:name w:val="Bullet Char Char"/>
    <w:basedOn w:val="Normal"/>
    <w:link w:val="BulletCharCharChar"/>
    <w:rsid w:val="005E554F"/>
    <w:pPr>
      <w:tabs>
        <w:tab w:val="num" w:pos="450"/>
      </w:tabs>
      <w:spacing w:after="180"/>
      <w:ind w:left="450" w:hanging="360"/>
    </w:pPr>
    <w:rPr>
      <w:lang w:val="x-none" w:eastAsia="x-none"/>
    </w:rPr>
  </w:style>
  <w:style w:type="character" w:customStyle="1" w:styleId="BulletCharCharChar">
    <w:name w:val="Bullet Char Char Char"/>
    <w:link w:val="BulletCharChar"/>
    <w:rsid w:val="005E554F"/>
    <w:rPr>
      <w:sz w:val="24"/>
    </w:rPr>
  </w:style>
  <w:style w:type="character" w:customStyle="1" w:styleId="Char2CharCharCharCharChar">
    <w:name w:val="Char2 Char Char Char Char Char"/>
    <w:aliases w:val=" Char2 Char Char Char"/>
    <w:rsid w:val="005E554F"/>
    <w:rPr>
      <w:sz w:val="24"/>
      <w:lang w:val="en-US" w:eastAsia="en-US" w:bidi="ar-SA"/>
    </w:rPr>
  </w:style>
  <w:style w:type="character" w:customStyle="1" w:styleId="BodyTextIndentChar">
    <w:name w:val="Body Text Indent Char"/>
    <w:rsid w:val="005E554F"/>
    <w:rPr>
      <w:iCs/>
      <w:sz w:val="24"/>
      <w:lang w:val="en-US" w:eastAsia="en-US" w:bidi="ar-SA"/>
    </w:rPr>
  </w:style>
  <w:style w:type="paragraph" w:styleId="BodyText3">
    <w:name w:val="Body Text 3"/>
    <w:basedOn w:val="Normal"/>
    <w:link w:val="BodyText3Char"/>
    <w:rsid w:val="005E554F"/>
    <w:pPr>
      <w:spacing w:after="120"/>
    </w:pPr>
    <w:rPr>
      <w:sz w:val="16"/>
      <w:szCs w:val="16"/>
      <w:lang w:val="x-none" w:eastAsia="x-none"/>
    </w:rPr>
  </w:style>
  <w:style w:type="character" w:customStyle="1" w:styleId="BodyText3Char">
    <w:name w:val="Body Text 3 Char"/>
    <w:link w:val="BodyText3"/>
    <w:rsid w:val="005E554F"/>
    <w:rPr>
      <w:sz w:val="16"/>
      <w:szCs w:val="16"/>
    </w:rPr>
  </w:style>
  <w:style w:type="paragraph" w:styleId="BodyTextFirstIndent">
    <w:name w:val="Body Text First Indent"/>
    <w:basedOn w:val="BodyText"/>
    <w:link w:val="BodyTextFirstIndentChar"/>
    <w:rsid w:val="005E554F"/>
    <w:pPr>
      <w:spacing w:after="120"/>
      <w:ind w:firstLine="210"/>
    </w:pPr>
  </w:style>
  <w:style w:type="character" w:customStyle="1" w:styleId="BodyTextFirstIndentChar">
    <w:name w:val="Body Text First Indent Char"/>
    <w:link w:val="BodyTextFirstIndent"/>
    <w:rsid w:val="005E554F"/>
    <w:rPr>
      <w:iCs/>
      <w:sz w:val="24"/>
      <w:lang w:val="en-US" w:eastAsia="en-US" w:bidi="ar-SA"/>
    </w:rPr>
  </w:style>
  <w:style w:type="paragraph" w:styleId="BodyTextFirstIndent2">
    <w:name w:val="Body Text First Indent 2"/>
    <w:basedOn w:val="BodyTextIndent"/>
    <w:link w:val="BodyTextFirstIndent2Char"/>
    <w:rsid w:val="005E554F"/>
    <w:pPr>
      <w:spacing w:after="120"/>
      <w:ind w:left="360" w:firstLine="210"/>
    </w:pPr>
  </w:style>
  <w:style w:type="character" w:customStyle="1" w:styleId="BodyTextIndentChar1">
    <w:name w:val="Body Text Indent Char1"/>
    <w:link w:val="BodyTextIndent"/>
    <w:rsid w:val="005E554F"/>
    <w:rPr>
      <w:iCs/>
      <w:sz w:val="24"/>
    </w:rPr>
  </w:style>
  <w:style w:type="character" w:customStyle="1" w:styleId="BodyTextFirstIndent2Char">
    <w:name w:val="Body Text First Indent 2 Char"/>
    <w:link w:val="BodyTextFirstIndent2"/>
    <w:rsid w:val="005E554F"/>
    <w:rPr>
      <w:iCs/>
      <w:sz w:val="24"/>
    </w:rPr>
  </w:style>
  <w:style w:type="paragraph" w:styleId="BodyTextIndent2">
    <w:name w:val="Body Text Indent 2"/>
    <w:basedOn w:val="Normal"/>
    <w:link w:val="BodyTextIndent2Char"/>
    <w:rsid w:val="005E554F"/>
    <w:pPr>
      <w:spacing w:after="120" w:line="480" w:lineRule="auto"/>
      <w:ind w:left="360"/>
    </w:pPr>
    <w:rPr>
      <w:lang w:val="x-none" w:eastAsia="x-none"/>
    </w:rPr>
  </w:style>
  <w:style w:type="character" w:customStyle="1" w:styleId="BodyTextIndent2Char">
    <w:name w:val="Body Text Indent 2 Char"/>
    <w:link w:val="BodyTextIndent2"/>
    <w:rsid w:val="005E554F"/>
    <w:rPr>
      <w:sz w:val="24"/>
    </w:rPr>
  </w:style>
  <w:style w:type="paragraph" w:styleId="BodyTextIndent3">
    <w:name w:val="Body Text Indent 3"/>
    <w:basedOn w:val="Normal"/>
    <w:link w:val="BodyTextIndent3Char"/>
    <w:rsid w:val="005E554F"/>
    <w:pPr>
      <w:spacing w:after="120"/>
      <w:ind w:left="360"/>
    </w:pPr>
    <w:rPr>
      <w:sz w:val="16"/>
      <w:szCs w:val="16"/>
      <w:lang w:val="x-none" w:eastAsia="x-none"/>
    </w:rPr>
  </w:style>
  <w:style w:type="character" w:customStyle="1" w:styleId="BodyTextIndent3Char">
    <w:name w:val="Body Text Indent 3 Char"/>
    <w:link w:val="BodyTextIndent3"/>
    <w:rsid w:val="005E554F"/>
    <w:rPr>
      <w:sz w:val="16"/>
      <w:szCs w:val="16"/>
    </w:rPr>
  </w:style>
  <w:style w:type="paragraph" w:styleId="Caption">
    <w:name w:val="caption"/>
    <w:basedOn w:val="Normal"/>
    <w:next w:val="Normal"/>
    <w:qFormat/>
    <w:rsid w:val="005E554F"/>
    <w:rPr>
      <w:b/>
      <w:bCs/>
      <w:sz w:val="20"/>
    </w:rPr>
  </w:style>
  <w:style w:type="paragraph" w:styleId="Closing">
    <w:name w:val="Closing"/>
    <w:basedOn w:val="Normal"/>
    <w:link w:val="ClosingChar"/>
    <w:rsid w:val="005E554F"/>
    <w:pPr>
      <w:ind w:left="4320"/>
    </w:pPr>
    <w:rPr>
      <w:lang w:val="x-none" w:eastAsia="x-none"/>
    </w:rPr>
  </w:style>
  <w:style w:type="character" w:customStyle="1" w:styleId="ClosingChar">
    <w:name w:val="Closing Char"/>
    <w:link w:val="Closing"/>
    <w:rsid w:val="005E554F"/>
    <w:rPr>
      <w:sz w:val="24"/>
    </w:rPr>
  </w:style>
  <w:style w:type="paragraph" w:styleId="Date">
    <w:name w:val="Date"/>
    <w:basedOn w:val="Normal"/>
    <w:next w:val="Normal"/>
    <w:link w:val="DateChar"/>
    <w:rsid w:val="005E554F"/>
    <w:rPr>
      <w:lang w:val="x-none" w:eastAsia="x-none"/>
    </w:rPr>
  </w:style>
  <w:style w:type="character" w:customStyle="1" w:styleId="DateChar">
    <w:name w:val="Date Char"/>
    <w:link w:val="Date"/>
    <w:rsid w:val="005E554F"/>
    <w:rPr>
      <w:sz w:val="24"/>
    </w:rPr>
  </w:style>
  <w:style w:type="paragraph" w:styleId="E-mailSignature">
    <w:name w:val="E-mail Signature"/>
    <w:basedOn w:val="Normal"/>
    <w:link w:val="E-mailSignatureChar"/>
    <w:rsid w:val="005E554F"/>
    <w:rPr>
      <w:lang w:val="x-none" w:eastAsia="x-none"/>
    </w:rPr>
  </w:style>
  <w:style w:type="character" w:customStyle="1" w:styleId="E-mailSignatureChar">
    <w:name w:val="E-mail Signature Char"/>
    <w:link w:val="E-mailSignature"/>
    <w:rsid w:val="005E554F"/>
    <w:rPr>
      <w:sz w:val="24"/>
    </w:rPr>
  </w:style>
  <w:style w:type="paragraph" w:styleId="EndnoteText">
    <w:name w:val="endnote text"/>
    <w:basedOn w:val="Normal"/>
    <w:link w:val="EndnoteTextChar"/>
    <w:rsid w:val="005E554F"/>
    <w:rPr>
      <w:sz w:val="20"/>
    </w:rPr>
  </w:style>
  <w:style w:type="character" w:customStyle="1" w:styleId="EndnoteTextChar">
    <w:name w:val="Endnote Text Char"/>
    <w:basedOn w:val="DefaultParagraphFont"/>
    <w:link w:val="EndnoteText"/>
    <w:rsid w:val="005E554F"/>
  </w:style>
  <w:style w:type="paragraph" w:styleId="EnvelopeAddress">
    <w:name w:val="envelope address"/>
    <w:basedOn w:val="Normal"/>
    <w:rsid w:val="005E554F"/>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rsid w:val="005E554F"/>
    <w:rPr>
      <w:rFonts w:ascii="Arial" w:hAnsi="Arial" w:cs="Arial"/>
      <w:sz w:val="20"/>
    </w:rPr>
  </w:style>
  <w:style w:type="paragraph" w:styleId="HTMLAddress">
    <w:name w:val="HTML Address"/>
    <w:basedOn w:val="Normal"/>
    <w:link w:val="HTMLAddressChar"/>
    <w:rsid w:val="005E554F"/>
    <w:rPr>
      <w:i/>
      <w:iCs/>
      <w:lang w:val="x-none" w:eastAsia="x-none"/>
    </w:rPr>
  </w:style>
  <w:style w:type="character" w:customStyle="1" w:styleId="HTMLAddressChar">
    <w:name w:val="HTML Address Char"/>
    <w:link w:val="HTMLAddress"/>
    <w:rsid w:val="005E554F"/>
    <w:rPr>
      <w:i/>
      <w:iCs/>
      <w:sz w:val="24"/>
    </w:rPr>
  </w:style>
  <w:style w:type="paragraph" w:styleId="HTMLPreformatted">
    <w:name w:val="HTML Preformatted"/>
    <w:basedOn w:val="Normal"/>
    <w:link w:val="HTMLPreformattedChar"/>
    <w:rsid w:val="005E554F"/>
    <w:rPr>
      <w:rFonts w:ascii="Courier New" w:hAnsi="Courier New"/>
      <w:sz w:val="20"/>
      <w:lang w:val="x-none" w:eastAsia="x-none"/>
    </w:rPr>
  </w:style>
  <w:style w:type="character" w:customStyle="1" w:styleId="HTMLPreformattedChar">
    <w:name w:val="HTML Preformatted Char"/>
    <w:link w:val="HTMLPreformatted"/>
    <w:rsid w:val="005E554F"/>
    <w:rPr>
      <w:rFonts w:ascii="Courier New" w:hAnsi="Courier New" w:cs="Courier New"/>
    </w:rPr>
  </w:style>
  <w:style w:type="paragraph" w:styleId="List4">
    <w:name w:val="List 4"/>
    <w:basedOn w:val="Normal"/>
    <w:rsid w:val="005E554F"/>
    <w:pPr>
      <w:ind w:left="1440" w:hanging="360"/>
    </w:pPr>
  </w:style>
  <w:style w:type="paragraph" w:styleId="List5">
    <w:name w:val="List 5"/>
    <w:basedOn w:val="Normal"/>
    <w:rsid w:val="005E554F"/>
    <w:pPr>
      <w:ind w:left="1800" w:hanging="360"/>
    </w:pPr>
  </w:style>
  <w:style w:type="paragraph" w:styleId="ListBullet">
    <w:name w:val="List Bullet"/>
    <w:basedOn w:val="Normal"/>
    <w:rsid w:val="005E554F"/>
    <w:pPr>
      <w:numPr>
        <w:numId w:val="12"/>
      </w:numPr>
    </w:pPr>
  </w:style>
  <w:style w:type="paragraph" w:styleId="ListBullet2">
    <w:name w:val="List Bullet 2"/>
    <w:basedOn w:val="Normal"/>
    <w:rsid w:val="005E554F"/>
    <w:pPr>
      <w:numPr>
        <w:numId w:val="13"/>
      </w:numPr>
    </w:pPr>
  </w:style>
  <w:style w:type="paragraph" w:styleId="ListBullet3">
    <w:name w:val="List Bullet 3"/>
    <w:basedOn w:val="Normal"/>
    <w:rsid w:val="005E554F"/>
    <w:pPr>
      <w:numPr>
        <w:numId w:val="14"/>
      </w:numPr>
    </w:pPr>
  </w:style>
  <w:style w:type="paragraph" w:styleId="ListBullet4">
    <w:name w:val="List Bullet 4"/>
    <w:basedOn w:val="Normal"/>
    <w:rsid w:val="005E554F"/>
    <w:pPr>
      <w:numPr>
        <w:numId w:val="15"/>
      </w:numPr>
    </w:pPr>
  </w:style>
  <w:style w:type="paragraph" w:styleId="ListBullet5">
    <w:name w:val="List Bullet 5"/>
    <w:basedOn w:val="Normal"/>
    <w:rsid w:val="005E554F"/>
    <w:pPr>
      <w:numPr>
        <w:numId w:val="16"/>
      </w:numPr>
    </w:pPr>
  </w:style>
  <w:style w:type="paragraph" w:styleId="ListContinue">
    <w:name w:val="List Continue"/>
    <w:basedOn w:val="Normal"/>
    <w:rsid w:val="005E554F"/>
    <w:pPr>
      <w:spacing w:after="120"/>
      <w:ind w:left="360"/>
    </w:pPr>
  </w:style>
  <w:style w:type="paragraph" w:styleId="ListContinue2">
    <w:name w:val="List Continue 2"/>
    <w:basedOn w:val="Normal"/>
    <w:rsid w:val="005E554F"/>
    <w:pPr>
      <w:spacing w:after="120"/>
      <w:ind w:left="720"/>
    </w:pPr>
  </w:style>
  <w:style w:type="paragraph" w:styleId="ListContinue3">
    <w:name w:val="List Continue 3"/>
    <w:basedOn w:val="Normal"/>
    <w:rsid w:val="005E554F"/>
    <w:pPr>
      <w:spacing w:after="120"/>
      <w:ind w:left="1080"/>
    </w:pPr>
  </w:style>
  <w:style w:type="paragraph" w:styleId="ListContinue4">
    <w:name w:val="List Continue 4"/>
    <w:basedOn w:val="Normal"/>
    <w:rsid w:val="005E554F"/>
    <w:pPr>
      <w:spacing w:after="120"/>
      <w:ind w:left="1440"/>
    </w:pPr>
  </w:style>
  <w:style w:type="paragraph" w:styleId="ListContinue5">
    <w:name w:val="List Continue 5"/>
    <w:basedOn w:val="Normal"/>
    <w:rsid w:val="005E554F"/>
    <w:pPr>
      <w:spacing w:after="120"/>
      <w:ind w:left="1800"/>
    </w:pPr>
  </w:style>
  <w:style w:type="paragraph" w:styleId="ListNumber">
    <w:name w:val="List Number"/>
    <w:basedOn w:val="Normal"/>
    <w:rsid w:val="005E554F"/>
    <w:pPr>
      <w:numPr>
        <w:numId w:val="17"/>
      </w:numPr>
    </w:pPr>
  </w:style>
  <w:style w:type="paragraph" w:styleId="ListNumber2">
    <w:name w:val="List Number 2"/>
    <w:basedOn w:val="Normal"/>
    <w:rsid w:val="005E554F"/>
    <w:pPr>
      <w:numPr>
        <w:numId w:val="18"/>
      </w:numPr>
    </w:pPr>
  </w:style>
  <w:style w:type="paragraph" w:styleId="ListNumber3">
    <w:name w:val="List Number 3"/>
    <w:basedOn w:val="Normal"/>
    <w:rsid w:val="005E554F"/>
    <w:pPr>
      <w:numPr>
        <w:numId w:val="19"/>
      </w:numPr>
    </w:pPr>
  </w:style>
  <w:style w:type="paragraph" w:styleId="ListNumber4">
    <w:name w:val="List Number 4"/>
    <w:basedOn w:val="Normal"/>
    <w:rsid w:val="005E554F"/>
    <w:pPr>
      <w:numPr>
        <w:numId w:val="20"/>
      </w:numPr>
    </w:pPr>
  </w:style>
  <w:style w:type="paragraph" w:styleId="ListNumber5">
    <w:name w:val="List Number 5"/>
    <w:basedOn w:val="Normal"/>
    <w:rsid w:val="005E554F"/>
    <w:pPr>
      <w:numPr>
        <w:numId w:val="21"/>
      </w:numPr>
    </w:pPr>
  </w:style>
  <w:style w:type="paragraph" w:styleId="MacroText">
    <w:name w:val="macro"/>
    <w:link w:val="MacroTextChar"/>
    <w:rsid w:val="005E554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rsid w:val="005E554F"/>
    <w:rPr>
      <w:rFonts w:ascii="Courier New" w:hAnsi="Courier New" w:cs="Courier New"/>
      <w:lang w:val="en-US" w:eastAsia="en-US" w:bidi="ar-SA"/>
    </w:rPr>
  </w:style>
  <w:style w:type="paragraph" w:styleId="MessageHeader">
    <w:name w:val="Message Header"/>
    <w:basedOn w:val="Normal"/>
    <w:link w:val="MessageHeaderChar"/>
    <w:rsid w:val="005E554F"/>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szCs w:val="24"/>
      <w:lang w:val="x-none" w:eastAsia="x-none"/>
    </w:rPr>
  </w:style>
  <w:style w:type="character" w:customStyle="1" w:styleId="MessageHeaderChar">
    <w:name w:val="Message Header Char"/>
    <w:link w:val="MessageHeader"/>
    <w:rsid w:val="005E554F"/>
    <w:rPr>
      <w:rFonts w:ascii="Arial" w:hAnsi="Arial" w:cs="Arial"/>
      <w:sz w:val="24"/>
      <w:szCs w:val="24"/>
      <w:shd w:val="pct20" w:color="auto" w:fill="auto"/>
    </w:rPr>
  </w:style>
  <w:style w:type="paragraph" w:styleId="NormalIndent">
    <w:name w:val="Normal Indent"/>
    <w:basedOn w:val="Normal"/>
    <w:rsid w:val="005E554F"/>
    <w:pPr>
      <w:ind w:left="720"/>
    </w:pPr>
  </w:style>
  <w:style w:type="paragraph" w:styleId="NoteHeading">
    <w:name w:val="Note Heading"/>
    <w:basedOn w:val="Normal"/>
    <w:next w:val="Normal"/>
    <w:link w:val="NoteHeadingChar"/>
    <w:rsid w:val="005E554F"/>
    <w:rPr>
      <w:lang w:val="x-none" w:eastAsia="x-none"/>
    </w:rPr>
  </w:style>
  <w:style w:type="character" w:customStyle="1" w:styleId="NoteHeadingChar">
    <w:name w:val="Note Heading Char"/>
    <w:link w:val="NoteHeading"/>
    <w:rsid w:val="005E554F"/>
    <w:rPr>
      <w:sz w:val="24"/>
    </w:rPr>
  </w:style>
  <w:style w:type="paragraph" w:styleId="PlainText">
    <w:name w:val="Plain Text"/>
    <w:basedOn w:val="Normal"/>
    <w:link w:val="PlainTextChar"/>
    <w:rsid w:val="005E554F"/>
    <w:rPr>
      <w:rFonts w:ascii="Courier New" w:hAnsi="Courier New"/>
      <w:sz w:val="20"/>
      <w:lang w:val="x-none" w:eastAsia="x-none"/>
    </w:rPr>
  </w:style>
  <w:style w:type="character" w:customStyle="1" w:styleId="PlainTextChar">
    <w:name w:val="Plain Text Char"/>
    <w:link w:val="PlainText"/>
    <w:rsid w:val="005E554F"/>
    <w:rPr>
      <w:rFonts w:ascii="Courier New" w:hAnsi="Courier New" w:cs="Courier New"/>
    </w:rPr>
  </w:style>
  <w:style w:type="paragraph" w:styleId="Salutation">
    <w:name w:val="Salutation"/>
    <w:basedOn w:val="Normal"/>
    <w:next w:val="Normal"/>
    <w:link w:val="SalutationChar"/>
    <w:rsid w:val="005E554F"/>
    <w:rPr>
      <w:lang w:val="x-none" w:eastAsia="x-none"/>
    </w:rPr>
  </w:style>
  <w:style w:type="character" w:customStyle="1" w:styleId="SalutationChar">
    <w:name w:val="Salutation Char"/>
    <w:link w:val="Salutation"/>
    <w:rsid w:val="005E554F"/>
    <w:rPr>
      <w:sz w:val="24"/>
    </w:rPr>
  </w:style>
  <w:style w:type="paragraph" w:styleId="Signature">
    <w:name w:val="Signature"/>
    <w:basedOn w:val="Normal"/>
    <w:link w:val="SignatureChar"/>
    <w:rsid w:val="005E554F"/>
    <w:pPr>
      <w:ind w:left="4320"/>
    </w:pPr>
    <w:rPr>
      <w:lang w:val="x-none" w:eastAsia="x-none"/>
    </w:rPr>
  </w:style>
  <w:style w:type="character" w:customStyle="1" w:styleId="SignatureChar">
    <w:name w:val="Signature Char"/>
    <w:link w:val="Signature"/>
    <w:rsid w:val="005E554F"/>
    <w:rPr>
      <w:sz w:val="24"/>
    </w:rPr>
  </w:style>
  <w:style w:type="paragraph" w:styleId="Subtitle">
    <w:name w:val="Subtitle"/>
    <w:basedOn w:val="Normal"/>
    <w:link w:val="SubtitleChar"/>
    <w:qFormat/>
    <w:rsid w:val="005E554F"/>
    <w:pPr>
      <w:spacing w:after="60"/>
      <w:jc w:val="center"/>
      <w:outlineLvl w:val="1"/>
    </w:pPr>
    <w:rPr>
      <w:rFonts w:ascii="Arial" w:hAnsi="Arial"/>
      <w:szCs w:val="24"/>
      <w:lang w:val="x-none" w:eastAsia="x-none"/>
    </w:rPr>
  </w:style>
  <w:style w:type="character" w:customStyle="1" w:styleId="SubtitleChar">
    <w:name w:val="Subtitle Char"/>
    <w:link w:val="Subtitle"/>
    <w:rsid w:val="005E554F"/>
    <w:rPr>
      <w:rFonts w:ascii="Arial" w:hAnsi="Arial" w:cs="Arial"/>
      <w:sz w:val="24"/>
      <w:szCs w:val="24"/>
    </w:rPr>
  </w:style>
  <w:style w:type="paragraph" w:styleId="TableofAuthorities">
    <w:name w:val="table of authorities"/>
    <w:basedOn w:val="Normal"/>
    <w:next w:val="Normal"/>
    <w:rsid w:val="005E554F"/>
    <w:pPr>
      <w:ind w:left="240" w:hanging="240"/>
    </w:pPr>
  </w:style>
  <w:style w:type="paragraph" w:styleId="TableofFigures">
    <w:name w:val="table of figures"/>
    <w:basedOn w:val="Normal"/>
    <w:next w:val="Normal"/>
    <w:rsid w:val="005E554F"/>
  </w:style>
  <w:style w:type="paragraph" w:styleId="Title">
    <w:name w:val="Title"/>
    <w:basedOn w:val="Normal"/>
    <w:link w:val="TitleChar"/>
    <w:qFormat/>
    <w:rsid w:val="005E554F"/>
    <w:pPr>
      <w:spacing w:before="240" w:after="60"/>
      <w:jc w:val="center"/>
      <w:outlineLvl w:val="0"/>
    </w:pPr>
    <w:rPr>
      <w:rFonts w:ascii="Arial" w:hAnsi="Arial"/>
      <w:b/>
      <w:bCs/>
      <w:kern w:val="28"/>
      <w:sz w:val="32"/>
      <w:szCs w:val="32"/>
      <w:lang w:val="x-none" w:eastAsia="x-none"/>
    </w:rPr>
  </w:style>
  <w:style w:type="character" w:customStyle="1" w:styleId="TitleChar">
    <w:name w:val="Title Char"/>
    <w:link w:val="Title"/>
    <w:rsid w:val="005E554F"/>
    <w:rPr>
      <w:rFonts w:ascii="Arial" w:hAnsi="Arial" w:cs="Arial"/>
      <w:b/>
      <w:bCs/>
      <w:kern w:val="28"/>
      <w:sz w:val="32"/>
      <w:szCs w:val="32"/>
    </w:rPr>
  </w:style>
  <w:style w:type="paragraph" w:styleId="TOAHeading">
    <w:name w:val="toa heading"/>
    <w:basedOn w:val="Normal"/>
    <w:next w:val="Normal"/>
    <w:rsid w:val="005E554F"/>
    <w:pPr>
      <w:spacing w:before="120"/>
    </w:pPr>
    <w:rPr>
      <w:rFonts w:ascii="Arial" w:hAnsi="Arial" w:cs="Arial"/>
      <w:b/>
      <w:bCs/>
      <w:szCs w:val="24"/>
    </w:rPr>
  </w:style>
  <w:style w:type="paragraph" w:customStyle="1" w:styleId="TXUFooterPage">
    <w:name w:val="TXUFooterPage"/>
    <w:basedOn w:val="Normal"/>
    <w:next w:val="Normal"/>
    <w:rsid w:val="005E554F"/>
    <w:pPr>
      <w:pBdr>
        <w:top w:val="single" w:sz="4" w:space="1" w:color="auto"/>
      </w:pBdr>
      <w:tabs>
        <w:tab w:val="center" w:pos="4536"/>
        <w:tab w:val="right" w:pos="9360"/>
      </w:tabs>
    </w:pPr>
    <w:rPr>
      <w:sz w:val="20"/>
    </w:rPr>
  </w:style>
  <w:style w:type="paragraph" w:customStyle="1" w:styleId="Char11">
    <w:name w:val="Char11"/>
    <w:basedOn w:val="Normal"/>
    <w:rsid w:val="005E554F"/>
    <w:pPr>
      <w:spacing w:after="160" w:line="240" w:lineRule="exact"/>
    </w:pPr>
    <w:rPr>
      <w:rFonts w:ascii="Verdana" w:hAnsi="Verdana"/>
      <w:sz w:val="16"/>
    </w:rPr>
  </w:style>
  <w:style w:type="paragraph" w:customStyle="1" w:styleId="Char4">
    <w:name w:val="Char4"/>
    <w:basedOn w:val="Normal"/>
    <w:rsid w:val="005E554F"/>
    <w:pPr>
      <w:spacing w:after="160" w:line="240" w:lineRule="exact"/>
    </w:pPr>
    <w:rPr>
      <w:rFonts w:ascii="Verdana" w:hAnsi="Verdana"/>
      <w:sz w:val="16"/>
    </w:rPr>
  </w:style>
  <w:style w:type="paragraph" w:customStyle="1" w:styleId="TXUFooter">
    <w:name w:val="TXUFooter"/>
    <w:basedOn w:val="Normal"/>
    <w:rsid w:val="005E554F"/>
    <w:pPr>
      <w:pBdr>
        <w:top w:val="single" w:sz="4" w:space="1" w:color="auto"/>
      </w:pBdr>
      <w:tabs>
        <w:tab w:val="center" w:pos="4536"/>
        <w:tab w:val="right" w:pos="9360"/>
      </w:tabs>
    </w:pPr>
    <w:rPr>
      <w:sz w:val="16"/>
    </w:rPr>
  </w:style>
  <w:style w:type="character" w:customStyle="1" w:styleId="Heading6Char">
    <w:name w:val="Heading 6 Char"/>
    <w:aliases w:val="h6 Char"/>
    <w:link w:val="Heading6"/>
    <w:locked/>
    <w:rsid w:val="005E554F"/>
    <w:rPr>
      <w:b/>
      <w:bCs/>
      <w:sz w:val="24"/>
      <w:szCs w:val="22"/>
    </w:rPr>
  </w:style>
  <w:style w:type="paragraph" w:customStyle="1" w:styleId="TXUHeader">
    <w:name w:val="TXUHeader"/>
    <w:basedOn w:val="Normal"/>
    <w:rsid w:val="00975D78"/>
    <w:pPr>
      <w:tabs>
        <w:tab w:val="right" w:pos="9360"/>
      </w:tabs>
    </w:pPr>
    <w:rPr>
      <w:noProof/>
      <w:sz w:val="16"/>
    </w:rPr>
  </w:style>
  <w:style w:type="character" w:customStyle="1" w:styleId="Heading5Char">
    <w:name w:val="Heading 5 Char"/>
    <w:aliases w:val="h5 Char"/>
    <w:link w:val="Heading5"/>
    <w:rsid w:val="00E51290"/>
    <w:rPr>
      <w:b/>
      <w:bCs/>
      <w:i/>
      <w:iCs/>
      <w:sz w:val="24"/>
      <w:szCs w:val="26"/>
    </w:rPr>
  </w:style>
  <w:style w:type="paragraph" w:customStyle="1" w:styleId="tablebody0">
    <w:name w:val="tablebody"/>
    <w:basedOn w:val="Normal"/>
    <w:rsid w:val="004A7A0E"/>
    <w:pPr>
      <w:spacing w:after="60"/>
    </w:pPr>
    <w:rPr>
      <w:sz w:val="20"/>
    </w:rPr>
  </w:style>
  <w:style w:type="character" w:styleId="UnresolvedMention">
    <w:name w:val="Unresolved Mention"/>
    <w:basedOn w:val="DefaultParagraphFont"/>
    <w:uiPriority w:val="99"/>
    <w:semiHidden/>
    <w:unhideWhenUsed/>
    <w:rsid w:val="008F5C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8975992">
      <w:bodyDiv w:val="1"/>
      <w:marLeft w:val="0"/>
      <w:marRight w:val="0"/>
      <w:marTop w:val="0"/>
      <w:marBottom w:val="0"/>
      <w:divBdr>
        <w:top w:val="none" w:sz="0" w:space="0" w:color="auto"/>
        <w:left w:val="none" w:sz="0" w:space="0" w:color="auto"/>
        <w:bottom w:val="none" w:sz="0" w:space="0" w:color="auto"/>
        <w:right w:val="none" w:sz="0" w:space="0" w:color="auto"/>
      </w:divBdr>
    </w:div>
    <w:div w:id="636960974">
      <w:bodyDiv w:val="1"/>
      <w:marLeft w:val="0"/>
      <w:marRight w:val="0"/>
      <w:marTop w:val="0"/>
      <w:marBottom w:val="0"/>
      <w:divBdr>
        <w:top w:val="none" w:sz="0" w:space="0" w:color="auto"/>
        <w:left w:val="none" w:sz="0" w:space="0" w:color="auto"/>
        <w:bottom w:val="none" w:sz="0" w:space="0" w:color="auto"/>
        <w:right w:val="none" w:sz="0" w:space="0" w:color="auto"/>
      </w:divBdr>
    </w:div>
    <w:div w:id="664673393">
      <w:bodyDiv w:val="1"/>
      <w:marLeft w:val="0"/>
      <w:marRight w:val="0"/>
      <w:marTop w:val="0"/>
      <w:marBottom w:val="0"/>
      <w:divBdr>
        <w:top w:val="none" w:sz="0" w:space="0" w:color="auto"/>
        <w:left w:val="none" w:sz="0" w:space="0" w:color="auto"/>
        <w:bottom w:val="none" w:sz="0" w:space="0" w:color="auto"/>
        <w:right w:val="none" w:sz="0" w:space="0" w:color="auto"/>
      </w:divBdr>
    </w:div>
    <w:div w:id="864828143">
      <w:bodyDiv w:val="1"/>
      <w:marLeft w:val="0"/>
      <w:marRight w:val="0"/>
      <w:marTop w:val="0"/>
      <w:marBottom w:val="0"/>
      <w:divBdr>
        <w:top w:val="none" w:sz="0" w:space="0" w:color="auto"/>
        <w:left w:val="none" w:sz="0" w:space="0" w:color="auto"/>
        <w:bottom w:val="none" w:sz="0" w:space="0" w:color="auto"/>
        <w:right w:val="none" w:sz="0" w:space="0" w:color="auto"/>
      </w:divBdr>
    </w:div>
    <w:div w:id="980690072">
      <w:bodyDiv w:val="1"/>
      <w:marLeft w:val="0"/>
      <w:marRight w:val="0"/>
      <w:marTop w:val="0"/>
      <w:marBottom w:val="0"/>
      <w:divBdr>
        <w:top w:val="none" w:sz="0" w:space="0" w:color="auto"/>
        <w:left w:val="none" w:sz="0" w:space="0" w:color="auto"/>
        <w:bottom w:val="none" w:sz="0" w:space="0" w:color="auto"/>
        <w:right w:val="none" w:sz="0" w:space="0" w:color="auto"/>
      </w:divBdr>
    </w:div>
    <w:div w:id="987514768">
      <w:bodyDiv w:val="1"/>
      <w:marLeft w:val="0"/>
      <w:marRight w:val="0"/>
      <w:marTop w:val="0"/>
      <w:marBottom w:val="0"/>
      <w:divBdr>
        <w:top w:val="none" w:sz="0" w:space="0" w:color="auto"/>
        <w:left w:val="none" w:sz="0" w:space="0" w:color="auto"/>
        <w:bottom w:val="none" w:sz="0" w:space="0" w:color="auto"/>
        <w:right w:val="none" w:sz="0" w:space="0" w:color="auto"/>
      </w:divBdr>
    </w:div>
    <w:div w:id="1203639302">
      <w:bodyDiv w:val="1"/>
      <w:marLeft w:val="0"/>
      <w:marRight w:val="0"/>
      <w:marTop w:val="0"/>
      <w:marBottom w:val="0"/>
      <w:divBdr>
        <w:top w:val="none" w:sz="0" w:space="0" w:color="auto"/>
        <w:left w:val="none" w:sz="0" w:space="0" w:color="auto"/>
        <w:bottom w:val="none" w:sz="0" w:space="0" w:color="auto"/>
        <w:right w:val="none" w:sz="0" w:space="0" w:color="auto"/>
      </w:divBdr>
    </w:div>
    <w:div w:id="1338381841">
      <w:bodyDiv w:val="1"/>
      <w:marLeft w:val="0"/>
      <w:marRight w:val="0"/>
      <w:marTop w:val="0"/>
      <w:marBottom w:val="0"/>
      <w:divBdr>
        <w:top w:val="none" w:sz="0" w:space="0" w:color="auto"/>
        <w:left w:val="none" w:sz="0" w:space="0" w:color="auto"/>
        <w:bottom w:val="none" w:sz="0" w:space="0" w:color="auto"/>
        <w:right w:val="none" w:sz="0" w:space="0" w:color="auto"/>
      </w:divBdr>
    </w:div>
    <w:div w:id="1379475329">
      <w:bodyDiv w:val="1"/>
      <w:marLeft w:val="0"/>
      <w:marRight w:val="0"/>
      <w:marTop w:val="0"/>
      <w:marBottom w:val="0"/>
      <w:divBdr>
        <w:top w:val="none" w:sz="0" w:space="0" w:color="auto"/>
        <w:left w:val="none" w:sz="0" w:space="0" w:color="auto"/>
        <w:bottom w:val="none" w:sz="0" w:space="0" w:color="auto"/>
        <w:right w:val="none" w:sz="0" w:space="0" w:color="auto"/>
      </w:divBdr>
    </w:div>
    <w:div w:id="1412266716">
      <w:bodyDiv w:val="1"/>
      <w:marLeft w:val="0"/>
      <w:marRight w:val="0"/>
      <w:marTop w:val="0"/>
      <w:marBottom w:val="0"/>
      <w:divBdr>
        <w:top w:val="none" w:sz="0" w:space="0" w:color="auto"/>
        <w:left w:val="none" w:sz="0" w:space="0" w:color="auto"/>
        <w:bottom w:val="none" w:sz="0" w:space="0" w:color="auto"/>
        <w:right w:val="none" w:sz="0" w:space="0" w:color="auto"/>
      </w:divBdr>
    </w:div>
    <w:div w:id="1471939231">
      <w:bodyDiv w:val="1"/>
      <w:marLeft w:val="0"/>
      <w:marRight w:val="0"/>
      <w:marTop w:val="0"/>
      <w:marBottom w:val="0"/>
      <w:divBdr>
        <w:top w:val="none" w:sz="0" w:space="0" w:color="auto"/>
        <w:left w:val="none" w:sz="0" w:space="0" w:color="auto"/>
        <w:bottom w:val="none" w:sz="0" w:space="0" w:color="auto"/>
        <w:right w:val="none" w:sz="0" w:space="0" w:color="auto"/>
      </w:divBdr>
    </w:div>
    <w:div w:id="1650865610">
      <w:bodyDiv w:val="1"/>
      <w:marLeft w:val="0"/>
      <w:marRight w:val="0"/>
      <w:marTop w:val="0"/>
      <w:marBottom w:val="0"/>
      <w:divBdr>
        <w:top w:val="none" w:sz="0" w:space="0" w:color="auto"/>
        <w:left w:val="none" w:sz="0" w:space="0" w:color="auto"/>
        <w:bottom w:val="none" w:sz="0" w:space="0" w:color="auto"/>
        <w:right w:val="none" w:sz="0" w:space="0" w:color="auto"/>
      </w:divBdr>
    </w:div>
    <w:div w:id="1680086970">
      <w:bodyDiv w:val="1"/>
      <w:marLeft w:val="0"/>
      <w:marRight w:val="0"/>
      <w:marTop w:val="0"/>
      <w:marBottom w:val="0"/>
      <w:divBdr>
        <w:top w:val="none" w:sz="0" w:space="0" w:color="auto"/>
        <w:left w:val="none" w:sz="0" w:space="0" w:color="auto"/>
        <w:bottom w:val="none" w:sz="0" w:space="0" w:color="auto"/>
        <w:right w:val="none" w:sz="0" w:space="0" w:color="auto"/>
      </w:divBdr>
    </w:div>
    <w:div w:id="1809781796">
      <w:bodyDiv w:val="1"/>
      <w:marLeft w:val="0"/>
      <w:marRight w:val="0"/>
      <w:marTop w:val="0"/>
      <w:marBottom w:val="0"/>
      <w:divBdr>
        <w:top w:val="none" w:sz="0" w:space="0" w:color="auto"/>
        <w:left w:val="none" w:sz="0" w:space="0" w:color="auto"/>
        <w:bottom w:val="none" w:sz="0" w:space="0" w:color="auto"/>
        <w:right w:val="none" w:sz="0" w:space="0" w:color="auto"/>
      </w:divBdr>
    </w:div>
    <w:div w:id="1992176344">
      <w:bodyDiv w:val="1"/>
      <w:marLeft w:val="0"/>
      <w:marRight w:val="0"/>
      <w:marTop w:val="0"/>
      <w:marBottom w:val="0"/>
      <w:divBdr>
        <w:top w:val="none" w:sz="0" w:space="0" w:color="auto"/>
        <w:left w:val="none" w:sz="0" w:space="0" w:color="auto"/>
        <w:bottom w:val="none" w:sz="0" w:space="0" w:color="auto"/>
        <w:right w:val="none" w:sz="0" w:space="0" w:color="auto"/>
      </w:divBdr>
    </w:div>
    <w:div w:id="2062635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3.wmf"/><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oleObject" Target="embeddings/oleObject4.bin"/><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2.wmf"/><Relationship Id="rId25" Type="http://schemas.openxmlformats.org/officeDocument/2006/relationships/oleObject" Target="embeddings/oleObject6.bin"/><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image" Target="media/image4.w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6.wmf"/><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oleObject" Target="embeddings/oleObject5.bin"/><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oleObject" Target="embeddings/oleObject3.bin"/><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1.wmf"/><Relationship Id="rId22" Type="http://schemas.openxmlformats.org/officeDocument/2006/relationships/image" Target="media/image5.wmf"/><Relationship Id="rId27"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Template\Protoco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FF50BF-AF38-4143-915A-7995E459B5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Protocol.dot</Template>
  <TotalTime>1</TotalTime>
  <Pages>65</Pages>
  <Words>22940</Words>
  <Characters>130759</Characters>
  <Application>Microsoft Office Word</Application>
  <DocSecurity>0</DocSecurity>
  <Lines>1089</Lines>
  <Paragraphs>306</Paragraphs>
  <ScaleCrop>false</ScaleCrop>
  <HeadingPairs>
    <vt:vector size="2" baseType="variant">
      <vt:variant>
        <vt:lpstr>Title</vt:lpstr>
      </vt:variant>
      <vt:variant>
        <vt:i4>1</vt:i4>
      </vt:variant>
    </vt:vector>
  </HeadingPairs>
  <TitlesOfParts>
    <vt:vector size="1" baseType="lpstr">
      <vt:lpstr>ERCOT Nodal Protocols</vt:lpstr>
    </vt:vector>
  </TitlesOfParts>
  <Company>TekLink Talent</Company>
  <LinksUpToDate>false</LinksUpToDate>
  <CharactersWithSpaces>153393</CharactersWithSpaces>
  <SharedDoc>false</SharedDoc>
  <HLinks>
    <vt:vector size="564" baseType="variant">
      <vt:variant>
        <vt:i4>1769530</vt:i4>
      </vt:variant>
      <vt:variant>
        <vt:i4>555</vt:i4>
      </vt:variant>
      <vt:variant>
        <vt:i4>0</vt:i4>
      </vt:variant>
      <vt:variant>
        <vt:i4>5</vt:i4>
      </vt:variant>
      <vt:variant>
        <vt:lpwstr/>
      </vt:variant>
      <vt:variant>
        <vt:lpwstr>_Toc109528014</vt:lpwstr>
      </vt:variant>
      <vt:variant>
        <vt:i4>1769530</vt:i4>
      </vt:variant>
      <vt:variant>
        <vt:i4>552</vt:i4>
      </vt:variant>
      <vt:variant>
        <vt:i4>0</vt:i4>
      </vt:variant>
      <vt:variant>
        <vt:i4>5</vt:i4>
      </vt:variant>
      <vt:variant>
        <vt:lpwstr/>
      </vt:variant>
      <vt:variant>
        <vt:lpwstr>_Toc109528011</vt:lpwstr>
      </vt:variant>
      <vt:variant>
        <vt:i4>1114175</vt:i4>
      </vt:variant>
      <vt:variant>
        <vt:i4>549</vt:i4>
      </vt:variant>
      <vt:variant>
        <vt:i4>0</vt:i4>
      </vt:variant>
      <vt:variant>
        <vt:i4>5</vt:i4>
      </vt:variant>
      <vt:variant>
        <vt:lpwstr/>
      </vt:variant>
      <vt:variant>
        <vt:lpwstr>_Toc109527549</vt:lpwstr>
      </vt:variant>
      <vt:variant>
        <vt:i4>2359304</vt:i4>
      </vt:variant>
      <vt:variant>
        <vt:i4>542</vt:i4>
      </vt:variant>
      <vt:variant>
        <vt:i4>0</vt:i4>
      </vt:variant>
      <vt:variant>
        <vt:i4>5</vt:i4>
      </vt:variant>
      <vt:variant>
        <vt:lpwstr/>
      </vt:variant>
      <vt:variant>
        <vt:lpwstr>_Toc9590864</vt:lpwstr>
      </vt:variant>
      <vt:variant>
        <vt:i4>2359304</vt:i4>
      </vt:variant>
      <vt:variant>
        <vt:i4>536</vt:i4>
      </vt:variant>
      <vt:variant>
        <vt:i4>0</vt:i4>
      </vt:variant>
      <vt:variant>
        <vt:i4>5</vt:i4>
      </vt:variant>
      <vt:variant>
        <vt:lpwstr/>
      </vt:variant>
      <vt:variant>
        <vt:lpwstr>_Toc9590863</vt:lpwstr>
      </vt:variant>
      <vt:variant>
        <vt:i4>2359304</vt:i4>
      </vt:variant>
      <vt:variant>
        <vt:i4>530</vt:i4>
      </vt:variant>
      <vt:variant>
        <vt:i4>0</vt:i4>
      </vt:variant>
      <vt:variant>
        <vt:i4>5</vt:i4>
      </vt:variant>
      <vt:variant>
        <vt:lpwstr/>
      </vt:variant>
      <vt:variant>
        <vt:lpwstr>_Toc9590862</vt:lpwstr>
      </vt:variant>
      <vt:variant>
        <vt:i4>2359304</vt:i4>
      </vt:variant>
      <vt:variant>
        <vt:i4>524</vt:i4>
      </vt:variant>
      <vt:variant>
        <vt:i4>0</vt:i4>
      </vt:variant>
      <vt:variant>
        <vt:i4>5</vt:i4>
      </vt:variant>
      <vt:variant>
        <vt:lpwstr/>
      </vt:variant>
      <vt:variant>
        <vt:lpwstr>_Toc9590861</vt:lpwstr>
      </vt:variant>
      <vt:variant>
        <vt:i4>2359304</vt:i4>
      </vt:variant>
      <vt:variant>
        <vt:i4>518</vt:i4>
      </vt:variant>
      <vt:variant>
        <vt:i4>0</vt:i4>
      </vt:variant>
      <vt:variant>
        <vt:i4>5</vt:i4>
      </vt:variant>
      <vt:variant>
        <vt:lpwstr/>
      </vt:variant>
      <vt:variant>
        <vt:lpwstr>_Toc9590860</vt:lpwstr>
      </vt:variant>
      <vt:variant>
        <vt:i4>2555912</vt:i4>
      </vt:variant>
      <vt:variant>
        <vt:i4>512</vt:i4>
      </vt:variant>
      <vt:variant>
        <vt:i4>0</vt:i4>
      </vt:variant>
      <vt:variant>
        <vt:i4>5</vt:i4>
      </vt:variant>
      <vt:variant>
        <vt:lpwstr/>
      </vt:variant>
      <vt:variant>
        <vt:lpwstr>_Toc9590859</vt:lpwstr>
      </vt:variant>
      <vt:variant>
        <vt:i4>2555912</vt:i4>
      </vt:variant>
      <vt:variant>
        <vt:i4>506</vt:i4>
      </vt:variant>
      <vt:variant>
        <vt:i4>0</vt:i4>
      </vt:variant>
      <vt:variant>
        <vt:i4>5</vt:i4>
      </vt:variant>
      <vt:variant>
        <vt:lpwstr/>
      </vt:variant>
      <vt:variant>
        <vt:lpwstr>_Toc9590858</vt:lpwstr>
      </vt:variant>
      <vt:variant>
        <vt:i4>2555912</vt:i4>
      </vt:variant>
      <vt:variant>
        <vt:i4>500</vt:i4>
      </vt:variant>
      <vt:variant>
        <vt:i4>0</vt:i4>
      </vt:variant>
      <vt:variant>
        <vt:i4>5</vt:i4>
      </vt:variant>
      <vt:variant>
        <vt:lpwstr/>
      </vt:variant>
      <vt:variant>
        <vt:lpwstr>_Toc9590857</vt:lpwstr>
      </vt:variant>
      <vt:variant>
        <vt:i4>2555912</vt:i4>
      </vt:variant>
      <vt:variant>
        <vt:i4>494</vt:i4>
      </vt:variant>
      <vt:variant>
        <vt:i4>0</vt:i4>
      </vt:variant>
      <vt:variant>
        <vt:i4>5</vt:i4>
      </vt:variant>
      <vt:variant>
        <vt:lpwstr/>
      </vt:variant>
      <vt:variant>
        <vt:lpwstr>_Toc9590856</vt:lpwstr>
      </vt:variant>
      <vt:variant>
        <vt:i4>2555912</vt:i4>
      </vt:variant>
      <vt:variant>
        <vt:i4>488</vt:i4>
      </vt:variant>
      <vt:variant>
        <vt:i4>0</vt:i4>
      </vt:variant>
      <vt:variant>
        <vt:i4>5</vt:i4>
      </vt:variant>
      <vt:variant>
        <vt:lpwstr/>
      </vt:variant>
      <vt:variant>
        <vt:lpwstr>_Toc9590855</vt:lpwstr>
      </vt:variant>
      <vt:variant>
        <vt:i4>2555912</vt:i4>
      </vt:variant>
      <vt:variant>
        <vt:i4>482</vt:i4>
      </vt:variant>
      <vt:variant>
        <vt:i4>0</vt:i4>
      </vt:variant>
      <vt:variant>
        <vt:i4>5</vt:i4>
      </vt:variant>
      <vt:variant>
        <vt:lpwstr/>
      </vt:variant>
      <vt:variant>
        <vt:lpwstr>_Toc9590854</vt:lpwstr>
      </vt:variant>
      <vt:variant>
        <vt:i4>2555912</vt:i4>
      </vt:variant>
      <vt:variant>
        <vt:i4>476</vt:i4>
      </vt:variant>
      <vt:variant>
        <vt:i4>0</vt:i4>
      </vt:variant>
      <vt:variant>
        <vt:i4>5</vt:i4>
      </vt:variant>
      <vt:variant>
        <vt:lpwstr/>
      </vt:variant>
      <vt:variant>
        <vt:lpwstr>_Toc9590853</vt:lpwstr>
      </vt:variant>
      <vt:variant>
        <vt:i4>2555912</vt:i4>
      </vt:variant>
      <vt:variant>
        <vt:i4>470</vt:i4>
      </vt:variant>
      <vt:variant>
        <vt:i4>0</vt:i4>
      </vt:variant>
      <vt:variant>
        <vt:i4>5</vt:i4>
      </vt:variant>
      <vt:variant>
        <vt:lpwstr/>
      </vt:variant>
      <vt:variant>
        <vt:lpwstr>_Toc9590852</vt:lpwstr>
      </vt:variant>
      <vt:variant>
        <vt:i4>2555912</vt:i4>
      </vt:variant>
      <vt:variant>
        <vt:i4>464</vt:i4>
      </vt:variant>
      <vt:variant>
        <vt:i4>0</vt:i4>
      </vt:variant>
      <vt:variant>
        <vt:i4>5</vt:i4>
      </vt:variant>
      <vt:variant>
        <vt:lpwstr/>
      </vt:variant>
      <vt:variant>
        <vt:lpwstr>_Toc9590851</vt:lpwstr>
      </vt:variant>
      <vt:variant>
        <vt:i4>2555912</vt:i4>
      </vt:variant>
      <vt:variant>
        <vt:i4>458</vt:i4>
      </vt:variant>
      <vt:variant>
        <vt:i4>0</vt:i4>
      </vt:variant>
      <vt:variant>
        <vt:i4>5</vt:i4>
      </vt:variant>
      <vt:variant>
        <vt:lpwstr/>
      </vt:variant>
      <vt:variant>
        <vt:lpwstr>_Toc9590850</vt:lpwstr>
      </vt:variant>
      <vt:variant>
        <vt:i4>2490376</vt:i4>
      </vt:variant>
      <vt:variant>
        <vt:i4>452</vt:i4>
      </vt:variant>
      <vt:variant>
        <vt:i4>0</vt:i4>
      </vt:variant>
      <vt:variant>
        <vt:i4>5</vt:i4>
      </vt:variant>
      <vt:variant>
        <vt:lpwstr/>
      </vt:variant>
      <vt:variant>
        <vt:lpwstr>_Toc9590849</vt:lpwstr>
      </vt:variant>
      <vt:variant>
        <vt:i4>2490376</vt:i4>
      </vt:variant>
      <vt:variant>
        <vt:i4>446</vt:i4>
      </vt:variant>
      <vt:variant>
        <vt:i4>0</vt:i4>
      </vt:variant>
      <vt:variant>
        <vt:i4>5</vt:i4>
      </vt:variant>
      <vt:variant>
        <vt:lpwstr/>
      </vt:variant>
      <vt:variant>
        <vt:lpwstr>_Toc9590848</vt:lpwstr>
      </vt:variant>
      <vt:variant>
        <vt:i4>2490376</vt:i4>
      </vt:variant>
      <vt:variant>
        <vt:i4>440</vt:i4>
      </vt:variant>
      <vt:variant>
        <vt:i4>0</vt:i4>
      </vt:variant>
      <vt:variant>
        <vt:i4>5</vt:i4>
      </vt:variant>
      <vt:variant>
        <vt:lpwstr/>
      </vt:variant>
      <vt:variant>
        <vt:lpwstr>_Toc9590846</vt:lpwstr>
      </vt:variant>
      <vt:variant>
        <vt:i4>2490376</vt:i4>
      </vt:variant>
      <vt:variant>
        <vt:i4>434</vt:i4>
      </vt:variant>
      <vt:variant>
        <vt:i4>0</vt:i4>
      </vt:variant>
      <vt:variant>
        <vt:i4>5</vt:i4>
      </vt:variant>
      <vt:variant>
        <vt:lpwstr/>
      </vt:variant>
      <vt:variant>
        <vt:lpwstr>_Toc9590845</vt:lpwstr>
      </vt:variant>
      <vt:variant>
        <vt:i4>2490376</vt:i4>
      </vt:variant>
      <vt:variant>
        <vt:i4>428</vt:i4>
      </vt:variant>
      <vt:variant>
        <vt:i4>0</vt:i4>
      </vt:variant>
      <vt:variant>
        <vt:i4>5</vt:i4>
      </vt:variant>
      <vt:variant>
        <vt:lpwstr/>
      </vt:variant>
      <vt:variant>
        <vt:lpwstr>_Toc9590844</vt:lpwstr>
      </vt:variant>
      <vt:variant>
        <vt:i4>2490376</vt:i4>
      </vt:variant>
      <vt:variant>
        <vt:i4>422</vt:i4>
      </vt:variant>
      <vt:variant>
        <vt:i4>0</vt:i4>
      </vt:variant>
      <vt:variant>
        <vt:i4>5</vt:i4>
      </vt:variant>
      <vt:variant>
        <vt:lpwstr/>
      </vt:variant>
      <vt:variant>
        <vt:lpwstr>_Toc9590843</vt:lpwstr>
      </vt:variant>
      <vt:variant>
        <vt:i4>2490376</vt:i4>
      </vt:variant>
      <vt:variant>
        <vt:i4>416</vt:i4>
      </vt:variant>
      <vt:variant>
        <vt:i4>0</vt:i4>
      </vt:variant>
      <vt:variant>
        <vt:i4>5</vt:i4>
      </vt:variant>
      <vt:variant>
        <vt:lpwstr/>
      </vt:variant>
      <vt:variant>
        <vt:lpwstr>_Toc9590842</vt:lpwstr>
      </vt:variant>
      <vt:variant>
        <vt:i4>2490376</vt:i4>
      </vt:variant>
      <vt:variant>
        <vt:i4>410</vt:i4>
      </vt:variant>
      <vt:variant>
        <vt:i4>0</vt:i4>
      </vt:variant>
      <vt:variant>
        <vt:i4>5</vt:i4>
      </vt:variant>
      <vt:variant>
        <vt:lpwstr/>
      </vt:variant>
      <vt:variant>
        <vt:lpwstr>_Toc9590841</vt:lpwstr>
      </vt:variant>
      <vt:variant>
        <vt:i4>2490376</vt:i4>
      </vt:variant>
      <vt:variant>
        <vt:i4>404</vt:i4>
      </vt:variant>
      <vt:variant>
        <vt:i4>0</vt:i4>
      </vt:variant>
      <vt:variant>
        <vt:i4>5</vt:i4>
      </vt:variant>
      <vt:variant>
        <vt:lpwstr/>
      </vt:variant>
      <vt:variant>
        <vt:lpwstr>_Toc9590840</vt:lpwstr>
      </vt:variant>
      <vt:variant>
        <vt:i4>2162696</vt:i4>
      </vt:variant>
      <vt:variant>
        <vt:i4>398</vt:i4>
      </vt:variant>
      <vt:variant>
        <vt:i4>0</vt:i4>
      </vt:variant>
      <vt:variant>
        <vt:i4>5</vt:i4>
      </vt:variant>
      <vt:variant>
        <vt:lpwstr/>
      </vt:variant>
      <vt:variant>
        <vt:lpwstr>_Toc9590839</vt:lpwstr>
      </vt:variant>
      <vt:variant>
        <vt:i4>2162696</vt:i4>
      </vt:variant>
      <vt:variant>
        <vt:i4>392</vt:i4>
      </vt:variant>
      <vt:variant>
        <vt:i4>0</vt:i4>
      </vt:variant>
      <vt:variant>
        <vt:i4>5</vt:i4>
      </vt:variant>
      <vt:variant>
        <vt:lpwstr/>
      </vt:variant>
      <vt:variant>
        <vt:lpwstr>_Toc9590838</vt:lpwstr>
      </vt:variant>
      <vt:variant>
        <vt:i4>2162696</vt:i4>
      </vt:variant>
      <vt:variant>
        <vt:i4>386</vt:i4>
      </vt:variant>
      <vt:variant>
        <vt:i4>0</vt:i4>
      </vt:variant>
      <vt:variant>
        <vt:i4>5</vt:i4>
      </vt:variant>
      <vt:variant>
        <vt:lpwstr/>
      </vt:variant>
      <vt:variant>
        <vt:lpwstr>_Toc9590837</vt:lpwstr>
      </vt:variant>
      <vt:variant>
        <vt:i4>2162696</vt:i4>
      </vt:variant>
      <vt:variant>
        <vt:i4>380</vt:i4>
      </vt:variant>
      <vt:variant>
        <vt:i4>0</vt:i4>
      </vt:variant>
      <vt:variant>
        <vt:i4>5</vt:i4>
      </vt:variant>
      <vt:variant>
        <vt:lpwstr/>
      </vt:variant>
      <vt:variant>
        <vt:lpwstr>_Toc9590836</vt:lpwstr>
      </vt:variant>
      <vt:variant>
        <vt:i4>2162696</vt:i4>
      </vt:variant>
      <vt:variant>
        <vt:i4>374</vt:i4>
      </vt:variant>
      <vt:variant>
        <vt:i4>0</vt:i4>
      </vt:variant>
      <vt:variant>
        <vt:i4>5</vt:i4>
      </vt:variant>
      <vt:variant>
        <vt:lpwstr/>
      </vt:variant>
      <vt:variant>
        <vt:lpwstr>_Toc9590835</vt:lpwstr>
      </vt:variant>
      <vt:variant>
        <vt:i4>2162696</vt:i4>
      </vt:variant>
      <vt:variant>
        <vt:i4>368</vt:i4>
      </vt:variant>
      <vt:variant>
        <vt:i4>0</vt:i4>
      </vt:variant>
      <vt:variant>
        <vt:i4>5</vt:i4>
      </vt:variant>
      <vt:variant>
        <vt:lpwstr/>
      </vt:variant>
      <vt:variant>
        <vt:lpwstr>_Toc9590834</vt:lpwstr>
      </vt:variant>
      <vt:variant>
        <vt:i4>2162696</vt:i4>
      </vt:variant>
      <vt:variant>
        <vt:i4>362</vt:i4>
      </vt:variant>
      <vt:variant>
        <vt:i4>0</vt:i4>
      </vt:variant>
      <vt:variant>
        <vt:i4>5</vt:i4>
      </vt:variant>
      <vt:variant>
        <vt:lpwstr/>
      </vt:variant>
      <vt:variant>
        <vt:lpwstr>_Toc9590833</vt:lpwstr>
      </vt:variant>
      <vt:variant>
        <vt:i4>2162696</vt:i4>
      </vt:variant>
      <vt:variant>
        <vt:i4>356</vt:i4>
      </vt:variant>
      <vt:variant>
        <vt:i4>0</vt:i4>
      </vt:variant>
      <vt:variant>
        <vt:i4>5</vt:i4>
      </vt:variant>
      <vt:variant>
        <vt:lpwstr/>
      </vt:variant>
      <vt:variant>
        <vt:lpwstr>_Toc9590832</vt:lpwstr>
      </vt:variant>
      <vt:variant>
        <vt:i4>2162696</vt:i4>
      </vt:variant>
      <vt:variant>
        <vt:i4>350</vt:i4>
      </vt:variant>
      <vt:variant>
        <vt:i4>0</vt:i4>
      </vt:variant>
      <vt:variant>
        <vt:i4>5</vt:i4>
      </vt:variant>
      <vt:variant>
        <vt:lpwstr/>
      </vt:variant>
      <vt:variant>
        <vt:lpwstr>_Toc9590831</vt:lpwstr>
      </vt:variant>
      <vt:variant>
        <vt:i4>2162696</vt:i4>
      </vt:variant>
      <vt:variant>
        <vt:i4>344</vt:i4>
      </vt:variant>
      <vt:variant>
        <vt:i4>0</vt:i4>
      </vt:variant>
      <vt:variant>
        <vt:i4>5</vt:i4>
      </vt:variant>
      <vt:variant>
        <vt:lpwstr/>
      </vt:variant>
      <vt:variant>
        <vt:lpwstr>_Toc9590830</vt:lpwstr>
      </vt:variant>
      <vt:variant>
        <vt:i4>2097160</vt:i4>
      </vt:variant>
      <vt:variant>
        <vt:i4>338</vt:i4>
      </vt:variant>
      <vt:variant>
        <vt:i4>0</vt:i4>
      </vt:variant>
      <vt:variant>
        <vt:i4>5</vt:i4>
      </vt:variant>
      <vt:variant>
        <vt:lpwstr/>
      </vt:variant>
      <vt:variant>
        <vt:lpwstr>_Toc9590829</vt:lpwstr>
      </vt:variant>
      <vt:variant>
        <vt:i4>2097160</vt:i4>
      </vt:variant>
      <vt:variant>
        <vt:i4>332</vt:i4>
      </vt:variant>
      <vt:variant>
        <vt:i4>0</vt:i4>
      </vt:variant>
      <vt:variant>
        <vt:i4>5</vt:i4>
      </vt:variant>
      <vt:variant>
        <vt:lpwstr/>
      </vt:variant>
      <vt:variant>
        <vt:lpwstr>_Toc9590828</vt:lpwstr>
      </vt:variant>
      <vt:variant>
        <vt:i4>2097160</vt:i4>
      </vt:variant>
      <vt:variant>
        <vt:i4>326</vt:i4>
      </vt:variant>
      <vt:variant>
        <vt:i4>0</vt:i4>
      </vt:variant>
      <vt:variant>
        <vt:i4>5</vt:i4>
      </vt:variant>
      <vt:variant>
        <vt:lpwstr/>
      </vt:variant>
      <vt:variant>
        <vt:lpwstr>_Toc9590827</vt:lpwstr>
      </vt:variant>
      <vt:variant>
        <vt:i4>2097160</vt:i4>
      </vt:variant>
      <vt:variant>
        <vt:i4>320</vt:i4>
      </vt:variant>
      <vt:variant>
        <vt:i4>0</vt:i4>
      </vt:variant>
      <vt:variant>
        <vt:i4>5</vt:i4>
      </vt:variant>
      <vt:variant>
        <vt:lpwstr/>
      </vt:variant>
      <vt:variant>
        <vt:lpwstr>_Toc9590826</vt:lpwstr>
      </vt:variant>
      <vt:variant>
        <vt:i4>2097160</vt:i4>
      </vt:variant>
      <vt:variant>
        <vt:i4>314</vt:i4>
      </vt:variant>
      <vt:variant>
        <vt:i4>0</vt:i4>
      </vt:variant>
      <vt:variant>
        <vt:i4>5</vt:i4>
      </vt:variant>
      <vt:variant>
        <vt:lpwstr/>
      </vt:variant>
      <vt:variant>
        <vt:lpwstr>_Toc9590825</vt:lpwstr>
      </vt:variant>
      <vt:variant>
        <vt:i4>2097160</vt:i4>
      </vt:variant>
      <vt:variant>
        <vt:i4>308</vt:i4>
      </vt:variant>
      <vt:variant>
        <vt:i4>0</vt:i4>
      </vt:variant>
      <vt:variant>
        <vt:i4>5</vt:i4>
      </vt:variant>
      <vt:variant>
        <vt:lpwstr/>
      </vt:variant>
      <vt:variant>
        <vt:lpwstr>_Toc9590824</vt:lpwstr>
      </vt:variant>
      <vt:variant>
        <vt:i4>2097160</vt:i4>
      </vt:variant>
      <vt:variant>
        <vt:i4>302</vt:i4>
      </vt:variant>
      <vt:variant>
        <vt:i4>0</vt:i4>
      </vt:variant>
      <vt:variant>
        <vt:i4>5</vt:i4>
      </vt:variant>
      <vt:variant>
        <vt:lpwstr/>
      </vt:variant>
      <vt:variant>
        <vt:lpwstr>_Toc9590823</vt:lpwstr>
      </vt:variant>
      <vt:variant>
        <vt:i4>2097160</vt:i4>
      </vt:variant>
      <vt:variant>
        <vt:i4>296</vt:i4>
      </vt:variant>
      <vt:variant>
        <vt:i4>0</vt:i4>
      </vt:variant>
      <vt:variant>
        <vt:i4>5</vt:i4>
      </vt:variant>
      <vt:variant>
        <vt:lpwstr/>
      </vt:variant>
      <vt:variant>
        <vt:lpwstr>_Toc9590822</vt:lpwstr>
      </vt:variant>
      <vt:variant>
        <vt:i4>2097160</vt:i4>
      </vt:variant>
      <vt:variant>
        <vt:i4>290</vt:i4>
      </vt:variant>
      <vt:variant>
        <vt:i4>0</vt:i4>
      </vt:variant>
      <vt:variant>
        <vt:i4>5</vt:i4>
      </vt:variant>
      <vt:variant>
        <vt:lpwstr/>
      </vt:variant>
      <vt:variant>
        <vt:lpwstr>_Toc9590821</vt:lpwstr>
      </vt:variant>
      <vt:variant>
        <vt:i4>2097160</vt:i4>
      </vt:variant>
      <vt:variant>
        <vt:i4>284</vt:i4>
      </vt:variant>
      <vt:variant>
        <vt:i4>0</vt:i4>
      </vt:variant>
      <vt:variant>
        <vt:i4>5</vt:i4>
      </vt:variant>
      <vt:variant>
        <vt:lpwstr/>
      </vt:variant>
      <vt:variant>
        <vt:lpwstr>_Toc9590820</vt:lpwstr>
      </vt:variant>
      <vt:variant>
        <vt:i4>2293768</vt:i4>
      </vt:variant>
      <vt:variant>
        <vt:i4>278</vt:i4>
      </vt:variant>
      <vt:variant>
        <vt:i4>0</vt:i4>
      </vt:variant>
      <vt:variant>
        <vt:i4>5</vt:i4>
      </vt:variant>
      <vt:variant>
        <vt:lpwstr/>
      </vt:variant>
      <vt:variant>
        <vt:lpwstr>_Toc9590819</vt:lpwstr>
      </vt:variant>
      <vt:variant>
        <vt:i4>2293768</vt:i4>
      </vt:variant>
      <vt:variant>
        <vt:i4>272</vt:i4>
      </vt:variant>
      <vt:variant>
        <vt:i4>0</vt:i4>
      </vt:variant>
      <vt:variant>
        <vt:i4>5</vt:i4>
      </vt:variant>
      <vt:variant>
        <vt:lpwstr/>
      </vt:variant>
      <vt:variant>
        <vt:lpwstr>_Toc9590818</vt:lpwstr>
      </vt:variant>
      <vt:variant>
        <vt:i4>2293768</vt:i4>
      </vt:variant>
      <vt:variant>
        <vt:i4>266</vt:i4>
      </vt:variant>
      <vt:variant>
        <vt:i4>0</vt:i4>
      </vt:variant>
      <vt:variant>
        <vt:i4>5</vt:i4>
      </vt:variant>
      <vt:variant>
        <vt:lpwstr/>
      </vt:variant>
      <vt:variant>
        <vt:lpwstr>_Toc9590817</vt:lpwstr>
      </vt:variant>
      <vt:variant>
        <vt:i4>2293768</vt:i4>
      </vt:variant>
      <vt:variant>
        <vt:i4>260</vt:i4>
      </vt:variant>
      <vt:variant>
        <vt:i4>0</vt:i4>
      </vt:variant>
      <vt:variant>
        <vt:i4>5</vt:i4>
      </vt:variant>
      <vt:variant>
        <vt:lpwstr/>
      </vt:variant>
      <vt:variant>
        <vt:lpwstr>_Toc9590816</vt:lpwstr>
      </vt:variant>
      <vt:variant>
        <vt:i4>2293768</vt:i4>
      </vt:variant>
      <vt:variant>
        <vt:i4>254</vt:i4>
      </vt:variant>
      <vt:variant>
        <vt:i4>0</vt:i4>
      </vt:variant>
      <vt:variant>
        <vt:i4>5</vt:i4>
      </vt:variant>
      <vt:variant>
        <vt:lpwstr/>
      </vt:variant>
      <vt:variant>
        <vt:lpwstr>_Toc9590815</vt:lpwstr>
      </vt:variant>
      <vt:variant>
        <vt:i4>2293768</vt:i4>
      </vt:variant>
      <vt:variant>
        <vt:i4>248</vt:i4>
      </vt:variant>
      <vt:variant>
        <vt:i4>0</vt:i4>
      </vt:variant>
      <vt:variant>
        <vt:i4>5</vt:i4>
      </vt:variant>
      <vt:variant>
        <vt:lpwstr/>
      </vt:variant>
      <vt:variant>
        <vt:lpwstr>_Toc9590814</vt:lpwstr>
      </vt:variant>
      <vt:variant>
        <vt:i4>2293768</vt:i4>
      </vt:variant>
      <vt:variant>
        <vt:i4>242</vt:i4>
      </vt:variant>
      <vt:variant>
        <vt:i4>0</vt:i4>
      </vt:variant>
      <vt:variant>
        <vt:i4>5</vt:i4>
      </vt:variant>
      <vt:variant>
        <vt:lpwstr/>
      </vt:variant>
      <vt:variant>
        <vt:lpwstr>_Toc9590813</vt:lpwstr>
      </vt:variant>
      <vt:variant>
        <vt:i4>2293768</vt:i4>
      </vt:variant>
      <vt:variant>
        <vt:i4>236</vt:i4>
      </vt:variant>
      <vt:variant>
        <vt:i4>0</vt:i4>
      </vt:variant>
      <vt:variant>
        <vt:i4>5</vt:i4>
      </vt:variant>
      <vt:variant>
        <vt:lpwstr/>
      </vt:variant>
      <vt:variant>
        <vt:lpwstr>_Toc9590812</vt:lpwstr>
      </vt:variant>
      <vt:variant>
        <vt:i4>2293768</vt:i4>
      </vt:variant>
      <vt:variant>
        <vt:i4>230</vt:i4>
      </vt:variant>
      <vt:variant>
        <vt:i4>0</vt:i4>
      </vt:variant>
      <vt:variant>
        <vt:i4>5</vt:i4>
      </vt:variant>
      <vt:variant>
        <vt:lpwstr/>
      </vt:variant>
      <vt:variant>
        <vt:lpwstr>_Toc9590811</vt:lpwstr>
      </vt:variant>
      <vt:variant>
        <vt:i4>2293768</vt:i4>
      </vt:variant>
      <vt:variant>
        <vt:i4>224</vt:i4>
      </vt:variant>
      <vt:variant>
        <vt:i4>0</vt:i4>
      </vt:variant>
      <vt:variant>
        <vt:i4>5</vt:i4>
      </vt:variant>
      <vt:variant>
        <vt:lpwstr/>
      </vt:variant>
      <vt:variant>
        <vt:lpwstr>_Toc9590810</vt:lpwstr>
      </vt:variant>
      <vt:variant>
        <vt:i4>2228232</vt:i4>
      </vt:variant>
      <vt:variant>
        <vt:i4>218</vt:i4>
      </vt:variant>
      <vt:variant>
        <vt:i4>0</vt:i4>
      </vt:variant>
      <vt:variant>
        <vt:i4>5</vt:i4>
      </vt:variant>
      <vt:variant>
        <vt:lpwstr/>
      </vt:variant>
      <vt:variant>
        <vt:lpwstr>_Toc9590809</vt:lpwstr>
      </vt:variant>
      <vt:variant>
        <vt:i4>2228232</vt:i4>
      </vt:variant>
      <vt:variant>
        <vt:i4>212</vt:i4>
      </vt:variant>
      <vt:variant>
        <vt:i4>0</vt:i4>
      </vt:variant>
      <vt:variant>
        <vt:i4>5</vt:i4>
      </vt:variant>
      <vt:variant>
        <vt:lpwstr/>
      </vt:variant>
      <vt:variant>
        <vt:lpwstr>_Toc9590808</vt:lpwstr>
      </vt:variant>
      <vt:variant>
        <vt:i4>2228232</vt:i4>
      </vt:variant>
      <vt:variant>
        <vt:i4>206</vt:i4>
      </vt:variant>
      <vt:variant>
        <vt:i4>0</vt:i4>
      </vt:variant>
      <vt:variant>
        <vt:i4>5</vt:i4>
      </vt:variant>
      <vt:variant>
        <vt:lpwstr/>
      </vt:variant>
      <vt:variant>
        <vt:lpwstr>_Toc9590807</vt:lpwstr>
      </vt:variant>
      <vt:variant>
        <vt:i4>2228232</vt:i4>
      </vt:variant>
      <vt:variant>
        <vt:i4>200</vt:i4>
      </vt:variant>
      <vt:variant>
        <vt:i4>0</vt:i4>
      </vt:variant>
      <vt:variant>
        <vt:i4>5</vt:i4>
      </vt:variant>
      <vt:variant>
        <vt:lpwstr/>
      </vt:variant>
      <vt:variant>
        <vt:lpwstr>_Toc9590806</vt:lpwstr>
      </vt:variant>
      <vt:variant>
        <vt:i4>2228232</vt:i4>
      </vt:variant>
      <vt:variant>
        <vt:i4>194</vt:i4>
      </vt:variant>
      <vt:variant>
        <vt:i4>0</vt:i4>
      </vt:variant>
      <vt:variant>
        <vt:i4>5</vt:i4>
      </vt:variant>
      <vt:variant>
        <vt:lpwstr/>
      </vt:variant>
      <vt:variant>
        <vt:lpwstr>_Toc9590805</vt:lpwstr>
      </vt:variant>
      <vt:variant>
        <vt:i4>2228232</vt:i4>
      </vt:variant>
      <vt:variant>
        <vt:i4>188</vt:i4>
      </vt:variant>
      <vt:variant>
        <vt:i4>0</vt:i4>
      </vt:variant>
      <vt:variant>
        <vt:i4>5</vt:i4>
      </vt:variant>
      <vt:variant>
        <vt:lpwstr/>
      </vt:variant>
      <vt:variant>
        <vt:lpwstr>_Toc9590804</vt:lpwstr>
      </vt:variant>
      <vt:variant>
        <vt:i4>2228232</vt:i4>
      </vt:variant>
      <vt:variant>
        <vt:i4>182</vt:i4>
      </vt:variant>
      <vt:variant>
        <vt:i4>0</vt:i4>
      </vt:variant>
      <vt:variant>
        <vt:i4>5</vt:i4>
      </vt:variant>
      <vt:variant>
        <vt:lpwstr/>
      </vt:variant>
      <vt:variant>
        <vt:lpwstr>_Toc9590803</vt:lpwstr>
      </vt:variant>
      <vt:variant>
        <vt:i4>2228232</vt:i4>
      </vt:variant>
      <vt:variant>
        <vt:i4>176</vt:i4>
      </vt:variant>
      <vt:variant>
        <vt:i4>0</vt:i4>
      </vt:variant>
      <vt:variant>
        <vt:i4>5</vt:i4>
      </vt:variant>
      <vt:variant>
        <vt:lpwstr/>
      </vt:variant>
      <vt:variant>
        <vt:lpwstr>_Toc9590802</vt:lpwstr>
      </vt:variant>
      <vt:variant>
        <vt:i4>2228232</vt:i4>
      </vt:variant>
      <vt:variant>
        <vt:i4>170</vt:i4>
      </vt:variant>
      <vt:variant>
        <vt:i4>0</vt:i4>
      </vt:variant>
      <vt:variant>
        <vt:i4>5</vt:i4>
      </vt:variant>
      <vt:variant>
        <vt:lpwstr/>
      </vt:variant>
      <vt:variant>
        <vt:lpwstr>_Toc9590801</vt:lpwstr>
      </vt:variant>
      <vt:variant>
        <vt:i4>2228232</vt:i4>
      </vt:variant>
      <vt:variant>
        <vt:i4>164</vt:i4>
      </vt:variant>
      <vt:variant>
        <vt:i4>0</vt:i4>
      </vt:variant>
      <vt:variant>
        <vt:i4>5</vt:i4>
      </vt:variant>
      <vt:variant>
        <vt:lpwstr/>
      </vt:variant>
      <vt:variant>
        <vt:lpwstr>_Toc9590800</vt:lpwstr>
      </vt:variant>
      <vt:variant>
        <vt:i4>2818055</vt:i4>
      </vt:variant>
      <vt:variant>
        <vt:i4>158</vt:i4>
      </vt:variant>
      <vt:variant>
        <vt:i4>0</vt:i4>
      </vt:variant>
      <vt:variant>
        <vt:i4>5</vt:i4>
      </vt:variant>
      <vt:variant>
        <vt:lpwstr/>
      </vt:variant>
      <vt:variant>
        <vt:lpwstr>_Toc9590799</vt:lpwstr>
      </vt:variant>
      <vt:variant>
        <vt:i4>2818055</vt:i4>
      </vt:variant>
      <vt:variant>
        <vt:i4>152</vt:i4>
      </vt:variant>
      <vt:variant>
        <vt:i4>0</vt:i4>
      </vt:variant>
      <vt:variant>
        <vt:i4>5</vt:i4>
      </vt:variant>
      <vt:variant>
        <vt:lpwstr/>
      </vt:variant>
      <vt:variant>
        <vt:lpwstr>_Toc9590798</vt:lpwstr>
      </vt:variant>
      <vt:variant>
        <vt:i4>2818055</vt:i4>
      </vt:variant>
      <vt:variant>
        <vt:i4>146</vt:i4>
      </vt:variant>
      <vt:variant>
        <vt:i4>0</vt:i4>
      </vt:variant>
      <vt:variant>
        <vt:i4>5</vt:i4>
      </vt:variant>
      <vt:variant>
        <vt:lpwstr/>
      </vt:variant>
      <vt:variant>
        <vt:lpwstr>_Toc9590797</vt:lpwstr>
      </vt:variant>
      <vt:variant>
        <vt:i4>2818055</vt:i4>
      </vt:variant>
      <vt:variant>
        <vt:i4>140</vt:i4>
      </vt:variant>
      <vt:variant>
        <vt:i4>0</vt:i4>
      </vt:variant>
      <vt:variant>
        <vt:i4>5</vt:i4>
      </vt:variant>
      <vt:variant>
        <vt:lpwstr/>
      </vt:variant>
      <vt:variant>
        <vt:lpwstr>_Toc9590796</vt:lpwstr>
      </vt:variant>
      <vt:variant>
        <vt:i4>2818055</vt:i4>
      </vt:variant>
      <vt:variant>
        <vt:i4>134</vt:i4>
      </vt:variant>
      <vt:variant>
        <vt:i4>0</vt:i4>
      </vt:variant>
      <vt:variant>
        <vt:i4>5</vt:i4>
      </vt:variant>
      <vt:variant>
        <vt:lpwstr/>
      </vt:variant>
      <vt:variant>
        <vt:lpwstr>_Toc9590795</vt:lpwstr>
      </vt:variant>
      <vt:variant>
        <vt:i4>2818055</vt:i4>
      </vt:variant>
      <vt:variant>
        <vt:i4>128</vt:i4>
      </vt:variant>
      <vt:variant>
        <vt:i4>0</vt:i4>
      </vt:variant>
      <vt:variant>
        <vt:i4>5</vt:i4>
      </vt:variant>
      <vt:variant>
        <vt:lpwstr/>
      </vt:variant>
      <vt:variant>
        <vt:lpwstr>_Toc9590794</vt:lpwstr>
      </vt:variant>
      <vt:variant>
        <vt:i4>2818055</vt:i4>
      </vt:variant>
      <vt:variant>
        <vt:i4>122</vt:i4>
      </vt:variant>
      <vt:variant>
        <vt:i4>0</vt:i4>
      </vt:variant>
      <vt:variant>
        <vt:i4>5</vt:i4>
      </vt:variant>
      <vt:variant>
        <vt:lpwstr/>
      </vt:variant>
      <vt:variant>
        <vt:lpwstr>_Toc9590793</vt:lpwstr>
      </vt:variant>
      <vt:variant>
        <vt:i4>2818055</vt:i4>
      </vt:variant>
      <vt:variant>
        <vt:i4>116</vt:i4>
      </vt:variant>
      <vt:variant>
        <vt:i4>0</vt:i4>
      </vt:variant>
      <vt:variant>
        <vt:i4>5</vt:i4>
      </vt:variant>
      <vt:variant>
        <vt:lpwstr/>
      </vt:variant>
      <vt:variant>
        <vt:lpwstr>_Toc9590792</vt:lpwstr>
      </vt:variant>
      <vt:variant>
        <vt:i4>2818055</vt:i4>
      </vt:variant>
      <vt:variant>
        <vt:i4>110</vt:i4>
      </vt:variant>
      <vt:variant>
        <vt:i4>0</vt:i4>
      </vt:variant>
      <vt:variant>
        <vt:i4>5</vt:i4>
      </vt:variant>
      <vt:variant>
        <vt:lpwstr/>
      </vt:variant>
      <vt:variant>
        <vt:lpwstr>_Toc9590791</vt:lpwstr>
      </vt:variant>
      <vt:variant>
        <vt:i4>2818055</vt:i4>
      </vt:variant>
      <vt:variant>
        <vt:i4>104</vt:i4>
      </vt:variant>
      <vt:variant>
        <vt:i4>0</vt:i4>
      </vt:variant>
      <vt:variant>
        <vt:i4>5</vt:i4>
      </vt:variant>
      <vt:variant>
        <vt:lpwstr/>
      </vt:variant>
      <vt:variant>
        <vt:lpwstr>_Toc9590790</vt:lpwstr>
      </vt:variant>
      <vt:variant>
        <vt:i4>2752519</vt:i4>
      </vt:variant>
      <vt:variant>
        <vt:i4>98</vt:i4>
      </vt:variant>
      <vt:variant>
        <vt:i4>0</vt:i4>
      </vt:variant>
      <vt:variant>
        <vt:i4>5</vt:i4>
      </vt:variant>
      <vt:variant>
        <vt:lpwstr/>
      </vt:variant>
      <vt:variant>
        <vt:lpwstr>_Toc9590789</vt:lpwstr>
      </vt:variant>
      <vt:variant>
        <vt:i4>2752519</vt:i4>
      </vt:variant>
      <vt:variant>
        <vt:i4>92</vt:i4>
      </vt:variant>
      <vt:variant>
        <vt:i4>0</vt:i4>
      </vt:variant>
      <vt:variant>
        <vt:i4>5</vt:i4>
      </vt:variant>
      <vt:variant>
        <vt:lpwstr/>
      </vt:variant>
      <vt:variant>
        <vt:lpwstr>_Toc9590788</vt:lpwstr>
      </vt:variant>
      <vt:variant>
        <vt:i4>2752519</vt:i4>
      </vt:variant>
      <vt:variant>
        <vt:i4>86</vt:i4>
      </vt:variant>
      <vt:variant>
        <vt:i4>0</vt:i4>
      </vt:variant>
      <vt:variant>
        <vt:i4>5</vt:i4>
      </vt:variant>
      <vt:variant>
        <vt:lpwstr/>
      </vt:variant>
      <vt:variant>
        <vt:lpwstr>_Toc9590787</vt:lpwstr>
      </vt:variant>
      <vt:variant>
        <vt:i4>2752519</vt:i4>
      </vt:variant>
      <vt:variant>
        <vt:i4>80</vt:i4>
      </vt:variant>
      <vt:variant>
        <vt:i4>0</vt:i4>
      </vt:variant>
      <vt:variant>
        <vt:i4>5</vt:i4>
      </vt:variant>
      <vt:variant>
        <vt:lpwstr/>
      </vt:variant>
      <vt:variant>
        <vt:lpwstr>_Toc9590786</vt:lpwstr>
      </vt:variant>
      <vt:variant>
        <vt:i4>2752519</vt:i4>
      </vt:variant>
      <vt:variant>
        <vt:i4>74</vt:i4>
      </vt:variant>
      <vt:variant>
        <vt:i4>0</vt:i4>
      </vt:variant>
      <vt:variant>
        <vt:i4>5</vt:i4>
      </vt:variant>
      <vt:variant>
        <vt:lpwstr/>
      </vt:variant>
      <vt:variant>
        <vt:lpwstr>_Toc9590785</vt:lpwstr>
      </vt:variant>
      <vt:variant>
        <vt:i4>2752519</vt:i4>
      </vt:variant>
      <vt:variant>
        <vt:i4>68</vt:i4>
      </vt:variant>
      <vt:variant>
        <vt:i4>0</vt:i4>
      </vt:variant>
      <vt:variant>
        <vt:i4>5</vt:i4>
      </vt:variant>
      <vt:variant>
        <vt:lpwstr/>
      </vt:variant>
      <vt:variant>
        <vt:lpwstr>_Toc9590784</vt:lpwstr>
      </vt:variant>
      <vt:variant>
        <vt:i4>2752519</vt:i4>
      </vt:variant>
      <vt:variant>
        <vt:i4>62</vt:i4>
      </vt:variant>
      <vt:variant>
        <vt:i4>0</vt:i4>
      </vt:variant>
      <vt:variant>
        <vt:i4>5</vt:i4>
      </vt:variant>
      <vt:variant>
        <vt:lpwstr/>
      </vt:variant>
      <vt:variant>
        <vt:lpwstr>_Toc9590783</vt:lpwstr>
      </vt:variant>
      <vt:variant>
        <vt:i4>2752519</vt:i4>
      </vt:variant>
      <vt:variant>
        <vt:i4>56</vt:i4>
      </vt:variant>
      <vt:variant>
        <vt:i4>0</vt:i4>
      </vt:variant>
      <vt:variant>
        <vt:i4>5</vt:i4>
      </vt:variant>
      <vt:variant>
        <vt:lpwstr/>
      </vt:variant>
      <vt:variant>
        <vt:lpwstr>_Toc9590782</vt:lpwstr>
      </vt:variant>
      <vt:variant>
        <vt:i4>2752519</vt:i4>
      </vt:variant>
      <vt:variant>
        <vt:i4>50</vt:i4>
      </vt:variant>
      <vt:variant>
        <vt:i4>0</vt:i4>
      </vt:variant>
      <vt:variant>
        <vt:i4>5</vt:i4>
      </vt:variant>
      <vt:variant>
        <vt:lpwstr/>
      </vt:variant>
      <vt:variant>
        <vt:lpwstr>_Toc9590781</vt:lpwstr>
      </vt:variant>
      <vt:variant>
        <vt:i4>2752519</vt:i4>
      </vt:variant>
      <vt:variant>
        <vt:i4>44</vt:i4>
      </vt:variant>
      <vt:variant>
        <vt:i4>0</vt:i4>
      </vt:variant>
      <vt:variant>
        <vt:i4>5</vt:i4>
      </vt:variant>
      <vt:variant>
        <vt:lpwstr/>
      </vt:variant>
      <vt:variant>
        <vt:lpwstr>_Toc9590780</vt:lpwstr>
      </vt:variant>
      <vt:variant>
        <vt:i4>2424839</vt:i4>
      </vt:variant>
      <vt:variant>
        <vt:i4>38</vt:i4>
      </vt:variant>
      <vt:variant>
        <vt:i4>0</vt:i4>
      </vt:variant>
      <vt:variant>
        <vt:i4>5</vt:i4>
      </vt:variant>
      <vt:variant>
        <vt:lpwstr/>
      </vt:variant>
      <vt:variant>
        <vt:lpwstr>_Toc9590779</vt:lpwstr>
      </vt:variant>
      <vt:variant>
        <vt:i4>2424839</vt:i4>
      </vt:variant>
      <vt:variant>
        <vt:i4>32</vt:i4>
      </vt:variant>
      <vt:variant>
        <vt:i4>0</vt:i4>
      </vt:variant>
      <vt:variant>
        <vt:i4>5</vt:i4>
      </vt:variant>
      <vt:variant>
        <vt:lpwstr/>
      </vt:variant>
      <vt:variant>
        <vt:lpwstr>_Toc9590778</vt:lpwstr>
      </vt:variant>
      <vt:variant>
        <vt:i4>2424839</vt:i4>
      </vt:variant>
      <vt:variant>
        <vt:i4>26</vt:i4>
      </vt:variant>
      <vt:variant>
        <vt:i4>0</vt:i4>
      </vt:variant>
      <vt:variant>
        <vt:i4>5</vt:i4>
      </vt:variant>
      <vt:variant>
        <vt:lpwstr/>
      </vt:variant>
      <vt:variant>
        <vt:lpwstr>_Toc9590777</vt:lpwstr>
      </vt:variant>
      <vt:variant>
        <vt:i4>2424839</vt:i4>
      </vt:variant>
      <vt:variant>
        <vt:i4>20</vt:i4>
      </vt:variant>
      <vt:variant>
        <vt:i4>0</vt:i4>
      </vt:variant>
      <vt:variant>
        <vt:i4>5</vt:i4>
      </vt:variant>
      <vt:variant>
        <vt:lpwstr/>
      </vt:variant>
      <vt:variant>
        <vt:lpwstr>_Toc9590776</vt:lpwstr>
      </vt:variant>
      <vt:variant>
        <vt:i4>2424839</vt:i4>
      </vt:variant>
      <vt:variant>
        <vt:i4>14</vt:i4>
      </vt:variant>
      <vt:variant>
        <vt:i4>0</vt:i4>
      </vt:variant>
      <vt:variant>
        <vt:i4>5</vt:i4>
      </vt:variant>
      <vt:variant>
        <vt:lpwstr/>
      </vt:variant>
      <vt:variant>
        <vt:lpwstr>_Toc9590775</vt:lpwstr>
      </vt:variant>
      <vt:variant>
        <vt:i4>2424839</vt:i4>
      </vt:variant>
      <vt:variant>
        <vt:i4>8</vt:i4>
      </vt:variant>
      <vt:variant>
        <vt:i4>0</vt:i4>
      </vt:variant>
      <vt:variant>
        <vt:i4>5</vt:i4>
      </vt:variant>
      <vt:variant>
        <vt:lpwstr/>
      </vt:variant>
      <vt:variant>
        <vt:lpwstr>_Toc9590774</vt:lpwstr>
      </vt:variant>
      <vt:variant>
        <vt:i4>2424839</vt:i4>
      </vt:variant>
      <vt:variant>
        <vt:i4>2</vt:i4>
      </vt:variant>
      <vt:variant>
        <vt:i4>0</vt:i4>
      </vt:variant>
      <vt:variant>
        <vt:i4>5</vt:i4>
      </vt:variant>
      <vt:variant>
        <vt:lpwstr/>
      </vt:variant>
      <vt:variant>
        <vt:lpwstr>_Toc9590773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ERCOT Nodal Protocols</dc:title>
  <dc:subject>ERCOT Nodal Protocols</dc:subject>
  <dc:creator>Round 1 Homework</dc:creator>
  <cp:keywords/>
  <cp:lastModifiedBy>ERCOT</cp:lastModifiedBy>
  <cp:revision>3</cp:revision>
  <cp:lastPrinted>2019-04-29T20:58:00Z</cp:lastPrinted>
  <dcterms:created xsi:type="dcterms:W3CDTF">2024-09-26T14:14:00Z</dcterms:created>
  <dcterms:modified xsi:type="dcterms:W3CDTF">2024-09-26T14:14:00Z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2023-07-28T14:17:20Z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b83e49ab-1415-4afe-b2b8-c1a387c14528</vt:lpwstr>
  </property>
  <property fmtid="{D5CDD505-2E9C-101B-9397-08002B2CF9AE}" pid="8" name="MSIP_Label_7084cbda-52b8-46fb-a7b7-cb5bd465ed85_ContentBits">
    <vt:lpwstr>0</vt:lpwstr>
  </property>
</Properties>
</file>