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8ED9B" w14:textId="4E89874D" w:rsidR="00646C9C" w:rsidRDefault="00646C9C" w:rsidP="00404AAD">
      <w:p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Nominees:</w:t>
      </w:r>
    </w:p>
    <w:p w14:paraId="0D186885" w14:textId="77777777" w:rsidR="00646C9C" w:rsidRDefault="00646C9C" w:rsidP="00404AAD">
      <w:p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126C65F9" w14:textId="753502CA" w:rsidR="00404AAD" w:rsidRPr="00EB5F71" w:rsidRDefault="00404AAD" w:rsidP="00404AAD">
      <w:p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EB5F71">
        <w:rPr>
          <w:rFonts w:asciiTheme="majorHAnsi" w:hAnsiTheme="majorHAnsi" w:cstheme="majorHAnsi"/>
          <w:b/>
          <w:bCs/>
          <w:sz w:val="24"/>
          <w:szCs w:val="24"/>
        </w:rPr>
        <w:t xml:space="preserve">Congestion Management Working Group (CMWG)  </w:t>
      </w:r>
    </w:p>
    <w:p w14:paraId="76A8B02C" w14:textId="1E1648C5" w:rsidR="00404AAD" w:rsidRDefault="00404AAD" w:rsidP="00404AA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EB5F71">
        <w:rPr>
          <w:rFonts w:asciiTheme="majorHAnsi" w:hAnsiTheme="majorHAnsi" w:cstheme="majorHAnsi"/>
          <w:sz w:val="24"/>
          <w:szCs w:val="24"/>
        </w:rPr>
        <w:t>Chair:</w:t>
      </w:r>
      <w:r w:rsidR="00BC3FDE">
        <w:rPr>
          <w:rFonts w:asciiTheme="majorHAnsi" w:hAnsiTheme="majorHAnsi" w:cstheme="majorHAnsi"/>
          <w:sz w:val="24"/>
          <w:szCs w:val="24"/>
        </w:rPr>
        <w:t xml:space="preserve">  Andy Nguyen, Constellation</w:t>
      </w:r>
    </w:p>
    <w:p w14:paraId="407B8D48" w14:textId="7E6B8F80" w:rsidR="00404AAD" w:rsidRPr="00EB5F71" w:rsidRDefault="00404AAD" w:rsidP="00404AA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EB5F71">
        <w:rPr>
          <w:rFonts w:asciiTheme="majorHAnsi" w:hAnsiTheme="majorHAnsi" w:cstheme="majorHAnsi"/>
          <w:sz w:val="24"/>
          <w:szCs w:val="24"/>
        </w:rPr>
        <w:t xml:space="preserve">Co-Chair: Alex Miller, EDF  </w:t>
      </w:r>
    </w:p>
    <w:p w14:paraId="5CFF532E" w14:textId="77777777" w:rsidR="00404AAD" w:rsidRPr="00EB5F71" w:rsidRDefault="00404AAD" w:rsidP="00404AAD">
      <w:pPr>
        <w:spacing w:after="0" w:line="240" w:lineRule="auto"/>
        <w:contextualSpacing/>
        <w:rPr>
          <w:rFonts w:asciiTheme="majorHAnsi" w:hAnsiTheme="majorHAnsi" w:cstheme="majorHAnsi"/>
          <w:b/>
          <w:bCs/>
          <w:sz w:val="24"/>
          <w:szCs w:val="24"/>
        </w:rPr>
      </w:pPr>
    </w:p>
    <w:p w14:paraId="4A26F1EA" w14:textId="57983BFB" w:rsidR="00404AAD" w:rsidRPr="00EB5F71" w:rsidRDefault="00404AAD" w:rsidP="00404AAD">
      <w:pPr>
        <w:spacing w:after="0" w:line="240" w:lineRule="auto"/>
        <w:contextualSpacing/>
        <w:rPr>
          <w:rFonts w:asciiTheme="majorHAnsi" w:hAnsiTheme="majorHAnsi" w:cstheme="majorHAnsi"/>
          <w:b/>
          <w:bCs/>
          <w:sz w:val="24"/>
          <w:szCs w:val="24"/>
        </w:rPr>
      </w:pPr>
      <w:r w:rsidRPr="00EB5F71">
        <w:rPr>
          <w:rFonts w:asciiTheme="majorHAnsi" w:hAnsiTheme="majorHAnsi" w:cstheme="majorHAnsi"/>
          <w:b/>
          <w:bCs/>
          <w:sz w:val="24"/>
          <w:szCs w:val="24"/>
        </w:rPr>
        <w:t>Demand Side Working Group (DSWG)</w:t>
      </w:r>
      <w:r w:rsidR="00C71CB7">
        <w:rPr>
          <w:rFonts w:asciiTheme="majorHAnsi" w:hAnsiTheme="majorHAnsi" w:cstheme="majorHAnsi"/>
          <w:b/>
          <w:bCs/>
          <w:sz w:val="24"/>
          <w:szCs w:val="24"/>
        </w:rPr>
        <w:t xml:space="preserve">  </w:t>
      </w:r>
    </w:p>
    <w:p w14:paraId="27D0D5FE" w14:textId="48D49EFA" w:rsidR="00EB5F71" w:rsidRPr="00EB5F71" w:rsidRDefault="00404AAD" w:rsidP="00404AAD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EB5F71">
        <w:rPr>
          <w:rFonts w:asciiTheme="majorHAnsi" w:hAnsiTheme="majorHAnsi" w:cstheme="majorHAnsi"/>
          <w:sz w:val="24"/>
          <w:szCs w:val="24"/>
        </w:rPr>
        <w:t>Chair: Kevin Hanson</w:t>
      </w:r>
      <w:r w:rsidR="00267875">
        <w:rPr>
          <w:rFonts w:asciiTheme="majorHAnsi" w:hAnsiTheme="majorHAnsi" w:cstheme="majorHAnsi"/>
          <w:sz w:val="24"/>
          <w:szCs w:val="24"/>
        </w:rPr>
        <w:t>, NGR</w:t>
      </w:r>
      <w:r w:rsidRPr="00EB5F71">
        <w:rPr>
          <w:rFonts w:asciiTheme="majorHAnsi" w:hAnsiTheme="majorHAnsi" w:cstheme="majorHAnsi"/>
          <w:sz w:val="24"/>
          <w:szCs w:val="24"/>
        </w:rPr>
        <w:t xml:space="preserve">  </w:t>
      </w:r>
    </w:p>
    <w:p w14:paraId="590F2E43" w14:textId="51DF0CDE" w:rsidR="00727B64" w:rsidRPr="00EB5F71" w:rsidRDefault="00404AAD" w:rsidP="00727B64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EB5F71">
        <w:rPr>
          <w:rFonts w:asciiTheme="majorHAnsi" w:hAnsiTheme="majorHAnsi" w:cstheme="majorHAnsi"/>
          <w:sz w:val="24"/>
          <w:szCs w:val="24"/>
        </w:rPr>
        <w:t>Vice Chair:</w:t>
      </w:r>
      <w:r w:rsidR="00727B64">
        <w:rPr>
          <w:rFonts w:asciiTheme="majorHAnsi" w:hAnsiTheme="majorHAnsi" w:cstheme="majorHAnsi"/>
          <w:sz w:val="24"/>
          <w:szCs w:val="24"/>
        </w:rPr>
        <w:t xml:space="preserve">  </w:t>
      </w:r>
    </w:p>
    <w:p w14:paraId="7B931092" w14:textId="77777777" w:rsidR="00404AAD" w:rsidRPr="00EB5F71" w:rsidRDefault="00404AAD" w:rsidP="00404AAD">
      <w:pPr>
        <w:spacing w:after="0" w:line="240" w:lineRule="auto"/>
        <w:contextualSpacing/>
        <w:rPr>
          <w:rFonts w:asciiTheme="majorHAnsi" w:hAnsiTheme="majorHAnsi" w:cstheme="majorHAnsi"/>
          <w:b/>
          <w:bCs/>
          <w:sz w:val="24"/>
          <w:szCs w:val="24"/>
        </w:rPr>
      </w:pPr>
    </w:p>
    <w:p w14:paraId="53EFA148" w14:textId="77777777" w:rsidR="00404AAD" w:rsidRPr="00EB5F71" w:rsidRDefault="00404AAD" w:rsidP="00404AAD">
      <w:pPr>
        <w:spacing w:after="0" w:line="240" w:lineRule="auto"/>
        <w:contextualSpacing/>
        <w:rPr>
          <w:rFonts w:asciiTheme="majorHAnsi" w:hAnsiTheme="majorHAnsi" w:cstheme="majorHAnsi"/>
          <w:b/>
          <w:bCs/>
          <w:sz w:val="24"/>
          <w:szCs w:val="24"/>
        </w:rPr>
      </w:pPr>
      <w:r w:rsidRPr="00EB5F71">
        <w:rPr>
          <w:rFonts w:asciiTheme="majorHAnsi" w:hAnsiTheme="majorHAnsi" w:cstheme="majorHAnsi"/>
          <w:b/>
          <w:bCs/>
          <w:sz w:val="24"/>
          <w:szCs w:val="24"/>
        </w:rPr>
        <w:t xml:space="preserve">Market Settlements Working Group (MSWG)  </w:t>
      </w:r>
    </w:p>
    <w:p w14:paraId="49954A88" w14:textId="0E9F5CAA" w:rsidR="00404AAD" w:rsidRPr="00EB5F71" w:rsidRDefault="00404AAD" w:rsidP="00404AAD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EB5F71">
        <w:rPr>
          <w:rFonts w:asciiTheme="majorHAnsi" w:hAnsiTheme="majorHAnsi" w:cstheme="majorHAnsi"/>
          <w:sz w:val="24"/>
          <w:szCs w:val="24"/>
        </w:rPr>
        <w:t>Chair:</w:t>
      </w:r>
      <w:r w:rsidR="00B14D98">
        <w:rPr>
          <w:rFonts w:asciiTheme="majorHAnsi" w:hAnsiTheme="majorHAnsi" w:cstheme="majorHAnsi"/>
          <w:sz w:val="24"/>
          <w:szCs w:val="24"/>
        </w:rPr>
        <w:t xml:space="preserve">  </w:t>
      </w:r>
    </w:p>
    <w:p w14:paraId="43FC5C37" w14:textId="06193FD6" w:rsidR="00404AAD" w:rsidRDefault="00404AAD" w:rsidP="00404AAD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EB5F71">
        <w:rPr>
          <w:rFonts w:asciiTheme="majorHAnsi" w:hAnsiTheme="majorHAnsi" w:cstheme="majorHAnsi"/>
          <w:sz w:val="24"/>
          <w:szCs w:val="24"/>
        </w:rPr>
        <w:t xml:space="preserve">Vice Chair: </w:t>
      </w:r>
    </w:p>
    <w:p w14:paraId="11B296FD" w14:textId="77777777" w:rsidR="00EB5F71" w:rsidRPr="00EB5F71" w:rsidRDefault="00EB5F71" w:rsidP="00404AAD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</w:p>
    <w:p w14:paraId="6B5BF4BE" w14:textId="77777777" w:rsidR="00404AAD" w:rsidRPr="00EB5F71" w:rsidRDefault="00404AAD" w:rsidP="00404AAD">
      <w:pPr>
        <w:spacing w:after="0" w:line="240" w:lineRule="auto"/>
        <w:contextualSpacing/>
        <w:rPr>
          <w:rFonts w:asciiTheme="majorHAnsi" w:hAnsiTheme="majorHAnsi" w:cstheme="majorHAnsi"/>
          <w:b/>
          <w:bCs/>
          <w:sz w:val="24"/>
          <w:szCs w:val="24"/>
        </w:rPr>
      </w:pPr>
      <w:r w:rsidRPr="00EB5F71">
        <w:rPr>
          <w:rFonts w:asciiTheme="majorHAnsi" w:hAnsiTheme="majorHAnsi" w:cstheme="majorHAnsi"/>
          <w:b/>
          <w:bCs/>
          <w:sz w:val="24"/>
          <w:szCs w:val="24"/>
        </w:rPr>
        <w:t xml:space="preserve">Metering Working Group (MWG)  </w:t>
      </w:r>
    </w:p>
    <w:p w14:paraId="1B7C0286" w14:textId="4212E5FF" w:rsidR="00C71CB7" w:rsidRPr="00EB5F71" w:rsidRDefault="00404AAD" w:rsidP="00C71CB7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EB5F71">
        <w:rPr>
          <w:rFonts w:asciiTheme="majorHAnsi" w:hAnsiTheme="majorHAnsi" w:cstheme="majorHAnsi"/>
          <w:sz w:val="24"/>
          <w:szCs w:val="24"/>
        </w:rPr>
        <w:t xml:space="preserve">Chair: </w:t>
      </w:r>
      <w:r w:rsidR="00267875">
        <w:rPr>
          <w:rFonts w:asciiTheme="majorHAnsi" w:hAnsiTheme="majorHAnsi" w:cstheme="majorHAnsi"/>
          <w:sz w:val="24"/>
          <w:szCs w:val="24"/>
        </w:rPr>
        <w:t>Michael Blum, CPE</w:t>
      </w:r>
    </w:p>
    <w:p w14:paraId="57B93150" w14:textId="55CF8D67" w:rsidR="00C71CB7" w:rsidRPr="00EB5F71" w:rsidRDefault="00404AAD" w:rsidP="00C71CB7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EB5F71">
        <w:rPr>
          <w:rFonts w:asciiTheme="majorHAnsi" w:hAnsiTheme="majorHAnsi" w:cstheme="majorHAnsi"/>
          <w:sz w:val="24"/>
          <w:szCs w:val="24"/>
        </w:rPr>
        <w:t xml:space="preserve">Vice Chair: </w:t>
      </w:r>
      <w:r w:rsidR="00267875">
        <w:rPr>
          <w:rFonts w:asciiTheme="majorHAnsi" w:hAnsiTheme="majorHAnsi" w:cstheme="majorHAnsi"/>
          <w:sz w:val="24"/>
          <w:szCs w:val="24"/>
        </w:rPr>
        <w:t>Kyle Stuckly, Oncor</w:t>
      </w:r>
    </w:p>
    <w:p w14:paraId="5CE0FE56" w14:textId="77777777" w:rsidR="00404AAD" w:rsidRPr="00EB5F71" w:rsidRDefault="00404AAD" w:rsidP="00404AAD">
      <w:pPr>
        <w:spacing w:line="240" w:lineRule="auto"/>
        <w:contextualSpacing/>
        <w:rPr>
          <w:rFonts w:asciiTheme="majorHAnsi" w:hAnsiTheme="majorHAnsi" w:cstheme="majorHAnsi"/>
          <w:sz w:val="24"/>
          <w:szCs w:val="24"/>
        </w:rPr>
      </w:pPr>
    </w:p>
    <w:p w14:paraId="3E8A0CD3" w14:textId="77777777" w:rsidR="00404AAD" w:rsidRPr="00EB5F71" w:rsidRDefault="00404AAD" w:rsidP="00404AAD">
      <w:pPr>
        <w:spacing w:after="0" w:line="240" w:lineRule="auto"/>
        <w:contextualSpacing/>
        <w:rPr>
          <w:rFonts w:asciiTheme="majorHAnsi" w:hAnsiTheme="majorHAnsi" w:cstheme="majorHAnsi"/>
          <w:b/>
          <w:bCs/>
          <w:sz w:val="24"/>
          <w:szCs w:val="24"/>
        </w:rPr>
      </w:pPr>
      <w:r w:rsidRPr="00EB5F71">
        <w:rPr>
          <w:rFonts w:asciiTheme="majorHAnsi" w:hAnsiTheme="majorHAnsi" w:cstheme="majorHAnsi"/>
          <w:b/>
          <w:bCs/>
          <w:sz w:val="24"/>
          <w:szCs w:val="24"/>
        </w:rPr>
        <w:t xml:space="preserve">Resource Cost Working Group (RCWG)  </w:t>
      </w:r>
    </w:p>
    <w:p w14:paraId="4E983548" w14:textId="4DDA26CA" w:rsidR="00404AAD" w:rsidRPr="00EB5F71" w:rsidRDefault="00404AAD" w:rsidP="00404AAD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EB5F71">
        <w:rPr>
          <w:rFonts w:asciiTheme="majorHAnsi" w:hAnsiTheme="majorHAnsi" w:cstheme="majorHAnsi"/>
          <w:sz w:val="24"/>
          <w:szCs w:val="24"/>
        </w:rPr>
        <w:t xml:space="preserve">Chair:  </w:t>
      </w:r>
      <w:r w:rsidR="009A071F">
        <w:rPr>
          <w:rFonts w:asciiTheme="majorHAnsi" w:hAnsiTheme="majorHAnsi" w:cstheme="majorHAnsi"/>
          <w:sz w:val="24"/>
          <w:szCs w:val="24"/>
        </w:rPr>
        <w:t>Blake Holt</w:t>
      </w:r>
      <w:r w:rsidR="00267875">
        <w:rPr>
          <w:rFonts w:asciiTheme="majorHAnsi" w:hAnsiTheme="majorHAnsi" w:cstheme="majorHAnsi"/>
          <w:sz w:val="24"/>
          <w:szCs w:val="24"/>
        </w:rPr>
        <w:t>, LCRA</w:t>
      </w:r>
    </w:p>
    <w:p w14:paraId="4040F960" w14:textId="2DCD1EDF" w:rsidR="00404AAD" w:rsidRDefault="00404AAD" w:rsidP="00404AAD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EB5F71">
        <w:rPr>
          <w:rFonts w:asciiTheme="majorHAnsi" w:hAnsiTheme="majorHAnsi" w:cstheme="majorHAnsi"/>
          <w:sz w:val="24"/>
          <w:szCs w:val="24"/>
        </w:rPr>
        <w:t xml:space="preserve">Co-Chair:      </w:t>
      </w:r>
    </w:p>
    <w:p w14:paraId="43B6B040" w14:textId="77777777" w:rsidR="00404AAD" w:rsidRPr="00EB5F71" w:rsidRDefault="00404AAD" w:rsidP="00404AAD">
      <w:pPr>
        <w:spacing w:after="0" w:line="240" w:lineRule="auto"/>
        <w:contextualSpacing/>
        <w:rPr>
          <w:rFonts w:asciiTheme="majorHAnsi" w:hAnsiTheme="majorHAnsi" w:cstheme="majorHAnsi"/>
          <w:b/>
          <w:bCs/>
          <w:sz w:val="24"/>
          <w:szCs w:val="24"/>
        </w:rPr>
      </w:pPr>
    </w:p>
    <w:p w14:paraId="52944FB4" w14:textId="20CBA466" w:rsidR="00404AAD" w:rsidRPr="00EB5F71" w:rsidRDefault="00404AAD" w:rsidP="00404AAD">
      <w:pPr>
        <w:spacing w:after="0" w:line="240" w:lineRule="auto"/>
        <w:contextualSpacing/>
        <w:rPr>
          <w:rFonts w:asciiTheme="majorHAnsi" w:hAnsiTheme="majorHAnsi" w:cstheme="majorHAnsi"/>
          <w:b/>
          <w:bCs/>
          <w:sz w:val="24"/>
          <w:szCs w:val="24"/>
        </w:rPr>
      </w:pPr>
      <w:r w:rsidRPr="00EB5F71">
        <w:rPr>
          <w:rFonts w:asciiTheme="majorHAnsi" w:hAnsiTheme="majorHAnsi" w:cstheme="majorHAnsi"/>
          <w:b/>
          <w:bCs/>
          <w:sz w:val="24"/>
          <w:szCs w:val="24"/>
        </w:rPr>
        <w:t xml:space="preserve">Supply Analysis Working Group (SAWG)  </w:t>
      </w:r>
    </w:p>
    <w:p w14:paraId="7FFC1913" w14:textId="79734C6F" w:rsidR="00404AAD" w:rsidRPr="00EB5F71" w:rsidRDefault="00404AAD" w:rsidP="00404AAD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EB5F71">
        <w:rPr>
          <w:rFonts w:asciiTheme="majorHAnsi" w:hAnsiTheme="majorHAnsi" w:cstheme="majorHAnsi"/>
          <w:sz w:val="24"/>
          <w:szCs w:val="24"/>
        </w:rPr>
        <w:t xml:space="preserve">Chair: Kevin Hanson  </w:t>
      </w:r>
    </w:p>
    <w:p w14:paraId="72C62C28" w14:textId="5748347C" w:rsidR="00404AAD" w:rsidRPr="00EB5F71" w:rsidRDefault="00404AAD" w:rsidP="00404AAD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EB5F71">
        <w:rPr>
          <w:rFonts w:asciiTheme="majorHAnsi" w:hAnsiTheme="majorHAnsi" w:cstheme="majorHAnsi"/>
          <w:sz w:val="24"/>
          <w:szCs w:val="24"/>
        </w:rPr>
        <w:t xml:space="preserve">Co-Vice Chair: Greg Lackey  </w:t>
      </w:r>
    </w:p>
    <w:p w14:paraId="3798DDF6" w14:textId="185D3580" w:rsidR="00404AAD" w:rsidRDefault="00404AAD" w:rsidP="00404AAD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EB5F71">
        <w:rPr>
          <w:rFonts w:asciiTheme="majorHAnsi" w:hAnsiTheme="majorHAnsi" w:cstheme="majorHAnsi"/>
          <w:sz w:val="24"/>
          <w:szCs w:val="24"/>
        </w:rPr>
        <w:t xml:space="preserve">Co-Vice Chair: Pete Warnken  </w:t>
      </w:r>
    </w:p>
    <w:p w14:paraId="4ADA2513" w14:textId="77777777" w:rsidR="00EB5F71" w:rsidRPr="00EB5F71" w:rsidRDefault="00EB5F71" w:rsidP="00404AAD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</w:p>
    <w:p w14:paraId="78A9A86E" w14:textId="77777777" w:rsidR="00404AAD" w:rsidRPr="00EB5F71" w:rsidRDefault="00404AAD" w:rsidP="00404AA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1FAF7422" w14:textId="77777777" w:rsidR="00404AAD" w:rsidRPr="00EB5F71" w:rsidRDefault="00404AAD" w:rsidP="00404AAD">
      <w:pPr>
        <w:spacing w:after="0" w:line="240" w:lineRule="auto"/>
        <w:contextualSpacing/>
        <w:rPr>
          <w:rFonts w:asciiTheme="majorHAnsi" w:hAnsiTheme="majorHAnsi" w:cstheme="majorHAnsi"/>
          <w:b/>
          <w:bCs/>
          <w:sz w:val="24"/>
          <w:szCs w:val="24"/>
        </w:rPr>
      </w:pPr>
      <w:r w:rsidRPr="00EB5F71">
        <w:rPr>
          <w:rFonts w:asciiTheme="majorHAnsi" w:hAnsiTheme="majorHAnsi" w:cstheme="majorHAnsi"/>
          <w:b/>
          <w:bCs/>
          <w:sz w:val="24"/>
          <w:szCs w:val="24"/>
        </w:rPr>
        <w:t xml:space="preserve">Wholesale Market Working Group (WMWG)   </w:t>
      </w:r>
    </w:p>
    <w:p w14:paraId="17991148" w14:textId="17AB1B5B" w:rsidR="00404AAD" w:rsidRPr="00EB5F71" w:rsidRDefault="00404AAD" w:rsidP="00404AAD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EB5F71">
        <w:rPr>
          <w:rFonts w:asciiTheme="majorHAnsi" w:hAnsiTheme="majorHAnsi" w:cstheme="majorHAnsi"/>
          <w:sz w:val="24"/>
          <w:szCs w:val="24"/>
        </w:rPr>
        <w:t>Chair:  Colin Walcavich</w:t>
      </w:r>
      <w:r w:rsidR="00267875">
        <w:rPr>
          <w:rFonts w:asciiTheme="majorHAnsi" w:hAnsiTheme="majorHAnsi" w:cstheme="majorHAnsi"/>
          <w:sz w:val="24"/>
          <w:szCs w:val="24"/>
        </w:rPr>
        <w:t>, NGR</w:t>
      </w:r>
      <w:r w:rsidRPr="00EB5F71">
        <w:rPr>
          <w:rFonts w:asciiTheme="majorHAnsi" w:hAnsiTheme="majorHAnsi" w:cstheme="majorHAnsi"/>
          <w:sz w:val="24"/>
          <w:szCs w:val="24"/>
        </w:rPr>
        <w:t xml:space="preserve">  </w:t>
      </w:r>
    </w:p>
    <w:p w14:paraId="6638B233" w14:textId="77777777" w:rsidR="00404AAD" w:rsidRPr="00EB5F71" w:rsidRDefault="00404AAD" w:rsidP="00404AAD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EB5F71">
        <w:rPr>
          <w:rFonts w:asciiTheme="majorHAnsi" w:hAnsiTheme="majorHAnsi" w:cstheme="majorHAnsi"/>
          <w:sz w:val="24"/>
          <w:szCs w:val="24"/>
        </w:rPr>
        <w:t xml:space="preserve">Co-Chair:   </w:t>
      </w:r>
    </w:p>
    <w:sectPr w:rsidR="00404AAD" w:rsidRPr="00EB5F71" w:rsidSect="003D5B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4AD95" w14:textId="77777777" w:rsidR="003D5B46" w:rsidRDefault="003D5B46" w:rsidP="003D5B46">
      <w:pPr>
        <w:spacing w:after="0" w:line="240" w:lineRule="auto"/>
      </w:pPr>
      <w:r>
        <w:separator/>
      </w:r>
    </w:p>
  </w:endnote>
  <w:endnote w:type="continuationSeparator" w:id="0">
    <w:p w14:paraId="1FB74561" w14:textId="77777777" w:rsidR="003D5B46" w:rsidRDefault="003D5B46" w:rsidP="003D5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921F2" w14:textId="77777777" w:rsidR="00404AAD" w:rsidRDefault="00404A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BD16A" w14:textId="77777777" w:rsidR="00404AAD" w:rsidRDefault="00404A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48215" w14:textId="77777777" w:rsidR="00404AAD" w:rsidRDefault="00404A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8D47D" w14:textId="77777777" w:rsidR="003D5B46" w:rsidRDefault="003D5B46" w:rsidP="003D5B46">
      <w:pPr>
        <w:spacing w:after="0" w:line="240" w:lineRule="auto"/>
      </w:pPr>
      <w:r>
        <w:separator/>
      </w:r>
    </w:p>
  </w:footnote>
  <w:footnote w:type="continuationSeparator" w:id="0">
    <w:p w14:paraId="3E8C9C8A" w14:textId="77777777" w:rsidR="003D5B46" w:rsidRDefault="003D5B46" w:rsidP="003D5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60803" w14:textId="77777777" w:rsidR="00404AAD" w:rsidRDefault="00404A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F4839" w14:textId="5B56B81F" w:rsidR="002B67FE" w:rsidRPr="003D5B46" w:rsidRDefault="00404AAD" w:rsidP="002B67FE">
    <w:pPr>
      <w:spacing w:after="0"/>
      <w:jc w:val="center"/>
      <w:rPr>
        <w:b/>
        <w:color w:val="000000" w:themeColor="text1"/>
        <w:sz w:val="40"/>
        <w:szCs w:val="40"/>
      </w:rPr>
    </w:pPr>
    <w:r w:rsidRPr="003D5B46">
      <w:rPr>
        <w:b/>
        <w:color w:val="000000" w:themeColor="text1"/>
        <w:sz w:val="40"/>
        <w:szCs w:val="40"/>
      </w:rPr>
      <w:t xml:space="preserve">2024 </w:t>
    </w:r>
    <w:r>
      <w:rPr>
        <w:b/>
        <w:color w:val="000000" w:themeColor="text1"/>
        <w:sz w:val="40"/>
        <w:szCs w:val="40"/>
      </w:rPr>
      <w:t>W</w:t>
    </w:r>
    <w:r w:rsidRPr="003D5B46">
      <w:rPr>
        <w:b/>
        <w:color w:val="000000" w:themeColor="text1"/>
        <w:sz w:val="40"/>
        <w:szCs w:val="40"/>
      </w:rPr>
      <w:t>MS Working Group and Task Force Leadership</w:t>
    </w:r>
  </w:p>
  <w:p w14:paraId="5D6291F0" w14:textId="77777777" w:rsidR="002B67FE" w:rsidRDefault="00BC3F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E14A6" w14:textId="77777777" w:rsidR="00404AAD" w:rsidRDefault="00404A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B46"/>
    <w:rsid w:val="001F7314"/>
    <w:rsid w:val="00267875"/>
    <w:rsid w:val="002939AD"/>
    <w:rsid w:val="003D5B46"/>
    <w:rsid w:val="00404AAD"/>
    <w:rsid w:val="00646C9C"/>
    <w:rsid w:val="00727B64"/>
    <w:rsid w:val="00965963"/>
    <w:rsid w:val="009A071F"/>
    <w:rsid w:val="00A36448"/>
    <w:rsid w:val="00B14D98"/>
    <w:rsid w:val="00BA4025"/>
    <w:rsid w:val="00BC3FDE"/>
    <w:rsid w:val="00C71CB7"/>
    <w:rsid w:val="00CF3A27"/>
    <w:rsid w:val="00DE5D6E"/>
    <w:rsid w:val="00EB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1E58A"/>
  <w15:chartTrackingRefBased/>
  <w15:docId w15:val="{88990114-AF35-4712-9C7E-6244D7EC6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A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5B4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5B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B46"/>
  </w:style>
  <w:style w:type="paragraph" w:styleId="Footer">
    <w:name w:val="footer"/>
    <w:basedOn w:val="Normal"/>
    <w:link w:val="FooterChar"/>
    <w:uiPriority w:val="99"/>
    <w:unhideWhenUsed/>
    <w:rsid w:val="003D5B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Hanson, Pamela</dc:creator>
  <cp:keywords/>
  <dc:description/>
  <cp:lastModifiedBy>Hanson, Pamela</cp:lastModifiedBy>
  <cp:revision>5</cp:revision>
  <dcterms:created xsi:type="dcterms:W3CDTF">2024-01-05T23:37:00Z</dcterms:created>
  <dcterms:modified xsi:type="dcterms:W3CDTF">2024-01-09T20:58:00Z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84cbda-52b8-46fb-a7b7-cb5bd465ed85_Enabled">
    <vt:lpwstr>true</vt:lpwstr>
  </property>
  <property fmtid="{D5CDD505-2E9C-101B-9397-08002B2CF9AE}" pid="3" name="MSIP_Label_7084cbda-52b8-46fb-a7b7-cb5bd465ed85_SetDate">
    <vt:lpwstr>2024-01-05T17:56:14Z</vt:lpwstr>
  </property>
  <property fmtid="{D5CDD505-2E9C-101B-9397-08002B2CF9AE}" pid="4" name="MSIP_Label_7084cbda-52b8-46fb-a7b7-cb5bd465ed85_Method">
    <vt:lpwstr>Standard</vt:lpwstr>
  </property>
  <property fmtid="{D5CDD505-2E9C-101B-9397-08002B2CF9AE}" pid="5" name="MSIP_Label_7084cbda-52b8-46fb-a7b7-cb5bd465ed85_Name">
    <vt:lpwstr>Internal</vt:lpwstr>
  </property>
  <property fmtid="{D5CDD505-2E9C-101B-9397-08002B2CF9AE}" pid="6" name="MSIP_Label_7084cbda-52b8-46fb-a7b7-cb5bd465ed85_SiteId">
    <vt:lpwstr>0afb747d-bff7-4596-a9fc-950ef9e0ec45</vt:lpwstr>
  </property>
  <property fmtid="{D5CDD505-2E9C-101B-9397-08002B2CF9AE}" pid="7" name="MSIP_Label_7084cbda-52b8-46fb-a7b7-cb5bd465ed85_ActionId">
    <vt:lpwstr>a02c7130-adbc-48e7-a9b2-aeb5b421d9a1</vt:lpwstr>
  </property>
  <property fmtid="{D5CDD505-2E9C-101B-9397-08002B2CF9AE}" pid="8" name="MSIP_Label_7084cbda-52b8-46fb-a7b7-cb5bd465ed85_ContentBits">
    <vt:lpwstr>0</vt:lpwstr>
  </property>
</Properties>
</file>