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dTable1Light-Accent1"/>
        <w:tblW w:w="0" w:type="auto"/>
        <w:tblLook w:val="04A0" w:firstRow="1" w:lastRow="0" w:firstColumn="1" w:lastColumn="0" w:noHBand="0" w:noVBand="1"/>
      </w:tblPr>
      <w:tblGrid>
        <w:gridCol w:w="535"/>
        <w:gridCol w:w="3205"/>
        <w:gridCol w:w="3527"/>
        <w:gridCol w:w="1008"/>
        <w:gridCol w:w="1075"/>
      </w:tblGrid>
      <w:tr w:rsidR="00CC27D7" w14:paraId="74D578F8" w14:textId="77777777" w:rsidTr="00CC27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1BAC540B" w14:textId="77777777" w:rsidR="00CC27D7" w:rsidRDefault="00CC27D7"/>
        </w:tc>
        <w:tc>
          <w:tcPr>
            <w:tcW w:w="3205" w:type="dxa"/>
          </w:tcPr>
          <w:p w14:paraId="3D20ED35" w14:textId="0ABA7BBF" w:rsidR="00CC27D7" w:rsidRDefault="00CC27D7">
            <w:pPr>
              <w:cnfStyle w:val="100000000000" w:firstRow="1" w:lastRow="0" w:firstColumn="0" w:lastColumn="0" w:oddVBand="0" w:evenVBand="0" w:oddHBand="0" w:evenHBand="0" w:firstRowFirstColumn="0" w:firstRowLastColumn="0" w:lastRowFirstColumn="0" w:lastRowLastColumn="0"/>
            </w:pPr>
            <w:r>
              <w:t>Issue</w:t>
            </w:r>
          </w:p>
        </w:tc>
        <w:tc>
          <w:tcPr>
            <w:tcW w:w="3527" w:type="dxa"/>
          </w:tcPr>
          <w:p w14:paraId="3338E179" w14:textId="3F7EEE17" w:rsidR="00CC27D7" w:rsidRDefault="00CC27D7">
            <w:pPr>
              <w:cnfStyle w:val="100000000000" w:firstRow="1" w:lastRow="0" w:firstColumn="0" w:lastColumn="0" w:oddVBand="0" w:evenVBand="0" w:oddHBand="0" w:evenHBand="0" w:firstRowFirstColumn="0" w:firstRowLastColumn="0" w:lastRowFirstColumn="0" w:lastRowLastColumn="0"/>
            </w:pPr>
            <w:r>
              <w:t>Lesson Learned</w:t>
            </w:r>
          </w:p>
        </w:tc>
        <w:tc>
          <w:tcPr>
            <w:tcW w:w="1008" w:type="dxa"/>
          </w:tcPr>
          <w:p w14:paraId="282EA2EB" w14:textId="49FC3E9D" w:rsidR="00CC27D7" w:rsidRDefault="00CC27D7">
            <w:pPr>
              <w:cnfStyle w:val="100000000000" w:firstRow="1" w:lastRow="0" w:firstColumn="0" w:lastColumn="0" w:oddVBand="0" w:evenVBand="0" w:oddHBand="0" w:evenHBand="0" w:firstRowFirstColumn="0" w:firstRowLastColumn="0" w:lastRowFirstColumn="0" w:lastRowLastColumn="0"/>
            </w:pPr>
            <w:r>
              <w:t>Internal</w:t>
            </w:r>
          </w:p>
        </w:tc>
        <w:tc>
          <w:tcPr>
            <w:tcW w:w="1075" w:type="dxa"/>
          </w:tcPr>
          <w:p w14:paraId="202CE18C" w14:textId="6B1C711C" w:rsidR="00CC27D7" w:rsidRDefault="00CC27D7">
            <w:pPr>
              <w:cnfStyle w:val="100000000000" w:firstRow="1" w:lastRow="0" w:firstColumn="0" w:lastColumn="0" w:oddVBand="0" w:evenVBand="0" w:oddHBand="0" w:evenHBand="0" w:firstRowFirstColumn="0" w:firstRowLastColumn="0" w:lastRowFirstColumn="0" w:lastRowLastColumn="0"/>
            </w:pPr>
            <w:r>
              <w:t>External</w:t>
            </w:r>
          </w:p>
        </w:tc>
      </w:tr>
      <w:tr w:rsidR="00CC27D7" w14:paraId="484EFFC1" w14:textId="77777777" w:rsidTr="00CC27D7">
        <w:tc>
          <w:tcPr>
            <w:cnfStyle w:val="001000000000" w:firstRow="0" w:lastRow="0" w:firstColumn="1" w:lastColumn="0" w:oddVBand="0" w:evenVBand="0" w:oddHBand="0" w:evenHBand="0" w:firstRowFirstColumn="0" w:firstRowLastColumn="0" w:lastRowFirstColumn="0" w:lastRowLastColumn="0"/>
            <w:tcW w:w="535" w:type="dxa"/>
          </w:tcPr>
          <w:p w14:paraId="3C8EBC61" w14:textId="1FE82F90" w:rsidR="00CC27D7" w:rsidRDefault="00CC27D7">
            <w:r>
              <w:t>1</w:t>
            </w:r>
          </w:p>
        </w:tc>
        <w:tc>
          <w:tcPr>
            <w:tcW w:w="3205" w:type="dxa"/>
          </w:tcPr>
          <w:p w14:paraId="4ADD997F" w14:textId="45F9E757" w:rsidR="00CC27D7" w:rsidRDefault="00CC27D7">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color w:val="000000"/>
                <w:sz w:val="24"/>
                <w:szCs w:val="24"/>
              </w:rPr>
              <w:t>Customers with Multiple Meters and DREP Process</w:t>
            </w:r>
          </w:p>
        </w:tc>
        <w:tc>
          <w:tcPr>
            <w:tcW w:w="3527" w:type="dxa"/>
          </w:tcPr>
          <w:p w14:paraId="3256892F" w14:textId="0986AA16" w:rsidR="00CC27D7" w:rsidRDefault="00CC27D7">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color w:val="000000"/>
                <w:sz w:val="24"/>
                <w:szCs w:val="24"/>
              </w:rPr>
              <w:t>find a way to compare before defaulting</w:t>
            </w:r>
            <w:r>
              <w:rPr>
                <w:rFonts w:ascii="Times New Roman" w:hAnsi="Times New Roman" w:cs="Times New Roman"/>
                <w:color w:val="000000"/>
                <w:sz w:val="24"/>
                <w:szCs w:val="24"/>
              </w:rPr>
              <w:t xml:space="preserve"> – possibly providing customers with ESIs </w:t>
            </w:r>
          </w:p>
        </w:tc>
        <w:tc>
          <w:tcPr>
            <w:tcW w:w="1008" w:type="dxa"/>
          </w:tcPr>
          <w:p w14:paraId="3CD9A711"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c>
          <w:tcPr>
            <w:tcW w:w="1075" w:type="dxa"/>
          </w:tcPr>
          <w:p w14:paraId="04EB0C99"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r>
      <w:tr w:rsidR="00CC27D7" w14:paraId="24DBF46C" w14:textId="77777777" w:rsidTr="00CC27D7">
        <w:tc>
          <w:tcPr>
            <w:cnfStyle w:val="001000000000" w:firstRow="0" w:lastRow="0" w:firstColumn="1" w:lastColumn="0" w:oddVBand="0" w:evenVBand="0" w:oddHBand="0" w:evenHBand="0" w:firstRowFirstColumn="0" w:firstRowLastColumn="0" w:lastRowFirstColumn="0" w:lastRowLastColumn="0"/>
            <w:tcW w:w="535" w:type="dxa"/>
          </w:tcPr>
          <w:p w14:paraId="19B67578" w14:textId="2975608F" w:rsidR="00CC27D7" w:rsidRDefault="00CC27D7">
            <w:r>
              <w:t>2</w:t>
            </w:r>
          </w:p>
        </w:tc>
        <w:tc>
          <w:tcPr>
            <w:tcW w:w="3205" w:type="dxa"/>
          </w:tcPr>
          <w:p w14:paraId="07C534B8" w14:textId="0305B739" w:rsidR="00CC27D7" w:rsidRDefault="00CC27D7">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color w:val="000000"/>
                <w:sz w:val="24"/>
                <w:szCs w:val="24"/>
              </w:rPr>
              <w:t>TXSET Guides need updating</w:t>
            </w:r>
          </w:p>
        </w:tc>
        <w:tc>
          <w:tcPr>
            <w:tcW w:w="3527" w:type="dxa"/>
          </w:tcPr>
          <w:p w14:paraId="0B35522B" w14:textId="0D1DC322" w:rsidR="00CC27D7" w:rsidRDefault="00CC27D7" w:rsidP="00CC2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we need to take some time and make sure we've captured the areas that need to be changed</w:t>
            </w:r>
            <w:r w:rsidR="00D356BF">
              <w:rPr>
                <w:rFonts w:ascii="Times New Roman" w:hAnsi="Times New Roman" w:cs="Times New Roman"/>
                <w:color w:val="000000"/>
                <w:sz w:val="24"/>
                <w:szCs w:val="24"/>
              </w:rPr>
              <w:t xml:space="preserve"> – ‘</w:t>
            </w:r>
            <w:proofErr w:type="gramStart"/>
            <w:r w:rsidR="00D356BF">
              <w:rPr>
                <w:rFonts w:ascii="Times New Roman" w:hAnsi="Times New Roman" w:cs="Times New Roman"/>
                <w:color w:val="000000"/>
                <w:sz w:val="24"/>
                <w:szCs w:val="24"/>
              </w:rPr>
              <w:t>combo</w:t>
            </w:r>
            <w:proofErr w:type="gramEnd"/>
            <w:r w:rsidR="00D356BF">
              <w:rPr>
                <w:rFonts w:ascii="Times New Roman" w:hAnsi="Times New Roman" w:cs="Times New Roman"/>
                <w:color w:val="000000"/>
                <w:sz w:val="24"/>
                <w:szCs w:val="24"/>
              </w:rPr>
              <w:t xml:space="preserve">’ </w:t>
            </w:r>
          </w:p>
          <w:p w14:paraId="33842C32"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c>
          <w:tcPr>
            <w:tcW w:w="1008" w:type="dxa"/>
          </w:tcPr>
          <w:p w14:paraId="70A03A3A"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c>
          <w:tcPr>
            <w:tcW w:w="1075" w:type="dxa"/>
          </w:tcPr>
          <w:p w14:paraId="4DE6A886"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r>
      <w:tr w:rsidR="00CC27D7" w14:paraId="167106C8" w14:textId="77777777" w:rsidTr="00CC27D7">
        <w:tc>
          <w:tcPr>
            <w:cnfStyle w:val="001000000000" w:firstRow="0" w:lastRow="0" w:firstColumn="1" w:lastColumn="0" w:oddVBand="0" w:evenVBand="0" w:oddHBand="0" w:evenHBand="0" w:firstRowFirstColumn="0" w:firstRowLastColumn="0" w:lastRowFirstColumn="0" w:lastRowLastColumn="0"/>
            <w:tcW w:w="535" w:type="dxa"/>
          </w:tcPr>
          <w:p w14:paraId="253CA19D" w14:textId="17061F19" w:rsidR="00CC27D7" w:rsidRDefault="00CC27D7">
            <w:r>
              <w:t>3</w:t>
            </w:r>
          </w:p>
        </w:tc>
        <w:tc>
          <w:tcPr>
            <w:tcW w:w="3205" w:type="dxa"/>
          </w:tcPr>
          <w:p w14:paraId="2210B75D" w14:textId="709F7B8E" w:rsidR="00CC27D7" w:rsidRDefault="00CC27D7">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color w:val="000000"/>
                <w:sz w:val="24"/>
                <w:szCs w:val="24"/>
              </w:rPr>
              <w:t>Need Regulatory/Legal decisions at beginning of project</w:t>
            </w:r>
          </w:p>
        </w:tc>
        <w:tc>
          <w:tcPr>
            <w:tcW w:w="3527" w:type="dxa"/>
          </w:tcPr>
          <w:p w14:paraId="76572E84" w14:textId="4307CE03" w:rsidR="00CC27D7" w:rsidRPr="00CC27D7" w:rsidRDefault="00CC2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Full awareness of any impacting legislation </w:t>
            </w:r>
          </w:p>
        </w:tc>
        <w:tc>
          <w:tcPr>
            <w:tcW w:w="1008" w:type="dxa"/>
          </w:tcPr>
          <w:p w14:paraId="09A085F4"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c>
          <w:tcPr>
            <w:tcW w:w="1075" w:type="dxa"/>
          </w:tcPr>
          <w:p w14:paraId="6E3F88D3"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r>
      <w:tr w:rsidR="00CC27D7" w14:paraId="5BED694A" w14:textId="77777777" w:rsidTr="00CC27D7">
        <w:tc>
          <w:tcPr>
            <w:cnfStyle w:val="001000000000" w:firstRow="0" w:lastRow="0" w:firstColumn="1" w:lastColumn="0" w:oddVBand="0" w:evenVBand="0" w:oddHBand="0" w:evenHBand="0" w:firstRowFirstColumn="0" w:firstRowLastColumn="0" w:lastRowFirstColumn="0" w:lastRowLastColumn="0"/>
            <w:tcW w:w="535" w:type="dxa"/>
          </w:tcPr>
          <w:p w14:paraId="091DF183" w14:textId="60E3D10E" w:rsidR="00CC27D7" w:rsidRDefault="00CC27D7">
            <w:r>
              <w:t>4</w:t>
            </w:r>
          </w:p>
        </w:tc>
        <w:tc>
          <w:tcPr>
            <w:tcW w:w="3205" w:type="dxa"/>
          </w:tcPr>
          <w:p w14:paraId="5CC6F3AC" w14:textId="7A30CE33" w:rsidR="00CC27D7" w:rsidRDefault="00CC27D7">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color w:val="000000"/>
                <w:sz w:val="24"/>
                <w:szCs w:val="24"/>
              </w:rPr>
              <w:t xml:space="preserve">Impact of Cycle Dates locked down and True Move </w:t>
            </w:r>
            <w:proofErr w:type="gramStart"/>
            <w:r>
              <w:rPr>
                <w:rFonts w:ascii="Times New Roman" w:hAnsi="Times New Roman" w:cs="Times New Roman"/>
                <w:color w:val="000000"/>
                <w:sz w:val="24"/>
                <w:szCs w:val="24"/>
              </w:rPr>
              <w:t>In</w:t>
            </w:r>
            <w:proofErr w:type="gramEnd"/>
            <w:r>
              <w:rPr>
                <w:rFonts w:ascii="Times New Roman" w:hAnsi="Times New Roman" w:cs="Times New Roman"/>
                <w:color w:val="000000"/>
                <w:sz w:val="24"/>
                <w:szCs w:val="24"/>
              </w:rPr>
              <w:t xml:space="preserve"> Situations</w:t>
            </w:r>
          </w:p>
        </w:tc>
        <w:tc>
          <w:tcPr>
            <w:tcW w:w="3527" w:type="dxa"/>
          </w:tcPr>
          <w:p w14:paraId="577EF974" w14:textId="441DDC4B" w:rsidR="00CC27D7" w:rsidRPr="00CC27D7" w:rsidRDefault="00CC2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000000"/>
                <w:sz w:val="24"/>
                <w:szCs w:val="24"/>
              </w:rPr>
              <w:t>Impacts stacking logic at go live</w:t>
            </w:r>
          </w:p>
        </w:tc>
        <w:tc>
          <w:tcPr>
            <w:tcW w:w="1008" w:type="dxa"/>
          </w:tcPr>
          <w:p w14:paraId="3D34CD87"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c>
          <w:tcPr>
            <w:tcW w:w="1075" w:type="dxa"/>
          </w:tcPr>
          <w:p w14:paraId="2DBD8D95"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r>
      <w:tr w:rsidR="00CC27D7" w14:paraId="100C9AFF" w14:textId="77777777" w:rsidTr="00CC27D7">
        <w:tc>
          <w:tcPr>
            <w:cnfStyle w:val="001000000000" w:firstRow="0" w:lastRow="0" w:firstColumn="1" w:lastColumn="0" w:oddVBand="0" w:evenVBand="0" w:oddHBand="0" w:evenHBand="0" w:firstRowFirstColumn="0" w:firstRowLastColumn="0" w:lastRowFirstColumn="0" w:lastRowLastColumn="0"/>
            <w:tcW w:w="535" w:type="dxa"/>
          </w:tcPr>
          <w:p w14:paraId="3DED25C2" w14:textId="1ED7F129" w:rsidR="00CC27D7" w:rsidRDefault="00CC27D7">
            <w:r>
              <w:t>5</w:t>
            </w:r>
          </w:p>
        </w:tc>
        <w:tc>
          <w:tcPr>
            <w:tcW w:w="3205" w:type="dxa"/>
          </w:tcPr>
          <w:p w14:paraId="4DCE5034" w14:textId="39C39B8F" w:rsidR="00CC27D7" w:rsidRDefault="00CC27D7">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color w:val="000000"/>
                <w:sz w:val="24"/>
                <w:szCs w:val="24"/>
              </w:rPr>
              <w:t>Phone number formats Country Code issue</w:t>
            </w:r>
          </w:p>
        </w:tc>
        <w:tc>
          <w:tcPr>
            <w:tcW w:w="3527" w:type="dxa"/>
          </w:tcPr>
          <w:p w14:paraId="7EE7B4BA" w14:textId="6414F805" w:rsidR="00CC27D7" w:rsidRPr="00CC27D7" w:rsidRDefault="00CC2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000000"/>
                <w:sz w:val="24"/>
                <w:szCs w:val="24"/>
              </w:rPr>
              <w:t>Update TXSET guide</w:t>
            </w:r>
          </w:p>
        </w:tc>
        <w:tc>
          <w:tcPr>
            <w:tcW w:w="1008" w:type="dxa"/>
          </w:tcPr>
          <w:p w14:paraId="1A0D3B9C"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c>
          <w:tcPr>
            <w:tcW w:w="1075" w:type="dxa"/>
          </w:tcPr>
          <w:p w14:paraId="08B482DA"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r>
      <w:tr w:rsidR="00CC27D7" w14:paraId="41F8F5D5" w14:textId="77777777" w:rsidTr="00CC27D7">
        <w:tc>
          <w:tcPr>
            <w:cnfStyle w:val="001000000000" w:firstRow="0" w:lastRow="0" w:firstColumn="1" w:lastColumn="0" w:oddVBand="0" w:evenVBand="0" w:oddHBand="0" w:evenHBand="0" w:firstRowFirstColumn="0" w:firstRowLastColumn="0" w:lastRowFirstColumn="0" w:lastRowLastColumn="0"/>
            <w:tcW w:w="535" w:type="dxa"/>
          </w:tcPr>
          <w:p w14:paraId="4EA2EC26" w14:textId="5D4B7B06" w:rsidR="00CC27D7" w:rsidRDefault="00CC27D7">
            <w:r>
              <w:t>6</w:t>
            </w:r>
          </w:p>
        </w:tc>
        <w:tc>
          <w:tcPr>
            <w:tcW w:w="3205" w:type="dxa"/>
          </w:tcPr>
          <w:p w14:paraId="5B4A3A88" w14:textId="798422BA" w:rsidR="00CC27D7" w:rsidRDefault="00CC27D7">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color w:val="000000"/>
                <w:sz w:val="24"/>
                <w:szCs w:val="24"/>
              </w:rPr>
              <w:t>Clean Data for ESI ID Creation</w:t>
            </w:r>
          </w:p>
        </w:tc>
        <w:tc>
          <w:tcPr>
            <w:tcW w:w="3527" w:type="dxa"/>
          </w:tcPr>
          <w:p w14:paraId="49B44D3F" w14:textId="0F2F0CC9" w:rsidR="00CC27D7" w:rsidRPr="00CC27D7" w:rsidRDefault="006469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Avoid creation of “bad” ESIs only to have to retire </w:t>
            </w:r>
          </w:p>
        </w:tc>
        <w:tc>
          <w:tcPr>
            <w:tcW w:w="1008" w:type="dxa"/>
          </w:tcPr>
          <w:p w14:paraId="25043B8F"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c>
          <w:tcPr>
            <w:tcW w:w="1075" w:type="dxa"/>
          </w:tcPr>
          <w:p w14:paraId="2E6DB657"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r>
      <w:tr w:rsidR="00CC27D7" w14:paraId="046CECBD" w14:textId="77777777" w:rsidTr="00CC27D7">
        <w:tc>
          <w:tcPr>
            <w:cnfStyle w:val="001000000000" w:firstRow="0" w:lastRow="0" w:firstColumn="1" w:lastColumn="0" w:oddVBand="0" w:evenVBand="0" w:oddHBand="0" w:evenHBand="0" w:firstRowFirstColumn="0" w:firstRowLastColumn="0" w:lastRowFirstColumn="0" w:lastRowLastColumn="0"/>
            <w:tcW w:w="535" w:type="dxa"/>
          </w:tcPr>
          <w:p w14:paraId="06FBB823" w14:textId="33BB79CF" w:rsidR="00CC27D7" w:rsidRDefault="00CC27D7">
            <w:r>
              <w:t>7</w:t>
            </w:r>
          </w:p>
        </w:tc>
        <w:tc>
          <w:tcPr>
            <w:tcW w:w="3205" w:type="dxa"/>
          </w:tcPr>
          <w:p w14:paraId="01D3BC55" w14:textId="41E31F6E" w:rsidR="00CC27D7" w:rsidRDefault="00CC27D7">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color w:val="000000"/>
                <w:sz w:val="24"/>
                <w:szCs w:val="24"/>
              </w:rPr>
              <w:t>Addresses without description</w:t>
            </w:r>
          </w:p>
        </w:tc>
        <w:tc>
          <w:tcPr>
            <w:tcW w:w="3527" w:type="dxa"/>
          </w:tcPr>
          <w:p w14:paraId="32ECC366" w14:textId="3BE61469" w:rsidR="00CC27D7" w:rsidRPr="00CC27D7" w:rsidRDefault="006469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000000"/>
                <w:sz w:val="24"/>
                <w:szCs w:val="24"/>
              </w:rPr>
              <w:t>System should be able to use secondary address fields to help avoid inadvertent gain situations</w:t>
            </w:r>
          </w:p>
        </w:tc>
        <w:tc>
          <w:tcPr>
            <w:tcW w:w="1008" w:type="dxa"/>
          </w:tcPr>
          <w:p w14:paraId="4010F494"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c>
          <w:tcPr>
            <w:tcW w:w="1075" w:type="dxa"/>
          </w:tcPr>
          <w:p w14:paraId="6583980C"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r>
      <w:tr w:rsidR="00CC27D7" w14:paraId="6706D877" w14:textId="77777777" w:rsidTr="00CC27D7">
        <w:tc>
          <w:tcPr>
            <w:cnfStyle w:val="001000000000" w:firstRow="0" w:lastRow="0" w:firstColumn="1" w:lastColumn="0" w:oddVBand="0" w:evenVBand="0" w:oddHBand="0" w:evenHBand="0" w:firstRowFirstColumn="0" w:firstRowLastColumn="0" w:lastRowFirstColumn="0" w:lastRowLastColumn="0"/>
            <w:tcW w:w="535" w:type="dxa"/>
          </w:tcPr>
          <w:p w14:paraId="339104ED" w14:textId="3A3CD1DE" w:rsidR="00CC27D7" w:rsidRDefault="00CC27D7">
            <w:r>
              <w:t>8</w:t>
            </w:r>
          </w:p>
        </w:tc>
        <w:tc>
          <w:tcPr>
            <w:tcW w:w="3205" w:type="dxa"/>
          </w:tcPr>
          <w:p w14:paraId="5D76B4DD" w14:textId="4B51C695" w:rsidR="00CC27D7" w:rsidRDefault="00CC27D7">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color w:val="000000"/>
                <w:sz w:val="24"/>
                <w:szCs w:val="24"/>
              </w:rPr>
              <w:t>Decimals in Meter Reads</w:t>
            </w:r>
          </w:p>
        </w:tc>
        <w:tc>
          <w:tcPr>
            <w:tcW w:w="3527" w:type="dxa"/>
          </w:tcPr>
          <w:p w14:paraId="2E05680A" w14:textId="6CB01808" w:rsidR="00CC27D7" w:rsidRPr="00CC27D7" w:rsidRDefault="006469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000000"/>
                <w:sz w:val="24"/>
                <w:szCs w:val="24"/>
              </w:rPr>
              <w:t>With AMI being the normal meter type, this is an opportunity to allow decimals in meter reads.  We are already using them in IDR situations</w:t>
            </w:r>
          </w:p>
        </w:tc>
        <w:tc>
          <w:tcPr>
            <w:tcW w:w="1008" w:type="dxa"/>
          </w:tcPr>
          <w:p w14:paraId="207514BC"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c>
          <w:tcPr>
            <w:tcW w:w="1075" w:type="dxa"/>
          </w:tcPr>
          <w:p w14:paraId="46A9469D"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r>
      <w:tr w:rsidR="00CC27D7" w14:paraId="48534FE4" w14:textId="77777777" w:rsidTr="00CC27D7">
        <w:tc>
          <w:tcPr>
            <w:cnfStyle w:val="001000000000" w:firstRow="0" w:lastRow="0" w:firstColumn="1" w:lastColumn="0" w:oddVBand="0" w:evenVBand="0" w:oddHBand="0" w:evenHBand="0" w:firstRowFirstColumn="0" w:firstRowLastColumn="0" w:lastRowFirstColumn="0" w:lastRowLastColumn="0"/>
            <w:tcW w:w="535" w:type="dxa"/>
          </w:tcPr>
          <w:p w14:paraId="0CAB287F" w14:textId="4A4BF90E" w:rsidR="00CC27D7" w:rsidRDefault="00CC27D7">
            <w:r>
              <w:t>9</w:t>
            </w:r>
          </w:p>
        </w:tc>
        <w:tc>
          <w:tcPr>
            <w:tcW w:w="3205" w:type="dxa"/>
          </w:tcPr>
          <w:p w14:paraId="1D3D4CC2" w14:textId="119691E4" w:rsidR="00CC27D7" w:rsidRDefault="00CC27D7">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color w:val="000000"/>
                <w:sz w:val="24"/>
                <w:szCs w:val="24"/>
              </w:rPr>
              <w:t>Priority Codes for MVIs and Reconnects</w:t>
            </w:r>
          </w:p>
        </w:tc>
        <w:tc>
          <w:tcPr>
            <w:tcW w:w="3527" w:type="dxa"/>
          </w:tcPr>
          <w:p w14:paraId="53B65FEE" w14:textId="5F775697" w:rsidR="00CC27D7" w:rsidRPr="00CC27D7" w:rsidRDefault="006469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000000"/>
                <w:sz w:val="24"/>
                <w:szCs w:val="24"/>
              </w:rPr>
              <w:t>should be included in RMG along with other priority codes (Service Orders)</w:t>
            </w:r>
          </w:p>
        </w:tc>
        <w:tc>
          <w:tcPr>
            <w:tcW w:w="1008" w:type="dxa"/>
          </w:tcPr>
          <w:p w14:paraId="168B02CF"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c>
          <w:tcPr>
            <w:tcW w:w="1075" w:type="dxa"/>
          </w:tcPr>
          <w:p w14:paraId="6DF76E67"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r>
      <w:tr w:rsidR="00CC27D7" w14:paraId="5908BAE3" w14:textId="77777777" w:rsidTr="00CC27D7">
        <w:tc>
          <w:tcPr>
            <w:cnfStyle w:val="001000000000" w:firstRow="0" w:lastRow="0" w:firstColumn="1" w:lastColumn="0" w:oddVBand="0" w:evenVBand="0" w:oddHBand="0" w:evenHBand="0" w:firstRowFirstColumn="0" w:firstRowLastColumn="0" w:lastRowFirstColumn="0" w:lastRowLastColumn="0"/>
            <w:tcW w:w="535" w:type="dxa"/>
          </w:tcPr>
          <w:p w14:paraId="3F2CBC03" w14:textId="5B9E19EA" w:rsidR="00CC27D7" w:rsidRDefault="00CC27D7">
            <w:r>
              <w:t>10</w:t>
            </w:r>
          </w:p>
        </w:tc>
        <w:tc>
          <w:tcPr>
            <w:tcW w:w="3205" w:type="dxa"/>
          </w:tcPr>
          <w:p w14:paraId="3235A54B" w14:textId="72B726F9" w:rsidR="00CC27D7" w:rsidRDefault="00CC27D7">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color w:val="000000"/>
                <w:sz w:val="24"/>
                <w:szCs w:val="24"/>
              </w:rPr>
              <w:t>TDSP Matrices in one location</w:t>
            </w:r>
          </w:p>
        </w:tc>
        <w:tc>
          <w:tcPr>
            <w:tcW w:w="3527" w:type="dxa"/>
          </w:tcPr>
          <w:p w14:paraId="4F12FECB" w14:textId="00C3F020" w:rsidR="00CC27D7" w:rsidRPr="00CC27D7" w:rsidRDefault="006469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000000"/>
                <w:sz w:val="24"/>
                <w:szCs w:val="24"/>
              </w:rPr>
              <w:t>one place</w:t>
            </w:r>
          </w:p>
        </w:tc>
        <w:tc>
          <w:tcPr>
            <w:tcW w:w="1008" w:type="dxa"/>
          </w:tcPr>
          <w:p w14:paraId="26C595B4"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c>
          <w:tcPr>
            <w:tcW w:w="1075" w:type="dxa"/>
          </w:tcPr>
          <w:p w14:paraId="050CD9B5"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r>
      <w:tr w:rsidR="00CC27D7" w14:paraId="08314C8C" w14:textId="77777777" w:rsidTr="00CC27D7">
        <w:tc>
          <w:tcPr>
            <w:cnfStyle w:val="001000000000" w:firstRow="0" w:lastRow="0" w:firstColumn="1" w:lastColumn="0" w:oddVBand="0" w:evenVBand="0" w:oddHBand="0" w:evenHBand="0" w:firstRowFirstColumn="0" w:firstRowLastColumn="0" w:lastRowFirstColumn="0" w:lastRowLastColumn="0"/>
            <w:tcW w:w="535" w:type="dxa"/>
          </w:tcPr>
          <w:p w14:paraId="3EF670E7" w14:textId="689A05F9" w:rsidR="00CC27D7" w:rsidRDefault="00CC27D7">
            <w:r>
              <w:t>11</w:t>
            </w:r>
          </w:p>
        </w:tc>
        <w:tc>
          <w:tcPr>
            <w:tcW w:w="3205" w:type="dxa"/>
          </w:tcPr>
          <w:p w14:paraId="0F5630FA" w14:textId="21DFF14F" w:rsidR="00CC27D7" w:rsidRDefault="00CC27D7">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color w:val="000000"/>
                <w:sz w:val="24"/>
                <w:szCs w:val="24"/>
              </w:rPr>
              <w:t>online enrollments - what options for more than one ESI ID?</w:t>
            </w:r>
          </w:p>
        </w:tc>
        <w:tc>
          <w:tcPr>
            <w:tcW w:w="3527" w:type="dxa"/>
          </w:tcPr>
          <w:p w14:paraId="78A19F3D" w14:textId="3CA4ABF5" w:rsidR="00CC27D7" w:rsidRPr="00CC27D7" w:rsidRDefault="006469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000000"/>
                <w:sz w:val="24"/>
                <w:szCs w:val="24"/>
              </w:rPr>
              <w:t>better customer experience if more than 1 ESI ID to enroll</w:t>
            </w:r>
          </w:p>
        </w:tc>
        <w:tc>
          <w:tcPr>
            <w:tcW w:w="1008" w:type="dxa"/>
          </w:tcPr>
          <w:p w14:paraId="6B66DEBE"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c>
          <w:tcPr>
            <w:tcW w:w="1075" w:type="dxa"/>
          </w:tcPr>
          <w:p w14:paraId="647C1B54"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r>
      <w:tr w:rsidR="00CC27D7" w14:paraId="08A74352" w14:textId="77777777" w:rsidTr="00CC27D7">
        <w:tc>
          <w:tcPr>
            <w:cnfStyle w:val="001000000000" w:firstRow="0" w:lastRow="0" w:firstColumn="1" w:lastColumn="0" w:oddVBand="0" w:evenVBand="0" w:oddHBand="0" w:evenHBand="0" w:firstRowFirstColumn="0" w:firstRowLastColumn="0" w:lastRowFirstColumn="0" w:lastRowLastColumn="0"/>
            <w:tcW w:w="535" w:type="dxa"/>
          </w:tcPr>
          <w:p w14:paraId="665240F8" w14:textId="04961176" w:rsidR="00CC27D7" w:rsidRDefault="00CC27D7">
            <w:r>
              <w:t>12</w:t>
            </w:r>
          </w:p>
        </w:tc>
        <w:tc>
          <w:tcPr>
            <w:tcW w:w="3205" w:type="dxa"/>
          </w:tcPr>
          <w:p w14:paraId="7C934714" w14:textId="0234974C" w:rsidR="00CC27D7" w:rsidRDefault="00CC27D7">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color w:val="000000"/>
                <w:sz w:val="24"/>
                <w:szCs w:val="24"/>
              </w:rPr>
              <w:t>Cancel/Rebill timing and LSE files</w:t>
            </w:r>
          </w:p>
        </w:tc>
        <w:tc>
          <w:tcPr>
            <w:tcW w:w="3527" w:type="dxa"/>
          </w:tcPr>
          <w:p w14:paraId="391AB411" w14:textId="34098C63" w:rsidR="00CC27D7" w:rsidRPr="00CC27D7" w:rsidRDefault="006469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000000"/>
                <w:sz w:val="24"/>
                <w:szCs w:val="24"/>
              </w:rPr>
              <w:t>This information is not captured in any Protocols or Guides at ERCOT…it's more of an ERCOT business process that affects the Utilities process.  How can we capture that for the next new entrant?</w:t>
            </w:r>
          </w:p>
        </w:tc>
        <w:tc>
          <w:tcPr>
            <w:tcW w:w="1008" w:type="dxa"/>
          </w:tcPr>
          <w:p w14:paraId="507AB5EF"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c>
          <w:tcPr>
            <w:tcW w:w="1075" w:type="dxa"/>
          </w:tcPr>
          <w:p w14:paraId="0EA26FCA"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r>
      <w:tr w:rsidR="00CC27D7" w14:paraId="386772E7" w14:textId="77777777" w:rsidTr="00CC27D7">
        <w:tc>
          <w:tcPr>
            <w:cnfStyle w:val="001000000000" w:firstRow="0" w:lastRow="0" w:firstColumn="1" w:lastColumn="0" w:oddVBand="0" w:evenVBand="0" w:oddHBand="0" w:evenHBand="0" w:firstRowFirstColumn="0" w:firstRowLastColumn="0" w:lastRowFirstColumn="0" w:lastRowLastColumn="0"/>
            <w:tcW w:w="535" w:type="dxa"/>
          </w:tcPr>
          <w:p w14:paraId="13CE5757" w14:textId="09C283A5" w:rsidR="00CC27D7" w:rsidRDefault="00CC27D7">
            <w:r>
              <w:t>13</w:t>
            </w:r>
          </w:p>
        </w:tc>
        <w:tc>
          <w:tcPr>
            <w:tcW w:w="3205" w:type="dxa"/>
          </w:tcPr>
          <w:p w14:paraId="6DF96112" w14:textId="63AB0FCF" w:rsidR="00CC27D7" w:rsidRPr="00CC27D7" w:rsidRDefault="00CC2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Full testing</w:t>
            </w:r>
          </w:p>
        </w:tc>
        <w:tc>
          <w:tcPr>
            <w:tcW w:w="3527" w:type="dxa"/>
          </w:tcPr>
          <w:p w14:paraId="130DDFC9" w14:textId="7E6B54C0" w:rsidR="00CC27D7" w:rsidRPr="00CC27D7" w:rsidRDefault="006469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End to end testing with ‘real’ data</w:t>
            </w:r>
          </w:p>
        </w:tc>
        <w:tc>
          <w:tcPr>
            <w:tcW w:w="1008" w:type="dxa"/>
          </w:tcPr>
          <w:p w14:paraId="164ED965" w14:textId="77777777" w:rsidR="00CC27D7" w:rsidRPr="00CC27D7" w:rsidRDefault="00CC2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75" w:type="dxa"/>
          </w:tcPr>
          <w:p w14:paraId="69F6B415" w14:textId="77777777" w:rsidR="00CC27D7" w:rsidRPr="00CC27D7" w:rsidRDefault="00CC2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C27D7" w14:paraId="0A19EEBB" w14:textId="77777777" w:rsidTr="00CC27D7">
        <w:trPr>
          <w:trHeight w:val="116"/>
        </w:trPr>
        <w:tc>
          <w:tcPr>
            <w:cnfStyle w:val="001000000000" w:firstRow="0" w:lastRow="0" w:firstColumn="1" w:lastColumn="0" w:oddVBand="0" w:evenVBand="0" w:oddHBand="0" w:evenHBand="0" w:firstRowFirstColumn="0" w:firstRowLastColumn="0" w:lastRowFirstColumn="0" w:lastRowLastColumn="0"/>
            <w:tcW w:w="535" w:type="dxa"/>
          </w:tcPr>
          <w:p w14:paraId="73AFE99F" w14:textId="09E870CD" w:rsidR="00CC27D7" w:rsidRDefault="00CC27D7">
            <w:r>
              <w:t>14</w:t>
            </w:r>
          </w:p>
        </w:tc>
        <w:tc>
          <w:tcPr>
            <w:tcW w:w="3205" w:type="dxa"/>
          </w:tcPr>
          <w:p w14:paraId="3EA27392" w14:textId="73B34EE5" w:rsidR="00CC27D7" w:rsidRPr="00CC27D7" w:rsidRDefault="00CC2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Awareness of all files and extracts on ERCOT MIS</w:t>
            </w:r>
          </w:p>
        </w:tc>
        <w:tc>
          <w:tcPr>
            <w:tcW w:w="3527" w:type="dxa"/>
          </w:tcPr>
          <w:p w14:paraId="793876C9" w14:textId="517D70A0" w:rsidR="00CC27D7" w:rsidRPr="00CC27D7" w:rsidRDefault="006469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Understanding of extracts available and purpose of data</w:t>
            </w:r>
          </w:p>
        </w:tc>
        <w:tc>
          <w:tcPr>
            <w:tcW w:w="1008" w:type="dxa"/>
          </w:tcPr>
          <w:p w14:paraId="0631F98E" w14:textId="77777777" w:rsidR="00CC27D7" w:rsidRPr="00CC27D7" w:rsidRDefault="00CC2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75" w:type="dxa"/>
          </w:tcPr>
          <w:p w14:paraId="463F6BDE" w14:textId="77777777" w:rsidR="00CC27D7" w:rsidRPr="00CC27D7" w:rsidRDefault="00CC2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C27D7" w14:paraId="1AFC7B8B" w14:textId="77777777" w:rsidTr="00CC27D7">
        <w:tc>
          <w:tcPr>
            <w:cnfStyle w:val="001000000000" w:firstRow="0" w:lastRow="0" w:firstColumn="1" w:lastColumn="0" w:oddVBand="0" w:evenVBand="0" w:oddHBand="0" w:evenHBand="0" w:firstRowFirstColumn="0" w:firstRowLastColumn="0" w:lastRowFirstColumn="0" w:lastRowLastColumn="0"/>
            <w:tcW w:w="535" w:type="dxa"/>
          </w:tcPr>
          <w:p w14:paraId="3637EB7F" w14:textId="1BF7D65C" w:rsidR="00CC27D7" w:rsidRDefault="00CC27D7">
            <w:r>
              <w:t>15</w:t>
            </w:r>
          </w:p>
        </w:tc>
        <w:tc>
          <w:tcPr>
            <w:tcW w:w="3205" w:type="dxa"/>
          </w:tcPr>
          <w:p w14:paraId="1A524938" w14:textId="751E092E" w:rsidR="00CC27D7" w:rsidRPr="00CC27D7" w:rsidRDefault="00D356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Shopping Fairs </w:t>
            </w:r>
          </w:p>
        </w:tc>
        <w:tc>
          <w:tcPr>
            <w:tcW w:w="3527" w:type="dxa"/>
          </w:tcPr>
          <w:p w14:paraId="61CFBA44" w14:textId="1F72A872" w:rsidR="00CC27D7" w:rsidRPr="00CC27D7" w:rsidRDefault="00D356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WIN!  Having a media market in a condensed geographical area </w:t>
            </w:r>
            <w:r>
              <w:rPr>
                <w:rFonts w:ascii="Times New Roman" w:hAnsi="Times New Roman" w:cs="Times New Roman"/>
                <w:sz w:val="24"/>
                <w:szCs w:val="24"/>
              </w:rPr>
              <w:lastRenderedPageBreak/>
              <w:t xml:space="preserve">resulted in effective communications to the residents </w:t>
            </w:r>
          </w:p>
        </w:tc>
        <w:tc>
          <w:tcPr>
            <w:tcW w:w="1008" w:type="dxa"/>
          </w:tcPr>
          <w:p w14:paraId="7929A322" w14:textId="77777777" w:rsidR="00CC27D7" w:rsidRPr="00CC27D7" w:rsidRDefault="00CC2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75" w:type="dxa"/>
          </w:tcPr>
          <w:p w14:paraId="4D6446C9" w14:textId="77777777" w:rsidR="00CC27D7" w:rsidRPr="00CC27D7" w:rsidRDefault="00CC2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C27D7" w14:paraId="54B6FE5C" w14:textId="77777777" w:rsidTr="00CC27D7">
        <w:tc>
          <w:tcPr>
            <w:cnfStyle w:val="001000000000" w:firstRow="0" w:lastRow="0" w:firstColumn="1" w:lastColumn="0" w:oddVBand="0" w:evenVBand="0" w:oddHBand="0" w:evenHBand="0" w:firstRowFirstColumn="0" w:firstRowLastColumn="0" w:lastRowFirstColumn="0" w:lastRowLastColumn="0"/>
            <w:tcW w:w="535" w:type="dxa"/>
          </w:tcPr>
          <w:p w14:paraId="631C33E6" w14:textId="77777777" w:rsidR="00CC27D7" w:rsidRDefault="00CC27D7"/>
        </w:tc>
        <w:tc>
          <w:tcPr>
            <w:tcW w:w="3205" w:type="dxa"/>
          </w:tcPr>
          <w:p w14:paraId="4BFFE56E" w14:textId="77777777" w:rsidR="00CC27D7" w:rsidRPr="00CC27D7" w:rsidRDefault="00CC2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27" w:type="dxa"/>
          </w:tcPr>
          <w:p w14:paraId="331195DD" w14:textId="77777777" w:rsidR="00CC27D7" w:rsidRPr="00CC27D7" w:rsidRDefault="00CC2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8" w:type="dxa"/>
          </w:tcPr>
          <w:p w14:paraId="44AEFE26" w14:textId="77777777" w:rsidR="00CC27D7" w:rsidRPr="00CC27D7" w:rsidRDefault="00CC2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75" w:type="dxa"/>
          </w:tcPr>
          <w:p w14:paraId="0858E0DC" w14:textId="77777777" w:rsidR="00CC27D7" w:rsidRPr="00CC27D7" w:rsidRDefault="00CC2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C27D7" w14:paraId="36DC4A34" w14:textId="77777777" w:rsidTr="00CC27D7">
        <w:tc>
          <w:tcPr>
            <w:cnfStyle w:val="001000000000" w:firstRow="0" w:lastRow="0" w:firstColumn="1" w:lastColumn="0" w:oddVBand="0" w:evenVBand="0" w:oddHBand="0" w:evenHBand="0" w:firstRowFirstColumn="0" w:firstRowLastColumn="0" w:lastRowFirstColumn="0" w:lastRowLastColumn="0"/>
            <w:tcW w:w="535" w:type="dxa"/>
          </w:tcPr>
          <w:p w14:paraId="0B48F03C" w14:textId="77777777" w:rsidR="00CC27D7" w:rsidRDefault="00CC27D7"/>
        </w:tc>
        <w:tc>
          <w:tcPr>
            <w:tcW w:w="3205" w:type="dxa"/>
          </w:tcPr>
          <w:p w14:paraId="0834D4FD"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c>
          <w:tcPr>
            <w:tcW w:w="3527" w:type="dxa"/>
          </w:tcPr>
          <w:p w14:paraId="6DDBA14F"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c>
          <w:tcPr>
            <w:tcW w:w="1008" w:type="dxa"/>
          </w:tcPr>
          <w:p w14:paraId="1DC844C5"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c>
          <w:tcPr>
            <w:tcW w:w="1075" w:type="dxa"/>
          </w:tcPr>
          <w:p w14:paraId="2702F0CA"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r>
      <w:tr w:rsidR="00CC27D7" w14:paraId="542A345A" w14:textId="77777777" w:rsidTr="00CC27D7">
        <w:tc>
          <w:tcPr>
            <w:cnfStyle w:val="001000000000" w:firstRow="0" w:lastRow="0" w:firstColumn="1" w:lastColumn="0" w:oddVBand="0" w:evenVBand="0" w:oddHBand="0" w:evenHBand="0" w:firstRowFirstColumn="0" w:firstRowLastColumn="0" w:lastRowFirstColumn="0" w:lastRowLastColumn="0"/>
            <w:tcW w:w="535" w:type="dxa"/>
          </w:tcPr>
          <w:p w14:paraId="3C17780B" w14:textId="77777777" w:rsidR="00CC27D7" w:rsidRDefault="00CC27D7"/>
        </w:tc>
        <w:tc>
          <w:tcPr>
            <w:tcW w:w="3205" w:type="dxa"/>
          </w:tcPr>
          <w:p w14:paraId="6B651EF3"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c>
          <w:tcPr>
            <w:tcW w:w="3527" w:type="dxa"/>
          </w:tcPr>
          <w:p w14:paraId="21615221"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c>
          <w:tcPr>
            <w:tcW w:w="1008" w:type="dxa"/>
          </w:tcPr>
          <w:p w14:paraId="2D988D96"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c>
          <w:tcPr>
            <w:tcW w:w="1075" w:type="dxa"/>
          </w:tcPr>
          <w:p w14:paraId="507C85EA"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r>
      <w:tr w:rsidR="00CC27D7" w14:paraId="27817145" w14:textId="77777777" w:rsidTr="00CC27D7">
        <w:tc>
          <w:tcPr>
            <w:cnfStyle w:val="001000000000" w:firstRow="0" w:lastRow="0" w:firstColumn="1" w:lastColumn="0" w:oddVBand="0" w:evenVBand="0" w:oddHBand="0" w:evenHBand="0" w:firstRowFirstColumn="0" w:firstRowLastColumn="0" w:lastRowFirstColumn="0" w:lastRowLastColumn="0"/>
            <w:tcW w:w="535" w:type="dxa"/>
          </w:tcPr>
          <w:p w14:paraId="7227526F" w14:textId="77777777" w:rsidR="00CC27D7" w:rsidRDefault="00CC27D7"/>
        </w:tc>
        <w:tc>
          <w:tcPr>
            <w:tcW w:w="3205" w:type="dxa"/>
          </w:tcPr>
          <w:p w14:paraId="6992622F"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c>
          <w:tcPr>
            <w:tcW w:w="3527" w:type="dxa"/>
          </w:tcPr>
          <w:p w14:paraId="2FCD9AA3"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c>
          <w:tcPr>
            <w:tcW w:w="1008" w:type="dxa"/>
          </w:tcPr>
          <w:p w14:paraId="7DB238D3"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c>
          <w:tcPr>
            <w:tcW w:w="1075" w:type="dxa"/>
          </w:tcPr>
          <w:p w14:paraId="393B0026" w14:textId="77777777" w:rsidR="00CC27D7" w:rsidRDefault="00CC27D7">
            <w:pPr>
              <w:cnfStyle w:val="000000000000" w:firstRow="0" w:lastRow="0" w:firstColumn="0" w:lastColumn="0" w:oddVBand="0" w:evenVBand="0" w:oddHBand="0" w:evenHBand="0" w:firstRowFirstColumn="0" w:firstRowLastColumn="0" w:lastRowFirstColumn="0" w:lastRowLastColumn="0"/>
            </w:pPr>
          </w:p>
        </w:tc>
      </w:tr>
    </w:tbl>
    <w:p w14:paraId="0975F686" w14:textId="77777777" w:rsidR="002F4727" w:rsidRDefault="002F4727"/>
    <w:sectPr w:rsidR="002F4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D7"/>
    <w:rsid w:val="002F4727"/>
    <w:rsid w:val="006469E5"/>
    <w:rsid w:val="00A97B43"/>
    <w:rsid w:val="00B34898"/>
    <w:rsid w:val="00CC27D7"/>
    <w:rsid w:val="00D3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3E96"/>
  <w15:chartTrackingRefBased/>
  <w15:docId w15:val="{8C29C17C-547D-4BFF-9DF2-46088AA1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7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27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C27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C27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C27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C27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C27D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C27D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C27D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C27D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7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C27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C27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C27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C27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C27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C27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C27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C27D7"/>
    <w:rPr>
      <w:rFonts w:eastAsiaTheme="majorEastAsia" w:cstheme="majorBidi"/>
      <w:color w:val="272727" w:themeColor="text1" w:themeTint="D8"/>
    </w:rPr>
  </w:style>
  <w:style w:type="paragraph" w:styleId="Title">
    <w:name w:val="Title"/>
    <w:basedOn w:val="Normal"/>
    <w:next w:val="Normal"/>
    <w:link w:val="TitleChar"/>
    <w:uiPriority w:val="10"/>
    <w:qFormat/>
    <w:rsid w:val="00CC27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27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27D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C27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C27D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C27D7"/>
    <w:rPr>
      <w:i/>
      <w:iCs/>
      <w:color w:val="404040" w:themeColor="text1" w:themeTint="BF"/>
    </w:rPr>
  </w:style>
  <w:style w:type="paragraph" w:styleId="ListParagraph">
    <w:name w:val="List Paragraph"/>
    <w:basedOn w:val="Normal"/>
    <w:uiPriority w:val="34"/>
    <w:qFormat/>
    <w:rsid w:val="00CC27D7"/>
    <w:pPr>
      <w:ind w:left="720"/>
      <w:contextualSpacing/>
    </w:pPr>
  </w:style>
  <w:style w:type="character" w:styleId="IntenseEmphasis">
    <w:name w:val="Intense Emphasis"/>
    <w:basedOn w:val="DefaultParagraphFont"/>
    <w:uiPriority w:val="21"/>
    <w:qFormat/>
    <w:rsid w:val="00CC27D7"/>
    <w:rPr>
      <w:i/>
      <w:iCs/>
      <w:color w:val="0F4761" w:themeColor="accent1" w:themeShade="BF"/>
    </w:rPr>
  </w:style>
  <w:style w:type="paragraph" w:styleId="IntenseQuote">
    <w:name w:val="Intense Quote"/>
    <w:basedOn w:val="Normal"/>
    <w:next w:val="Normal"/>
    <w:link w:val="IntenseQuoteChar"/>
    <w:uiPriority w:val="30"/>
    <w:qFormat/>
    <w:rsid w:val="00CC27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C27D7"/>
    <w:rPr>
      <w:i/>
      <w:iCs/>
      <w:color w:val="0F4761" w:themeColor="accent1" w:themeShade="BF"/>
    </w:rPr>
  </w:style>
  <w:style w:type="character" w:styleId="IntenseReference">
    <w:name w:val="Intense Reference"/>
    <w:basedOn w:val="DefaultParagraphFont"/>
    <w:uiPriority w:val="32"/>
    <w:qFormat/>
    <w:rsid w:val="00CC27D7"/>
    <w:rPr>
      <w:b/>
      <w:bCs/>
      <w:smallCaps/>
      <w:color w:val="0F4761" w:themeColor="accent1" w:themeShade="BF"/>
      <w:spacing w:val="5"/>
    </w:rPr>
  </w:style>
  <w:style w:type="table" w:styleId="TableGrid">
    <w:name w:val="Table Grid"/>
    <w:basedOn w:val="TableNormal"/>
    <w:uiPriority w:val="39"/>
    <w:rsid w:val="00CC27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CC27D7"/>
    <w:pPr>
      <w:spacing w:line="240" w:lineRule="auto"/>
    </w:pPr>
    <w:tblPr>
      <w:tblStyleRowBandSize w:val="1"/>
      <w:tblStyleColBandSize w:val="1"/>
      <w:tblBorders>
        <w:top w:val="single" w:sz="4" w:space="0" w:color="83CAEB" w:themeColor="accent1" w:themeTint="66"/>
        <w:left w:val="single" w:sz="4" w:space="0" w:color="83CAEB" w:themeColor="accent1" w:themeTint="66"/>
        <w:bottom w:val="single" w:sz="4" w:space="0" w:color="83CAEB" w:themeColor="accent1" w:themeTint="66"/>
        <w:right w:val="single" w:sz="4" w:space="0" w:color="83CAEB" w:themeColor="accent1" w:themeTint="66"/>
        <w:insideH w:val="single" w:sz="4" w:space="0" w:color="83CAEB" w:themeColor="accent1" w:themeTint="66"/>
        <w:insideV w:val="single" w:sz="4" w:space="0" w:color="83CAEB" w:themeColor="accent1" w:themeTint="66"/>
      </w:tblBorders>
    </w:tblPr>
    <w:tblStylePr w:type="firstRow">
      <w:rPr>
        <w:b/>
        <w:bCs/>
      </w:rPr>
      <w:tblPr/>
      <w:tcPr>
        <w:tcBorders>
          <w:bottom w:val="single" w:sz="12" w:space="0" w:color="45B0E1" w:themeColor="accent1" w:themeTint="99"/>
        </w:tcBorders>
      </w:tcPr>
    </w:tblStylePr>
    <w:tblStylePr w:type="lastRow">
      <w:rPr>
        <w:b/>
        <w:bCs/>
      </w:rPr>
      <w:tblPr/>
      <w:tcPr>
        <w:tcBorders>
          <w:top w:val="double" w:sz="2" w:space="0" w:color="45B0E1"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4603273">
      <w:bodyDiv w:val="1"/>
      <w:marLeft w:val="0"/>
      <w:marRight w:val="0"/>
      <w:marTop w:val="0"/>
      <w:marBottom w:val="0"/>
      <w:divBdr>
        <w:top w:val="none" w:sz="0" w:space="0" w:color="auto"/>
        <w:left w:val="none" w:sz="0" w:space="0" w:color="auto"/>
        <w:bottom w:val="none" w:sz="0" w:space="0" w:color="auto"/>
        <w:right w:val="none" w:sz="0" w:space="0" w:color="auto"/>
      </w:divBdr>
    </w:div>
    <w:div w:id="8061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1</cp:revision>
  <dcterms:created xsi:type="dcterms:W3CDTF">2024-05-28T20:34:00Z</dcterms:created>
  <dcterms:modified xsi:type="dcterms:W3CDTF">2024-05-28T23:19:00Z</dcterms:modified>
</cp:coreProperties>
</file>