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8A52" w14:textId="31D0CC82" w:rsidR="00FC1C5F" w:rsidRDefault="00727E32">
      <w:pPr>
        <w:spacing w:before="2400"/>
        <w:jc w:val="center"/>
        <w:rPr>
          <w:b/>
          <w:sz w:val="36"/>
          <w:szCs w:val="36"/>
        </w:rPr>
      </w:pPr>
      <w:r>
        <w:rPr>
          <w:b/>
          <w:sz w:val="36"/>
          <w:szCs w:val="36"/>
        </w:rPr>
        <w:t>ERCOT Nodal Protocols</w:t>
      </w:r>
    </w:p>
    <w:p w14:paraId="18DB3EAA" w14:textId="77777777" w:rsidR="00FC1C5F" w:rsidRDefault="00FC1C5F">
      <w:pPr>
        <w:jc w:val="center"/>
        <w:rPr>
          <w:b/>
          <w:sz w:val="36"/>
          <w:szCs w:val="36"/>
        </w:rPr>
      </w:pPr>
    </w:p>
    <w:p w14:paraId="2DFFAF30" w14:textId="77777777" w:rsidR="00FC1C5F" w:rsidRDefault="00727E32">
      <w:pPr>
        <w:jc w:val="center"/>
        <w:rPr>
          <w:b/>
          <w:sz w:val="36"/>
          <w:szCs w:val="36"/>
        </w:rPr>
      </w:pPr>
      <w:r>
        <w:rPr>
          <w:b/>
          <w:sz w:val="36"/>
          <w:szCs w:val="36"/>
        </w:rPr>
        <w:t>Section 16:  Registration and Qualification of Market Participants</w:t>
      </w:r>
    </w:p>
    <w:p w14:paraId="44F09D74" w14:textId="77777777" w:rsidR="00FC1C5F" w:rsidRDefault="00FC1C5F">
      <w:pPr>
        <w:spacing w:before="360"/>
        <w:jc w:val="center"/>
        <w:rPr>
          <w:b/>
          <w:szCs w:val="24"/>
        </w:rPr>
      </w:pPr>
    </w:p>
    <w:p w14:paraId="5DD53CE3" w14:textId="4E40897E" w:rsidR="00FC1C5F" w:rsidRDefault="00B57B60">
      <w:pPr>
        <w:spacing w:before="360"/>
        <w:jc w:val="center"/>
        <w:rPr>
          <w:b/>
          <w:szCs w:val="24"/>
        </w:rPr>
      </w:pPr>
      <w:r>
        <w:rPr>
          <w:b/>
          <w:szCs w:val="24"/>
        </w:rPr>
        <w:t>January</w:t>
      </w:r>
      <w:r w:rsidR="00B55C27">
        <w:rPr>
          <w:b/>
          <w:szCs w:val="24"/>
        </w:rPr>
        <w:t xml:space="preserve"> 1</w:t>
      </w:r>
      <w:r w:rsidR="008E158D">
        <w:rPr>
          <w:b/>
          <w:szCs w:val="24"/>
        </w:rPr>
        <w:t>, 20</w:t>
      </w:r>
      <w:r w:rsidR="003F41DA">
        <w:rPr>
          <w:b/>
          <w:szCs w:val="24"/>
        </w:rPr>
        <w:t>2</w:t>
      </w:r>
      <w:r>
        <w:rPr>
          <w:b/>
          <w:szCs w:val="24"/>
        </w:rPr>
        <w:t>5</w:t>
      </w:r>
    </w:p>
    <w:p w14:paraId="588DB0D2" w14:textId="77777777" w:rsidR="00FC1C5F" w:rsidRDefault="00FC1C5F">
      <w:pPr>
        <w:spacing w:before="360"/>
        <w:rPr>
          <w:b/>
          <w:szCs w:val="24"/>
        </w:rPr>
      </w:pPr>
    </w:p>
    <w:p w14:paraId="4EC558C1" w14:textId="77777777" w:rsidR="00FC1C5F" w:rsidRDefault="00FC1C5F">
      <w:pPr>
        <w:pBdr>
          <w:top w:val="single" w:sz="4" w:space="1" w:color="auto"/>
        </w:pBdr>
        <w:rPr>
          <w:b/>
          <w:sz w:val="20"/>
        </w:rPr>
      </w:pPr>
    </w:p>
    <w:p w14:paraId="03EAD69C" w14:textId="77777777" w:rsidR="00FC1C5F" w:rsidRDefault="00FC1C5F"/>
    <w:p w14:paraId="6337C0C3" w14:textId="77777777" w:rsidR="00FC1C5F" w:rsidRDefault="00FC1C5F">
      <w:pPr>
        <w:sectPr w:rsidR="00FC1C5F">
          <w:headerReference w:type="default" r:id="rId8"/>
          <w:footerReference w:type="even" r:id="rId9"/>
          <w:footerReference w:type="default" r:id="rId10"/>
          <w:footerReference w:type="first" r:id="rId11"/>
          <w:pgSz w:w="12240" w:h="15840" w:code="1"/>
          <w:pgMar w:top="1440" w:right="1440" w:bottom="1440" w:left="1440" w:header="720" w:footer="720" w:gutter="0"/>
          <w:pgNumType w:start="0"/>
          <w:cols w:space="720"/>
        </w:sectPr>
      </w:pPr>
    </w:p>
    <w:p w14:paraId="28C17895" w14:textId="7419C35A" w:rsidR="000C1414" w:rsidRDefault="00816A7E">
      <w:pPr>
        <w:pStyle w:val="TOC1"/>
        <w:rPr>
          <w:rFonts w:asciiTheme="minorHAnsi" w:eastAsiaTheme="minorEastAsia" w:hAnsiTheme="minorHAnsi" w:cstheme="minorBidi"/>
          <w:b w:val="0"/>
          <w:bCs w:val="0"/>
          <w:kern w:val="2"/>
          <w:sz w:val="22"/>
          <w:szCs w:val="22"/>
          <w14:ligatures w14:val="standardContextual"/>
        </w:rPr>
      </w:pPr>
      <w:r w:rsidRPr="005250EA">
        <w:lastRenderedPageBreak/>
        <w:fldChar w:fldCharType="begin"/>
      </w:r>
      <w:r w:rsidR="0005725D" w:rsidRPr="005250EA">
        <w:instrText xml:space="preserve"> TOC \o "1-5" \h \z \u </w:instrText>
      </w:r>
      <w:r w:rsidRPr="005250EA">
        <w:fldChar w:fldCharType="separate"/>
      </w:r>
      <w:hyperlink w:anchor="_Toc184622967" w:history="1">
        <w:r w:rsidR="000C1414" w:rsidRPr="004861A0">
          <w:rPr>
            <w:rStyle w:val="Hyperlink"/>
          </w:rPr>
          <w:t>16</w:t>
        </w:r>
        <w:r w:rsidR="000C1414">
          <w:rPr>
            <w:rFonts w:asciiTheme="minorHAnsi" w:eastAsiaTheme="minorEastAsia" w:hAnsiTheme="minorHAnsi" w:cstheme="minorBidi"/>
            <w:b w:val="0"/>
            <w:bCs w:val="0"/>
            <w:kern w:val="2"/>
            <w:sz w:val="22"/>
            <w:szCs w:val="22"/>
            <w14:ligatures w14:val="standardContextual"/>
          </w:rPr>
          <w:tab/>
        </w:r>
        <w:r w:rsidR="000C1414" w:rsidRPr="004861A0">
          <w:rPr>
            <w:rStyle w:val="Hyperlink"/>
          </w:rPr>
          <w:t>REGISTRATION AND QUALIFICATION OF MARKET PARTICIPANTS</w:t>
        </w:r>
        <w:r w:rsidR="000C1414">
          <w:rPr>
            <w:webHidden/>
          </w:rPr>
          <w:tab/>
        </w:r>
        <w:r w:rsidR="000C1414">
          <w:rPr>
            <w:webHidden/>
          </w:rPr>
          <w:fldChar w:fldCharType="begin"/>
        </w:r>
        <w:r w:rsidR="000C1414">
          <w:rPr>
            <w:webHidden/>
          </w:rPr>
          <w:instrText xml:space="preserve"> PAGEREF _Toc184622967 \h </w:instrText>
        </w:r>
        <w:r w:rsidR="000C1414">
          <w:rPr>
            <w:webHidden/>
          </w:rPr>
        </w:r>
        <w:r w:rsidR="000C1414">
          <w:rPr>
            <w:webHidden/>
          </w:rPr>
          <w:fldChar w:fldCharType="separate"/>
        </w:r>
        <w:r w:rsidR="00023AB4">
          <w:rPr>
            <w:webHidden/>
          </w:rPr>
          <w:t>16-1</w:t>
        </w:r>
        <w:r w:rsidR="000C1414">
          <w:rPr>
            <w:webHidden/>
          </w:rPr>
          <w:fldChar w:fldCharType="end"/>
        </w:r>
      </w:hyperlink>
    </w:p>
    <w:p w14:paraId="213BC2E6" w14:textId="2C819AC8" w:rsidR="000C1414" w:rsidRPr="000C1414" w:rsidRDefault="00023AB4">
      <w:pPr>
        <w:pStyle w:val="TOC2"/>
        <w:rPr>
          <w:rFonts w:eastAsiaTheme="minorEastAsia"/>
          <w:kern w:val="2"/>
          <w14:ligatures w14:val="standardContextual"/>
        </w:rPr>
      </w:pPr>
      <w:hyperlink w:anchor="_Toc184622968" w:history="1">
        <w:r w:rsidR="000C1414" w:rsidRPr="000C1414">
          <w:rPr>
            <w:rStyle w:val="Hyperlink"/>
            <w:u w:val="none"/>
          </w:rPr>
          <w:t>16.1</w:t>
        </w:r>
        <w:r w:rsidR="000C1414" w:rsidRPr="000C1414">
          <w:rPr>
            <w:rFonts w:eastAsiaTheme="minorEastAsia"/>
            <w:kern w:val="2"/>
            <w14:ligatures w14:val="standardContextual"/>
          </w:rPr>
          <w:tab/>
        </w:r>
        <w:r w:rsidR="000C1414" w:rsidRPr="000C1414">
          <w:rPr>
            <w:rStyle w:val="Hyperlink"/>
            <w:u w:val="none"/>
          </w:rPr>
          <w:t>Registration and Execution of Agreements</w:t>
        </w:r>
        <w:r w:rsidR="000C1414" w:rsidRPr="000C1414">
          <w:rPr>
            <w:webHidden/>
          </w:rPr>
          <w:tab/>
        </w:r>
        <w:r w:rsidR="000C1414" w:rsidRPr="000C1414">
          <w:rPr>
            <w:webHidden/>
          </w:rPr>
          <w:fldChar w:fldCharType="begin"/>
        </w:r>
        <w:r w:rsidR="000C1414" w:rsidRPr="000C1414">
          <w:rPr>
            <w:webHidden/>
          </w:rPr>
          <w:instrText xml:space="preserve"> PAGEREF _Toc184622968 \h </w:instrText>
        </w:r>
        <w:r w:rsidR="000C1414" w:rsidRPr="000C1414">
          <w:rPr>
            <w:webHidden/>
          </w:rPr>
        </w:r>
        <w:r w:rsidR="000C1414" w:rsidRPr="000C1414">
          <w:rPr>
            <w:webHidden/>
          </w:rPr>
          <w:fldChar w:fldCharType="separate"/>
        </w:r>
        <w:r>
          <w:rPr>
            <w:webHidden/>
          </w:rPr>
          <w:t>16-1</w:t>
        </w:r>
        <w:r w:rsidR="000C1414" w:rsidRPr="000C1414">
          <w:rPr>
            <w:webHidden/>
          </w:rPr>
          <w:fldChar w:fldCharType="end"/>
        </w:r>
      </w:hyperlink>
    </w:p>
    <w:p w14:paraId="0CB0BD93" w14:textId="79EFF895" w:rsidR="000C1414" w:rsidRPr="000C1414" w:rsidRDefault="00023AB4">
      <w:pPr>
        <w:pStyle w:val="TOC3"/>
        <w:rPr>
          <w:rFonts w:eastAsiaTheme="minorEastAsia"/>
          <w:i w:val="0"/>
          <w:iCs w:val="0"/>
          <w:noProof/>
          <w:kern w:val="2"/>
          <w14:ligatures w14:val="standardContextual"/>
        </w:rPr>
      </w:pPr>
      <w:hyperlink w:anchor="_Toc184622969" w:history="1">
        <w:r w:rsidR="000C1414" w:rsidRPr="000C1414">
          <w:rPr>
            <w:rStyle w:val="Hyperlink"/>
            <w:i w:val="0"/>
            <w:iCs w:val="0"/>
            <w:noProof/>
            <w:u w:val="none"/>
          </w:rPr>
          <w:t>16.1.1</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Re-Registration as a Market Participant</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_Toc184622969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16-1</w:t>
        </w:r>
        <w:r w:rsidR="000C1414" w:rsidRPr="000C1414">
          <w:rPr>
            <w:i w:val="0"/>
            <w:iCs w:val="0"/>
            <w:noProof/>
            <w:webHidden/>
          </w:rPr>
          <w:fldChar w:fldCharType="end"/>
        </w:r>
      </w:hyperlink>
    </w:p>
    <w:p w14:paraId="73655B39" w14:textId="7DC72B26" w:rsidR="000C1414" w:rsidRPr="000C1414" w:rsidRDefault="00023AB4">
      <w:pPr>
        <w:pStyle w:val="TOC3"/>
        <w:rPr>
          <w:rFonts w:eastAsiaTheme="minorEastAsia"/>
          <w:i w:val="0"/>
          <w:iCs w:val="0"/>
          <w:noProof/>
          <w:kern w:val="2"/>
          <w14:ligatures w14:val="standardContextual"/>
        </w:rPr>
      </w:pPr>
      <w:hyperlink w:anchor="_Toc184622970" w:history="1">
        <w:r w:rsidR="000C1414" w:rsidRPr="000C1414">
          <w:rPr>
            <w:rStyle w:val="Hyperlink"/>
            <w:i w:val="0"/>
            <w:iCs w:val="0"/>
            <w:noProof/>
            <w:u w:val="none"/>
          </w:rPr>
          <w:t>16.1.2</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Principal of a Market Participant</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_Toc184622970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16-2</w:t>
        </w:r>
        <w:r w:rsidR="000C1414" w:rsidRPr="000C1414">
          <w:rPr>
            <w:i w:val="0"/>
            <w:iCs w:val="0"/>
            <w:noProof/>
            <w:webHidden/>
          </w:rPr>
          <w:fldChar w:fldCharType="end"/>
        </w:r>
      </w:hyperlink>
    </w:p>
    <w:p w14:paraId="12697F5A" w14:textId="1E9C0B89" w:rsidR="000C1414" w:rsidRPr="000C1414" w:rsidRDefault="00023AB4">
      <w:pPr>
        <w:pStyle w:val="TOC3"/>
        <w:rPr>
          <w:rFonts w:eastAsiaTheme="minorEastAsia"/>
          <w:i w:val="0"/>
          <w:iCs w:val="0"/>
          <w:noProof/>
          <w:kern w:val="2"/>
          <w14:ligatures w14:val="standardContextual"/>
        </w:rPr>
      </w:pPr>
      <w:hyperlink w:anchor="_Toc184622971" w:history="1">
        <w:r w:rsidR="000C1414" w:rsidRPr="000C1414">
          <w:rPr>
            <w:rStyle w:val="Hyperlink"/>
            <w:i w:val="0"/>
            <w:iCs w:val="0"/>
            <w:noProof/>
            <w:u w:val="none"/>
          </w:rPr>
          <w:t>16.1.3</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Market Participant Citizenship, Ownership, or Headquarters</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_Toc184622971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16-2</w:t>
        </w:r>
        <w:r w:rsidR="000C1414" w:rsidRPr="000C1414">
          <w:rPr>
            <w:i w:val="0"/>
            <w:iCs w:val="0"/>
            <w:noProof/>
            <w:webHidden/>
          </w:rPr>
          <w:fldChar w:fldCharType="end"/>
        </w:r>
      </w:hyperlink>
    </w:p>
    <w:p w14:paraId="74474F46" w14:textId="1BBCD3A5" w:rsidR="000C1414" w:rsidRPr="000C1414" w:rsidRDefault="00023AB4">
      <w:pPr>
        <w:pStyle w:val="TOC3"/>
        <w:rPr>
          <w:rFonts w:eastAsiaTheme="minorEastAsia"/>
          <w:i w:val="0"/>
          <w:iCs w:val="0"/>
          <w:noProof/>
          <w:kern w:val="2"/>
          <w14:ligatures w14:val="standardContextual"/>
        </w:rPr>
      </w:pPr>
      <w:hyperlink w:anchor="_Toc184622972" w:history="1">
        <w:r w:rsidR="000C1414" w:rsidRPr="000C1414">
          <w:rPr>
            <w:rStyle w:val="Hyperlink"/>
            <w:i w:val="0"/>
            <w:iCs w:val="0"/>
            <w:noProof/>
            <w:u w:val="none"/>
          </w:rPr>
          <w:t>16.1.4</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Market Participant Reporting of Critical Electric Grid Equipment and Services-Related Purchases</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_Toc184622972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16-3</w:t>
        </w:r>
        <w:r w:rsidR="000C1414" w:rsidRPr="000C1414">
          <w:rPr>
            <w:i w:val="0"/>
            <w:iCs w:val="0"/>
            <w:noProof/>
            <w:webHidden/>
          </w:rPr>
          <w:fldChar w:fldCharType="end"/>
        </w:r>
      </w:hyperlink>
    </w:p>
    <w:p w14:paraId="6EB91761" w14:textId="1465AD95" w:rsidR="000C1414" w:rsidRPr="000C1414" w:rsidRDefault="00023AB4">
      <w:pPr>
        <w:pStyle w:val="TOC2"/>
        <w:rPr>
          <w:rFonts w:eastAsiaTheme="minorEastAsia"/>
          <w:kern w:val="2"/>
          <w14:ligatures w14:val="standardContextual"/>
        </w:rPr>
      </w:pPr>
      <w:hyperlink w:anchor="_Toc184622973" w:history="1">
        <w:r w:rsidR="000C1414" w:rsidRPr="000C1414">
          <w:rPr>
            <w:rStyle w:val="Hyperlink"/>
            <w:u w:val="none"/>
          </w:rPr>
          <w:t>16.2</w:t>
        </w:r>
        <w:r w:rsidR="000C1414" w:rsidRPr="000C1414">
          <w:rPr>
            <w:rFonts w:eastAsiaTheme="minorEastAsia"/>
            <w:kern w:val="2"/>
            <w14:ligatures w14:val="standardContextual"/>
          </w:rPr>
          <w:tab/>
        </w:r>
        <w:r w:rsidR="000C1414" w:rsidRPr="000C1414">
          <w:rPr>
            <w:rStyle w:val="Hyperlink"/>
            <w:u w:val="none"/>
          </w:rPr>
          <w:t>Registration and Qualification of Qualified Scheduling Entities</w:t>
        </w:r>
        <w:r w:rsidR="000C1414" w:rsidRPr="000C1414">
          <w:rPr>
            <w:webHidden/>
          </w:rPr>
          <w:tab/>
        </w:r>
        <w:r w:rsidR="000C1414" w:rsidRPr="000C1414">
          <w:rPr>
            <w:webHidden/>
          </w:rPr>
          <w:fldChar w:fldCharType="begin"/>
        </w:r>
        <w:r w:rsidR="000C1414" w:rsidRPr="000C1414">
          <w:rPr>
            <w:webHidden/>
          </w:rPr>
          <w:instrText xml:space="preserve"> PAGEREF _Toc184622973 \h </w:instrText>
        </w:r>
        <w:r w:rsidR="000C1414" w:rsidRPr="000C1414">
          <w:rPr>
            <w:webHidden/>
          </w:rPr>
        </w:r>
        <w:r w:rsidR="000C1414" w:rsidRPr="000C1414">
          <w:rPr>
            <w:webHidden/>
          </w:rPr>
          <w:fldChar w:fldCharType="separate"/>
        </w:r>
        <w:r>
          <w:rPr>
            <w:webHidden/>
          </w:rPr>
          <w:t>16-5</w:t>
        </w:r>
        <w:r w:rsidR="000C1414" w:rsidRPr="000C1414">
          <w:rPr>
            <w:webHidden/>
          </w:rPr>
          <w:fldChar w:fldCharType="end"/>
        </w:r>
      </w:hyperlink>
    </w:p>
    <w:p w14:paraId="4DC2D441" w14:textId="7DE56E92" w:rsidR="000C1414" w:rsidRPr="000C1414" w:rsidRDefault="00023AB4">
      <w:pPr>
        <w:pStyle w:val="TOC3"/>
        <w:rPr>
          <w:rFonts w:eastAsiaTheme="minorEastAsia"/>
          <w:i w:val="0"/>
          <w:iCs w:val="0"/>
          <w:noProof/>
          <w:kern w:val="2"/>
          <w14:ligatures w14:val="standardContextual"/>
        </w:rPr>
      </w:pPr>
      <w:hyperlink w:anchor="_Toc184622974" w:history="1">
        <w:r w:rsidR="000C1414" w:rsidRPr="000C1414">
          <w:rPr>
            <w:rStyle w:val="Hyperlink"/>
            <w:i w:val="0"/>
            <w:iCs w:val="0"/>
            <w:noProof/>
            <w:u w:val="none"/>
          </w:rPr>
          <w:t>16.2.1</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Criteria for Qualification as a Qualified Scheduling Entity</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_Toc184622974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16-5</w:t>
        </w:r>
        <w:r w:rsidR="000C1414" w:rsidRPr="000C1414">
          <w:rPr>
            <w:i w:val="0"/>
            <w:iCs w:val="0"/>
            <w:noProof/>
            <w:webHidden/>
          </w:rPr>
          <w:fldChar w:fldCharType="end"/>
        </w:r>
      </w:hyperlink>
    </w:p>
    <w:p w14:paraId="4655B0BB" w14:textId="7B353B10" w:rsidR="000C1414" w:rsidRPr="000C1414" w:rsidRDefault="00023AB4">
      <w:pPr>
        <w:pStyle w:val="TOC4"/>
        <w:rPr>
          <w:rFonts w:eastAsiaTheme="minorEastAsia"/>
          <w:kern w:val="2"/>
          <w:sz w:val="20"/>
          <w:szCs w:val="20"/>
          <w14:ligatures w14:val="standardContextual"/>
        </w:rPr>
      </w:pPr>
      <w:hyperlink w:anchor="_Toc184622975" w:history="1">
        <w:r w:rsidR="000C1414" w:rsidRPr="000C1414">
          <w:rPr>
            <w:rStyle w:val="Hyperlink"/>
            <w:sz w:val="20"/>
            <w:szCs w:val="20"/>
            <w:u w:val="none"/>
          </w:rPr>
          <w:t>16.2.1.1</w:t>
        </w:r>
        <w:r w:rsidR="000C1414" w:rsidRPr="000C1414">
          <w:rPr>
            <w:rFonts w:eastAsiaTheme="minorEastAsia"/>
            <w:kern w:val="2"/>
            <w:sz w:val="20"/>
            <w:szCs w:val="20"/>
            <w14:ligatures w14:val="standardContextual"/>
          </w:rPr>
          <w:tab/>
        </w:r>
        <w:r w:rsidR="000C1414" w:rsidRPr="000C1414">
          <w:rPr>
            <w:rStyle w:val="Hyperlink"/>
            <w:sz w:val="20"/>
            <w:szCs w:val="20"/>
            <w:u w:val="none"/>
          </w:rPr>
          <w:t>QSE Background Check Process</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_Toc184622975 \h </w:instrText>
        </w:r>
        <w:r w:rsidR="000C1414" w:rsidRPr="000C1414">
          <w:rPr>
            <w:webHidden/>
            <w:sz w:val="20"/>
            <w:szCs w:val="20"/>
          </w:rPr>
        </w:r>
        <w:r w:rsidR="000C1414" w:rsidRPr="000C1414">
          <w:rPr>
            <w:webHidden/>
            <w:sz w:val="20"/>
            <w:szCs w:val="20"/>
          </w:rPr>
          <w:fldChar w:fldCharType="separate"/>
        </w:r>
        <w:r>
          <w:rPr>
            <w:webHidden/>
            <w:sz w:val="20"/>
            <w:szCs w:val="20"/>
          </w:rPr>
          <w:t>16-8</w:t>
        </w:r>
        <w:r w:rsidR="000C1414" w:rsidRPr="000C1414">
          <w:rPr>
            <w:webHidden/>
            <w:sz w:val="20"/>
            <w:szCs w:val="20"/>
          </w:rPr>
          <w:fldChar w:fldCharType="end"/>
        </w:r>
      </w:hyperlink>
    </w:p>
    <w:p w14:paraId="6069DE15" w14:textId="60FB156D" w:rsidR="000C1414" w:rsidRPr="000C1414" w:rsidRDefault="00023AB4">
      <w:pPr>
        <w:pStyle w:val="TOC4"/>
        <w:rPr>
          <w:rFonts w:eastAsiaTheme="minorEastAsia"/>
          <w:kern w:val="2"/>
          <w:sz w:val="20"/>
          <w:szCs w:val="20"/>
          <w14:ligatures w14:val="standardContextual"/>
        </w:rPr>
      </w:pPr>
      <w:hyperlink w:anchor="_Toc184622976" w:history="1">
        <w:r w:rsidR="000C1414" w:rsidRPr="000C1414">
          <w:rPr>
            <w:rStyle w:val="Hyperlink"/>
            <w:sz w:val="20"/>
            <w:szCs w:val="20"/>
            <w:u w:val="none"/>
          </w:rPr>
          <w:t>16.2.1.2</w:t>
        </w:r>
        <w:r w:rsidR="000C1414" w:rsidRPr="000C1414">
          <w:rPr>
            <w:rFonts w:eastAsiaTheme="minorEastAsia"/>
            <w:kern w:val="2"/>
            <w:sz w:val="20"/>
            <w:szCs w:val="20"/>
            <w14:ligatures w14:val="standardContextual"/>
          </w:rPr>
          <w:tab/>
        </w:r>
        <w:r w:rsidR="000C1414" w:rsidRPr="000C1414">
          <w:rPr>
            <w:rStyle w:val="Hyperlink"/>
            <w:sz w:val="20"/>
            <w:szCs w:val="20"/>
            <w:u w:val="none"/>
          </w:rPr>
          <w:t>Data Agent-Only Qualified Scheduling Entities</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_Toc184622976 \h </w:instrText>
        </w:r>
        <w:r w:rsidR="000C1414" w:rsidRPr="000C1414">
          <w:rPr>
            <w:webHidden/>
            <w:sz w:val="20"/>
            <w:szCs w:val="20"/>
          </w:rPr>
        </w:r>
        <w:r w:rsidR="000C1414" w:rsidRPr="000C1414">
          <w:rPr>
            <w:webHidden/>
            <w:sz w:val="20"/>
            <w:szCs w:val="20"/>
          </w:rPr>
          <w:fldChar w:fldCharType="separate"/>
        </w:r>
        <w:r>
          <w:rPr>
            <w:webHidden/>
            <w:sz w:val="20"/>
            <w:szCs w:val="20"/>
          </w:rPr>
          <w:t>16-9</w:t>
        </w:r>
        <w:r w:rsidR="000C1414" w:rsidRPr="000C1414">
          <w:rPr>
            <w:webHidden/>
            <w:sz w:val="20"/>
            <w:szCs w:val="20"/>
          </w:rPr>
          <w:fldChar w:fldCharType="end"/>
        </w:r>
      </w:hyperlink>
    </w:p>
    <w:p w14:paraId="5879B7E6" w14:textId="016DE094" w:rsidR="000C1414" w:rsidRPr="000C1414" w:rsidRDefault="00023AB4">
      <w:pPr>
        <w:pStyle w:val="TOC3"/>
        <w:rPr>
          <w:rFonts w:eastAsiaTheme="minorEastAsia"/>
          <w:i w:val="0"/>
          <w:iCs w:val="0"/>
          <w:noProof/>
          <w:kern w:val="2"/>
          <w14:ligatures w14:val="standardContextual"/>
        </w:rPr>
      </w:pPr>
      <w:hyperlink w:anchor="_Toc184622977" w:history="1">
        <w:r w:rsidR="000C1414" w:rsidRPr="000C1414">
          <w:rPr>
            <w:rStyle w:val="Hyperlink"/>
            <w:i w:val="0"/>
            <w:iCs w:val="0"/>
            <w:noProof/>
            <w:u w:val="none"/>
          </w:rPr>
          <w:t>16.2.2</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QSE Application Process</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_Toc184622977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16-10</w:t>
        </w:r>
        <w:r w:rsidR="000C1414" w:rsidRPr="000C1414">
          <w:rPr>
            <w:i w:val="0"/>
            <w:iCs w:val="0"/>
            <w:noProof/>
            <w:webHidden/>
          </w:rPr>
          <w:fldChar w:fldCharType="end"/>
        </w:r>
      </w:hyperlink>
    </w:p>
    <w:p w14:paraId="5090DE73" w14:textId="4063D94A" w:rsidR="000C1414" w:rsidRPr="000C1414" w:rsidRDefault="00023AB4">
      <w:pPr>
        <w:pStyle w:val="TOC4"/>
        <w:rPr>
          <w:rFonts w:eastAsiaTheme="minorEastAsia"/>
          <w:kern w:val="2"/>
          <w:sz w:val="20"/>
          <w:szCs w:val="20"/>
          <w14:ligatures w14:val="standardContextual"/>
        </w:rPr>
      </w:pPr>
      <w:hyperlink w:anchor="_Toc184622978" w:history="1">
        <w:r w:rsidR="000C1414" w:rsidRPr="000C1414">
          <w:rPr>
            <w:rStyle w:val="Hyperlink"/>
            <w:sz w:val="20"/>
            <w:szCs w:val="20"/>
            <w:u w:val="none"/>
          </w:rPr>
          <w:t>16.2.2.1</w:t>
        </w:r>
        <w:r w:rsidR="000C1414" w:rsidRPr="000C1414">
          <w:rPr>
            <w:rFonts w:eastAsiaTheme="minorEastAsia"/>
            <w:kern w:val="2"/>
            <w:sz w:val="20"/>
            <w:szCs w:val="20"/>
            <w14:ligatures w14:val="standardContextual"/>
          </w:rPr>
          <w:tab/>
        </w:r>
        <w:r w:rsidR="000C1414" w:rsidRPr="000C1414">
          <w:rPr>
            <w:rStyle w:val="Hyperlink"/>
            <w:sz w:val="20"/>
            <w:szCs w:val="20"/>
            <w:u w:val="none"/>
          </w:rPr>
          <w:t>Notice of Receipt of Qualified Scheduling Entity Application</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_Toc184622978 \h </w:instrText>
        </w:r>
        <w:r w:rsidR="000C1414" w:rsidRPr="000C1414">
          <w:rPr>
            <w:webHidden/>
            <w:sz w:val="20"/>
            <w:szCs w:val="20"/>
          </w:rPr>
        </w:r>
        <w:r w:rsidR="000C1414" w:rsidRPr="000C1414">
          <w:rPr>
            <w:webHidden/>
            <w:sz w:val="20"/>
            <w:szCs w:val="20"/>
          </w:rPr>
          <w:fldChar w:fldCharType="separate"/>
        </w:r>
        <w:r>
          <w:rPr>
            <w:webHidden/>
            <w:sz w:val="20"/>
            <w:szCs w:val="20"/>
          </w:rPr>
          <w:t>16-10</w:t>
        </w:r>
        <w:r w:rsidR="000C1414" w:rsidRPr="000C1414">
          <w:rPr>
            <w:webHidden/>
            <w:sz w:val="20"/>
            <w:szCs w:val="20"/>
          </w:rPr>
          <w:fldChar w:fldCharType="end"/>
        </w:r>
      </w:hyperlink>
    </w:p>
    <w:p w14:paraId="60B2D132" w14:textId="09893ED5" w:rsidR="000C1414" w:rsidRPr="000C1414" w:rsidRDefault="00023AB4">
      <w:pPr>
        <w:pStyle w:val="TOC4"/>
        <w:rPr>
          <w:rFonts w:eastAsiaTheme="minorEastAsia"/>
          <w:kern w:val="2"/>
          <w:sz w:val="20"/>
          <w:szCs w:val="20"/>
          <w14:ligatures w14:val="standardContextual"/>
        </w:rPr>
      </w:pPr>
      <w:hyperlink w:anchor="_Toc184622979" w:history="1">
        <w:r w:rsidR="000C1414" w:rsidRPr="000C1414">
          <w:rPr>
            <w:rStyle w:val="Hyperlink"/>
            <w:sz w:val="20"/>
            <w:szCs w:val="20"/>
            <w:u w:val="none"/>
          </w:rPr>
          <w:t>16.2.2.2</w:t>
        </w:r>
        <w:r w:rsidR="000C1414" w:rsidRPr="000C1414">
          <w:rPr>
            <w:rFonts w:eastAsiaTheme="minorEastAsia"/>
            <w:kern w:val="2"/>
            <w:sz w:val="20"/>
            <w:szCs w:val="20"/>
            <w14:ligatures w14:val="standardContextual"/>
          </w:rPr>
          <w:tab/>
        </w:r>
        <w:r w:rsidR="000C1414" w:rsidRPr="000C1414">
          <w:rPr>
            <w:rStyle w:val="Hyperlink"/>
            <w:sz w:val="20"/>
            <w:szCs w:val="20"/>
            <w:u w:val="none"/>
          </w:rPr>
          <w:t>Incomplete QSE Applications</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_Toc184622979 \h </w:instrText>
        </w:r>
        <w:r w:rsidR="000C1414" w:rsidRPr="000C1414">
          <w:rPr>
            <w:webHidden/>
            <w:sz w:val="20"/>
            <w:szCs w:val="20"/>
          </w:rPr>
        </w:r>
        <w:r w:rsidR="000C1414" w:rsidRPr="000C1414">
          <w:rPr>
            <w:webHidden/>
            <w:sz w:val="20"/>
            <w:szCs w:val="20"/>
          </w:rPr>
          <w:fldChar w:fldCharType="separate"/>
        </w:r>
        <w:r>
          <w:rPr>
            <w:webHidden/>
            <w:sz w:val="20"/>
            <w:szCs w:val="20"/>
          </w:rPr>
          <w:t>16-11</w:t>
        </w:r>
        <w:r w:rsidR="000C1414" w:rsidRPr="000C1414">
          <w:rPr>
            <w:webHidden/>
            <w:sz w:val="20"/>
            <w:szCs w:val="20"/>
          </w:rPr>
          <w:fldChar w:fldCharType="end"/>
        </w:r>
      </w:hyperlink>
    </w:p>
    <w:p w14:paraId="471048D3" w14:textId="20A003BB" w:rsidR="000C1414" w:rsidRPr="000C1414" w:rsidRDefault="00023AB4">
      <w:pPr>
        <w:pStyle w:val="TOC4"/>
        <w:rPr>
          <w:rFonts w:eastAsiaTheme="minorEastAsia"/>
          <w:kern w:val="2"/>
          <w:sz w:val="20"/>
          <w:szCs w:val="20"/>
          <w14:ligatures w14:val="standardContextual"/>
        </w:rPr>
      </w:pPr>
      <w:hyperlink w:anchor="_Toc184622980" w:history="1">
        <w:r w:rsidR="000C1414" w:rsidRPr="000C1414">
          <w:rPr>
            <w:rStyle w:val="Hyperlink"/>
            <w:sz w:val="20"/>
            <w:szCs w:val="20"/>
            <w:u w:val="none"/>
          </w:rPr>
          <w:t>16.2.2.3</w:t>
        </w:r>
        <w:r w:rsidR="000C1414" w:rsidRPr="000C1414">
          <w:rPr>
            <w:rFonts w:eastAsiaTheme="minorEastAsia"/>
            <w:kern w:val="2"/>
            <w:sz w:val="20"/>
            <w:szCs w:val="20"/>
            <w14:ligatures w14:val="standardContextual"/>
          </w:rPr>
          <w:tab/>
        </w:r>
        <w:r w:rsidR="000C1414" w:rsidRPr="000C1414">
          <w:rPr>
            <w:rStyle w:val="Hyperlink"/>
            <w:sz w:val="20"/>
            <w:szCs w:val="20"/>
            <w:u w:val="none"/>
          </w:rPr>
          <w:t>ERCOT Approval or Rejection of Qualified Scheduling Entity Application</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_Toc184622980 \h </w:instrText>
        </w:r>
        <w:r w:rsidR="000C1414" w:rsidRPr="000C1414">
          <w:rPr>
            <w:webHidden/>
            <w:sz w:val="20"/>
            <w:szCs w:val="20"/>
          </w:rPr>
        </w:r>
        <w:r w:rsidR="000C1414" w:rsidRPr="000C1414">
          <w:rPr>
            <w:webHidden/>
            <w:sz w:val="20"/>
            <w:szCs w:val="20"/>
          </w:rPr>
          <w:fldChar w:fldCharType="separate"/>
        </w:r>
        <w:r>
          <w:rPr>
            <w:webHidden/>
            <w:sz w:val="20"/>
            <w:szCs w:val="20"/>
          </w:rPr>
          <w:t>16-11</w:t>
        </w:r>
        <w:r w:rsidR="000C1414" w:rsidRPr="000C1414">
          <w:rPr>
            <w:webHidden/>
            <w:sz w:val="20"/>
            <w:szCs w:val="20"/>
          </w:rPr>
          <w:fldChar w:fldCharType="end"/>
        </w:r>
      </w:hyperlink>
    </w:p>
    <w:p w14:paraId="56C6A270" w14:textId="259F0999" w:rsidR="000C1414" w:rsidRPr="000C1414" w:rsidRDefault="00023AB4">
      <w:pPr>
        <w:pStyle w:val="TOC3"/>
        <w:rPr>
          <w:rFonts w:eastAsiaTheme="minorEastAsia"/>
          <w:i w:val="0"/>
          <w:iCs w:val="0"/>
          <w:noProof/>
          <w:kern w:val="2"/>
          <w14:ligatures w14:val="standardContextual"/>
        </w:rPr>
      </w:pPr>
      <w:hyperlink w:anchor="_Toc184622981" w:history="1">
        <w:r w:rsidR="000C1414" w:rsidRPr="000C1414">
          <w:rPr>
            <w:rStyle w:val="Hyperlink"/>
            <w:i w:val="0"/>
            <w:iCs w:val="0"/>
            <w:noProof/>
            <w:u w:val="none"/>
          </w:rPr>
          <w:t>16.2.3</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Remaining Steps for Qualified Scheduling Entity Registration</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_Toc184622981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16-12</w:t>
        </w:r>
        <w:r w:rsidR="000C1414" w:rsidRPr="000C1414">
          <w:rPr>
            <w:i w:val="0"/>
            <w:iCs w:val="0"/>
            <w:noProof/>
            <w:webHidden/>
          </w:rPr>
          <w:fldChar w:fldCharType="end"/>
        </w:r>
      </w:hyperlink>
    </w:p>
    <w:p w14:paraId="1D529016" w14:textId="20825343" w:rsidR="000C1414" w:rsidRPr="000C1414" w:rsidRDefault="00023AB4">
      <w:pPr>
        <w:pStyle w:val="TOC4"/>
        <w:rPr>
          <w:rFonts w:eastAsiaTheme="minorEastAsia"/>
          <w:kern w:val="2"/>
          <w:sz w:val="20"/>
          <w:szCs w:val="20"/>
          <w14:ligatures w14:val="standardContextual"/>
        </w:rPr>
      </w:pPr>
      <w:hyperlink w:anchor="_Toc184622982" w:history="1">
        <w:r w:rsidR="000C1414" w:rsidRPr="000C1414">
          <w:rPr>
            <w:rStyle w:val="Hyperlink"/>
            <w:sz w:val="20"/>
            <w:szCs w:val="20"/>
            <w:u w:val="none"/>
          </w:rPr>
          <w:t>16.2.3.1</w:t>
        </w:r>
        <w:r w:rsidR="000C1414" w:rsidRPr="000C1414">
          <w:rPr>
            <w:rFonts w:eastAsiaTheme="minorEastAsia"/>
            <w:kern w:val="2"/>
            <w:sz w:val="20"/>
            <w:szCs w:val="20"/>
            <w14:ligatures w14:val="standardContextual"/>
          </w:rPr>
          <w:tab/>
        </w:r>
        <w:r w:rsidR="000C1414" w:rsidRPr="000C1414">
          <w:rPr>
            <w:rStyle w:val="Hyperlink"/>
            <w:sz w:val="20"/>
            <w:szCs w:val="20"/>
            <w:u w:val="none"/>
          </w:rPr>
          <w:t>Process to Gain Approval to Follow DSR Load</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_Toc184622982 \h </w:instrText>
        </w:r>
        <w:r w:rsidR="000C1414" w:rsidRPr="000C1414">
          <w:rPr>
            <w:webHidden/>
            <w:sz w:val="20"/>
            <w:szCs w:val="20"/>
          </w:rPr>
        </w:r>
        <w:r w:rsidR="000C1414" w:rsidRPr="000C1414">
          <w:rPr>
            <w:webHidden/>
            <w:sz w:val="20"/>
            <w:szCs w:val="20"/>
          </w:rPr>
          <w:fldChar w:fldCharType="separate"/>
        </w:r>
        <w:r>
          <w:rPr>
            <w:webHidden/>
            <w:sz w:val="20"/>
            <w:szCs w:val="20"/>
          </w:rPr>
          <w:t>16-13</w:t>
        </w:r>
        <w:r w:rsidR="000C1414" w:rsidRPr="000C1414">
          <w:rPr>
            <w:webHidden/>
            <w:sz w:val="20"/>
            <w:szCs w:val="20"/>
          </w:rPr>
          <w:fldChar w:fldCharType="end"/>
        </w:r>
      </w:hyperlink>
    </w:p>
    <w:p w14:paraId="036E56F7" w14:textId="297602C1" w:rsidR="000C1414" w:rsidRPr="000C1414" w:rsidRDefault="00023AB4">
      <w:pPr>
        <w:pStyle w:val="TOC4"/>
        <w:rPr>
          <w:rFonts w:eastAsiaTheme="minorEastAsia"/>
          <w:kern w:val="2"/>
          <w:sz w:val="20"/>
          <w:szCs w:val="20"/>
          <w14:ligatures w14:val="standardContextual"/>
        </w:rPr>
      </w:pPr>
      <w:hyperlink w:anchor="_Toc184622983" w:history="1">
        <w:r w:rsidR="000C1414" w:rsidRPr="000C1414">
          <w:rPr>
            <w:rStyle w:val="Hyperlink"/>
            <w:sz w:val="20"/>
            <w:szCs w:val="20"/>
            <w:u w:val="none"/>
          </w:rPr>
          <w:t>16.2.3.2</w:t>
        </w:r>
        <w:r w:rsidR="000C1414" w:rsidRPr="000C1414">
          <w:rPr>
            <w:rFonts w:eastAsiaTheme="minorEastAsia"/>
            <w:kern w:val="2"/>
            <w:sz w:val="20"/>
            <w:szCs w:val="20"/>
            <w14:ligatures w14:val="standardContextual"/>
          </w:rPr>
          <w:tab/>
        </w:r>
        <w:r w:rsidR="000C1414" w:rsidRPr="000C1414">
          <w:rPr>
            <w:rStyle w:val="Hyperlink"/>
            <w:sz w:val="20"/>
            <w:szCs w:val="20"/>
            <w:u w:val="none"/>
          </w:rPr>
          <w:t>Maintaining and Updating QSE Information</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_Toc184622983 \h </w:instrText>
        </w:r>
        <w:r w:rsidR="000C1414" w:rsidRPr="000C1414">
          <w:rPr>
            <w:webHidden/>
            <w:sz w:val="20"/>
            <w:szCs w:val="20"/>
          </w:rPr>
        </w:r>
        <w:r w:rsidR="000C1414" w:rsidRPr="000C1414">
          <w:rPr>
            <w:webHidden/>
            <w:sz w:val="20"/>
            <w:szCs w:val="20"/>
          </w:rPr>
          <w:fldChar w:fldCharType="separate"/>
        </w:r>
        <w:r>
          <w:rPr>
            <w:webHidden/>
            <w:sz w:val="20"/>
            <w:szCs w:val="20"/>
          </w:rPr>
          <w:t>16-13</w:t>
        </w:r>
        <w:r w:rsidR="000C1414" w:rsidRPr="000C1414">
          <w:rPr>
            <w:webHidden/>
            <w:sz w:val="20"/>
            <w:szCs w:val="20"/>
          </w:rPr>
          <w:fldChar w:fldCharType="end"/>
        </w:r>
      </w:hyperlink>
    </w:p>
    <w:p w14:paraId="3B0AF355" w14:textId="45683544" w:rsidR="000C1414" w:rsidRPr="000C1414" w:rsidRDefault="00023AB4">
      <w:pPr>
        <w:pStyle w:val="TOC4"/>
        <w:rPr>
          <w:rFonts w:eastAsiaTheme="minorEastAsia"/>
          <w:kern w:val="2"/>
          <w:sz w:val="20"/>
          <w:szCs w:val="20"/>
          <w14:ligatures w14:val="standardContextual"/>
        </w:rPr>
      </w:pPr>
      <w:hyperlink w:anchor="_Toc184622984" w:history="1">
        <w:r w:rsidR="000C1414" w:rsidRPr="000C1414">
          <w:rPr>
            <w:rStyle w:val="Hyperlink"/>
            <w:sz w:val="20"/>
            <w:szCs w:val="20"/>
            <w:u w:val="none"/>
          </w:rPr>
          <w:t>16.2.3.3</w:t>
        </w:r>
        <w:r w:rsidR="000C1414" w:rsidRPr="000C1414">
          <w:rPr>
            <w:rFonts w:eastAsiaTheme="minorEastAsia"/>
            <w:kern w:val="2"/>
            <w:sz w:val="20"/>
            <w:szCs w:val="20"/>
            <w14:ligatures w14:val="standardContextual"/>
          </w:rPr>
          <w:tab/>
        </w:r>
        <w:r w:rsidR="000C1414" w:rsidRPr="000C1414">
          <w:rPr>
            <w:rStyle w:val="Hyperlink"/>
            <w:sz w:val="20"/>
            <w:szCs w:val="20"/>
            <w:u w:val="none"/>
          </w:rPr>
          <w:t>Qualified Scheduling Entity Service Termination</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_Toc184622984 \h </w:instrText>
        </w:r>
        <w:r w:rsidR="000C1414" w:rsidRPr="000C1414">
          <w:rPr>
            <w:webHidden/>
            <w:sz w:val="20"/>
            <w:szCs w:val="20"/>
          </w:rPr>
        </w:r>
        <w:r w:rsidR="000C1414" w:rsidRPr="000C1414">
          <w:rPr>
            <w:webHidden/>
            <w:sz w:val="20"/>
            <w:szCs w:val="20"/>
          </w:rPr>
          <w:fldChar w:fldCharType="separate"/>
        </w:r>
        <w:r>
          <w:rPr>
            <w:webHidden/>
            <w:sz w:val="20"/>
            <w:szCs w:val="20"/>
          </w:rPr>
          <w:t>16-13</w:t>
        </w:r>
        <w:r w:rsidR="000C1414" w:rsidRPr="000C1414">
          <w:rPr>
            <w:webHidden/>
            <w:sz w:val="20"/>
            <w:szCs w:val="20"/>
          </w:rPr>
          <w:fldChar w:fldCharType="end"/>
        </w:r>
      </w:hyperlink>
    </w:p>
    <w:p w14:paraId="2E25E729" w14:textId="67AE57CD" w:rsidR="000C1414" w:rsidRPr="000C1414" w:rsidRDefault="00023AB4">
      <w:pPr>
        <w:pStyle w:val="TOC3"/>
        <w:rPr>
          <w:rFonts w:eastAsiaTheme="minorEastAsia"/>
          <w:i w:val="0"/>
          <w:iCs w:val="0"/>
          <w:noProof/>
          <w:kern w:val="2"/>
          <w14:ligatures w14:val="standardContextual"/>
        </w:rPr>
      </w:pPr>
      <w:hyperlink w:anchor="_Toc184622985" w:history="1">
        <w:r w:rsidR="000C1414" w:rsidRPr="000C1414">
          <w:rPr>
            <w:rStyle w:val="Hyperlink"/>
            <w:i w:val="0"/>
            <w:iCs w:val="0"/>
            <w:noProof/>
            <w:u w:val="none"/>
          </w:rPr>
          <w:t>16.2.4</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Posting of Qualified Scheduling Entity List</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_Toc184622985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16-14</w:t>
        </w:r>
        <w:r w:rsidR="000C1414" w:rsidRPr="000C1414">
          <w:rPr>
            <w:i w:val="0"/>
            <w:iCs w:val="0"/>
            <w:noProof/>
            <w:webHidden/>
          </w:rPr>
          <w:fldChar w:fldCharType="end"/>
        </w:r>
      </w:hyperlink>
    </w:p>
    <w:p w14:paraId="7F21DD38" w14:textId="7CCE9E4F" w:rsidR="000C1414" w:rsidRPr="000C1414" w:rsidRDefault="00023AB4">
      <w:pPr>
        <w:pStyle w:val="TOC3"/>
        <w:rPr>
          <w:rFonts w:eastAsiaTheme="minorEastAsia"/>
          <w:i w:val="0"/>
          <w:iCs w:val="0"/>
          <w:noProof/>
          <w:kern w:val="2"/>
          <w14:ligatures w14:val="standardContextual"/>
        </w:rPr>
      </w:pPr>
      <w:hyperlink w:anchor="_Toc184622986" w:history="1">
        <w:r w:rsidR="000C1414" w:rsidRPr="000C1414">
          <w:rPr>
            <w:rStyle w:val="Hyperlink"/>
            <w:i w:val="0"/>
            <w:iCs w:val="0"/>
            <w:noProof/>
            <w:u w:val="none"/>
          </w:rPr>
          <w:t>16.2.5</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Suspended or Terminated Qualified Scheduling Entity – Notification to LSEs and Resource Entities Represented</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_Toc184622986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16-14</w:t>
        </w:r>
        <w:r w:rsidR="000C1414" w:rsidRPr="000C1414">
          <w:rPr>
            <w:i w:val="0"/>
            <w:iCs w:val="0"/>
            <w:noProof/>
            <w:webHidden/>
          </w:rPr>
          <w:fldChar w:fldCharType="end"/>
        </w:r>
      </w:hyperlink>
    </w:p>
    <w:p w14:paraId="51309891" w14:textId="39B0E00A" w:rsidR="000C1414" w:rsidRPr="000C1414" w:rsidRDefault="00023AB4">
      <w:pPr>
        <w:pStyle w:val="TOC3"/>
        <w:rPr>
          <w:rFonts w:eastAsiaTheme="minorEastAsia"/>
          <w:i w:val="0"/>
          <w:iCs w:val="0"/>
          <w:noProof/>
          <w:kern w:val="2"/>
          <w14:ligatures w14:val="standardContextual"/>
        </w:rPr>
      </w:pPr>
      <w:hyperlink w:anchor="_Toc184622987" w:history="1">
        <w:r w:rsidR="000C1414" w:rsidRPr="000C1414">
          <w:rPr>
            <w:rStyle w:val="Hyperlink"/>
            <w:i w:val="0"/>
            <w:iCs w:val="0"/>
            <w:noProof/>
            <w:u w:val="none"/>
          </w:rPr>
          <w:t>16.2.6</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Emergency Qualified Scheduling Entity</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_Toc184622987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16-15</w:t>
        </w:r>
        <w:r w:rsidR="000C1414" w:rsidRPr="000C1414">
          <w:rPr>
            <w:i w:val="0"/>
            <w:iCs w:val="0"/>
            <w:noProof/>
            <w:webHidden/>
          </w:rPr>
          <w:fldChar w:fldCharType="end"/>
        </w:r>
      </w:hyperlink>
    </w:p>
    <w:p w14:paraId="5059C9D1" w14:textId="69FC95F7" w:rsidR="000C1414" w:rsidRPr="000C1414" w:rsidRDefault="00023AB4">
      <w:pPr>
        <w:pStyle w:val="TOC4"/>
        <w:rPr>
          <w:rFonts w:eastAsiaTheme="minorEastAsia"/>
          <w:kern w:val="2"/>
          <w:sz w:val="20"/>
          <w:szCs w:val="20"/>
          <w14:ligatures w14:val="standardContextual"/>
        </w:rPr>
      </w:pPr>
      <w:hyperlink w:anchor="_Toc184622988" w:history="1">
        <w:r w:rsidR="000C1414" w:rsidRPr="000C1414">
          <w:rPr>
            <w:rStyle w:val="Hyperlink"/>
            <w:sz w:val="20"/>
            <w:szCs w:val="20"/>
            <w:u w:val="none"/>
          </w:rPr>
          <w:t>16.2.6.1</w:t>
        </w:r>
        <w:r w:rsidR="000C1414" w:rsidRPr="000C1414">
          <w:rPr>
            <w:rFonts w:eastAsiaTheme="minorEastAsia"/>
            <w:kern w:val="2"/>
            <w:sz w:val="20"/>
            <w:szCs w:val="20"/>
            <w14:ligatures w14:val="standardContextual"/>
          </w:rPr>
          <w:tab/>
        </w:r>
        <w:r w:rsidR="000C1414" w:rsidRPr="000C1414">
          <w:rPr>
            <w:rStyle w:val="Hyperlink"/>
            <w:sz w:val="20"/>
            <w:szCs w:val="20"/>
            <w:u w:val="none"/>
          </w:rPr>
          <w:t>Designation as an Emergency Qualified Scheduling Entity or Virtual Qualified Scheduling Entity</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_Toc184622988 \h </w:instrText>
        </w:r>
        <w:r w:rsidR="000C1414" w:rsidRPr="000C1414">
          <w:rPr>
            <w:webHidden/>
            <w:sz w:val="20"/>
            <w:szCs w:val="20"/>
          </w:rPr>
        </w:r>
        <w:r w:rsidR="000C1414" w:rsidRPr="000C1414">
          <w:rPr>
            <w:webHidden/>
            <w:sz w:val="20"/>
            <w:szCs w:val="20"/>
          </w:rPr>
          <w:fldChar w:fldCharType="separate"/>
        </w:r>
        <w:r>
          <w:rPr>
            <w:webHidden/>
            <w:sz w:val="20"/>
            <w:szCs w:val="20"/>
          </w:rPr>
          <w:t>16-15</w:t>
        </w:r>
        <w:r w:rsidR="000C1414" w:rsidRPr="000C1414">
          <w:rPr>
            <w:webHidden/>
            <w:sz w:val="20"/>
            <w:szCs w:val="20"/>
          </w:rPr>
          <w:fldChar w:fldCharType="end"/>
        </w:r>
      </w:hyperlink>
    </w:p>
    <w:p w14:paraId="1FA03A48" w14:textId="14B52355" w:rsidR="000C1414" w:rsidRPr="000C1414" w:rsidRDefault="00023AB4">
      <w:pPr>
        <w:pStyle w:val="TOC4"/>
        <w:rPr>
          <w:rFonts w:eastAsiaTheme="minorEastAsia"/>
          <w:kern w:val="2"/>
          <w:sz w:val="20"/>
          <w:szCs w:val="20"/>
          <w14:ligatures w14:val="standardContextual"/>
        </w:rPr>
      </w:pPr>
      <w:hyperlink w:anchor="_Toc184622989" w:history="1">
        <w:r w:rsidR="000C1414" w:rsidRPr="000C1414">
          <w:rPr>
            <w:rStyle w:val="Hyperlink"/>
            <w:sz w:val="20"/>
            <w:szCs w:val="20"/>
            <w:u w:val="none"/>
          </w:rPr>
          <w:t>16.2.6.2</w:t>
        </w:r>
        <w:r w:rsidR="000C1414" w:rsidRPr="000C1414">
          <w:rPr>
            <w:rFonts w:eastAsiaTheme="minorEastAsia"/>
            <w:kern w:val="2"/>
            <w:sz w:val="20"/>
            <w:szCs w:val="20"/>
            <w14:ligatures w14:val="standardContextual"/>
          </w:rPr>
          <w:tab/>
        </w:r>
        <w:r w:rsidR="000C1414" w:rsidRPr="000C1414">
          <w:rPr>
            <w:rStyle w:val="Hyperlink"/>
            <w:sz w:val="20"/>
            <w:szCs w:val="20"/>
            <w:u w:val="none"/>
          </w:rPr>
          <w:t>Market Participation by an Emergency Qualified Scheduling Entity or a Virtual Qualified Scheduling Entity</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_Toc184622989 \h </w:instrText>
        </w:r>
        <w:r w:rsidR="000C1414" w:rsidRPr="000C1414">
          <w:rPr>
            <w:webHidden/>
            <w:sz w:val="20"/>
            <w:szCs w:val="20"/>
          </w:rPr>
        </w:r>
        <w:r w:rsidR="000C1414" w:rsidRPr="000C1414">
          <w:rPr>
            <w:webHidden/>
            <w:sz w:val="20"/>
            <w:szCs w:val="20"/>
          </w:rPr>
          <w:fldChar w:fldCharType="separate"/>
        </w:r>
        <w:r>
          <w:rPr>
            <w:webHidden/>
            <w:sz w:val="20"/>
            <w:szCs w:val="20"/>
          </w:rPr>
          <w:t>16-16</w:t>
        </w:r>
        <w:r w:rsidR="000C1414" w:rsidRPr="000C1414">
          <w:rPr>
            <w:webHidden/>
            <w:sz w:val="20"/>
            <w:szCs w:val="20"/>
          </w:rPr>
          <w:fldChar w:fldCharType="end"/>
        </w:r>
      </w:hyperlink>
    </w:p>
    <w:p w14:paraId="60E8B073" w14:textId="481730AC" w:rsidR="000C1414" w:rsidRPr="000C1414" w:rsidRDefault="00023AB4">
      <w:pPr>
        <w:pStyle w:val="TOC4"/>
        <w:rPr>
          <w:rFonts w:eastAsiaTheme="minorEastAsia"/>
          <w:kern w:val="2"/>
          <w:sz w:val="20"/>
          <w:szCs w:val="20"/>
          <w14:ligatures w14:val="standardContextual"/>
        </w:rPr>
      </w:pPr>
      <w:hyperlink w:anchor="_Toc184622990" w:history="1">
        <w:r w:rsidR="000C1414" w:rsidRPr="000C1414">
          <w:rPr>
            <w:rStyle w:val="Hyperlink"/>
            <w:sz w:val="20"/>
            <w:szCs w:val="20"/>
            <w:u w:val="none"/>
          </w:rPr>
          <w:t>16.2.6.3</w:t>
        </w:r>
        <w:r w:rsidR="000C1414" w:rsidRPr="000C1414">
          <w:rPr>
            <w:rFonts w:eastAsiaTheme="minorEastAsia"/>
            <w:kern w:val="2"/>
            <w:sz w:val="20"/>
            <w:szCs w:val="20"/>
            <w14:ligatures w14:val="standardContextual"/>
          </w:rPr>
          <w:tab/>
        </w:r>
        <w:r w:rsidR="000C1414" w:rsidRPr="000C1414">
          <w:rPr>
            <w:rStyle w:val="Hyperlink"/>
            <w:sz w:val="20"/>
            <w:szCs w:val="20"/>
            <w:u w:val="none"/>
          </w:rPr>
          <w:t>Requirement to Obtain New Qualified Scheduling Entity or Qualified Scheduling Entity Qualification</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_Toc184622990 \h </w:instrText>
        </w:r>
        <w:r w:rsidR="000C1414" w:rsidRPr="000C1414">
          <w:rPr>
            <w:webHidden/>
            <w:sz w:val="20"/>
            <w:szCs w:val="20"/>
          </w:rPr>
        </w:r>
        <w:r w:rsidR="000C1414" w:rsidRPr="000C1414">
          <w:rPr>
            <w:webHidden/>
            <w:sz w:val="20"/>
            <w:szCs w:val="20"/>
          </w:rPr>
          <w:fldChar w:fldCharType="separate"/>
        </w:r>
        <w:r>
          <w:rPr>
            <w:webHidden/>
            <w:sz w:val="20"/>
            <w:szCs w:val="20"/>
          </w:rPr>
          <w:t>16-16</w:t>
        </w:r>
        <w:r w:rsidR="000C1414" w:rsidRPr="000C1414">
          <w:rPr>
            <w:webHidden/>
            <w:sz w:val="20"/>
            <w:szCs w:val="20"/>
          </w:rPr>
          <w:fldChar w:fldCharType="end"/>
        </w:r>
      </w:hyperlink>
    </w:p>
    <w:p w14:paraId="59C612E1" w14:textId="0F51D1CC" w:rsidR="000C1414" w:rsidRPr="000C1414" w:rsidRDefault="00023AB4">
      <w:pPr>
        <w:pStyle w:val="TOC3"/>
        <w:rPr>
          <w:rFonts w:eastAsiaTheme="minorEastAsia"/>
          <w:i w:val="0"/>
          <w:iCs w:val="0"/>
          <w:noProof/>
          <w:kern w:val="2"/>
          <w14:ligatures w14:val="standardContextual"/>
        </w:rPr>
      </w:pPr>
      <w:hyperlink w:anchor="_Toc184622991" w:history="1">
        <w:r w:rsidR="000C1414" w:rsidRPr="000C1414">
          <w:rPr>
            <w:rStyle w:val="Hyperlink"/>
            <w:i w:val="0"/>
            <w:iCs w:val="0"/>
            <w:noProof/>
            <w:u w:val="none"/>
          </w:rPr>
          <w:t>16.2.7</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Acceleration</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_Toc184622991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16-17</w:t>
        </w:r>
        <w:r w:rsidR="000C1414" w:rsidRPr="000C1414">
          <w:rPr>
            <w:i w:val="0"/>
            <w:iCs w:val="0"/>
            <w:noProof/>
            <w:webHidden/>
          </w:rPr>
          <w:fldChar w:fldCharType="end"/>
        </w:r>
      </w:hyperlink>
    </w:p>
    <w:p w14:paraId="1ECF192F" w14:textId="38F60273" w:rsidR="000C1414" w:rsidRPr="000C1414" w:rsidRDefault="00023AB4">
      <w:pPr>
        <w:pStyle w:val="TOC2"/>
        <w:rPr>
          <w:rFonts w:eastAsiaTheme="minorEastAsia"/>
          <w:kern w:val="2"/>
          <w14:ligatures w14:val="standardContextual"/>
        </w:rPr>
      </w:pPr>
      <w:hyperlink w:anchor="_Toc184622992" w:history="1">
        <w:r w:rsidR="000C1414" w:rsidRPr="000C1414">
          <w:rPr>
            <w:rStyle w:val="Hyperlink"/>
            <w:u w:val="none"/>
          </w:rPr>
          <w:t>16.3</w:t>
        </w:r>
        <w:r w:rsidR="000C1414" w:rsidRPr="000C1414">
          <w:rPr>
            <w:rFonts w:eastAsiaTheme="minorEastAsia"/>
            <w:kern w:val="2"/>
            <w14:ligatures w14:val="standardContextual"/>
          </w:rPr>
          <w:tab/>
        </w:r>
        <w:r w:rsidR="000C1414" w:rsidRPr="000C1414">
          <w:rPr>
            <w:rStyle w:val="Hyperlink"/>
            <w:u w:val="none"/>
          </w:rPr>
          <w:t>Registration of Load Serving Entities</w:t>
        </w:r>
        <w:r w:rsidR="000C1414" w:rsidRPr="000C1414">
          <w:rPr>
            <w:webHidden/>
          </w:rPr>
          <w:tab/>
        </w:r>
        <w:r w:rsidR="000C1414" w:rsidRPr="000C1414">
          <w:rPr>
            <w:webHidden/>
          </w:rPr>
          <w:fldChar w:fldCharType="begin"/>
        </w:r>
        <w:r w:rsidR="000C1414" w:rsidRPr="000C1414">
          <w:rPr>
            <w:webHidden/>
          </w:rPr>
          <w:instrText xml:space="preserve"> PAGEREF _Toc184622992 \h </w:instrText>
        </w:r>
        <w:r w:rsidR="000C1414" w:rsidRPr="000C1414">
          <w:rPr>
            <w:webHidden/>
          </w:rPr>
        </w:r>
        <w:r w:rsidR="000C1414" w:rsidRPr="000C1414">
          <w:rPr>
            <w:webHidden/>
          </w:rPr>
          <w:fldChar w:fldCharType="separate"/>
        </w:r>
        <w:r>
          <w:rPr>
            <w:webHidden/>
          </w:rPr>
          <w:t>16-17</w:t>
        </w:r>
        <w:r w:rsidR="000C1414" w:rsidRPr="000C1414">
          <w:rPr>
            <w:webHidden/>
          </w:rPr>
          <w:fldChar w:fldCharType="end"/>
        </w:r>
      </w:hyperlink>
    </w:p>
    <w:p w14:paraId="0A05D294" w14:textId="47EC5A04" w:rsidR="000C1414" w:rsidRPr="000C1414" w:rsidRDefault="00023AB4">
      <w:pPr>
        <w:pStyle w:val="TOC3"/>
        <w:rPr>
          <w:rFonts w:eastAsiaTheme="minorEastAsia"/>
          <w:i w:val="0"/>
          <w:iCs w:val="0"/>
          <w:noProof/>
          <w:kern w:val="2"/>
          <w14:ligatures w14:val="standardContextual"/>
        </w:rPr>
      </w:pPr>
      <w:hyperlink w:anchor="_Toc184622993" w:history="1">
        <w:r w:rsidR="000C1414" w:rsidRPr="000C1414">
          <w:rPr>
            <w:rStyle w:val="Hyperlink"/>
            <w:i w:val="0"/>
            <w:iCs w:val="0"/>
            <w:noProof/>
            <w:u w:val="none"/>
          </w:rPr>
          <w:t>16.3.1</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Technical and Managerial Requirements for LSE Applicants</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_Toc184622993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16-18</w:t>
        </w:r>
        <w:r w:rsidR="000C1414" w:rsidRPr="000C1414">
          <w:rPr>
            <w:i w:val="0"/>
            <w:iCs w:val="0"/>
            <w:noProof/>
            <w:webHidden/>
          </w:rPr>
          <w:fldChar w:fldCharType="end"/>
        </w:r>
      </w:hyperlink>
    </w:p>
    <w:p w14:paraId="1C6C3B94" w14:textId="7E40DD82" w:rsidR="000C1414" w:rsidRPr="000C1414" w:rsidRDefault="00023AB4">
      <w:pPr>
        <w:pStyle w:val="TOC4"/>
        <w:rPr>
          <w:rFonts w:eastAsiaTheme="minorEastAsia"/>
          <w:kern w:val="2"/>
          <w:sz w:val="20"/>
          <w:szCs w:val="20"/>
          <w14:ligatures w14:val="standardContextual"/>
        </w:rPr>
      </w:pPr>
      <w:hyperlink w:anchor="_Toc184622994" w:history="1">
        <w:r w:rsidR="000C1414" w:rsidRPr="000C1414">
          <w:rPr>
            <w:rStyle w:val="Hyperlink"/>
            <w:sz w:val="20"/>
            <w:szCs w:val="20"/>
            <w:u w:val="none"/>
          </w:rPr>
          <w:t>16.3.1.1</w:t>
        </w:r>
        <w:r w:rsidR="000C1414" w:rsidRPr="000C1414">
          <w:rPr>
            <w:rFonts w:eastAsiaTheme="minorEastAsia"/>
            <w:kern w:val="2"/>
            <w:sz w:val="20"/>
            <w:szCs w:val="20"/>
            <w14:ligatures w14:val="standardContextual"/>
          </w:rPr>
          <w:tab/>
        </w:r>
        <w:r w:rsidR="000C1414" w:rsidRPr="000C1414">
          <w:rPr>
            <w:rStyle w:val="Hyperlink"/>
            <w:sz w:val="20"/>
            <w:szCs w:val="20"/>
            <w:u w:val="none"/>
          </w:rPr>
          <w:t>Designation of a Qualified Scheduling Entity</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_Toc184622994 \h </w:instrText>
        </w:r>
        <w:r w:rsidR="000C1414" w:rsidRPr="000C1414">
          <w:rPr>
            <w:webHidden/>
            <w:sz w:val="20"/>
            <w:szCs w:val="20"/>
          </w:rPr>
        </w:r>
        <w:r w:rsidR="000C1414" w:rsidRPr="000C1414">
          <w:rPr>
            <w:webHidden/>
            <w:sz w:val="20"/>
            <w:szCs w:val="20"/>
          </w:rPr>
          <w:fldChar w:fldCharType="separate"/>
        </w:r>
        <w:r>
          <w:rPr>
            <w:webHidden/>
            <w:sz w:val="20"/>
            <w:szCs w:val="20"/>
          </w:rPr>
          <w:t>16-18</w:t>
        </w:r>
        <w:r w:rsidR="000C1414" w:rsidRPr="000C1414">
          <w:rPr>
            <w:webHidden/>
            <w:sz w:val="20"/>
            <w:szCs w:val="20"/>
          </w:rPr>
          <w:fldChar w:fldCharType="end"/>
        </w:r>
      </w:hyperlink>
    </w:p>
    <w:p w14:paraId="7F365F00" w14:textId="5D4DDB74" w:rsidR="000C1414" w:rsidRPr="000C1414" w:rsidRDefault="00023AB4">
      <w:pPr>
        <w:pStyle w:val="TOC3"/>
        <w:rPr>
          <w:rFonts w:eastAsiaTheme="minorEastAsia"/>
          <w:i w:val="0"/>
          <w:iCs w:val="0"/>
          <w:noProof/>
          <w:kern w:val="2"/>
          <w14:ligatures w14:val="standardContextual"/>
        </w:rPr>
      </w:pPr>
      <w:hyperlink w:anchor="_Toc184622995" w:history="1">
        <w:r w:rsidR="000C1414" w:rsidRPr="000C1414">
          <w:rPr>
            <w:rStyle w:val="Hyperlink"/>
            <w:i w:val="0"/>
            <w:iCs w:val="0"/>
            <w:noProof/>
            <w:u w:val="none"/>
          </w:rPr>
          <w:t>16.3.2</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Registration Process for Load Serving Entities</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_Toc184622995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16-19</w:t>
        </w:r>
        <w:r w:rsidR="000C1414" w:rsidRPr="000C1414">
          <w:rPr>
            <w:i w:val="0"/>
            <w:iCs w:val="0"/>
            <w:noProof/>
            <w:webHidden/>
          </w:rPr>
          <w:fldChar w:fldCharType="end"/>
        </w:r>
      </w:hyperlink>
    </w:p>
    <w:p w14:paraId="63E772B7" w14:textId="3ECFAC96" w:rsidR="000C1414" w:rsidRPr="000C1414" w:rsidRDefault="00023AB4">
      <w:pPr>
        <w:pStyle w:val="TOC4"/>
        <w:rPr>
          <w:rFonts w:eastAsiaTheme="minorEastAsia"/>
          <w:kern w:val="2"/>
          <w:sz w:val="20"/>
          <w:szCs w:val="20"/>
          <w14:ligatures w14:val="standardContextual"/>
        </w:rPr>
      </w:pPr>
      <w:hyperlink w:anchor="_Toc184622996" w:history="1">
        <w:r w:rsidR="000C1414" w:rsidRPr="000C1414">
          <w:rPr>
            <w:rStyle w:val="Hyperlink"/>
            <w:sz w:val="20"/>
            <w:szCs w:val="20"/>
            <w:u w:val="none"/>
          </w:rPr>
          <w:t>16.3.2.1</w:t>
        </w:r>
        <w:r w:rsidR="000C1414" w:rsidRPr="000C1414">
          <w:rPr>
            <w:rFonts w:eastAsiaTheme="minorEastAsia"/>
            <w:kern w:val="2"/>
            <w:sz w:val="20"/>
            <w:szCs w:val="20"/>
            <w14:ligatures w14:val="standardContextual"/>
          </w:rPr>
          <w:tab/>
        </w:r>
        <w:r w:rsidR="000C1414" w:rsidRPr="000C1414">
          <w:rPr>
            <w:rStyle w:val="Hyperlink"/>
            <w:sz w:val="20"/>
            <w:szCs w:val="20"/>
            <w:u w:val="none"/>
          </w:rPr>
          <w:t>Notice of Receipt of Load Serving Entity Application</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_Toc184622996 \h </w:instrText>
        </w:r>
        <w:r w:rsidR="000C1414" w:rsidRPr="000C1414">
          <w:rPr>
            <w:webHidden/>
            <w:sz w:val="20"/>
            <w:szCs w:val="20"/>
          </w:rPr>
        </w:r>
        <w:r w:rsidR="000C1414" w:rsidRPr="000C1414">
          <w:rPr>
            <w:webHidden/>
            <w:sz w:val="20"/>
            <w:szCs w:val="20"/>
          </w:rPr>
          <w:fldChar w:fldCharType="separate"/>
        </w:r>
        <w:r>
          <w:rPr>
            <w:webHidden/>
            <w:sz w:val="20"/>
            <w:szCs w:val="20"/>
          </w:rPr>
          <w:t>16-19</w:t>
        </w:r>
        <w:r w:rsidR="000C1414" w:rsidRPr="000C1414">
          <w:rPr>
            <w:webHidden/>
            <w:sz w:val="20"/>
            <w:szCs w:val="20"/>
          </w:rPr>
          <w:fldChar w:fldCharType="end"/>
        </w:r>
      </w:hyperlink>
    </w:p>
    <w:p w14:paraId="4128D017" w14:textId="064C2102" w:rsidR="000C1414" w:rsidRPr="000C1414" w:rsidRDefault="00023AB4">
      <w:pPr>
        <w:pStyle w:val="TOC4"/>
        <w:rPr>
          <w:rFonts w:eastAsiaTheme="minorEastAsia"/>
          <w:kern w:val="2"/>
          <w:sz w:val="20"/>
          <w:szCs w:val="20"/>
          <w14:ligatures w14:val="standardContextual"/>
        </w:rPr>
      </w:pPr>
      <w:hyperlink w:anchor="_Toc184622997" w:history="1">
        <w:r w:rsidR="000C1414" w:rsidRPr="000C1414">
          <w:rPr>
            <w:rStyle w:val="Hyperlink"/>
            <w:sz w:val="20"/>
            <w:szCs w:val="20"/>
            <w:u w:val="none"/>
          </w:rPr>
          <w:t>16.3.2.2</w:t>
        </w:r>
        <w:r w:rsidR="000C1414" w:rsidRPr="000C1414">
          <w:rPr>
            <w:rFonts w:eastAsiaTheme="minorEastAsia"/>
            <w:kern w:val="2"/>
            <w:sz w:val="20"/>
            <w:szCs w:val="20"/>
            <w14:ligatures w14:val="standardContextual"/>
          </w:rPr>
          <w:tab/>
        </w:r>
        <w:r w:rsidR="000C1414" w:rsidRPr="000C1414">
          <w:rPr>
            <w:rStyle w:val="Hyperlink"/>
            <w:sz w:val="20"/>
            <w:szCs w:val="20"/>
            <w:u w:val="none"/>
          </w:rPr>
          <w:t>Incomplete Load Serving Entity Applications</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_Toc184622997 \h </w:instrText>
        </w:r>
        <w:r w:rsidR="000C1414" w:rsidRPr="000C1414">
          <w:rPr>
            <w:webHidden/>
            <w:sz w:val="20"/>
            <w:szCs w:val="20"/>
          </w:rPr>
        </w:r>
        <w:r w:rsidR="000C1414" w:rsidRPr="000C1414">
          <w:rPr>
            <w:webHidden/>
            <w:sz w:val="20"/>
            <w:szCs w:val="20"/>
          </w:rPr>
          <w:fldChar w:fldCharType="separate"/>
        </w:r>
        <w:r>
          <w:rPr>
            <w:webHidden/>
            <w:sz w:val="20"/>
            <w:szCs w:val="20"/>
          </w:rPr>
          <w:t>16-19</w:t>
        </w:r>
        <w:r w:rsidR="000C1414" w:rsidRPr="000C1414">
          <w:rPr>
            <w:webHidden/>
            <w:sz w:val="20"/>
            <w:szCs w:val="20"/>
          </w:rPr>
          <w:fldChar w:fldCharType="end"/>
        </w:r>
      </w:hyperlink>
    </w:p>
    <w:p w14:paraId="55C3D4A0" w14:textId="231AA033" w:rsidR="000C1414" w:rsidRPr="000C1414" w:rsidRDefault="00023AB4">
      <w:pPr>
        <w:pStyle w:val="TOC4"/>
        <w:rPr>
          <w:rFonts w:eastAsiaTheme="minorEastAsia"/>
          <w:kern w:val="2"/>
          <w:sz w:val="20"/>
          <w:szCs w:val="20"/>
          <w14:ligatures w14:val="standardContextual"/>
        </w:rPr>
      </w:pPr>
      <w:hyperlink w:anchor="_Toc184622998" w:history="1">
        <w:r w:rsidR="000C1414" w:rsidRPr="000C1414">
          <w:rPr>
            <w:rStyle w:val="Hyperlink"/>
            <w:sz w:val="20"/>
            <w:szCs w:val="20"/>
            <w:u w:val="none"/>
          </w:rPr>
          <w:t>16.3.2.3</w:t>
        </w:r>
        <w:r w:rsidR="000C1414" w:rsidRPr="000C1414">
          <w:rPr>
            <w:rFonts w:eastAsiaTheme="minorEastAsia"/>
            <w:kern w:val="2"/>
            <w:sz w:val="20"/>
            <w:szCs w:val="20"/>
            <w14:ligatures w14:val="standardContextual"/>
          </w:rPr>
          <w:tab/>
        </w:r>
        <w:r w:rsidR="000C1414" w:rsidRPr="000C1414">
          <w:rPr>
            <w:rStyle w:val="Hyperlink"/>
            <w:sz w:val="20"/>
            <w:szCs w:val="20"/>
            <w:u w:val="none"/>
          </w:rPr>
          <w:t>ERCOT Approval or Rejection of Load Serving Entity Application</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_Toc184622998 \h </w:instrText>
        </w:r>
        <w:r w:rsidR="000C1414" w:rsidRPr="000C1414">
          <w:rPr>
            <w:webHidden/>
            <w:sz w:val="20"/>
            <w:szCs w:val="20"/>
          </w:rPr>
        </w:r>
        <w:r w:rsidR="000C1414" w:rsidRPr="000C1414">
          <w:rPr>
            <w:webHidden/>
            <w:sz w:val="20"/>
            <w:szCs w:val="20"/>
          </w:rPr>
          <w:fldChar w:fldCharType="separate"/>
        </w:r>
        <w:r>
          <w:rPr>
            <w:webHidden/>
            <w:sz w:val="20"/>
            <w:szCs w:val="20"/>
          </w:rPr>
          <w:t>16-19</w:t>
        </w:r>
        <w:r w:rsidR="000C1414" w:rsidRPr="000C1414">
          <w:rPr>
            <w:webHidden/>
            <w:sz w:val="20"/>
            <w:szCs w:val="20"/>
          </w:rPr>
          <w:fldChar w:fldCharType="end"/>
        </w:r>
      </w:hyperlink>
    </w:p>
    <w:p w14:paraId="54C0E8E6" w14:textId="0012AFE7" w:rsidR="000C1414" w:rsidRPr="000C1414" w:rsidRDefault="00023AB4">
      <w:pPr>
        <w:pStyle w:val="TOC3"/>
        <w:rPr>
          <w:rFonts w:eastAsiaTheme="minorEastAsia"/>
          <w:i w:val="0"/>
          <w:iCs w:val="0"/>
          <w:noProof/>
          <w:kern w:val="2"/>
          <w14:ligatures w14:val="standardContextual"/>
        </w:rPr>
      </w:pPr>
      <w:hyperlink w:anchor="_Toc184622999" w:history="1">
        <w:r w:rsidR="000C1414" w:rsidRPr="000C1414">
          <w:rPr>
            <w:rStyle w:val="Hyperlink"/>
            <w:i w:val="0"/>
            <w:iCs w:val="0"/>
            <w:noProof/>
            <w:u w:val="none"/>
          </w:rPr>
          <w:t xml:space="preserve">16.3.3 </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Changing QSE Designation</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_Toc184622999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16-20</w:t>
        </w:r>
        <w:r w:rsidR="000C1414" w:rsidRPr="000C1414">
          <w:rPr>
            <w:i w:val="0"/>
            <w:iCs w:val="0"/>
            <w:noProof/>
            <w:webHidden/>
          </w:rPr>
          <w:fldChar w:fldCharType="end"/>
        </w:r>
      </w:hyperlink>
    </w:p>
    <w:p w14:paraId="07B3932E" w14:textId="022D0944" w:rsidR="000C1414" w:rsidRPr="000C1414" w:rsidRDefault="00023AB4">
      <w:pPr>
        <w:pStyle w:val="TOC3"/>
        <w:rPr>
          <w:rFonts w:eastAsiaTheme="minorEastAsia"/>
          <w:i w:val="0"/>
          <w:iCs w:val="0"/>
          <w:noProof/>
          <w:kern w:val="2"/>
          <w14:ligatures w14:val="standardContextual"/>
        </w:rPr>
      </w:pPr>
      <w:hyperlink w:anchor="_Toc184623000" w:history="1">
        <w:r w:rsidR="000C1414" w:rsidRPr="000C1414">
          <w:rPr>
            <w:rStyle w:val="Hyperlink"/>
            <w:i w:val="0"/>
            <w:iCs w:val="0"/>
            <w:noProof/>
            <w:u w:val="none"/>
          </w:rPr>
          <w:t>16.3.4</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Maintaining and Updating LSE Information</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_Toc184623000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16-20</w:t>
        </w:r>
        <w:r w:rsidR="000C1414" w:rsidRPr="000C1414">
          <w:rPr>
            <w:i w:val="0"/>
            <w:iCs w:val="0"/>
            <w:noProof/>
            <w:webHidden/>
          </w:rPr>
          <w:fldChar w:fldCharType="end"/>
        </w:r>
      </w:hyperlink>
    </w:p>
    <w:p w14:paraId="0F21F41A" w14:textId="17D8FB7F" w:rsidR="000C1414" w:rsidRPr="000C1414" w:rsidRDefault="00023AB4">
      <w:pPr>
        <w:pStyle w:val="TOC2"/>
        <w:rPr>
          <w:rFonts w:eastAsiaTheme="minorEastAsia"/>
          <w:kern w:val="2"/>
          <w14:ligatures w14:val="standardContextual"/>
        </w:rPr>
      </w:pPr>
      <w:hyperlink w:anchor="_Toc184623001" w:history="1">
        <w:r w:rsidR="000C1414" w:rsidRPr="000C1414">
          <w:rPr>
            <w:rStyle w:val="Hyperlink"/>
            <w:u w:val="none"/>
          </w:rPr>
          <w:t>16.4</w:t>
        </w:r>
        <w:r w:rsidR="000C1414" w:rsidRPr="000C1414">
          <w:rPr>
            <w:rFonts w:eastAsiaTheme="minorEastAsia"/>
            <w:kern w:val="2"/>
            <w14:ligatures w14:val="standardContextual"/>
          </w:rPr>
          <w:tab/>
        </w:r>
        <w:r w:rsidR="000C1414" w:rsidRPr="000C1414">
          <w:rPr>
            <w:rStyle w:val="Hyperlink"/>
            <w:u w:val="none"/>
          </w:rPr>
          <w:t>Registration of Transmission and Distribution Service Providers</w:t>
        </w:r>
        <w:r w:rsidR="000C1414" w:rsidRPr="000C1414">
          <w:rPr>
            <w:webHidden/>
          </w:rPr>
          <w:tab/>
        </w:r>
        <w:r w:rsidR="000C1414" w:rsidRPr="000C1414">
          <w:rPr>
            <w:webHidden/>
          </w:rPr>
          <w:fldChar w:fldCharType="begin"/>
        </w:r>
        <w:r w:rsidR="000C1414" w:rsidRPr="000C1414">
          <w:rPr>
            <w:webHidden/>
          </w:rPr>
          <w:instrText xml:space="preserve"> PAGEREF _Toc184623001 \h </w:instrText>
        </w:r>
        <w:r w:rsidR="000C1414" w:rsidRPr="000C1414">
          <w:rPr>
            <w:webHidden/>
          </w:rPr>
        </w:r>
        <w:r w:rsidR="000C1414" w:rsidRPr="000C1414">
          <w:rPr>
            <w:webHidden/>
          </w:rPr>
          <w:fldChar w:fldCharType="separate"/>
        </w:r>
        <w:r>
          <w:rPr>
            <w:webHidden/>
          </w:rPr>
          <w:t>16-21</w:t>
        </w:r>
        <w:r w:rsidR="000C1414" w:rsidRPr="000C1414">
          <w:rPr>
            <w:webHidden/>
          </w:rPr>
          <w:fldChar w:fldCharType="end"/>
        </w:r>
      </w:hyperlink>
    </w:p>
    <w:p w14:paraId="249E3940" w14:textId="1D959CE9" w:rsidR="000C1414" w:rsidRPr="000C1414" w:rsidRDefault="00023AB4">
      <w:pPr>
        <w:pStyle w:val="TOC2"/>
        <w:rPr>
          <w:rFonts w:eastAsiaTheme="minorEastAsia"/>
          <w:kern w:val="2"/>
          <w14:ligatures w14:val="standardContextual"/>
        </w:rPr>
      </w:pPr>
      <w:hyperlink w:anchor="_Toc184623002" w:history="1">
        <w:r w:rsidR="000C1414" w:rsidRPr="000C1414">
          <w:rPr>
            <w:rStyle w:val="Hyperlink"/>
            <w:u w:val="none"/>
          </w:rPr>
          <w:t>16.5</w:t>
        </w:r>
        <w:r w:rsidR="000C1414" w:rsidRPr="000C1414">
          <w:rPr>
            <w:rFonts w:eastAsiaTheme="minorEastAsia"/>
            <w:kern w:val="2"/>
            <w14:ligatures w14:val="standardContextual"/>
          </w:rPr>
          <w:tab/>
        </w:r>
        <w:r w:rsidR="000C1414" w:rsidRPr="000C1414">
          <w:rPr>
            <w:rStyle w:val="Hyperlink"/>
            <w:u w:val="none"/>
          </w:rPr>
          <w:t>Registration of a Resource Entity</w:t>
        </w:r>
        <w:r w:rsidR="000C1414" w:rsidRPr="000C1414">
          <w:rPr>
            <w:webHidden/>
          </w:rPr>
          <w:tab/>
        </w:r>
        <w:r w:rsidR="000C1414" w:rsidRPr="000C1414">
          <w:rPr>
            <w:webHidden/>
          </w:rPr>
          <w:fldChar w:fldCharType="begin"/>
        </w:r>
        <w:r w:rsidR="000C1414" w:rsidRPr="000C1414">
          <w:rPr>
            <w:webHidden/>
          </w:rPr>
          <w:instrText xml:space="preserve"> PAGEREF _Toc184623002 \h </w:instrText>
        </w:r>
        <w:r w:rsidR="000C1414" w:rsidRPr="000C1414">
          <w:rPr>
            <w:webHidden/>
          </w:rPr>
        </w:r>
        <w:r w:rsidR="000C1414" w:rsidRPr="000C1414">
          <w:rPr>
            <w:webHidden/>
          </w:rPr>
          <w:fldChar w:fldCharType="separate"/>
        </w:r>
        <w:r>
          <w:rPr>
            <w:webHidden/>
          </w:rPr>
          <w:t>16-21</w:t>
        </w:r>
        <w:r w:rsidR="000C1414" w:rsidRPr="000C1414">
          <w:rPr>
            <w:webHidden/>
          </w:rPr>
          <w:fldChar w:fldCharType="end"/>
        </w:r>
      </w:hyperlink>
    </w:p>
    <w:p w14:paraId="650721BE" w14:textId="34CF6644" w:rsidR="000C1414" w:rsidRPr="000C1414" w:rsidRDefault="00023AB4">
      <w:pPr>
        <w:pStyle w:val="TOC3"/>
        <w:rPr>
          <w:rFonts w:eastAsiaTheme="minorEastAsia"/>
          <w:i w:val="0"/>
          <w:iCs w:val="0"/>
          <w:noProof/>
          <w:kern w:val="2"/>
          <w14:ligatures w14:val="standardContextual"/>
        </w:rPr>
      </w:pPr>
      <w:hyperlink w:anchor="_Toc184623003" w:history="1">
        <w:r w:rsidR="000C1414" w:rsidRPr="000C1414">
          <w:rPr>
            <w:rStyle w:val="Hyperlink"/>
            <w:i w:val="0"/>
            <w:iCs w:val="0"/>
            <w:noProof/>
            <w:u w:val="none"/>
          </w:rPr>
          <w:t>16.5.1</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Technical and Managerial Requirements for Resource Entity Applicants</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_Toc184623003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16-24</w:t>
        </w:r>
        <w:r w:rsidR="000C1414" w:rsidRPr="000C1414">
          <w:rPr>
            <w:i w:val="0"/>
            <w:iCs w:val="0"/>
            <w:noProof/>
            <w:webHidden/>
          </w:rPr>
          <w:fldChar w:fldCharType="end"/>
        </w:r>
      </w:hyperlink>
    </w:p>
    <w:p w14:paraId="5DA65987" w14:textId="5A1C76C1" w:rsidR="000C1414" w:rsidRPr="000C1414" w:rsidRDefault="00023AB4">
      <w:pPr>
        <w:pStyle w:val="TOC4"/>
        <w:rPr>
          <w:rFonts w:eastAsiaTheme="minorEastAsia"/>
          <w:kern w:val="2"/>
          <w:sz w:val="20"/>
          <w:szCs w:val="20"/>
          <w14:ligatures w14:val="standardContextual"/>
        </w:rPr>
      </w:pPr>
      <w:hyperlink w:anchor="_Toc184623004" w:history="1">
        <w:r w:rsidR="000C1414" w:rsidRPr="000C1414">
          <w:rPr>
            <w:rStyle w:val="Hyperlink"/>
            <w:sz w:val="20"/>
            <w:szCs w:val="20"/>
            <w:u w:val="none"/>
          </w:rPr>
          <w:t>16.5.1.1</w:t>
        </w:r>
        <w:r w:rsidR="000C1414" w:rsidRPr="000C1414">
          <w:rPr>
            <w:rFonts w:eastAsiaTheme="minorEastAsia"/>
            <w:kern w:val="2"/>
            <w:sz w:val="20"/>
            <w:szCs w:val="20"/>
            <w14:ligatures w14:val="standardContextual"/>
          </w:rPr>
          <w:tab/>
        </w:r>
        <w:r w:rsidR="000C1414" w:rsidRPr="000C1414">
          <w:rPr>
            <w:rStyle w:val="Hyperlink"/>
            <w:sz w:val="20"/>
            <w:szCs w:val="20"/>
            <w:u w:val="none"/>
          </w:rPr>
          <w:t>Designation of a Qualified Scheduling Entity</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_Toc184623004 \h </w:instrText>
        </w:r>
        <w:r w:rsidR="000C1414" w:rsidRPr="000C1414">
          <w:rPr>
            <w:webHidden/>
            <w:sz w:val="20"/>
            <w:szCs w:val="20"/>
          </w:rPr>
        </w:r>
        <w:r w:rsidR="000C1414" w:rsidRPr="000C1414">
          <w:rPr>
            <w:webHidden/>
            <w:sz w:val="20"/>
            <w:szCs w:val="20"/>
          </w:rPr>
          <w:fldChar w:fldCharType="separate"/>
        </w:r>
        <w:r>
          <w:rPr>
            <w:webHidden/>
            <w:sz w:val="20"/>
            <w:szCs w:val="20"/>
          </w:rPr>
          <w:t>16-24</w:t>
        </w:r>
        <w:r w:rsidR="000C1414" w:rsidRPr="000C1414">
          <w:rPr>
            <w:webHidden/>
            <w:sz w:val="20"/>
            <w:szCs w:val="20"/>
          </w:rPr>
          <w:fldChar w:fldCharType="end"/>
        </w:r>
      </w:hyperlink>
    </w:p>
    <w:p w14:paraId="51C57246" w14:textId="0B4D00F5" w:rsidR="000C1414" w:rsidRPr="000C1414" w:rsidRDefault="00023AB4">
      <w:pPr>
        <w:pStyle w:val="TOC4"/>
        <w:rPr>
          <w:rFonts w:eastAsiaTheme="minorEastAsia"/>
          <w:kern w:val="2"/>
          <w:sz w:val="20"/>
          <w:szCs w:val="20"/>
          <w14:ligatures w14:val="standardContextual"/>
        </w:rPr>
      </w:pPr>
      <w:hyperlink w:anchor="_Toc184623005" w:history="1">
        <w:r w:rsidR="000C1414" w:rsidRPr="000C1414">
          <w:rPr>
            <w:rStyle w:val="Hyperlink"/>
            <w:sz w:val="20"/>
            <w:szCs w:val="20"/>
            <w:u w:val="none"/>
          </w:rPr>
          <w:t>16.5.1.2</w:t>
        </w:r>
        <w:r w:rsidR="000C1414" w:rsidRPr="000C1414">
          <w:rPr>
            <w:rFonts w:eastAsiaTheme="minorEastAsia"/>
            <w:kern w:val="2"/>
            <w:sz w:val="20"/>
            <w:szCs w:val="20"/>
            <w14:ligatures w14:val="standardContextual"/>
          </w:rPr>
          <w:tab/>
        </w:r>
        <w:r w:rsidR="000C1414" w:rsidRPr="000C1414">
          <w:rPr>
            <w:rStyle w:val="Hyperlink"/>
            <w:sz w:val="20"/>
            <w:szCs w:val="20"/>
            <w:u w:val="none"/>
          </w:rPr>
          <w:t>Waiver for Federal Hydroelectric Facilities</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_Toc184623005 \h </w:instrText>
        </w:r>
        <w:r w:rsidR="000C1414" w:rsidRPr="000C1414">
          <w:rPr>
            <w:webHidden/>
            <w:sz w:val="20"/>
            <w:szCs w:val="20"/>
          </w:rPr>
        </w:r>
        <w:r w:rsidR="000C1414" w:rsidRPr="000C1414">
          <w:rPr>
            <w:webHidden/>
            <w:sz w:val="20"/>
            <w:szCs w:val="20"/>
          </w:rPr>
          <w:fldChar w:fldCharType="separate"/>
        </w:r>
        <w:r>
          <w:rPr>
            <w:webHidden/>
            <w:sz w:val="20"/>
            <w:szCs w:val="20"/>
          </w:rPr>
          <w:t>16-25</w:t>
        </w:r>
        <w:r w:rsidR="000C1414" w:rsidRPr="000C1414">
          <w:rPr>
            <w:webHidden/>
            <w:sz w:val="20"/>
            <w:szCs w:val="20"/>
          </w:rPr>
          <w:fldChar w:fldCharType="end"/>
        </w:r>
      </w:hyperlink>
    </w:p>
    <w:p w14:paraId="1EBDC64B" w14:textId="21284EE1" w:rsidR="000C1414" w:rsidRPr="000C1414" w:rsidRDefault="00023AB4">
      <w:pPr>
        <w:pStyle w:val="TOC4"/>
        <w:rPr>
          <w:rFonts w:eastAsiaTheme="minorEastAsia"/>
          <w:kern w:val="2"/>
          <w:sz w:val="20"/>
          <w:szCs w:val="20"/>
          <w14:ligatures w14:val="standardContextual"/>
        </w:rPr>
      </w:pPr>
      <w:hyperlink w:anchor="_Toc184623006" w:history="1">
        <w:r w:rsidR="000C1414" w:rsidRPr="000C1414">
          <w:rPr>
            <w:rStyle w:val="Hyperlink"/>
            <w:sz w:val="20"/>
            <w:szCs w:val="20"/>
            <w:u w:val="none"/>
          </w:rPr>
          <w:t>16.5.1.3</w:t>
        </w:r>
        <w:r w:rsidR="000C1414" w:rsidRPr="000C1414">
          <w:rPr>
            <w:rFonts w:eastAsiaTheme="minorEastAsia"/>
            <w:kern w:val="2"/>
            <w:sz w:val="20"/>
            <w:szCs w:val="20"/>
            <w14:ligatures w14:val="standardContextual"/>
          </w:rPr>
          <w:tab/>
        </w:r>
        <w:r w:rsidR="000C1414" w:rsidRPr="000C1414">
          <w:rPr>
            <w:rStyle w:val="Hyperlink"/>
            <w:sz w:val="20"/>
            <w:szCs w:val="20"/>
            <w:u w:val="none"/>
          </w:rPr>
          <w:t>Waiver for Block Load Transfer Resources</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_Toc184623006 \h </w:instrText>
        </w:r>
        <w:r w:rsidR="000C1414" w:rsidRPr="000C1414">
          <w:rPr>
            <w:webHidden/>
            <w:sz w:val="20"/>
            <w:szCs w:val="20"/>
          </w:rPr>
        </w:r>
        <w:r w:rsidR="000C1414" w:rsidRPr="000C1414">
          <w:rPr>
            <w:webHidden/>
            <w:sz w:val="20"/>
            <w:szCs w:val="20"/>
          </w:rPr>
          <w:fldChar w:fldCharType="separate"/>
        </w:r>
        <w:r>
          <w:rPr>
            <w:webHidden/>
            <w:sz w:val="20"/>
            <w:szCs w:val="20"/>
          </w:rPr>
          <w:t>16-26</w:t>
        </w:r>
        <w:r w:rsidR="000C1414" w:rsidRPr="000C1414">
          <w:rPr>
            <w:webHidden/>
            <w:sz w:val="20"/>
            <w:szCs w:val="20"/>
          </w:rPr>
          <w:fldChar w:fldCharType="end"/>
        </w:r>
      </w:hyperlink>
    </w:p>
    <w:p w14:paraId="716CDD12" w14:textId="65767563" w:rsidR="000C1414" w:rsidRPr="000C1414" w:rsidRDefault="00023AB4">
      <w:pPr>
        <w:pStyle w:val="TOC3"/>
        <w:rPr>
          <w:rFonts w:eastAsiaTheme="minorEastAsia"/>
          <w:i w:val="0"/>
          <w:iCs w:val="0"/>
          <w:noProof/>
          <w:kern w:val="2"/>
          <w14:ligatures w14:val="standardContextual"/>
        </w:rPr>
      </w:pPr>
      <w:hyperlink w:anchor="_Toc184623007" w:history="1">
        <w:r w:rsidR="000C1414" w:rsidRPr="000C1414">
          <w:rPr>
            <w:rStyle w:val="Hyperlink"/>
            <w:i w:val="0"/>
            <w:iCs w:val="0"/>
            <w:noProof/>
            <w:u w:val="none"/>
          </w:rPr>
          <w:t>16.5.2</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Registration Process for a Resource Entity</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_Toc184623007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16-26</w:t>
        </w:r>
        <w:r w:rsidR="000C1414" w:rsidRPr="000C1414">
          <w:rPr>
            <w:i w:val="0"/>
            <w:iCs w:val="0"/>
            <w:noProof/>
            <w:webHidden/>
          </w:rPr>
          <w:fldChar w:fldCharType="end"/>
        </w:r>
      </w:hyperlink>
    </w:p>
    <w:p w14:paraId="7869F3B9" w14:textId="0B518C59" w:rsidR="000C1414" w:rsidRPr="000C1414" w:rsidRDefault="00023AB4">
      <w:pPr>
        <w:pStyle w:val="TOC4"/>
        <w:rPr>
          <w:rFonts w:eastAsiaTheme="minorEastAsia"/>
          <w:kern w:val="2"/>
          <w:sz w:val="20"/>
          <w:szCs w:val="20"/>
          <w14:ligatures w14:val="standardContextual"/>
        </w:rPr>
      </w:pPr>
      <w:hyperlink w:anchor="_Toc184623008" w:history="1">
        <w:r w:rsidR="000C1414" w:rsidRPr="000C1414">
          <w:rPr>
            <w:rStyle w:val="Hyperlink"/>
            <w:sz w:val="20"/>
            <w:szCs w:val="20"/>
            <w:u w:val="none"/>
          </w:rPr>
          <w:t>16.5.2.1</w:t>
        </w:r>
        <w:r w:rsidR="000C1414" w:rsidRPr="000C1414">
          <w:rPr>
            <w:rFonts w:eastAsiaTheme="minorEastAsia"/>
            <w:kern w:val="2"/>
            <w:sz w:val="20"/>
            <w:szCs w:val="20"/>
            <w14:ligatures w14:val="standardContextual"/>
          </w:rPr>
          <w:tab/>
        </w:r>
        <w:r w:rsidR="000C1414" w:rsidRPr="000C1414">
          <w:rPr>
            <w:rStyle w:val="Hyperlink"/>
            <w:sz w:val="20"/>
            <w:szCs w:val="20"/>
            <w:u w:val="none"/>
          </w:rPr>
          <w:t>Notice of Receipt of Resource Entity Application</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_Toc184623008 \h </w:instrText>
        </w:r>
        <w:r w:rsidR="000C1414" w:rsidRPr="000C1414">
          <w:rPr>
            <w:webHidden/>
            <w:sz w:val="20"/>
            <w:szCs w:val="20"/>
          </w:rPr>
        </w:r>
        <w:r w:rsidR="000C1414" w:rsidRPr="000C1414">
          <w:rPr>
            <w:webHidden/>
            <w:sz w:val="20"/>
            <w:szCs w:val="20"/>
          </w:rPr>
          <w:fldChar w:fldCharType="separate"/>
        </w:r>
        <w:r>
          <w:rPr>
            <w:webHidden/>
            <w:sz w:val="20"/>
            <w:szCs w:val="20"/>
          </w:rPr>
          <w:t>16-27</w:t>
        </w:r>
        <w:r w:rsidR="000C1414" w:rsidRPr="000C1414">
          <w:rPr>
            <w:webHidden/>
            <w:sz w:val="20"/>
            <w:szCs w:val="20"/>
          </w:rPr>
          <w:fldChar w:fldCharType="end"/>
        </w:r>
      </w:hyperlink>
    </w:p>
    <w:p w14:paraId="13B7E789" w14:textId="4E73EC9B" w:rsidR="000C1414" w:rsidRPr="000C1414" w:rsidRDefault="00023AB4">
      <w:pPr>
        <w:pStyle w:val="TOC4"/>
        <w:rPr>
          <w:rFonts w:eastAsiaTheme="minorEastAsia"/>
          <w:kern w:val="2"/>
          <w:sz w:val="20"/>
          <w:szCs w:val="20"/>
          <w14:ligatures w14:val="standardContextual"/>
        </w:rPr>
      </w:pPr>
      <w:hyperlink w:anchor="_Toc184623009" w:history="1">
        <w:r w:rsidR="000C1414" w:rsidRPr="000C1414">
          <w:rPr>
            <w:rStyle w:val="Hyperlink"/>
            <w:sz w:val="20"/>
            <w:szCs w:val="20"/>
            <w:u w:val="none"/>
          </w:rPr>
          <w:t>16.5.2.2</w:t>
        </w:r>
        <w:r w:rsidR="000C1414" w:rsidRPr="000C1414">
          <w:rPr>
            <w:rFonts w:eastAsiaTheme="minorEastAsia"/>
            <w:kern w:val="2"/>
            <w:sz w:val="20"/>
            <w:szCs w:val="20"/>
            <w14:ligatures w14:val="standardContextual"/>
          </w:rPr>
          <w:tab/>
        </w:r>
        <w:r w:rsidR="000C1414" w:rsidRPr="000C1414">
          <w:rPr>
            <w:rStyle w:val="Hyperlink"/>
            <w:sz w:val="20"/>
            <w:szCs w:val="20"/>
            <w:u w:val="none"/>
          </w:rPr>
          <w:t>Incomplete Resource Entity Applications</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_Toc184623009 \h </w:instrText>
        </w:r>
        <w:r w:rsidR="000C1414" w:rsidRPr="000C1414">
          <w:rPr>
            <w:webHidden/>
            <w:sz w:val="20"/>
            <w:szCs w:val="20"/>
          </w:rPr>
        </w:r>
        <w:r w:rsidR="000C1414" w:rsidRPr="000C1414">
          <w:rPr>
            <w:webHidden/>
            <w:sz w:val="20"/>
            <w:szCs w:val="20"/>
          </w:rPr>
          <w:fldChar w:fldCharType="separate"/>
        </w:r>
        <w:r>
          <w:rPr>
            <w:webHidden/>
            <w:sz w:val="20"/>
            <w:szCs w:val="20"/>
          </w:rPr>
          <w:t>16-27</w:t>
        </w:r>
        <w:r w:rsidR="000C1414" w:rsidRPr="000C1414">
          <w:rPr>
            <w:webHidden/>
            <w:sz w:val="20"/>
            <w:szCs w:val="20"/>
          </w:rPr>
          <w:fldChar w:fldCharType="end"/>
        </w:r>
      </w:hyperlink>
    </w:p>
    <w:p w14:paraId="113A38D5" w14:textId="12EC130E" w:rsidR="000C1414" w:rsidRPr="000C1414" w:rsidRDefault="00023AB4">
      <w:pPr>
        <w:pStyle w:val="TOC3"/>
        <w:rPr>
          <w:rFonts w:eastAsiaTheme="minorEastAsia"/>
          <w:i w:val="0"/>
          <w:iCs w:val="0"/>
          <w:noProof/>
          <w:kern w:val="2"/>
          <w14:ligatures w14:val="standardContextual"/>
        </w:rPr>
      </w:pPr>
      <w:hyperlink w:anchor="_Toc184623010" w:history="1">
        <w:r w:rsidR="000C1414" w:rsidRPr="000C1414">
          <w:rPr>
            <w:rStyle w:val="Hyperlink"/>
            <w:i w:val="0"/>
            <w:iCs w:val="0"/>
            <w:noProof/>
            <w:u w:val="none"/>
          </w:rPr>
          <w:t>16.5.3</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Changing QSE Designation</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_Toc184623010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16-28</w:t>
        </w:r>
        <w:r w:rsidR="000C1414" w:rsidRPr="000C1414">
          <w:rPr>
            <w:i w:val="0"/>
            <w:iCs w:val="0"/>
            <w:noProof/>
            <w:webHidden/>
          </w:rPr>
          <w:fldChar w:fldCharType="end"/>
        </w:r>
      </w:hyperlink>
    </w:p>
    <w:p w14:paraId="01A2F07D" w14:textId="6800A1FC" w:rsidR="000C1414" w:rsidRPr="000C1414" w:rsidRDefault="00023AB4">
      <w:pPr>
        <w:pStyle w:val="TOC3"/>
        <w:rPr>
          <w:rFonts w:eastAsiaTheme="minorEastAsia"/>
          <w:i w:val="0"/>
          <w:iCs w:val="0"/>
          <w:noProof/>
          <w:kern w:val="2"/>
          <w14:ligatures w14:val="standardContextual"/>
        </w:rPr>
      </w:pPr>
      <w:hyperlink w:anchor="_Toc184623011" w:history="1">
        <w:r w:rsidR="000C1414" w:rsidRPr="000C1414">
          <w:rPr>
            <w:rStyle w:val="Hyperlink"/>
            <w:i w:val="0"/>
            <w:iCs w:val="0"/>
            <w:noProof/>
            <w:u w:val="none"/>
          </w:rPr>
          <w:t>16.5.4</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Maintaining and Updating Resource Entity Information</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_Toc184623011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16-29</w:t>
        </w:r>
        <w:r w:rsidR="000C1414" w:rsidRPr="000C1414">
          <w:rPr>
            <w:i w:val="0"/>
            <w:iCs w:val="0"/>
            <w:noProof/>
            <w:webHidden/>
          </w:rPr>
          <w:fldChar w:fldCharType="end"/>
        </w:r>
      </w:hyperlink>
    </w:p>
    <w:p w14:paraId="62F0AC39" w14:textId="7DBA15F2" w:rsidR="000C1414" w:rsidRPr="000C1414" w:rsidRDefault="00023AB4">
      <w:pPr>
        <w:pStyle w:val="TOC2"/>
        <w:rPr>
          <w:rFonts w:eastAsiaTheme="minorEastAsia"/>
          <w:kern w:val="2"/>
          <w14:ligatures w14:val="standardContextual"/>
        </w:rPr>
      </w:pPr>
      <w:hyperlink w:anchor="_Toc184623012" w:history="1">
        <w:r w:rsidR="000C1414" w:rsidRPr="000C1414">
          <w:rPr>
            <w:rStyle w:val="Hyperlink"/>
            <w:u w:val="none"/>
          </w:rPr>
          <w:t>16.6</w:t>
        </w:r>
        <w:r w:rsidR="000C1414" w:rsidRPr="000C1414">
          <w:rPr>
            <w:rFonts w:eastAsiaTheme="minorEastAsia"/>
            <w:kern w:val="2"/>
            <w14:ligatures w14:val="standardContextual"/>
          </w:rPr>
          <w:tab/>
        </w:r>
        <w:r w:rsidR="000C1414" w:rsidRPr="000C1414">
          <w:rPr>
            <w:rStyle w:val="Hyperlink"/>
            <w:u w:val="none"/>
          </w:rPr>
          <w:t>Registration of Municipally Owned Utilities and Electric Cooperatives in the ERCOT Region</w:t>
        </w:r>
        <w:r w:rsidR="000C1414" w:rsidRPr="000C1414">
          <w:rPr>
            <w:webHidden/>
          </w:rPr>
          <w:tab/>
        </w:r>
        <w:r w:rsidR="000C1414" w:rsidRPr="000C1414">
          <w:rPr>
            <w:webHidden/>
          </w:rPr>
          <w:fldChar w:fldCharType="begin"/>
        </w:r>
        <w:r w:rsidR="000C1414" w:rsidRPr="000C1414">
          <w:rPr>
            <w:webHidden/>
          </w:rPr>
          <w:instrText xml:space="preserve"> PAGEREF _Toc184623012 \h </w:instrText>
        </w:r>
        <w:r w:rsidR="000C1414" w:rsidRPr="000C1414">
          <w:rPr>
            <w:webHidden/>
          </w:rPr>
        </w:r>
        <w:r w:rsidR="000C1414" w:rsidRPr="000C1414">
          <w:rPr>
            <w:webHidden/>
          </w:rPr>
          <w:fldChar w:fldCharType="separate"/>
        </w:r>
        <w:r>
          <w:rPr>
            <w:webHidden/>
          </w:rPr>
          <w:t>16-29</w:t>
        </w:r>
        <w:r w:rsidR="000C1414" w:rsidRPr="000C1414">
          <w:rPr>
            <w:webHidden/>
          </w:rPr>
          <w:fldChar w:fldCharType="end"/>
        </w:r>
      </w:hyperlink>
    </w:p>
    <w:p w14:paraId="460BE51E" w14:textId="12DBA0E3" w:rsidR="000C1414" w:rsidRPr="000C1414" w:rsidRDefault="00023AB4">
      <w:pPr>
        <w:pStyle w:val="TOC2"/>
        <w:rPr>
          <w:rFonts w:eastAsiaTheme="minorEastAsia"/>
          <w:kern w:val="2"/>
          <w14:ligatures w14:val="standardContextual"/>
        </w:rPr>
      </w:pPr>
      <w:hyperlink w:anchor="_Toc184623013" w:history="1">
        <w:r w:rsidR="000C1414" w:rsidRPr="000C1414">
          <w:rPr>
            <w:rStyle w:val="Hyperlink"/>
            <w:u w:val="none"/>
          </w:rPr>
          <w:t>16.7</w:t>
        </w:r>
        <w:r w:rsidR="000C1414" w:rsidRPr="000C1414">
          <w:rPr>
            <w:rFonts w:eastAsiaTheme="minorEastAsia"/>
            <w:kern w:val="2"/>
            <w14:ligatures w14:val="standardContextual"/>
          </w:rPr>
          <w:tab/>
        </w:r>
        <w:r w:rsidR="000C1414" w:rsidRPr="000C1414">
          <w:rPr>
            <w:rStyle w:val="Hyperlink"/>
            <w:u w:val="none"/>
          </w:rPr>
          <w:t>Registration of Renewable Energy Credit Account Holders</w:t>
        </w:r>
        <w:r w:rsidR="000C1414" w:rsidRPr="000C1414">
          <w:rPr>
            <w:webHidden/>
          </w:rPr>
          <w:tab/>
        </w:r>
        <w:r w:rsidR="000C1414" w:rsidRPr="000C1414">
          <w:rPr>
            <w:webHidden/>
          </w:rPr>
          <w:fldChar w:fldCharType="begin"/>
        </w:r>
        <w:r w:rsidR="000C1414" w:rsidRPr="000C1414">
          <w:rPr>
            <w:webHidden/>
          </w:rPr>
          <w:instrText xml:space="preserve"> PAGEREF _Toc184623013 \h </w:instrText>
        </w:r>
        <w:r w:rsidR="000C1414" w:rsidRPr="000C1414">
          <w:rPr>
            <w:webHidden/>
          </w:rPr>
        </w:r>
        <w:r w:rsidR="000C1414" w:rsidRPr="000C1414">
          <w:rPr>
            <w:webHidden/>
          </w:rPr>
          <w:fldChar w:fldCharType="separate"/>
        </w:r>
        <w:r>
          <w:rPr>
            <w:webHidden/>
          </w:rPr>
          <w:t>16-30</w:t>
        </w:r>
        <w:r w:rsidR="000C1414" w:rsidRPr="000C1414">
          <w:rPr>
            <w:webHidden/>
          </w:rPr>
          <w:fldChar w:fldCharType="end"/>
        </w:r>
      </w:hyperlink>
    </w:p>
    <w:p w14:paraId="5161901B" w14:textId="7ED7029A" w:rsidR="000C1414" w:rsidRPr="000C1414" w:rsidRDefault="00023AB4">
      <w:pPr>
        <w:pStyle w:val="TOC2"/>
        <w:rPr>
          <w:rFonts w:eastAsiaTheme="minorEastAsia"/>
          <w:kern w:val="2"/>
          <w14:ligatures w14:val="standardContextual"/>
        </w:rPr>
      </w:pPr>
      <w:hyperlink w:anchor="_Toc184623014" w:history="1">
        <w:r w:rsidR="000C1414" w:rsidRPr="000C1414">
          <w:rPr>
            <w:rStyle w:val="Hyperlink"/>
            <w:u w:val="none"/>
          </w:rPr>
          <w:t>16.8</w:t>
        </w:r>
        <w:r w:rsidR="000C1414" w:rsidRPr="000C1414">
          <w:rPr>
            <w:rFonts w:eastAsiaTheme="minorEastAsia"/>
            <w:kern w:val="2"/>
            <w14:ligatures w14:val="standardContextual"/>
          </w:rPr>
          <w:tab/>
        </w:r>
        <w:r w:rsidR="000C1414" w:rsidRPr="000C1414">
          <w:rPr>
            <w:rStyle w:val="Hyperlink"/>
            <w:u w:val="none"/>
          </w:rPr>
          <w:t>Registration and Qualification of Congestion Revenue Rights Account Holders</w:t>
        </w:r>
        <w:r w:rsidR="000C1414" w:rsidRPr="000C1414">
          <w:rPr>
            <w:webHidden/>
          </w:rPr>
          <w:tab/>
        </w:r>
        <w:r w:rsidR="000C1414" w:rsidRPr="000C1414">
          <w:rPr>
            <w:webHidden/>
          </w:rPr>
          <w:fldChar w:fldCharType="begin"/>
        </w:r>
        <w:r w:rsidR="000C1414" w:rsidRPr="000C1414">
          <w:rPr>
            <w:webHidden/>
          </w:rPr>
          <w:instrText xml:space="preserve"> PAGEREF _Toc184623014 \h </w:instrText>
        </w:r>
        <w:r w:rsidR="000C1414" w:rsidRPr="000C1414">
          <w:rPr>
            <w:webHidden/>
          </w:rPr>
        </w:r>
        <w:r w:rsidR="000C1414" w:rsidRPr="000C1414">
          <w:rPr>
            <w:webHidden/>
          </w:rPr>
          <w:fldChar w:fldCharType="separate"/>
        </w:r>
        <w:r>
          <w:rPr>
            <w:webHidden/>
          </w:rPr>
          <w:t>16-30</w:t>
        </w:r>
        <w:r w:rsidR="000C1414" w:rsidRPr="000C1414">
          <w:rPr>
            <w:webHidden/>
          </w:rPr>
          <w:fldChar w:fldCharType="end"/>
        </w:r>
      </w:hyperlink>
    </w:p>
    <w:p w14:paraId="26E23E57" w14:textId="58A2FE4C" w:rsidR="000C1414" w:rsidRPr="000C1414" w:rsidRDefault="00023AB4">
      <w:pPr>
        <w:pStyle w:val="TOC3"/>
        <w:rPr>
          <w:rFonts w:eastAsiaTheme="minorEastAsia"/>
          <w:i w:val="0"/>
          <w:iCs w:val="0"/>
          <w:noProof/>
          <w:kern w:val="2"/>
          <w14:ligatures w14:val="standardContextual"/>
        </w:rPr>
      </w:pPr>
      <w:hyperlink w:anchor="_Toc184623015" w:history="1">
        <w:r w:rsidR="000C1414" w:rsidRPr="000C1414">
          <w:rPr>
            <w:rStyle w:val="Hyperlink"/>
            <w:i w:val="0"/>
            <w:iCs w:val="0"/>
            <w:noProof/>
            <w:u w:val="none"/>
          </w:rPr>
          <w:t>16.8.1</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Criteria for Qualification as a CRR Account Holder</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_Toc184623015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16-30</w:t>
        </w:r>
        <w:r w:rsidR="000C1414" w:rsidRPr="000C1414">
          <w:rPr>
            <w:i w:val="0"/>
            <w:iCs w:val="0"/>
            <w:noProof/>
            <w:webHidden/>
          </w:rPr>
          <w:fldChar w:fldCharType="end"/>
        </w:r>
      </w:hyperlink>
    </w:p>
    <w:p w14:paraId="507E63F9" w14:textId="7D6419B1" w:rsidR="000C1414" w:rsidRPr="000C1414" w:rsidRDefault="00023AB4">
      <w:pPr>
        <w:pStyle w:val="TOC3"/>
        <w:rPr>
          <w:rFonts w:eastAsiaTheme="minorEastAsia"/>
          <w:i w:val="0"/>
          <w:iCs w:val="0"/>
          <w:noProof/>
          <w:kern w:val="2"/>
          <w14:ligatures w14:val="standardContextual"/>
        </w:rPr>
      </w:pPr>
      <w:hyperlink w:anchor="_Toc184623016" w:history="1">
        <w:r w:rsidR="000C1414" w:rsidRPr="000C1414">
          <w:rPr>
            <w:rStyle w:val="Hyperlink"/>
            <w:i w:val="0"/>
            <w:iCs w:val="0"/>
            <w:noProof/>
            <w:u w:val="none"/>
          </w:rPr>
          <w:t>16.8.2</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CRR Account Holder Application Process</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_Toc184623016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16-33</w:t>
        </w:r>
        <w:r w:rsidR="000C1414" w:rsidRPr="000C1414">
          <w:rPr>
            <w:i w:val="0"/>
            <w:iCs w:val="0"/>
            <w:noProof/>
            <w:webHidden/>
          </w:rPr>
          <w:fldChar w:fldCharType="end"/>
        </w:r>
      </w:hyperlink>
    </w:p>
    <w:p w14:paraId="1BCE3587" w14:textId="148A1591" w:rsidR="000C1414" w:rsidRPr="000C1414" w:rsidRDefault="00023AB4">
      <w:pPr>
        <w:pStyle w:val="TOC4"/>
        <w:rPr>
          <w:rFonts w:eastAsiaTheme="minorEastAsia"/>
          <w:kern w:val="2"/>
          <w:sz w:val="20"/>
          <w:szCs w:val="20"/>
          <w14:ligatures w14:val="standardContextual"/>
        </w:rPr>
      </w:pPr>
      <w:hyperlink w:anchor="_Toc184623017" w:history="1">
        <w:r w:rsidR="000C1414" w:rsidRPr="000C1414">
          <w:rPr>
            <w:rStyle w:val="Hyperlink"/>
            <w:sz w:val="20"/>
            <w:szCs w:val="20"/>
            <w:u w:val="none"/>
          </w:rPr>
          <w:t>16.8.2.1</w:t>
        </w:r>
        <w:r w:rsidR="000C1414" w:rsidRPr="000C1414">
          <w:rPr>
            <w:rFonts w:eastAsiaTheme="minorEastAsia"/>
            <w:kern w:val="2"/>
            <w:sz w:val="20"/>
            <w:szCs w:val="20"/>
            <w14:ligatures w14:val="standardContextual"/>
          </w:rPr>
          <w:tab/>
        </w:r>
        <w:r w:rsidR="000C1414" w:rsidRPr="000C1414">
          <w:rPr>
            <w:rStyle w:val="Hyperlink"/>
            <w:sz w:val="20"/>
            <w:szCs w:val="20"/>
            <w:u w:val="none"/>
          </w:rPr>
          <w:t>Notice of Receipt of CRR Account Holder Application</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_Toc184623017 \h </w:instrText>
        </w:r>
        <w:r w:rsidR="000C1414" w:rsidRPr="000C1414">
          <w:rPr>
            <w:webHidden/>
            <w:sz w:val="20"/>
            <w:szCs w:val="20"/>
          </w:rPr>
        </w:r>
        <w:r w:rsidR="000C1414" w:rsidRPr="000C1414">
          <w:rPr>
            <w:webHidden/>
            <w:sz w:val="20"/>
            <w:szCs w:val="20"/>
          </w:rPr>
          <w:fldChar w:fldCharType="separate"/>
        </w:r>
        <w:r>
          <w:rPr>
            <w:webHidden/>
            <w:sz w:val="20"/>
            <w:szCs w:val="20"/>
          </w:rPr>
          <w:t>16-33</w:t>
        </w:r>
        <w:r w:rsidR="000C1414" w:rsidRPr="000C1414">
          <w:rPr>
            <w:webHidden/>
            <w:sz w:val="20"/>
            <w:szCs w:val="20"/>
          </w:rPr>
          <w:fldChar w:fldCharType="end"/>
        </w:r>
      </w:hyperlink>
    </w:p>
    <w:p w14:paraId="50E84F5D" w14:textId="66CDC787" w:rsidR="000C1414" w:rsidRPr="000C1414" w:rsidRDefault="00023AB4">
      <w:pPr>
        <w:pStyle w:val="TOC4"/>
        <w:rPr>
          <w:rFonts w:eastAsiaTheme="minorEastAsia"/>
          <w:kern w:val="2"/>
          <w:sz w:val="20"/>
          <w:szCs w:val="20"/>
          <w14:ligatures w14:val="standardContextual"/>
        </w:rPr>
      </w:pPr>
      <w:hyperlink w:anchor="_Toc184623018" w:history="1">
        <w:r w:rsidR="000C1414" w:rsidRPr="000C1414">
          <w:rPr>
            <w:rStyle w:val="Hyperlink"/>
            <w:sz w:val="20"/>
            <w:szCs w:val="20"/>
            <w:u w:val="none"/>
          </w:rPr>
          <w:t>16.8.2.2</w:t>
        </w:r>
        <w:r w:rsidR="000C1414" w:rsidRPr="000C1414">
          <w:rPr>
            <w:rFonts w:eastAsiaTheme="minorEastAsia"/>
            <w:kern w:val="2"/>
            <w:sz w:val="20"/>
            <w:szCs w:val="20"/>
            <w14:ligatures w14:val="standardContextual"/>
          </w:rPr>
          <w:tab/>
        </w:r>
        <w:r w:rsidR="000C1414" w:rsidRPr="000C1414">
          <w:rPr>
            <w:rStyle w:val="Hyperlink"/>
            <w:sz w:val="20"/>
            <w:szCs w:val="20"/>
            <w:u w:val="none"/>
          </w:rPr>
          <w:t>Incomplete CRR Account Holder Applications</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_Toc184623018 \h </w:instrText>
        </w:r>
        <w:r w:rsidR="000C1414" w:rsidRPr="000C1414">
          <w:rPr>
            <w:webHidden/>
            <w:sz w:val="20"/>
            <w:szCs w:val="20"/>
          </w:rPr>
        </w:r>
        <w:r w:rsidR="000C1414" w:rsidRPr="000C1414">
          <w:rPr>
            <w:webHidden/>
            <w:sz w:val="20"/>
            <w:szCs w:val="20"/>
          </w:rPr>
          <w:fldChar w:fldCharType="separate"/>
        </w:r>
        <w:r>
          <w:rPr>
            <w:webHidden/>
            <w:sz w:val="20"/>
            <w:szCs w:val="20"/>
          </w:rPr>
          <w:t>16-33</w:t>
        </w:r>
        <w:r w:rsidR="000C1414" w:rsidRPr="000C1414">
          <w:rPr>
            <w:webHidden/>
            <w:sz w:val="20"/>
            <w:szCs w:val="20"/>
          </w:rPr>
          <w:fldChar w:fldCharType="end"/>
        </w:r>
      </w:hyperlink>
    </w:p>
    <w:p w14:paraId="7B397C05" w14:textId="77C9703F" w:rsidR="000C1414" w:rsidRPr="000C1414" w:rsidRDefault="00023AB4">
      <w:pPr>
        <w:pStyle w:val="TOC4"/>
        <w:rPr>
          <w:rFonts w:eastAsiaTheme="minorEastAsia"/>
          <w:kern w:val="2"/>
          <w:sz w:val="20"/>
          <w:szCs w:val="20"/>
          <w14:ligatures w14:val="standardContextual"/>
        </w:rPr>
      </w:pPr>
      <w:hyperlink w:anchor="_Toc184623019" w:history="1">
        <w:r w:rsidR="000C1414" w:rsidRPr="000C1414">
          <w:rPr>
            <w:rStyle w:val="Hyperlink"/>
            <w:sz w:val="20"/>
            <w:szCs w:val="20"/>
            <w:u w:val="none"/>
          </w:rPr>
          <w:t>16.8.2.3</w:t>
        </w:r>
        <w:r w:rsidR="000C1414" w:rsidRPr="000C1414">
          <w:rPr>
            <w:rFonts w:eastAsiaTheme="minorEastAsia"/>
            <w:kern w:val="2"/>
            <w:sz w:val="20"/>
            <w:szCs w:val="20"/>
            <w14:ligatures w14:val="standardContextual"/>
          </w:rPr>
          <w:tab/>
        </w:r>
        <w:r w:rsidR="000C1414" w:rsidRPr="000C1414">
          <w:rPr>
            <w:rStyle w:val="Hyperlink"/>
            <w:sz w:val="20"/>
            <w:szCs w:val="20"/>
            <w:u w:val="none"/>
          </w:rPr>
          <w:t>ERCOT Approval or Rejection of CRR Account Holder Application</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_Toc184623019 \h </w:instrText>
        </w:r>
        <w:r w:rsidR="000C1414" w:rsidRPr="000C1414">
          <w:rPr>
            <w:webHidden/>
            <w:sz w:val="20"/>
            <w:szCs w:val="20"/>
          </w:rPr>
        </w:r>
        <w:r w:rsidR="000C1414" w:rsidRPr="000C1414">
          <w:rPr>
            <w:webHidden/>
            <w:sz w:val="20"/>
            <w:szCs w:val="20"/>
          </w:rPr>
          <w:fldChar w:fldCharType="separate"/>
        </w:r>
        <w:r>
          <w:rPr>
            <w:webHidden/>
            <w:sz w:val="20"/>
            <w:szCs w:val="20"/>
          </w:rPr>
          <w:t>16-34</w:t>
        </w:r>
        <w:r w:rsidR="000C1414" w:rsidRPr="000C1414">
          <w:rPr>
            <w:webHidden/>
            <w:sz w:val="20"/>
            <w:szCs w:val="20"/>
          </w:rPr>
          <w:fldChar w:fldCharType="end"/>
        </w:r>
      </w:hyperlink>
    </w:p>
    <w:p w14:paraId="6757D8D4" w14:textId="576CA3ED" w:rsidR="000C1414" w:rsidRPr="000C1414" w:rsidRDefault="00023AB4">
      <w:pPr>
        <w:pStyle w:val="TOC3"/>
        <w:rPr>
          <w:rFonts w:eastAsiaTheme="minorEastAsia"/>
          <w:i w:val="0"/>
          <w:iCs w:val="0"/>
          <w:noProof/>
          <w:kern w:val="2"/>
          <w14:ligatures w14:val="standardContextual"/>
        </w:rPr>
      </w:pPr>
      <w:hyperlink w:anchor="_Toc184623020" w:history="1">
        <w:r w:rsidR="000C1414" w:rsidRPr="000C1414">
          <w:rPr>
            <w:rStyle w:val="Hyperlink"/>
            <w:i w:val="0"/>
            <w:iCs w:val="0"/>
            <w:noProof/>
            <w:u w:val="none"/>
          </w:rPr>
          <w:t>16.8.3</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Remaining Steps for CRR Account Holder Registration</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_Toc184623020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16-35</w:t>
        </w:r>
        <w:r w:rsidR="000C1414" w:rsidRPr="000C1414">
          <w:rPr>
            <w:i w:val="0"/>
            <w:iCs w:val="0"/>
            <w:noProof/>
            <w:webHidden/>
          </w:rPr>
          <w:fldChar w:fldCharType="end"/>
        </w:r>
      </w:hyperlink>
    </w:p>
    <w:p w14:paraId="30263786" w14:textId="2FAE01C8" w:rsidR="000C1414" w:rsidRPr="000C1414" w:rsidRDefault="00023AB4">
      <w:pPr>
        <w:pStyle w:val="TOC4"/>
        <w:rPr>
          <w:rFonts w:eastAsiaTheme="minorEastAsia"/>
          <w:kern w:val="2"/>
          <w:sz w:val="20"/>
          <w:szCs w:val="20"/>
          <w14:ligatures w14:val="standardContextual"/>
        </w:rPr>
      </w:pPr>
      <w:hyperlink w:anchor="_Toc184623021" w:history="1">
        <w:r w:rsidR="000C1414" w:rsidRPr="000C1414">
          <w:rPr>
            <w:rStyle w:val="Hyperlink"/>
            <w:sz w:val="20"/>
            <w:szCs w:val="20"/>
            <w:u w:val="none"/>
          </w:rPr>
          <w:t>16.8.3.1</w:t>
        </w:r>
        <w:r w:rsidR="000C1414" w:rsidRPr="000C1414">
          <w:rPr>
            <w:rFonts w:eastAsiaTheme="minorEastAsia"/>
            <w:kern w:val="2"/>
            <w:sz w:val="20"/>
            <w:szCs w:val="20"/>
            <w14:ligatures w14:val="standardContextual"/>
          </w:rPr>
          <w:tab/>
        </w:r>
        <w:r w:rsidR="000C1414" w:rsidRPr="000C1414">
          <w:rPr>
            <w:rStyle w:val="Hyperlink"/>
            <w:sz w:val="20"/>
            <w:szCs w:val="20"/>
            <w:u w:val="none"/>
          </w:rPr>
          <w:t>Maintaining and Updating CRR Account Holder Information</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_Toc184623021 \h </w:instrText>
        </w:r>
        <w:r w:rsidR="000C1414" w:rsidRPr="000C1414">
          <w:rPr>
            <w:webHidden/>
            <w:sz w:val="20"/>
            <w:szCs w:val="20"/>
          </w:rPr>
        </w:r>
        <w:r w:rsidR="000C1414" w:rsidRPr="000C1414">
          <w:rPr>
            <w:webHidden/>
            <w:sz w:val="20"/>
            <w:szCs w:val="20"/>
          </w:rPr>
          <w:fldChar w:fldCharType="separate"/>
        </w:r>
        <w:r>
          <w:rPr>
            <w:webHidden/>
            <w:sz w:val="20"/>
            <w:szCs w:val="20"/>
          </w:rPr>
          <w:t>16-35</w:t>
        </w:r>
        <w:r w:rsidR="000C1414" w:rsidRPr="000C1414">
          <w:rPr>
            <w:webHidden/>
            <w:sz w:val="20"/>
            <w:szCs w:val="20"/>
          </w:rPr>
          <w:fldChar w:fldCharType="end"/>
        </w:r>
      </w:hyperlink>
    </w:p>
    <w:p w14:paraId="452CE8D8" w14:textId="7AECB3C5" w:rsidR="000C1414" w:rsidRPr="000C1414" w:rsidRDefault="00023AB4">
      <w:pPr>
        <w:pStyle w:val="TOC2"/>
        <w:rPr>
          <w:rFonts w:eastAsiaTheme="minorEastAsia"/>
          <w:kern w:val="2"/>
          <w14:ligatures w14:val="standardContextual"/>
        </w:rPr>
      </w:pPr>
      <w:hyperlink w:anchor="_Toc184623022" w:history="1">
        <w:r w:rsidR="000C1414" w:rsidRPr="000C1414">
          <w:rPr>
            <w:rStyle w:val="Hyperlink"/>
            <w:u w:val="none"/>
          </w:rPr>
          <w:t>16.9</w:t>
        </w:r>
        <w:r w:rsidR="000C1414" w:rsidRPr="000C1414">
          <w:rPr>
            <w:rFonts w:eastAsiaTheme="minorEastAsia"/>
            <w:kern w:val="2"/>
            <w14:ligatures w14:val="standardContextual"/>
          </w:rPr>
          <w:tab/>
        </w:r>
        <w:r w:rsidR="000C1414" w:rsidRPr="000C1414">
          <w:rPr>
            <w:rStyle w:val="Hyperlink"/>
            <w:u w:val="none"/>
          </w:rPr>
          <w:t>Resources Providing Reliability Must-Run Service</w:t>
        </w:r>
        <w:r w:rsidR="000C1414" w:rsidRPr="000C1414">
          <w:rPr>
            <w:webHidden/>
          </w:rPr>
          <w:tab/>
        </w:r>
        <w:r w:rsidR="000C1414" w:rsidRPr="000C1414">
          <w:rPr>
            <w:webHidden/>
          </w:rPr>
          <w:fldChar w:fldCharType="begin"/>
        </w:r>
        <w:r w:rsidR="000C1414" w:rsidRPr="000C1414">
          <w:rPr>
            <w:webHidden/>
          </w:rPr>
          <w:instrText xml:space="preserve"> PAGEREF _Toc184623022 \h </w:instrText>
        </w:r>
        <w:r w:rsidR="000C1414" w:rsidRPr="000C1414">
          <w:rPr>
            <w:webHidden/>
          </w:rPr>
        </w:r>
        <w:r w:rsidR="000C1414" w:rsidRPr="000C1414">
          <w:rPr>
            <w:webHidden/>
          </w:rPr>
          <w:fldChar w:fldCharType="separate"/>
        </w:r>
        <w:r>
          <w:rPr>
            <w:webHidden/>
          </w:rPr>
          <w:t>16-35</w:t>
        </w:r>
        <w:r w:rsidR="000C1414" w:rsidRPr="000C1414">
          <w:rPr>
            <w:webHidden/>
          </w:rPr>
          <w:fldChar w:fldCharType="end"/>
        </w:r>
      </w:hyperlink>
    </w:p>
    <w:p w14:paraId="66ED8626" w14:textId="11525A0D" w:rsidR="000C1414" w:rsidRPr="000C1414" w:rsidRDefault="00023AB4">
      <w:pPr>
        <w:pStyle w:val="TOC2"/>
        <w:rPr>
          <w:rFonts w:eastAsiaTheme="minorEastAsia"/>
          <w:kern w:val="2"/>
          <w14:ligatures w14:val="standardContextual"/>
        </w:rPr>
      </w:pPr>
      <w:hyperlink w:anchor="_Toc184623023" w:history="1">
        <w:r w:rsidR="000C1414" w:rsidRPr="000C1414">
          <w:rPr>
            <w:rStyle w:val="Hyperlink"/>
            <w:u w:val="none"/>
          </w:rPr>
          <w:t>16.10</w:t>
        </w:r>
        <w:r w:rsidR="000C1414" w:rsidRPr="000C1414">
          <w:rPr>
            <w:rFonts w:eastAsiaTheme="minorEastAsia"/>
            <w:kern w:val="2"/>
            <w14:ligatures w14:val="standardContextual"/>
          </w:rPr>
          <w:tab/>
        </w:r>
        <w:r w:rsidR="000C1414" w:rsidRPr="000C1414">
          <w:rPr>
            <w:rStyle w:val="Hyperlink"/>
            <w:u w:val="none"/>
          </w:rPr>
          <w:t>Resources Providing Black Start Service</w:t>
        </w:r>
        <w:r w:rsidR="000C1414" w:rsidRPr="000C1414">
          <w:rPr>
            <w:webHidden/>
          </w:rPr>
          <w:tab/>
        </w:r>
        <w:r w:rsidR="000C1414" w:rsidRPr="000C1414">
          <w:rPr>
            <w:webHidden/>
          </w:rPr>
          <w:fldChar w:fldCharType="begin"/>
        </w:r>
        <w:r w:rsidR="000C1414" w:rsidRPr="000C1414">
          <w:rPr>
            <w:webHidden/>
          </w:rPr>
          <w:instrText xml:space="preserve"> PAGEREF _Toc184623023 \h </w:instrText>
        </w:r>
        <w:r w:rsidR="000C1414" w:rsidRPr="000C1414">
          <w:rPr>
            <w:webHidden/>
          </w:rPr>
        </w:r>
        <w:r w:rsidR="000C1414" w:rsidRPr="000C1414">
          <w:rPr>
            <w:webHidden/>
          </w:rPr>
          <w:fldChar w:fldCharType="separate"/>
        </w:r>
        <w:r>
          <w:rPr>
            <w:webHidden/>
          </w:rPr>
          <w:t>16-35</w:t>
        </w:r>
        <w:r w:rsidR="000C1414" w:rsidRPr="000C1414">
          <w:rPr>
            <w:webHidden/>
          </w:rPr>
          <w:fldChar w:fldCharType="end"/>
        </w:r>
      </w:hyperlink>
    </w:p>
    <w:p w14:paraId="41405E49" w14:textId="4B481CDF" w:rsidR="000C1414" w:rsidRPr="000C1414" w:rsidRDefault="00023AB4">
      <w:pPr>
        <w:pStyle w:val="TOC2"/>
        <w:rPr>
          <w:rFonts w:eastAsiaTheme="minorEastAsia"/>
          <w:kern w:val="2"/>
          <w14:ligatures w14:val="standardContextual"/>
        </w:rPr>
      </w:pPr>
      <w:hyperlink w:anchor="_Toc184623024" w:history="1">
        <w:r w:rsidR="000C1414" w:rsidRPr="000C1414">
          <w:rPr>
            <w:rStyle w:val="Hyperlink"/>
            <w:u w:val="none"/>
          </w:rPr>
          <w:t>16.11</w:t>
        </w:r>
        <w:r w:rsidR="000C1414" w:rsidRPr="000C1414">
          <w:rPr>
            <w:rFonts w:eastAsiaTheme="minorEastAsia"/>
            <w:kern w:val="2"/>
            <w14:ligatures w14:val="standardContextual"/>
          </w:rPr>
          <w:tab/>
        </w:r>
        <w:r w:rsidR="000C1414" w:rsidRPr="000C1414">
          <w:rPr>
            <w:rStyle w:val="Hyperlink"/>
            <w:u w:val="none"/>
          </w:rPr>
          <w:t>Financial Security for Counter-Parties</w:t>
        </w:r>
        <w:r w:rsidR="000C1414" w:rsidRPr="000C1414">
          <w:rPr>
            <w:webHidden/>
          </w:rPr>
          <w:tab/>
        </w:r>
        <w:r w:rsidR="000C1414" w:rsidRPr="000C1414">
          <w:rPr>
            <w:webHidden/>
          </w:rPr>
          <w:fldChar w:fldCharType="begin"/>
        </w:r>
        <w:r w:rsidR="000C1414" w:rsidRPr="000C1414">
          <w:rPr>
            <w:webHidden/>
          </w:rPr>
          <w:instrText xml:space="preserve"> PAGEREF _Toc184623024 \h </w:instrText>
        </w:r>
        <w:r w:rsidR="000C1414" w:rsidRPr="000C1414">
          <w:rPr>
            <w:webHidden/>
          </w:rPr>
        </w:r>
        <w:r w:rsidR="000C1414" w:rsidRPr="000C1414">
          <w:rPr>
            <w:webHidden/>
          </w:rPr>
          <w:fldChar w:fldCharType="separate"/>
        </w:r>
        <w:r>
          <w:rPr>
            <w:webHidden/>
          </w:rPr>
          <w:t>16-36</w:t>
        </w:r>
        <w:r w:rsidR="000C1414" w:rsidRPr="000C1414">
          <w:rPr>
            <w:webHidden/>
          </w:rPr>
          <w:fldChar w:fldCharType="end"/>
        </w:r>
      </w:hyperlink>
    </w:p>
    <w:p w14:paraId="5D6DE15F" w14:textId="79114736" w:rsidR="000C1414" w:rsidRPr="000C1414" w:rsidRDefault="00023AB4">
      <w:pPr>
        <w:pStyle w:val="TOC3"/>
        <w:rPr>
          <w:rFonts w:eastAsiaTheme="minorEastAsia"/>
          <w:i w:val="0"/>
          <w:iCs w:val="0"/>
          <w:noProof/>
          <w:kern w:val="2"/>
          <w14:ligatures w14:val="standardContextual"/>
        </w:rPr>
      </w:pPr>
      <w:hyperlink w:anchor="_Toc184623025" w:history="1">
        <w:r w:rsidR="000C1414" w:rsidRPr="000C1414">
          <w:rPr>
            <w:rStyle w:val="Hyperlink"/>
            <w:i w:val="0"/>
            <w:iCs w:val="0"/>
            <w:noProof/>
            <w:u w:val="none"/>
          </w:rPr>
          <w:t>16.11.1</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ERCOT Creditworthiness Requirements for Counter-Parties</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_Toc184623025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16-36</w:t>
        </w:r>
        <w:r w:rsidR="000C1414" w:rsidRPr="000C1414">
          <w:rPr>
            <w:i w:val="0"/>
            <w:iCs w:val="0"/>
            <w:noProof/>
            <w:webHidden/>
          </w:rPr>
          <w:fldChar w:fldCharType="end"/>
        </w:r>
      </w:hyperlink>
    </w:p>
    <w:p w14:paraId="5B6BE4F5" w14:textId="1C3ED764" w:rsidR="000C1414" w:rsidRPr="000C1414" w:rsidRDefault="00023AB4">
      <w:pPr>
        <w:pStyle w:val="TOC4"/>
        <w:rPr>
          <w:rFonts w:eastAsiaTheme="minorEastAsia"/>
          <w:kern w:val="2"/>
          <w:sz w:val="20"/>
          <w:szCs w:val="20"/>
          <w14:ligatures w14:val="standardContextual"/>
        </w:rPr>
      </w:pPr>
      <w:hyperlink w:anchor="_Toc184623026" w:history="1">
        <w:r w:rsidR="000C1414" w:rsidRPr="000C1414">
          <w:rPr>
            <w:rStyle w:val="Hyperlink"/>
            <w:sz w:val="20"/>
            <w:szCs w:val="20"/>
            <w:u w:val="none"/>
          </w:rPr>
          <w:t>16.11.1.1</w:t>
        </w:r>
        <w:r w:rsidR="000C1414" w:rsidRPr="000C1414">
          <w:rPr>
            <w:rFonts w:eastAsiaTheme="minorEastAsia"/>
            <w:kern w:val="2"/>
            <w:sz w:val="20"/>
            <w:szCs w:val="20"/>
            <w14:ligatures w14:val="standardContextual"/>
          </w:rPr>
          <w:tab/>
        </w:r>
        <w:r w:rsidR="000C1414" w:rsidRPr="000C1414">
          <w:rPr>
            <w:rStyle w:val="Hyperlink"/>
            <w:sz w:val="20"/>
            <w:szCs w:val="20"/>
            <w:u w:val="none"/>
          </w:rPr>
          <w:t>Review of Counter-Party Eligibility</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_Toc184623026 \h </w:instrText>
        </w:r>
        <w:r w:rsidR="000C1414" w:rsidRPr="000C1414">
          <w:rPr>
            <w:webHidden/>
            <w:sz w:val="20"/>
            <w:szCs w:val="20"/>
          </w:rPr>
        </w:r>
        <w:r w:rsidR="000C1414" w:rsidRPr="000C1414">
          <w:rPr>
            <w:webHidden/>
            <w:sz w:val="20"/>
            <w:szCs w:val="20"/>
          </w:rPr>
          <w:fldChar w:fldCharType="separate"/>
        </w:r>
        <w:r>
          <w:rPr>
            <w:webHidden/>
            <w:sz w:val="20"/>
            <w:szCs w:val="20"/>
          </w:rPr>
          <w:t>16-36</w:t>
        </w:r>
        <w:r w:rsidR="000C1414" w:rsidRPr="000C1414">
          <w:rPr>
            <w:webHidden/>
            <w:sz w:val="20"/>
            <w:szCs w:val="20"/>
          </w:rPr>
          <w:fldChar w:fldCharType="end"/>
        </w:r>
      </w:hyperlink>
    </w:p>
    <w:p w14:paraId="553B76F9" w14:textId="1686158E" w:rsidR="000C1414" w:rsidRPr="000C1414" w:rsidRDefault="00023AB4">
      <w:pPr>
        <w:pStyle w:val="TOC5"/>
        <w:tabs>
          <w:tab w:val="left" w:pos="3614"/>
        </w:tabs>
        <w:rPr>
          <w:rFonts w:eastAsiaTheme="minorEastAsia"/>
          <w:i w:val="0"/>
          <w:kern w:val="2"/>
          <w:sz w:val="20"/>
          <w:szCs w:val="20"/>
          <w14:ligatures w14:val="standardContextual"/>
        </w:rPr>
      </w:pPr>
      <w:hyperlink w:anchor="_Toc184623027" w:history="1">
        <w:r w:rsidR="000C1414" w:rsidRPr="000C1414">
          <w:rPr>
            <w:rStyle w:val="Hyperlink"/>
            <w:i w:val="0"/>
            <w:sz w:val="20"/>
            <w:szCs w:val="20"/>
            <w:u w:val="none"/>
          </w:rPr>
          <w:t>16.11.1.1.1</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Failure to Maintain Eligibility</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_Toc184623027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16-37</w:t>
        </w:r>
        <w:r w:rsidR="000C1414" w:rsidRPr="000C1414">
          <w:rPr>
            <w:i w:val="0"/>
            <w:webHidden/>
            <w:sz w:val="20"/>
            <w:szCs w:val="20"/>
          </w:rPr>
          <w:fldChar w:fldCharType="end"/>
        </w:r>
      </w:hyperlink>
    </w:p>
    <w:p w14:paraId="655024D7" w14:textId="44E6AB8B" w:rsidR="000C1414" w:rsidRPr="000C1414" w:rsidRDefault="00023AB4">
      <w:pPr>
        <w:pStyle w:val="TOC3"/>
        <w:rPr>
          <w:rFonts w:eastAsiaTheme="minorEastAsia"/>
          <w:i w:val="0"/>
          <w:iCs w:val="0"/>
          <w:noProof/>
          <w:kern w:val="2"/>
          <w14:ligatures w14:val="standardContextual"/>
        </w:rPr>
      </w:pPr>
      <w:hyperlink w:anchor="_Toc184623028" w:history="1">
        <w:r w:rsidR="000C1414" w:rsidRPr="000C1414">
          <w:rPr>
            <w:rStyle w:val="Hyperlink"/>
            <w:i w:val="0"/>
            <w:iCs w:val="0"/>
            <w:noProof/>
            <w:u w:val="none"/>
          </w:rPr>
          <w:t>16.11.2</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[RESERVED]</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_Toc184623028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16-37</w:t>
        </w:r>
        <w:r w:rsidR="000C1414" w:rsidRPr="000C1414">
          <w:rPr>
            <w:i w:val="0"/>
            <w:iCs w:val="0"/>
            <w:noProof/>
            <w:webHidden/>
          </w:rPr>
          <w:fldChar w:fldCharType="end"/>
        </w:r>
      </w:hyperlink>
    </w:p>
    <w:p w14:paraId="4EA24C02" w14:textId="5E82B668" w:rsidR="000C1414" w:rsidRPr="000C1414" w:rsidRDefault="00023AB4">
      <w:pPr>
        <w:pStyle w:val="TOC3"/>
        <w:rPr>
          <w:rFonts w:eastAsiaTheme="minorEastAsia"/>
          <w:i w:val="0"/>
          <w:iCs w:val="0"/>
          <w:noProof/>
          <w:kern w:val="2"/>
          <w14:ligatures w14:val="standardContextual"/>
        </w:rPr>
      </w:pPr>
      <w:hyperlink w:anchor="_Toc184623029" w:history="1">
        <w:r w:rsidR="000C1414" w:rsidRPr="000C1414">
          <w:rPr>
            <w:rStyle w:val="Hyperlink"/>
            <w:i w:val="0"/>
            <w:iCs w:val="0"/>
            <w:noProof/>
            <w:u w:val="none"/>
          </w:rPr>
          <w:t>16.11.3</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Alternative Means of Satisfying ERCOT Creditworthiness Requirements</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_Toc184623029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16-37</w:t>
        </w:r>
        <w:r w:rsidR="000C1414" w:rsidRPr="000C1414">
          <w:rPr>
            <w:i w:val="0"/>
            <w:iCs w:val="0"/>
            <w:noProof/>
            <w:webHidden/>
          </w:rPr>
          <w:fldChar w:fldCharType="end"/>
        </w:r>
      </w:hyperlink>
    </w:p>
    <w:p w14:paraId="434AC4E3" w14:textId="7493EDBE" w:rsidR="000C1414" w:rsidRPr="000C1414" w:rsidRDefault="00023AB4">
      <w:pPr>
        <w:pStyle w:val="TOC3"/>
        <w:rPr>
          <w:rFonts w:eastAsiaTheme="minorEastAsia"/>
          <w:i w:val="0"/>
          <w:iCs w:val="0"/>
          <w:noProof/>
          <w:kern w:val="2"/>
          <w14:ligatures w14:val="standardContextual"/>
        </w:rPr>
      </w:pPr>
      <w:hyperlink w:anchor="_Toc184623030" w:history="1">
        <w:r w:rsidR="000C1414" w:rsidRPr="000C1414">
          <w:rPr>
            <w:rStyle w:val="Hyperlink"/>
            <w:i w:val="0"/>
            <w:iCs w:val="0"/>
            <w:noProof/>
            <w:u w:val="none"/>
          </w:rPr>
          <w:t>16.11.4</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Determination and Monitoring of Counter-Party Credit Exposure</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_Toc184623030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16-40</w:t>
        </w:r>
        <w:r w:rsidR="000C1414" w:rsidRPr="000C1414">
          <w:rPr>
            <w:i w:val="0"/>
            <w:iCs w:val="0"/>
            <w:noProof/>
            <w:webHidden/>
          </w:rPr>
          <w:fldChar w:fldCharType="end"/>
        </w:r>
      </w:hyperlink>
    </w:p>
    <w:p w14:paraId="26702257" w14:textId="175EE8D9" w:rsidR="000C1414" w:rsidRPr="000C1414" w:rsidRDefault="00023AB4">
      <w:pPr>
        <w:pStyle w:val="TOC4"/>
        <w:rPr>
          <w:rFonts w:eastAsiaTheme="minorEastAsia"/>
          <w:kern w:val="2"/>
          <w:sz w:val="20"/>
          <w:szCs w:val="20"/>
          <w14:ligatures w14:val="standardContextual"/>
        </w:rPr>
      </w:pPr>
      <w:hyperlink w:anchor="_Toc184623031" w:history="1">
        <w:r w:rsidR="000C1414" w:rsidRPr="000C1414">
          <w:rPr>
            <w:rStyle w:val="Hyperlink"/>
            <w:sz w:val="20"/>
            <w:szCs w:val="20"/>
            <w:u w:val="none"/>
          </w:rPr>
          <w:t>16.11.4.1</w:t>
        </w:r>
        <w:r w:rsidR="000C1414" w:rsidRPr="000C1414">
          <w:rPr>
            <w:rFonts w:eastAsiaTheme="minorEastAsia"/>
            <w:kern w:val="2"/>
            <w:sz w:val="20"/>
            <w:szCs w:val="20"/>
            <w14:ligatures w14:val="standardContextual"/>
          </w:rPr>
          <w:tab/>
        </w:r>
        <w:r w:rsidR="000C1414" w:rsidRPr="000C1414">
          <w:rPr>
            <w:rStyle w:val="Hyperlink"/>
            <w:sz w:val="20"/>
            <w:szCs w:val="20"/>
            <w:u w:val="none"/>
          </w:rPr>
          <w:t>Determination of Total Potential Exposure for a Counter-Party</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_Toc184623031 \h </w:instrText>
        </w:r>
        <w:r w:rsidR="000C1414" w:rsidRPr="000C1414">
          <w:rPr>
            <w:webHidden/>
            <w:sz w:val="20"/>
            <w:szCs w:val="20"/>
          </w:rPr>
        </w:r>
        <w:r w:rsidR="000C1414" w:rsidRPr="000C1414">
          <w:rPr>
            <w:webHidden/>
            <w:sz w:val="20"/>
            <w:szCs w:val="20"/>
          </w:rPr>
          <w:fldChar w:fldCharType="separate"/>
        </w:r>
        <w:r>
          <w:rPr>
            <w:webHidden/>
            <w:sz w:val="20"/>
            <w:szCs w:val="20"/>
          </w:rPr>
          <w:t>16-40</w:t>
        </w:r>
        <w:r w:rsidR="000C1414" w:rsidRPr="000C1414">
          <w:rPr>
            <w:webHidden/>
            <w:sz w:val="20"/>
            <w:szCs w:val="20"/>
          </w:rPr>
          <w:fldChar w:fldCharType="end"/>
        </w:r>
      </w:hyperlink>
    </w:p>
    <w:p w14:paraId="36E23055" w14:textId="7D27B389" w:rsidR="000C1414" w:rsidRPr="000C1414" w:rsidRDefault="00023AB4">
      <w:pPr>
        <w:pStyle w:val="TOC4"/>
        <w:rPr>
          <w:rFonts w:eastAsiaTheme="minorEastAsia"/>
          <w:kern w:val="2"/>
          <w:sz w:val="20"/>
          <w:szCs w:val="20"/>
          <w14:ligatures w14:val="standardContextual"/>
        </w:rPr>
      </w:pPr>
      <w:hyperlink w:anchor="_Toc184623032" w:history="1">
        <w:r w:rsidR="000C1414" w:rsidRPr="000C1414">
          <w:rPr>
            <w:rStyle w:val="Hyperlink"/>
            <w:sz w:val="20"/>
            <w:szCs w:val="20"/>
            <w:u w:val="none"/>
          </w:rPr>
          <w:t>16.11.4.2</w:t>
        </w:r>
        <w:r w:rsidR="000C1414" w:rsidRPr="000C1414">
          <w:rPr>
            <w:rFonts w:eastAsiaTheme="minorEastAsia"/>
            <w:kern w:val="2"/>
            <w:sz w:val="20"/>
            <w:szCs w:val="20"/>
            <w14:ligatures w14:val="standardContextual"/>
          </w:rPr>
          <w:tab/>
        </w:r>
        <w:r w:rsidR="000C1414" w:rsidRPr="000C1414">
          <w:rPr>
            <w:rStyle w:val="Hyperlink"/>
            <w:sz w:val="20"/>
            <w:szCs w:val="20"/>
            <w:u w:val="none"/>
          </w:rPr>
          <w:t>Determination of Counter-Party Initial Estimated Liability</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_Toc184623032 \h </w:instrText>
        </w:r>
        <w:r w:rsidR="000C1414" w:rsidRPr="000C1414">
          <w:rPr>
            <w:webHidden/>
            <w:sz w:val="20"/>
            <w:szCs w:val="20"/>
          </w:rPr>
        </w:r>
        <w:r w:rsidR="000C1414" w:rsidRPr="000C1414">
          <w:rPr>
            <w:webHidden/>
            <w:sz w:val="20"/>
            <w:szCs w:val="20"/>
          </w:rPr>
          <w:fldChar w:fldCharType="separate"/>
        </w:r>
        <w:r>
          <w:rPr>
            <w:webHidden/>
            <w:sz w:val="20"/>
            <w:szCs w:val="20"/>
          </w:rPr>
          <w:t>16-46</w:t>
        </w:r>
        <w:r w:rsidR="000C1414" w:rsidRPr="000C1414">
          <w:rPr>
            <w:webHidden/>
            <w:sz w:val="20"/>
            <w:szCs w:val="20"/>
          </w:rPr>
          <w:fldChar w:fldCharType="end"/>
        </w:r>
      </w:hyperlink>
    </w:p>
    <w:p w14:paraId="1E6506B8" w14:textId="73DEBE13" w:rsidR="000C1414" w:rsidRPr="000C1414" w:rsidRDefault="00023AB4">
      <w:pPr>
        <w:pStyle w:val="TOC4"/>
        <w:rPr>
          <w:rFonts w:eastAsiaTheme="minorEastAsia"/>
          <w:kern w:val="2"/>
          <w:sz w:val="20"/>
          <w:szCs w:val="20"/>
          <w14:ligatures w14:val="standardContextual"/>
        </w:rPr>
      </w:pPr>
      <w:hyperlink w:anchor="_Toc184623033" w:history="1">
        <w:r w:rsidR="000C1414" w:rsidRPr="000C1414">
          <w:rPr>
            <w:rStyle w:val="Hyperlink"/>
            <w:sz w:val="20"/>
            <w:szCs w:val="20"/>
            <w:u w:val="none"/>
          </w:rPr>
          <w:t>16.11.4.3</w:t>
        </w:r>
        <w:r w:rsidR="000C1414" w:rsidRPr="000C1414">
          <w:rPr>
            <w:rFonts w:eastAsiaTheme="minorEastAsia"/>
            <w:kern w:val="2"/>
            <w:sz w:val="20"/>
            <w:szCs w:val="20"/>
            <w14:ligatures w14:val="standardContextual"/>
          </w:rPr>
          <w:tab/>
        </w:r>
        <w:r w:rsidR="000C1414" w:rsidRPr="000C1414">
          <w:rPr>
            <w:rStyle w:val="Hyperlink"/>
            <w:sz w:val="20"/>
            <w:szCs w:val="20"/>
            <w:u w:val="none"/>
          </w:rPr>
          <w:t>Determination of Counter-Party Estimated Aggregate Liability</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_Toc184623033 \h </w:instrText>
        </w:r>
        <w:r w:rsidR="000C1414" w:rsidRPr="000C1414">
          <w:rPr>
            <w:webHidden/>
            <w:sz w:val="20"/>
            <w:szCs w:val="20"/>
          </w:rPr>
        </w:r>
        <w:r w:rsidR="000C1414" w:rsidRPr="000C1414">
          <w:rPr>
            <w:webHidden/>
            <w:sz w:val="20"/>
            <w:szCs w:val="20"/>
          </w:rPr>
          <w:fldChar w:fldCharType="separate"/>
        </w:r>
        <w:r>
          <w:rPr>
            <w:webHidden/>
            <w:sz w:val="20"/>
            <w:szCs w:val="20"/>
          </w:rPr>
          <w:t>16-48</w:t>
        </w:r>
        <w:r w:rsidR="000C1414" w:rsidRPr="000C1414">
          <w:rPr>
            <w:webHidden/>
            <w:sz w:val="20"/>
            <w:szCs w:val="20"/>
          </w:rPr>
          <w:fldChar w:fldCharType="end"/>
        </w:r>
      </w:hyperlink>
    </w:p>
    <w:p w14:paraId="24BF9285" w14:textId="3398C667" w:rsidR="000C1414" w:rsidRPr="000C1414" w:rsidRDefault="00023AB4">
      <w:pPr>
        <w:pStyle w:val="TOC5"/>
        <w:tabs>
          <w:tab w:val="left" w:pos="3614"/>
        </w:tabs>
        <w:rPr>
          <w:rFonts w:eastAsiaTheme="minorEastAsia"/>
          <w:i w:val="0"/>
          <w:kern w:val="2"/>
          <w:sz w:val="20"/>
          <w:szCs w:val="20"/>
          <w14:ligatures w14:val="standardContextual"/>
        </w:rPr>
      </w:pPr>
      <w:hyperlink w:anchor="_Toc184623034" w:history="1">
        <w:r w:rsidR="000C1414" w:rsidRPr="000C1414">
          <w:rPr>
            <w:rStyle w:val="Hyperlink"/>
            <w:i w:val="0"/>
            <w:sz w:val="20"/>
            <w:szCs w:val="20"/>
            <w:u w:val="none"/>
          </w:rPr>
          <w:t>16.11.4.3.1</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Day-Ahead Liability Estimate</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_Toc184623034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16-54</w:t>
        </w:r>
        <w:r w:rsidR="000C1414" w:rsidRPr="000C1414">
          <w:rPr>
            <w:i w:val="0"/>
            <w:webHidden/>
            <w:sz w:val="20"/>
            <w:szCs w:val="20"/>
          </w:rPr>
          <w:fldChar w:fldCharType="end"/>
        </w:r>
      </w:hyperlink>
    </w:p>
    <w:p w14:paraId="6464AB57" w14:textId="094124B4" w:rsidR="000C1414" w:rsidRPr="000C1414" w:rsidRDefault="00023AB4">
      <w:pPr>
        <w:pStyle w:val="TOC5"/>
        <w:tabs>
          <w:tab w:val="left" w:pos="3614"/>
        </w:tabs>
        <w:rPr>
          <w:rFonts w:eastAsiaTheme="minorEastAsia"/>
          <w:i w:val="0"/>
          <w:kern w:val="2"/>
          <w:sz w:val="20"/>
          <w:szCs w:val="20"/>
          <w14:ligatures w14:val="standardContextual"/>
        </w:rPr>
      </w:pPr>
      <w:hyperlink w:anchor="_Toc184623035" w:history="1">
        <w:r w:rsidR="000C1414" w:rsidRPr="000C1414">
          <w:rPr>
            <w:rStyle w:val="Hyperlink"/>
            <w:i w:val="0"/>
            <w:sz w:val="20"/>
            <w:szCs w:val="20"/>
            <w:u w:val="none"/>
          </w:rPr>
          <w:t>16.11.4.3.2</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Real-Time Liability Estimate</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_Toc184623035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16-55</w:t>
        </w:r>
        <w:r w:rsidR="000C1414" w:rsidRPr="000C1414">
          <w:rPr>
            <w:i w:val="0"/>
            <w:webHidden/>
            <w:sz w:val="20"/>
            <w:szCs w:val="20"/>
          </w:rPr>
          <w:fldChar w:fldCharType="end"/>
        </w:r>
      </w:hyperlink>
    </w:p>
    <w:p w14:paraId="050E1D33" w14:textId="3CF73333" w:rsidR="000C1414" w:rsidRPr="000C1414" w:rsidRDefault="00023AB4">
      <w:pPr>
        <w:pStyle w:val="TOC5"/>
        <w:tabs>
          <w:tab w:val="left" w:pos="3614"/>
        </w:tabs>
        <w:rPr>
          <w:rFonts w:eastAsiaTheme="minorEastAsia"/>
          <w:i w:val="0"/>
          <w:kern w:val="2"/>
          <w:sz w:val="20"/>
          <w:szCs w:val="20"/>
          <w14:ligatures w14:val="standardContextual"/>
        </w:rPr>
      </w:pPr>
      <w:hyperlink w:anchor="_Toc184623036" w:history="1">
        <w:r w:rsidR="000C1414" w:rsidRPr="000C1414">
          <w:rPr>
            <w:rStyle w:val="Hyperlink"/>
            <w:i w:val="0"/>
            <w:sz w:val="20"/>
            <w:szCs w:val="20"/>
            <w:u w:val="none"/>
          </w:rPr>
          <w:t>16.11.4.3.3</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Forward Adjustment Factors</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_Toc184623036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16-56</w:t>
        </w:r>
        <w:r w:rsidR="000C1414" w:rsidRPr="000C1414">
          <w:rPr>
            <w:i w:val="0"/>
            <w:webHidden/>
            <w:sz w:val="20"/>
            <w:szCs w:val="20"/>
          </w:rPr>
          <w:fldChar w:fldCharType="end"/>
        </w:r>
      </w:hyperlink>
    </w:p>
    <w:p w14:paraId="0982D2EC" w14:textId="7A04BD41" w:rsidR="000C1414" w:rsidRPr="000C1414" w:rsidRDefault="00023AB4">
      <w:pPr>
        <w:pStyle w:val="TOC4"/>
        <w:rPr>
          <w:rFonts w:eastAsiaTheme="minorEastAsia"/>
          <w:kern w:val="2"/>
          <w:sz w:val="20"/>
          <w:szCs w:val="20"/>
          <w14:ligatures w14:val="standardContextual"/>
        </w:rPr>
      </w:pPr>
      <w:hyperlink w:anchor="_Toc184623037" w:history="1">
        <w:r w:rsidR="000C1414" w:rsidRPr="000C1414">
          <w:rPr>
            <w:rStyle w:val="Hyperlink"/>
            <w:sz w:val="20"/>
            <w:szCs w:val="20"/>
            <w:u w:val="none"/>
          </w:rPr>
          <w:t>16.11.4.4</w:t>
        </w:r>
        <w:r w:rsidR="000C1414" w:rsidRPr="000C1414">
          <w:rPr>
            <w:rFonts w:eastAsiaTheme="minorEastAsia"/>
            <w:kern w:val="2"/>
            <w:sz w:val="20"/>
            <w:szCs w:val="20"/>
            <w14:ligatures w14:val="standardContextual"/>
          </w:rPr>
          <w:tab/>
        </w:r>
        <w:r w:rsidR="000C1414" w:rsidRPr="000C1414">
          <w:rPr>
            <w:rStyle w:val="Hyperlink"/>
            <w:sz w:val="20"/>
            <w:szCs w:val="20"/>
            <w:u w:val="none"/>
          </w:rPr>
          <w:t>[RESERVED]</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_Toc184623037 \h </w:instrText>
        </w:r>
        <w:r w:rsidR="000C1414" w:rsidRPr="000C1414">
          <w:rPr>
            <w:webHidden/>
            <w:sz w:val="20"/>
            <w:szCs w:val="20"/>
          </w:rPr>
        </w:r>
        <w:r w:rsidR="000C1414" w:rsidRPr="000C1414">
          <w:rPr>
            <w:webHidden/>
            <w:sz w:val="20"/>
            <w:szCs w:val="20"/>
          </w:rPr>
          <w:fldChar w:fldCharType="separate"/>
        </w:r>
        <w:r>
          <w:rPr>
            <w:webHidden/>
            <w:sz w:val="20"/>
            <w:szCs w:val="20"/>
          </w:rPr>
          <w:t>16-58</w:t>
        </w:r>
        <w:r w:rsidR="000C1414" w:rsidRPr="000C1414">
          <w:rPr>
            <w:webHidden/>
            <w:sz w:val="20"/>
            <w:szCs w:val="20"/>
          </w:rPr>
          <w:fldChar w:fldCharType="end"/>
        </w:r>
      </w:hyperlink>
    </w:p>
    <w:p w14:paraId="7AE24D58" w14:textId="607DD734" w:rsidR="000C1414" w:rsidRPr="000C1414" w:rsidRDefault="00023AB4">
      <w:pPr>
        <w:pStyle w:val="TOC4"/>
        <w:rPr>
          <w:rFonts w:eastAsiaTheme="minorEastAsia"/>
          <w:kern w:val="2"/>
          <w:sz w:val="20"/>
          <w:szCs w:val="20"/>
          <w14:ligatures w14:val="standardContextual"/>
        </w:rPr>
      </w:pPr>
      <w:hyperlink w:anchor="_Toc184623038" w:history="1">
        <w:r w:rsidR="000C1414" w:rsidRPr="000C1414">
          <w:rPr>
            <w:rStyle w:val="Hyperlink"/>
            <w:snapToGrid w:val="0"/>
            <w:sz w:val="20"/>
            <w:szCs w:val="20"/>
            <w:u w:val="none"/>
          </w:rPr>
          <w:t>16.11.4.5</w:t>
        </w:r>
        <w:r w:rsidR="000C1414" w:rsidRPr="000C1414">
          <w:rPr>
            <w:rFonts w:eastAsiaTheme="minorEastAsia"/>
            <w:kern w:val="2"/>
            <w:sz w:val="20"/>
            <w:szCs w:val="20"/>
            <w14:ligatures w14:val="standardContextual"/>
          </w:rPr>
          <w:tab/>
        </w:r>
        <w:r w:rsidR="000C1414" w:rsidRPr="000C1414">
          <w:rPr>
            <w:rStyle w:val="Hyperlink"/>
            <w:snapToGrid w:val="0"/>
            <w:sz w:val="20"/>
            <w:szCs w:val="20"/>
            <w:u w:val="none"/>
          </w:rPr>
          <w:t>Determination of the Counter-Party Future Credit Exposure</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_Toc184623038 \h </w:instrText>
        </w:r>
        <w:r w:rsidR="000C1414" w:rsidRPr="000C1414">
          <w:rPr>
            <w:webHidden/>
            <w:sz w:val="20"/>
            <w:szCs w:val="20"/>
          </w:rPr>
        </w:r>
        <w:r w:rsidR="000C1414" w:rsidRPr="000C1414">
          <w:rPr>
            <w:webHidden/>
            <w:sz w:val="20"/>
            <w:szCs w:val="20"/>
          </w:rPr>
          <w:fldChar w:fldCharType="separate"/>
        </w:r>
        <w:r>
          <w:rPr>
            <w:webHidden/>
            <w:sz w:val="20"/>
            <w:szCs w:val="20"/>
          </w:rPr>
          <w:t>16-58</w:t>
        </w:r>
        <w:r w:rsidR="000C1414" w:rsidRPr="000C1414">
          <w:rPr>
            <w:webHidden/>
            <w:sz w:val="20"/>
            <w:szCs w:val="20"/>
          </w:rPr>
          <w:fldChar w:fldCharType="end"/>
        </w:r>
      </w:hyperlink>
    </w:p>
    <w:p w14:paraId="56BE3037" w14:textId="62631315" w:rsidR="000C1414" w:rsidRPr="000C1414" w:rsidRDefault="00023AB4">
      <w:pPr>
        <w:pStyle w:val="TOC4"/>
        <w:rPr>
          <w:rFonts w:eastAsiaTheme="minorEastAsia"/>
          <w:kern w:val="2"/>
          <w:sz w:val="20"/>
          <w:szCs w:val="20"/>
          <w14:ligatures w14:val="standardContextual"/>
        </w:rPr>
      </w:pPr>
      <w:hyperlink w:anchor="_Toc184623039" w:history="1">
        <w:r w:rsidR="000C1414" w:rsidRPr="000C1414">
          <w:rPr>
            <w:rStyle w:val="Hyperlink"/>
            <w:sz w:val="20"/>
            <w:szCs w:val="20"/>
            <w:u w:val="none"/>
          </w:rPr>
          <w:t>16.11.4.6</w:t>
        </w:r>
        <w:r w:rsidR="000C1414" w:rsidRPr="000C1414">
          <w:rPr>
            <w:rFonts w:eastAsiaTheme="minorEastAsia"/>
            <w:kern w:val="2"/>
            <w:sz w:val="20"/>
            <w:szCs w:val="20"/>
            <w14:ligatures w14:val="standardContextual"/>
          </w:rPr>
          <w:tab/>
        </w:r>
        <w:r w:rsidR="000C1414" w:rsidRPr="000C1414">
          <w:rPr>
            <w:rStyle w:val="Hyperlink"/>
            <w:sz w:val="20"/>
            <w:szCs w:val="20"/>
            <w:u w:val="none"/>
          </w:rPr>
          <w:t>Determination of Counter-Party Available Credit Limits</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_Toc184623039 \h </w:instrText>
        </w:r>
        <w:r w:rsidR="000C1414" w:rsidRPr="000C1414">
          <w:rPr>
            <w:webHidden/>
            <w:sz w:val="20"/>
            <w:szCs w:val="20"/>
          </w:rPr>
        </w:r>
        <w:r w:rsidR="000C1414" w:rsidRPr="000C1414">
          <w:rPr>
            <w:webHidden/>
            <w:sz w:val="20"/>
            <w:szCs w:val="20"/>
          </w:rPr>
          <w:fldChar w:fldCharType="separate"/>
        </w:r>
        <w:r>
          <w:rPr>
            <w:webHidden/>
            <w:sz w:val="20"/>
            <w:szCs w:val="20"/>
          </w:rPr>
          <w:t>16-61</w:t>
        </w:r>
        <w:r w:rsidR="000C1414" w:rsidRPr="000C1414">
          <w:rPr>
            <w:webHidden/>
            <w:sz w:val="20"/>
            <w:szCs w:val="20"/>
          </w:rPr>
          <w:fldChar w:fldCharType="end"/>
        </w:r>
      </w:hyperlink>
    </w:p>
    <w:p w14:paraId="594C8293" w14:textId="3398AD5D" w:rsidR="000C1414" w:rsidRPr="000C1414" w:rsidRDefault="00023AB4">
      <w:pPr>
        <w:pStyle w:val="TOC5"/>
        <w:tabs>
          <w:tab w:val="left" w:pos="3614"/>
        </w:tabs>
        <w:rPr>
          <w:rFonts w:eastAsiaTheme="minorEastAsia"/>
          <w:i w:val="0"/>
          <w:kern w:val="2"/>
          <w:sz w:val="20"/>
          <w:szCs w:val="20"/>
          <w14:ligatures w14:val="standardContextual"/>
        </w:rPr>
      </w:pPr>
      <w:hyperlink w:anchor="_Toc184623040" w:history="1">
        <w:r w:rsidR="000C1414" w:rsidRPr="000C1414">
          <w:rPr>
            <w:rStyle w:val="Hyperlink"/>
            <w:i w:val="0"/>
            <w:sz w:val="20"/>
            <w:szCs w:val="20"/>
            <w:u w:val="none"/>
          </w:rPr>
          <w:t>16.11.4.6.1</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Credit Requirements for CRR Auction Participation</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_Toc184623040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16-62</w:t>
        </w:r>
        <w:r w:rsidR="000C1414" w:rsidRPr="000C1414">
          <w:rPr>
            <w:i w:val="0"/>
            <w:webHidden/>
            <w:sz w:val="20"/>
            <w:szCs w:val="20"/>
          </w:rPr>
          <w:fldChar w:fldCharType="end"/>
        </w:r>
      </w:hyperlink>
    </w:p>
    <w:p w14:paraId="673A1E03" w14:textId="16DAEEB8" w:rsidR="000C1414" w:rsidRPr="000C1414" w:rsidRDefault="00023AB4">
      <w:pPr>
        <w:pStyle w:val="TOC5"/>
        <w:tabs>
          <w:tab w:val="left" w:pos="3614"/>
        </w:tabs>
        <w:rPr>
          <w:rFonts w:eastAsiaTheme="minorEastAsia"/>
          <w:i w:val="0"/>
          <w:kern w:val="2"/>
          <w:sz w:val="20"/>
          <w:szCs w:val="20"/>
          <w14:ligatures w14:val="standardContextual"/>
        </w:rPr>
      </w:pPr>
      <w:hyperlink w:anchor="_Toc184623041" w:history="1">
        <w:r w:rsidR="000C1414" w:rsidRPr="000C1414">
          <w:rPr>
            <w:rStyle w:val="Hyperlink"/>
            <w:i w:val="0"/>
            <w:sz w:val="20"/>
            <w:szCs w:val="20"/>
            <w:u w:val="none"/>
          </w:rPr>
          <w:t>16.11.4.6.2</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Credit Requirements for DAM Participation</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_Toc184623041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16-63</w:t>
        </w:r>
        <w:r w:rsidR="000C1414" w:rsidRPr="000C1414">
          <w:rPr>
            <w:i w:val="0"/>
            <w:webHidden/>
            <w:sz w:val="20"/>
            <w:szCs w:val="20"/>
          </w:rPr>
          <w:fldChar w:fldCharType="end"/>
        </w:r>
      </w:hyperlink>
    </w:p>
    <w:p w14:paraId="3B9E4669" w14:textId="2CEBCA33" w:rsidR="000C1414" w:rsidRPr="000C1414" w:rsidRDefault="00023AB4">
      <w:pPr>
        <w:pStyle w:val="TOC4"/>
        <w:rPr>
          <w:rFonts w:eastAsiaTheme="minorEastAsia"/>
          <w:kern w:val="2"/>
          <w:sz w:val="20"/>
          <w:szCs w:val="20"/>
          <w14:ligatures w14:val="standardContextual"/>
        </w:rPr>
      </w:pPr>
      <w:hyperlink w:anchor="_Toc184623042" w:history="1">
        <w:r w:rsidR="000C1414" w:rsidRPr="000C1414">
          <w:rPr>
            <w:rStyle w:val="Hyperlink"/>
            <w:sz w:val="20"/>
            <w:szCs w:val="20"/>
            <w:u w:val="none"/>
          </w:rPr>
          <w:t>16.11.4.7</w:t>
        </w:r>
        <w:r w:rsidR="000C1414" w:rsidRPr="000C1414">
          <w:rPr>
            <w:rFonts w:eastAsiaTheme="minorEastAsia"/>
            <w:kern w:val="2"/>
            <w:sz w:val="20"/>
            <w:szCs w:val="20"/>
            <w14:ligatures w14:val="standardContextual"/>
          </w:rPr>
          <w:tab/>
        </w:r>
        <w:r w:rsidR="000C1414" w:rsidRPr="000C1414">
          <w:rPr>
            <w:rStyle w:val="Hyperlink"/>
            <w:sz w:val="20"/>
            <w:szCs w:val="20"/>
            <w:u w:val="none"/>
          </w:rPr>
          <w:t>Credit Monitoring and Management Reports</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_Toc184623042 \h </w:instrText>
        </w:r>
        <w:r w:rsidR="000C1414" w:rsidRPr="000C1414">
          <w:rPr>
            <w:webHidden/>
            <w:sz w:val="20"/>
            <w:szCs w:val="20"/>
          </w:rPr>
        </w:r>
        <w:r w:rsidR="000C1414" w:rsidRPr="000C1414">
          <w:rPr>
            <w:webHidden/>
            <w:sz w:val="20"/>
            <w:szCs w:val="20"/>
          </w:rPr>
          <w:fldChar w:fldCharType="separate"/>
        </w:r>
        <w:r>
          <w:rPr>
            <w:webHidden/>
            <w:sz w:val="20"/>
            <w:szCs w:val="20"/>
          </w:rPr>
          <w:t>16-63</w:t>
        </w:r>
        <w:r w:rsidR="000C1414" w:rsidRPr="000C1414">
          <w:rPr>
            <w:webHidden/>
            <w:sz w:val="20"/>
            <w:szCs w:val="20"/>
          </w:rPr>
          <w:fldChar w:fldCharType="end"/>
        </w:r>
      </w:hyperlink>
    </w:p>
    <w:p w14:paraId="42000482" w14:textId="70E8F1D2" w:rsidR="000C1414" w:rsidRPr="000C1414" w:rsidRDefault="00023AB4">
      <w:pPr>
        <w:pStyle w:val="TOC3"/>
        <w:rPr>
          <w:rFonts w:eastAsiaTheme="minorEastAsia"/>
          <w:i w:val="0"/>
          <w:iCs w:val="0"/>
          <w:noProof/>
          <w:kern w:val="2"/>
          <w14:ligatures w14:val="standardContextual"/>
        </w:rPr>
      </w:pPr>
      <w:hyperlink w:anchor="_Toc184623043" w:history="1">
        <w:r w:rsidR="000C1414" w:rsidRPr="000C1414">
          <w:rPr>
            <w:rStyle w:val="Hyperlink"/>
            <w:i w:val="0"/>
            <w:iCs w:val="0"/>
            <w:noProof/>
            <w:u w:val="none"/>
          </w:rPr>
          <w:t>16.11.5</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Monitoring of a Counter-Party’s Creditworthiness and Credit Exposure by ERCOT</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_Toc184623043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16-64</w:t>
        </w:r>
        <w:r w:rsidR="000C1414" w:rsidRPr="000C1414">
          <w:rPr>
            <w:i w:val="0"/>
            <w:iCs w:val="0"/>
            <w:noProof/>
            <w:webHidden/>
          </w:rPr>
          <w:fldChar w:fldCharType="end"/>
        </w:r>
      </w:hyperlink>
    </w:p>
    <w:p w14:paraId="15B9CB51" w14:textId="499D699E" w:rsidR="000C1414" w:rsidRPr="000C1414" w:rsidRDefault="00023AB4">
      <w:pPr>
        <w:pStyle w:val="TOC3"/>
        <w:rPr>
          <w:rFonts w:eastAsiaTheme="minorEastAsia"/>
          <w:i w:val="0"/>
          <w:iCs w:val="0"/>
          <w:noProof/>
          <w:kern w:val="2"/>
          <w14:ligatures w14:val="standardContextual"/>
        </w:rPr>
      </w:pPr>
      <w:hyperlink w:anchor="_Toc184623044" w:history="1">
        <w:r w:rsidR="000C1414" w:rsidRPr="000C1414">
          <w:rPr>
            <w:rStyle w:val="Hyperlink"/>
            <w:i w:val="0"/>
            <w:iCs w:val="0"/>
            <w:noProof/>
            <w:u w:val="none"/>
          </w:rPr>
          <w:t>16.11.6</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Payment Breach and Late Payments by Market Participants</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_Toc184623044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16-67</w:t>
        </w:r>
        <w:r w:rsidR="000C1414" w:rsidRPr="000C1414">
          <w:rPr>
            <w:i w:val="0"/>
            <w:iCs w:val="0"/>
            <w:noProof/>
            <w:webHidden/>
          </w:rPr>
          <w:fldChar w:fldCharType="end"/>
        </w:r>
      </w:hyperlink>
    </w:p>
    <w:p w14:paraId="13B99EF9" w14:textId="1F546611" w:rsidR="000C1414" w:rsidRPr="000C1414" w:rsidRDefault="00023AB4">
      <w:pPr>
        <w:pStyle w:val="TOC4"/>
        <w:rPr>
          <w:rFonts w:eastAsiaTheme="minorEastAsia"/>
          <w:kern w:val="2"/>
          <w:sz w:val="20"/>
          <w:szCs w:val="20"/>
          <w14:ligatures w14:val="standardContextual"/>
        </w:rPr>
      </w:pPr>
      <w:hyperlink w:anchor="_Toc184623045" w:history="1">
        <w:r w:rsidR="000C1414" w:rsidRPr="000C1414">
          <w:rPr>
            <w:rStyle w:val="Hyperlink"/>
            <w:sz w:val="20"/>
            <w:szCs w:val="20"/>
            <w:u w:val="none"/>
          </w:rPr>
          <w:t>16.11.6.1</w:t>
        </w:r>
        <w:r w:rsidR="000C1414" w:rsidRPr="000C1414">
          <w:rPr>
            <w:rFonts w:eastAsiaTheme="minorEastAsia"/>
            <w:kern w:val="2"/>
            <w:sz w:val="20"/>
            <w:szCs w:val="20"/>
            <w14:ligatures w14:val="standardContextual"/>
          </w:rPr>
          <w:tab/>
        </w:r>
        <w:r w:rsidR="000C1414" w:rsidRPr="000C1414">
          <w:rPr>
            <w:rStyle w:val="Hyperlink"/>
            <w:sz w:val="20"/>
            <w:szCs w:val="20"/>
            <w:u w:val="none"/>
          </w:rPr>
          <w:t>ERCOT’s Remedies</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_Toc184623045 \h </w:instrText>
        </w:r>
        <w:r w:rsidR="000C1414" w:rsidRPr="000C1414">
          <w:rPr>
            <w:webHidden/>
            <w:sz w:val="20"/>
            <w:szCs w:val="20"/>
          </w:rPr>
        </w:r>
        <w:r w:rsidR="000C1414" w:rsidRPr="000C1414">
          <w:rPr>
            <w:webHidden/>
            <w:sz w:val="20"/>
            <w:szCs w:val="20"/>
          </w:rPr>
          <w:fldChar w:fldCharType="separate"/>
        </w:r>
        <w:r>
          <w:rPr>
            <w:webHidden/>
            <w:sz w:val="20"/>
            <w:szCs w:val="20"/>
          </w:rPr>
          <w:t>16-68</w:t>
        </w:r>
        <w:r w:rsidR="000C1414" w:rsidRPr="000C1414">
          <w:rPr>
            <w:webHidden/>
            <w:sz w:val="20"/>
            <w:szCs w:val="20"/>
          </w:rPr>
          <w:fldChar w:fldCharType="end"/>
        </w:r>
      </w:hyperlink>
    </w:p>
    <w:p w14:paraId="531460F1" w14:textId="7A59B168" w:rsidR="000C1414" w:rsidRPr="000C1414" w:rsidRDefault="00023AB4">
      <w:pPr>
        <w:pStyle w:val="TOC5"/>
        <w:tabs>
          <w:tab w:val="left" w:pos="3614"/>
        </w:tabs>
        <w:rPr>
          <w:rFonts w:eastAsiaTheme="minorEastAsia"/>
          <w:i w:val="0"/>
          <w:kern w:val="2"/>
          <w:sz w:val="20"/>
          <w:szCs w:val="20"/>
          <w14:ligatures w14:val="standardContextual"/>
        </w:rPr>
      </w:pPr>
      <w:hyperlink w:anchor="_Toc184623046" w:history="1">
        <w:r w:rsidR="000C1414" w:rsidRPr="000C1414">
          <w:rPr>
            <w:rStyle w:val="Hyperlink"/>
            <w:i w:val="0"/>
            <w:sz w:val="20"/>
            <w:szCs w:val="20"/>
            <w:u w:val="none"/>
          </w:rPr>
          <w:t>16.11.6.1.1</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No Payments by ERCOT to Market Participant</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_Toc184623046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16-68</w:t>
        </w:r>
        <w:r w:rsidR="000C1414" w:rsidRPr="000C1414">
          <w:rPr>
            <w:i w:val="0"/>
            <w:webHidden/>
            <w:sz w:val="20"/>
            <w:szCs w:val="20"/>
          </w:rPr>
          <w:fldChar w:fldCharType="end"/>
        </w:r>
      </w:hyperlink>
    </w:p>
    <w:p w14:paraId="4FD7D704" w14:textId="200F3BB7" w:rsidR="000C1414" w:rsidRPr="000C1414" w:rsidRDefault="00023AB4">
      <w:pPr>
        <w:pStyle w:val="TOC5"/>
        <w:tabs>
          <w:tab w:val="left" w:pos="3614"/>
        </w:tabs>
        <w:rPr>
          <w:rFonts w:eastAsiaTheme="minorEastAsia"/>
          <w:i w:val="0"/>
          <w:kern w:val="2"/>
          <w:sz w:val="20"/>
          <w:szCs w:val="20"/>
          <w14:ligatures w14:val="standardContextual"/>
        </w:rPr>
      </w:pPr>
      <w:hyperlink w:anchor="_Toc184623047" w:history="1">
        <w:r w:rsidR="000C1414" w:rsidRPr="000C1414">
          <w:rPr>
            <w:rStyle w:val="Hyperlink"/>
            <w:i w:val="0"/>
            <w:sz w:val="20"/>
            <w:szCs w:val="20"/>
            <w:u w:val="none"/>
          </w:rPr>
          <w:t>16.11.6.1.2</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ERCOT May Draw On, Hold or Distribute Funds</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_Toc184623047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16-69</w:t>
        </w:r>
        <w:r w:rsidR="000C1414" w:rsidRPr="000C1414">
          <w:rPr>
            <w:i w:val="0"/>
            <w:webHidden/>
            <w:sz w:val="20"/>
            <w:szCs w:val="20"/>
          </w:rPr>
          <w:fldChar w:fldCharType="end"/>
        </w:r>
      </w:hyperlink>
    </w:p>
    <w:p w14:paraId="266089A6" w14:textId="719AA176" w:rsidR="000C1414" w:rsidRPr="000C1414" w:rsidRDefault="00023AB4">
      <w:pPr>
        <w:pStyle w:val="TOC5"/>
        <w:tabs>
          <w:tab w:val="left" w:pos="3614"/>
        </w:tabs>
        <w:rPr>
          <w:rFonts w:eastAsiaTheme="minorEastAsia"/>
          <w:i w:val="0"/>
          <w:kern w:val="2"/>
          <w:sz w:val="20"/>
          <w:szCs w:val="20"/>
          <w14:ligatures w14:val="standardContextual"/>
        </w:rPr>
      </w:pPr>
      <w:hyperlink w:anchor="_Toc184623048" w:history="1">
        <w:r w:rsidR="000C1414" w:rsidRPr="000C1414">
          <w:rPr>
            <w:rStyle w:val="Hyperlink"/>
            <w:i w:val="0"/>
            <w:sz w:val="20"/>
            <w:szCs w:val="20"/>
            <w:u w:val="none"/>
          </w:rPr>
          <w:t>16.11.6.1.3</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Aggregate Amount Owed by Breaching Market Participant Immediately Due</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_Toc184623048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16-69</w:t>
        </w:r>
        <w:r w:rsidR="000C1414" w:rsidRPr="000C1414">
          <w:rPr>
            <w:i w:val="0"/>
            <w:webHidden/>
            <w:sz w:val="20"/>
            <w:szCs w:val="20"/>
          </w:rPr>
          <w:fldChar w:fldCharType="end"/>
        </w:r>
      </w:hyperlink>
    </w:p>
    <w:p w14:paraId="608D6CEF" w14:textId="6D8B5E59" w:rsidR="000C1414" w:rsidRPr="000C1414" w:rsidRDefault="00023AB4">
      <w:pPr>
        <w:pStyle w:val="TOC5"/>
        <w:tabs>
          <w:tab w:val="left" w:pos="3614"/>
        </w:tabs>
        <w:rPr>
          <w:rFonts w:eastAsiaTheme="minorEastAsia"/>
          <w:i w:val="0"/>
          <w:kern w:val="2"/>
          <w:sz w:val="20"/>
          <w:szCs w:val="20"/>
          <w14:ligatures w14:val="standardContextual"/>
        </w:rPr>
      </w:pPr>
      <w:hyperlink w:anchor="_Toc184623049" w:history="1">
        <w:r w:rsidR="000C1414" w:rsidRPr="000C1414">
          <w:rPr>
            <w:rStyle w:val="Hyperlink"/>
            <w:i w:val="0"/>
            <w:sz w:val="20"/>
            <w:szCs w:val="20"/>
            <w:u w:val="none"/>
          </w:rPr>
          <w:t>16.11.6.1.4</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Repossession of CRRs by ERCOT</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_Toc184623049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16-69</w:t>
        </w:r>
        <w:r w:rsidR="000C1414" w:rsidRPr="000C1414">
          <w:rPr>
            <w:i w:val="0"/>
            <w:webHidden/>
            <w:sz w:val="20"/>
            <w:szCs w:val="20"/>
          </w:rPr>
          <w:fldChar w:fldCharType="end"/>
        </w:r>
      </w:hyperlink>
    </w:p>
    <w:p w14:paraId="2C98FF8A" w14:textId="069A122C" w:rsidR="000C1414" w:rsidRPr="000C1414" w:rsidRDefault="00023AB4">
      <w:pPr>
        <w:pStyle w:val="TOC5"/>
        <w:tabs>
          <w:tab w:val="left" w:pos="3614"/>
        </w:tabs>
        <w:rPr>
          <w:rFonts w:eastAsiaTheme="minorEastAsia"/>
          <w:i w:val="0"/>
          <w:kern w:val="2"/>
          <w:sz w:val="20"/>
          <w:szCs w:val="20"/>
          <w14:ligatures w14:val="standardContextual"/>
        </w:rPr>
      </w:pPr>
      <w:hyperlink w:anchor="_Toc184623050" w:history="1">
        <w:r w:rsidR="000C1414" w:rsidRPr="000C1414">
          <w:rPr>
            <w:rStyle w:val="Hyperlink"/>
            <w:i w:val="0"/>
            <w:sz w:val="20"/>
            <w:szCs w:val="20"/>
            <w:u w:val="none"/>
          </w:rPr>
          <w:t>16.11.6.1.5</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Declaration of Forfeit of CRRs</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_Toc184623050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16-70</w:t>
        </w:r>
        <w:r w:rsidR="000C1414" w:rsidRPr="000C1414">
          <w:rPr>
            <w:i w:val="0"/>
            <w:webHidden/>
            <w:sz w:val="20"/>
            <w:szCs w:val="20"/>
          </w:rPr>
          <w:fldChar w:fldCharType="end"/>
        </w:r>
      </w:hyperlink>
    </w:p>
    <w:p w14:paraId="04902E7F" w14:textId="23969C91" w:rsidR="000C1414" w:rsidRPr="000C1414" w:rsidRDefault="00023AB4">
      <w:pPr>
        <w:pStyle w:val="TOC5"/>
        <w:tabs>
          <w:tab w:val="left" w:pos="3614"/>
        </w:tabs>
        <w:rPr>
          <w:rFonts w:eastAsiaTheme="minorEastAsia"/>
          <w:i w:val="0"/>
          <w:kern w:val="2"/>
          <w:sz w:val="20"/>
          <w:szCs w:val="20"/>
          <w14:ligatures w14:val="standardContextual"/>
        </w:rPr>
      </w:pPr>
      <w:hyperlink w:anchor="_Toc184623051" w:history="1">
        <w:r w:rsidR="000C1414" w:rsidRPr="000C1414">
          <w:rPr>
            <w:rStyle w:val="Hyperlink"/>
            <w:i w:val="0"/>
            <w:sz w:val="20"/>
            <w:szCs w:val="20"/>
            <w:u w:val="none"/>
          </w:rPr>
          <w:t>16.11.6.1.6</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Liquidation of Repossessed or Forfeited CRRs</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_Toc184623051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16-71</w:t>
        </w:r>
        <w:r w:rsidR="000C1414" w:rsidRPr="000C1414">
          <w:rPr>
            <w:i w:val="0"/>
            <w:webHidden/>
            <w:sz w:val="20"/>
            <w:szCs w:val="20"/>
          </w:rPr>
          <w:fldChar w:fldCharType="end"/>
        </w:r>
      </w:hyperlink>
    </w:p>
    <w:p w14:paraId="2A547E0D" w14:textId="1BC4A703" w:rsidR="000C1414" w:rsidRPr="000C1414" w:rsidRDefault="00023AB4">
      <w:pPr>
        <w:pStyle w:val="TOC5"/>
        <w:tabs>
          <w:tab w:val="left" w:pos="3614"/>
        </w:tabs>
        <w:rPr>
          <w:rFonts w:eastAsiaTheme="minorEastAsia"/>
          <w:i w:val="0"/>
          <w:kern w:val="2"/>
          <w:sz w:val="20"/>
          <w:szCs w:val="20"/>
          <w14:ligatures w14:val="standardContextual"/>
        </w:rPr>
      </w:pPr>
      <w:hyperlink w:anchor="_Toc184623052" w:history="1">
        <w:r w:rsidR="000C1414" w:rsidRPr="000C1414">
          <w:rPr>
            <w:rStyle w:val="Hyperlink"/>
            <w:i w:val="0"/>
            <w:sz w:val="20"/>
            <w:szCs w:val="20"/>
            <w:u w:val="none"/>
          </w:rPr>
          <w:t>16.11.6.1.6</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Revocation of a Market Participant’s Rights and Termination of Agreements</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_Toc184623052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16-73</w:t>
        </w:r>
        <w:r w:rsidR="000C1414" w:rsidRPr="000C1414">
          <w:rPr>
            <w:i w:val="0"/>
            <w:webHidden/>
            <w:sz w:val="20"/>
            <w:szCs w:val="20"/>
          </w:rPr>
          <w:fldChar w:fldCharType="end"/>
        </w:r>
      </w:hyperlink>
    </w:p>
    <w:p w14:paraId="0674903E" w14:textId="6C751C5F" w:rsidR="000C1414" w:rsidRPr="000C1414" w:rsidRDefault="00023AB4">
      <w:pPr>
        <w:pStyle w:val="TOC4"/>
        <w:rPr>
          <w:rFonts w:eastAsiaTheme="minorEastAsia"/>
          <w:kern w:val="2"/>
          <w:sz w:val="20"/>
          <w:szCs w:val="20"/>
          <w14:ligatures w14:val="standardContextual"/>
        </w:rPr>
      </w:pPr>
      <w:hyperlink w:anchor="_Toc184623053" w:history="1">
        <w:r w:rsidR="000C1414" w:rsidRPr="000C1414">
          <w:rPr>
            <w:rStyle w:val="Hyperlink"/>
            <w:sz w:val="20"/>
            <w:szCs w:val="20"/>
            <w:u w:val="none"/>
          </w:rPr>
          <w:t>16.11.6.2</w:t>
        </w:r>
        <w:r w:rsidR="000C1414" w:rsidRPr="000C1414">
          <w:rPr>
            <w:rFonts w:eastAsiaTheme="minorEastAsia"/>
            <w:kern w:val="2"/>
            <w:sz w:val="20"/>
            <w:szCs w:val="20"/>
            <w14:ligatures w14:val="standardContextual"/>
          </w:rPr>
          <w:tab/>
        </w:r>
        <w:r w:rsidR="000C1414" w:rsidRPr="000C1414">
          <w:rPr>
            <w:rStyle w:val="Hyperlink"/>
            <w:sz w:val="20"/>
            <w:szCs w:val="20"/>
            <w:u w:val="none"/>
          </w:rPr>
          <w:t>ERCOT’s Remedies for Late Payments by a Market Participant</w:t>
        </w:r>
        <w:r w:rsidR="000C1414" w:rsidRPr="000C1414">
          <w:rPr>
            <w:webHidden/>
            <w:sz w:val="20"/>
            <w:szCs w:val="20"/>
          </w:rPr>
          <w:tab/>
        </w:r>
        <w:r w:rsidR="000C1414" w:rsidRPr="000C1414">
          <w:rPr>
            <w:webHidden/>
            <w:sz w:val="20"/>
            <w:szCs w:val="20"/>
          </w:rPr>
          <w:fldChar w:fldCharType="begin"/>
        </w:r>
        <w:r w:rsidR="000C1414" w:rsidRPr="000C1414">
          <w:rPr>
            <w:webHidden/>
            <w:sz w:val="20"/>
            <w:szCs w:val="20"/>
          </w:rPr>
          <w:instrText xml:space="preserve"> PAGEREF _Toc184623053 \h </w:instrText>
        </w:r>
        <w:r w:rsidR="000C1414" w:rsidRPr="000C1414">
          <w:rPr>
            <w:webHidden/>
            <w:sz w:val="20"/>
            <w:szCs w:val="20"/>
          </w:rPr>
        </w:r>
        <w:r w:rsidR="000C1414" w:rsidRPr="000C1414">
          <w:rPr>
            <w:webHidden/>
            <w:sz w:val="20"/>
            <w:szCs w:val="20"/>
          </w:rPr>
          <w:fldChar w:fldCharType="separate"/>
        </w:r>
        <w:r>
          <w:rPr>
            <w:webHidden/>
            <w:sz w:val="20"/>
            <w:szCs w:val="20"/>
          </w:rPr>
          <w:t>16-73</w:t>
        </w:r>
        <w:r w:rsidR="000C1414" w:rsidRPr="000C1414">
          <w:rPr>
            <w:webHidden/>
            <w:sz w:val="20"/>
            <w:szCs w:val="20"/>
          </w:rPr>
          <w:fldChar w:fldCharType="end"/>
        </w:r>
      </w:hyperlink>
    </w:p>
    <w:p w14:paraId="40CE53FE" w14:textId="0136F6BE" w:rsidR="000C1414" w:rsidRPr="000C1414" w:rsidRDefault="00023AB4">
      <w:pPr>
        <w:pStyle w:val="TOC5"/>
        <w:tabs>
          <w:tab w:val="left" w:pos="3614"/>
        </w:tabs>
        <w:rPr>
          <w:rFonts w:eastAsiaTheme="minorEastAsia"/>
          <w:i w:val="0"/>
          <w:kern w:val="2"/>
          <w:sz w:val="20"/>
          <w:szCs w:val="20"/>
          <w14:ligatures w14:val="standardContextual"/>
        </w:rPr>
      </w:pPr>
      <w:hyperlink w:anchor="_Toc184623054" w:history="1">
        <w:r w:rsidR="000C1414" w:rsidRPr="000C1414">
          <w:rPr>
            <w:rStyle w:val="Hyperlink"/>
            <w:i w:val="0"/>
            <w:sz w:val="20"/>
            <w:szCs w:val="20"/>
            <w:u w:val="none"/>
          </w:rPr>
          <w:t>16.11.6.2.1</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First Late Payment in Any Rolling 12-Month Period</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_Toc184623054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16-74</w:t>
        </w:r>
        <w:r w:rsidR="000C1414" w:rsidRPr="000C1414">
          <w:rPr>
            <w:i w:val="0"/>
            <w:webHidden/>
            <w:sz w:val="20"/>
            <w:szCs w:val="20"/>
          </w:rPr>
          <w:fldChar w:fldCharType="end"/>
        </w:r>
      </w:hyperlink>
    </w:p>
    <w:p w14:paraId="46791D53" w14:textId="3D3107D9" w:rsidR="000C1414" w:rsidRPr="000C1414" w:rsidRDefault="00023AB4">
      <w:pPr>
        <w:pStyle w:val="TOC5"/>
        <w:tabs>
          <w:tab w:val="left" w:pos="3614"/>
        </w:tabs>
        <w:rPr>
          <w:rFonts w:eastAsiaTheme="minorEastAsia"/>
          <w:i w:val="0"/>
          <w:kern w:val="2"/>
          <w:sz w:val="20"/>
          <w:szCs w:val="20"/>
          <w14:ligatures w14:val="standardContextual"/>
        </w:rPr>
      </w:pPr>
      <w:hyperlink w:anchor="_Toc184623055" w:history="1">
        <w:r w:rsidR="000C1414" w:rsidRPr="000C1414">
          <w:rPr>
            <w:rStyle w:val="Hyperlink"/>
            <w:i w:val="0"/>
            <w:sz w:val="20"/>
            <w:szCs w:val="20"/>
            <w:u w:val="none"/>
          </w:rPr>
          <w:t>16.11.6.2.2</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Second Late Payment in Any Rolling 12-Month Period</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_Toc184623055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16-74</w:t>
        </w:r>
        <w:r w:rsidR="000C1414" w:rsidRPr="000C1414">
          <w:rPr>
            <w:i w:val="0"/>
            <w:webHidden/>
            <w:sz w:val="20"/>
            <w:szCs w:val="20"/>
          </w:rPr>
          <w:fldChar w:fldCharType="end"/>
        </w:r>
      </w:hyperlink>
    </w:p>
    <w:p w14:paraId="2F66E221" w14:textId="43469BD6" w:rsidR="000C1414" w:rsidRPr="000C1414" w:rsidRDefault="00023AB4">
      <w:pPr>
        <w:pStyle w:val="TOC5"/>
        <w:tabs>
          <w:tab w:val="left" w:pos="3614"/>
        </w:tabs>
        <w:rPr>
          <w:rFonts w:eastAsiaTheme="minorEastAsia"/>
          <w:i w:val="0"/>
          <w:kern w:val="2"/>
          <w:sz w:val="20"/>
          <w:szCs w:val="20"/>
          <w14:ligatures w14:val="standardContextual"/>
        </w:rPr>
      </w:pPr>
      <w:hyperlink w:anchor="_Toc184623056" w:history="1">
        <w:r w:rsidR="000C1414" w:rsidRPr="000C1414">
          <w:rPr>
            <w:rStyle w:val="Hyperlink"/>
            <w:i w:val="0"/>
            <w:sz w:val="20"/>
            <w:szCs w:val="20"/>
            <w:u w:val="none"/>
          </w:rPr>
          <w:t>16.11.6.2.3</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Third Late Payment in Any Rolling 12-Month Period</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_Toc184623056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16-74</w:t>
        </w:r>
        <w:r w:rsidR="000C1414" w:rsidRPr="000C1414">
          <w:rPr>
            <w:i w:val="0"/>
            <w:webHidden/>
            <w:sz w:val="20"/>
            <w:szCs w:val="20"/>
          </w:rPr>
          <w:fldChar w:fldCharType="end"/>
        </w:r>
      </w:hyperlink>
    </w:p>
    <w:p w14:paraId="18FDD1D3" w14:textId="62F35A47" w:rsidR="000C1414" w:rsidRPr="000C1414" w:rsidRDefault="00023AB4">
      <w:pPr>
        <w:pStyle w:val="TOC5"/>
        <w:tabs>
          <w:tab w:val="left" w:pos="3614"/>
        </w:tabs>
        <w:rPr>
          <w:rFonts w:eastAsiaTheme="minorEastAsia"/>
          <w:i w:val="0"/>
          <w:kern w:val="2"/>
          <w:sz w:val="20"/>
          <w:szCs w:val="20"/>
          <w14:ligatures w14:val="standardContextual"/>
        </w:rPr>
      </w:pPr>
      <w:hyperlink w:anchor="_Toc184623057" w:history="1">
        <w:r w:rsidR="000C1414" w:rsidRPr="000C1414">
          <w:rPr>
            <w:rStyle w:val="Hyperlink"/>
            <w:i w:val="0"/>
            <w:sz w:val="20"/>
            <w:szCs w:val="20"/>
            <w:u w:val="none"/>
          </w:rPr>
          <w:t>16.11.6.2.4</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Fourth Late Payment in Any Rolling 12-Month Period</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_Toc184623057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16-74</w:t>
        </w:r>
        <w:r w:rsidR="000C1414" w:rsidRPr="000C1414">
          <w:rPr>
            <w:i w:val="0"/>
            <w:webHidden/>
            <w:sz w:val="20"/>
            <w:szCs w:val="20"/>
          </w:rPr>
          <w:fldChar w:fldCharType="end"/>
        </w:r>
      </w:hyperlink>
    </w:p>
    <w:p w14:paraId="5C674A37" w14:textId="040BF43D" w:rsidR="000C1414" w:rsidRPr="000C1414" w:rsidRDefault="00023AB4">
      <w:pPr>
        <w:pStyle w:val="TOC5"/>
        <w:tabs>
          <w:tab w:val="left" w:pos="3614"/>
        </w:tabs>
        <w:rPr>
          <w:rFonts w:eastAsiaTheme="minorEastAsia"/>
          <w:i w:val="0"/>
          <w:kern w:val="2"/>
          <w:sz w:val="20"/>
          <w:szCs w:val="20"/>
          <w14:ligatures w14:val="standardContextual"/>
        </w:rPr>
      </w:pPr>
      <w:hyperlink w:anchor="_Toc184623058" w:history="1">
        <w:r w:rsidR="000C1414" w:rsidRPr="000C1414">
          <w:rPr>
            <w:rStyle w:val="Hyperlink"/>
            <w:i w:val="0"/>
            <w:sz w:val="20"/>
            <w:szCs w:val="20"/>
            <w:u w:val="none"/>
          </w:rPr>
          <w:t>16.11.6.2.5</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Level I Enforcement</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_Toc184623058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16-75</w:t>
        </w:r>
        <w:r w:rsidR="000C1414" w:rsidRPr="000C1414">
          <w:rPr>
            <w:i w:val="0"/>
            <w:webHidden/>
            <w:sz w:val="20"/>
            <w:szCs w:val="20"/>
          </w:rPr>
          <w:fldChar w:fldCharType="end"/>
        </w:r>
      </w:hyperlink>
    </w:p>
    <w:p w14:paraId="01971386" w14:textId="66E174EA" w:rsidR="000C1414" w:rsidRPr="000C1414" w:rsidRDefault="00023AB4">
      <w:pPr>
        <w:pStyle w:val="TOC5"/>
        <w:tabs>
          <w:tab w:val="left" w:pos="3614"/>
        </w:tabs>
        <w:rPr>
          <w:rFonts w:eastAsiaTheme="minorEastAsia"/>
          <w:i w:val="0"/>
          <w:kern w:val="2"/>
          <w:sz w:val="20"/>
          <w:szCs w:val="20"/>
          <w14:ligatures w14:val="standardContextual"/>
        </w:rPr>
      </w:pPr>
      <w:hyperlink w:anchor="_Toc184623059" w:history="1">
        <w:r w:rsidR="000C1414" w:rsidRPr="000C1414">
          <w:rPr>
            <w:rStyle w:val="Hyperlink"/>
            <w:i w:val="0"/>
            <w:sz w:val="20"/>
            <w:szCs w:val="20"/>
            <w:u w:val="none"/>
          </w:rPr>
          <w:t>16.11.6.2.6</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Level II Enforcement</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_Toc184623059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16-75</w:t>
        </w:r>
        <w:r w:rsidR="000C1414" w:rsidRPr="000C1414">
          <w:rPr>
            <w:i w:val="0"/>
            <w:webHidden/>
            <w:sz w:val="20"/>
            <w:szCs w:val="20"/>
          </w:rPr>
          <w:fldChar w:fldCharType="end"/>
        </w:r>
      </w:hyperlink>
    </w:p>
    <w:p w14:paraId="1BD4B29B" w14:textId="4C484D23" w:rsidR="000C1414" w:rsidRPr="000C1414" w:rsidRDefault="00023AB4">
      <w:pPr>
        <w:pStyle w:val="TOC5"/>
        <w:tabs>
          <w:tab w:val="left" w:pos="3614"/>
        </w:tabs>
        <w:rPr>
          <w:rFonts w:eastAsiaTheme="minorEastAsia"/>
          <w:i w:val="0"/>
          <w:kern w:val="2"/>
          <w:sz w:val="20"/>
          <w:szCs w:val="20"/>
          <w14:ligatures w14:val="standardContextual"/>
        </w:rPr>
      </w:pPr>
      <w:hyperlink w:anchor="_Toc184623060" w:history="1">
        <w:r w:rsidR="000C1414" w:rsidRPr="000C1414">
          <w:rPr>
            <w:rStyle w:val="Hyperlink"/>
            <w:i w:val="0"/>
            <w:sz w:val="20"/>
            <w:szCs w:val="20"/>
            <w:u w:val="none"/>
          </w:rPr>
          <w:t>16.11.6.2.7</w:t>
        </w:r>
        <w:r w:rsidR="000C1414" w:rsidRPr="000C1414">
          <w:rPr>
            <w:rFonts w:eastAsiaTheme="minorEastAsia"/>
            <w:i w:val="0"/>
            <w:kern w:val="2"/>
            <w:sz w:val="20"/>
            <w:szCs w:val="20"/>
            <w14:ligatures w14:val="standardContextual"/>
          </w:rPr>
          <w:tab/>
        </w:r>
        <w:r w:rsidR="000C1414" w:rsidRPr="000C1414">
          <w:rPr>
            <w:rStyle w:val="Hyperlink"/>
            <w:i w:val="0"/>
            <w:sz w:val="20"/>
            <w:szCs w:val="20"/>
            <w:u w:val="none"/>
          </w:rPr>
          <w:t>Level III Enforcement</w:t>
        </w:r>
        <w:r w:rsidR="000C1414" w:rsidRPr="000C1414">
          <w:rPr>
            <w:i w:val="0"/>
            <w:webHidden/>
            <w:sz w:val="20"/>
            <w:szCs w:val="20"/>
          </w:rPr>
          <w:tab/>
        </w:r>
        <w:r w:rsidR="000C1414" w:rsidRPr="000C1414">
          <w:rPr>
            <w:i w:val="0"/>
            <w:webHidden/>
            <w:sz w:val="20"/>
            <w:szCs w:val="20"/>
          </w:rPr>
          <w:fldChar w:fldCharType="begin"/>
        </w:r>
        <w:r w:rsidR="000C1414" w:rsidRPr="000C1414">
          <w:rPr>
            <w:i w:val="0"/>
            <w:webHidden/>
            <w:sz w:val="20"/>
            <w:szCs w:val="20"/>
          </w:rPr>
          <w:instrText xml:space="preserve"> PAGEREF _Toc184623060 \h </w:instrText>
        </w:r>
        <w:r w:rsidR="000C1414" w:rsidRPr="000C1414">
          <w:rPr>
            <w:i w:val="0"/>
            <w:webHidden/>
            <w:sz w:val="20"/>
            <w:szCs w:val="20"/>
          </w:rPr>
        </w:r>
        <w:r w:rsidR="000C1414" w:rsidRPr="000C1414">
          <w:rPr>
            <w:i w:val="0"/>
            <w:webHidden/>
            <w:sz w:val="20"/>
            <w:szCs w:val="20"/>
          </w:rPr>
          <w:fldChar w:fldCharType="separate"/>
        </w:r>
        <w:r>
          <w:rPr>
            <w:i w:val="0"/>
            <w:webHidden/>
            <w:sz w:val="20"/>
            <w:szCs w:val="20"/>
          </w:rPr>
          <w:t>16-75</w:t>
        </w:r>
        <w:r w:rsidR="000C1414" w:rsidRPr="000C1414">
          <w:rPr>
            <w:i w:val="0"/>
            <w:webHidden/>
            <w:sz w:val="20"/>
            <w:szCs w:val="20"/>
          </w:rPr>
          <w:fldChar w:fldCharType="end"/>
        </w:r>
      </w:hyperlink>
    </w:p>
    <w:p w14:paraId="49D49D41" w14:textId="1C48D611" w:rsidR="000C1414" w:rsidRPr="000C1414" w:rsidRDefault="00023AB4">
      <w:pPr>
        <w:pStyle w:val="TOC3"/>
        <w:rPr>
          <w:rFonts w:eastAsiaTheme="minorEastAsia"/>
          <w:i w:val="0"/>
          <w:iCs w:val="0"/>
          <w:noProof/>
          <w:kern w:val="2"/>
          <w14:ligatures w14:val="standardContextual"/>
        </w:rPr>
      </w:pPr>
      <w:hyperlink w:anchor="_Toc184623061" w:history="1">
        <w:r w:rsidR="000C1414" w:rsidRPr="000C1414">
          <w:rPr>
            <w:rStyle w:val="Hyperlink"/>
            <w:i w:val="0"/>
            <w:iCs w:val="0"/>
            <w:noProof/>
            <w:u w:val="none"/>
          </w:rPr>
          <w:t>16.11.7</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Release of Market Participant’s Financial Security Requirement</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_Toc184623061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16-76</w:t>
        </w:r>
        <w:r w:rsidR="000C1414" w:rsidRPr="000C1414">
          <w:rPr>
            <w:i w:val="0"/>
            <w:iCs w:val="0"/>
            <w:noProof/>
            <w:webHidden/>
          </w:rPr>
          <w:fldChar w:fldCharType="end"/>
        </w:r>
      </w:hyperlink>
    </w:p>
    <w:p w14:paraId="7CA1ADC0" w14:textId="39BF4ED5" w:rsidR="000C1414" w:rsidRPr="000C1414" w:rsidRDefault="00023AB4">
      <w:pPr>
        <w:pStyle w:val="TOC3"/>
        <w:rPr>
          <w:rFonts w:eastAsiaTheme="minorEastAsia"/>
          <w:i w:val="0"/>
          <w:iCs w:val="0"/>
          <w:noProof/>
          <w:kern w:val="2"/>
          <w14:ligatures w14:val="standardContextual"/>
        </w:rPr>
      </w:pPr>
      <w:hyperlink w:anchor="_Toc184623062" w:history="1">
        <w:r w:rsidR="000C1414" w:rsidRPr="000C1414">
          <w:rPr>
            <w:rStyle w:val="Hyperlink"/>
            <w:i w:val="0"/>
            <w:iCs w:val="0"/>
            <w:noProof/>
            <w:u w:val="none"/>
          </w:rPr>
          <w:t>16.11.8</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Acceleration</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_Toc184623062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16-77</w:t>
        </w:r>
        <w:r w:rsidR="000C1414" w:rsidRPr="000C1414">
          <w:rPr>
            <w:i w:val="0"/>
            <w:iCs w:val="0"/>
            <w:noProof/>
            <w:webHidden/>
          </w:rPr>
          <w:fldChar w:fldCharType="end"/>
        </w:r>
      </w:hyperlink>
    </w:p>
    <w:p w14:paraId="61938CE5" w14:textId="1D21F032" w:rsidR="000C1414" w:rsidRPr="000C1414" w:rsidRDefault="00023AB4">
      <w:pPr>
        <w:pStyle w:val="TOC2"/>
        <w:rPr>
          <w:rFonts w:eastAsiaTheme="minorEastAsia"/>
          <w:kern w:val="2"/>
          <w14:ligatures w14:val="standardContextual"/>
        </w:rPr>
      </w:pPr>
      <w:hyperlink w:anchor="_Toc184623063" w:history="1">
        <w:r w:rsidR="000C1414" w:rsidRPr="000C1414">
          <w:rPr>
            <w:rStyle w:val="Hyperlink"/>
            <w:u w:val="none"/>
          </w:rPr>
          <w:t>16.12</w:t>
        </w:r>
        <w:r w:rsidR="000C1414" w:rsidRPr="000C1414">
          <w:rPr>
            <w:rFonts w:eastAsiaTheme="minorEastAsia"/>
            <w:kern w:val="2"/>
            <w14:ligatures w14:val="standardContextual"/>
          </w:rPr>
          <w:tab/>
        </w:r>
        <w:r w:rsidR="000C1414" w:rsidRPr="000C1414">
          <w:rPr>
            <w:rStyle w:val="Hyperlink"/>
            <w:u w:val="none"/>
          </w:rPr>
          <w:t>User Security Administrator and Digital Certificates</w:t>
        </w:r>
        <w:r w:rsidR="000C1414" w:rsidRPr="000C1414">
          <w:rPr>
            <w:webHidden/>
          </w:rPr>
          <w:tab/>
        </w:r>
        <w:r w:rsidR="000C1414" w:rsidRPr="000C1414">
          <w:rPr>
            <w:webHidden/>
          </w:rPr>
          <w:fldChar w:fldCharType="begin"/>
        </w:r>
        <w:r w:rsidR="000C1414" w:rsidRPr="000C1414">
          <w:rPr>
            <w:webHidden/>
          </w:rPr>
          <w:instrText xml:space="preserve"> PAGEREF _Toc184623063 \h </w:instrText>
        </w:r>
        <w:r w:rsidR="000C1414" w:rsidRPr="000C1414">
          <w:rPr>
            <w:webHidden/>
          </w:rPr>
        </w:r>
        <w:r w:rsidR="000C1414" w:rsidRPr="000C1414">
          <w:rPr>
            <w:webHidden/>
          </w:rPr>
          <w:fldChar w:fldCharType="separate"/>
        </w:r>
        <w:r>
          <w:rPr>
            <w:webHidden/>
          </w:rPr>
          <w:t>16-77</w:t>
        </w:r>
        <w:r w:rsidR="000C1414" w:rsidRPr="000C1414">
          <w:rPr>
            <w:webHidden/>
          </w:rPr>
          <w:fldChar w:fldCharType="end"/>
        </w:r>
      </w:hyperlink>
    </w:p>
    <w:p w14:paraId="749107A1" w14:textId="5FA3BF03" w:rsidR="000C1414" w:rsidRPr="000C1414" w:rsidRDefault="00023AB4">
      <w:pPr>
        <w:pStyle w:val="TOC3"/>
        <w:rPr>
          <w:rFonts w:eastAsiaTheme="minorEastAsia"/>
          <w:i w:val="0"/>
          <w:iCs w:val="0"/>
          <w:noProof/>
          <w:kern w:val="2"/>
          <w14:ligatures w14:val="standardContextual"/>
        </w:rPr>
      </w:pPr>
      <w:hyperlink w:anchor="_Toc184623064" w:history="1">
        <w:r w:rsidR="000C1414" w:rsidRPr="000C1414">
          <w:rPr>
            <w:rStyle w:val="Hyperlink"/>
            <w:i w:val="0"/>
            <w:iCs w:val="0"/>
            <w:noProof/>
            <w:u w:val="none"/>
          </w:rPr>
          <w:t>16.12.1</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USA Responsibilities and Qualifications for Digital Certificate Holders</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_Toc184623064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16-79</w:t>
        </w:r>
        <w:r w:rsidR="000C1414" w:rsidRPr="000C1414">
          <w:rPr>
            <w:i w:val="0"/>
            <w:iCs w:val="0"/>
            <w:noProof/>
            <w:webHidden/>
          </w:rPr>
          <w:fldChar w:fldCharType="end"/>
        </w:r>
      </w:hyperlink>
    </w:p>
    <w:p w14:paraId="7ADE8E8A" w14:textId="45EA6D13" w:rsidR="000C1414" w:rsidRPr="000C1414" w:rsidRDefault="00023AB4">
      <w:pPr>
        <w:pStyle w:val="TOC3"/>
        <w:rPr>
          <w:rFonts w:eastAsiaTheme="minorEastAsia"/>
          <w:i w:val="0"/>
          <w:iCs w:val="0"/>
          <w:noProof/>
          <w:kern w:val="2"/>
          <w14:ligatures w14:val="standardContextual"/>
        </w:rPr>
      </w:pPr>
      <w:hyperlink w:anchor="_Toc184623065" w:history="1">
        <w:r w:rsidR="000C1414" w:rsidRPr="000C1414">
          <w:rPr>
            <w:rStyle w:val="Hyperlink"/>
            <w:i w:val="0"/>
            <w:iCs w:val="0"/>
            <w:noProof/>
            <w:u w:val="none"/>
          </w:rPr>
          <w:t>16.12.2</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Requirements for Use of Digital Certificates</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_Toc184623065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16-80</w:t>
        </w:r>
        <w:r w:rsidR="000C1414" w:rsidRPr="000C1414">
          <w:rPr>
            <w:i w:val="0"/>
            <w:iCs w:val="0"/>
            <w:noProof/>
            <w:webHidden/>
          </w:rPr>
          <w:fldChar w:fldCharType="end"/>
        </w:r>
      </w:hyperlink>
    </w:p>
    <w:p w14:paraId="470F496E" w14:textId="1B75223D" w:rsidR="000C1414" w:rsidRPr="000C1414" w:rsidRDefault="00023AB4">
      <w:pPr>
        <w:pStyle w:val="TOC3"/>
        <w:rPr>
          <w:rFonts w:eastAsiaTheme="minorEastAsia"/>
          <w:i w:val="0"/>
          <w:iCs w:val="0"/>
          <w:noProof/>
          <w:kern w:val="2"/>
          <w14:ligatures w14:val="standardContextual"/>
        </w:rPr>
      </w:pPr>
      <w:hyperlink w:anchor="_Toc184623066" w:history="1">
        <w:r w:rsidR="000C1414" w:rsidRPr="000C1414">
          <w:rPr>
            <w:rStyle w:val="Hyperlink"/>
            <w:i w:val="0"/>
            <w:iCs w:val="0"/>
            <w:noProof/>
            <w:u w:val="none"/>
          </w:rPr>
          <w:t>16.12.3</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Market Participant Audits of User Security Administrators and Digital Certificates</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_Toc184623066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16-81</w:t>
        </w:r>
        <w:r w:rsidR="000C1414" w:rsidRPr="000C1414">
          <w:rPr>
            <w:i w:val="0"/>
            <w:iCs w:val="0"/>
            <w:noProof/>
            <w:webHidden/>
          </w:rPr>
          <w:fldChar w:fldCharType="end"/>
        </w:r>
      </w:hyperlink>
    </w:p>
    <w:p w14:paraId="3080E032" w14:textId="5D0576CE" w:rsidR="000C1414" w:rsidRPr="000C1414" w:rsidRDefault="00023AB4">
      <w:pPr>
        <w:pStyle w:val="TOC2"/>
        <w:rPr>
          <w:rFonts w:eastAsiaTheme="minorEastAsia"/>
          <w:kern w:val="2"/>
          <w14:ligatures w14:val="standardContextual"/>
        </w:rPr>
      </w:pPr>
      <w:hyperlink w:anchor="_Toc184623067" w:history="1">
        <w:r w:rsidR="000C1414" w:rsidRPr="000C1414">
          <w:rPr>
            <w:rStyle w:val="Hyperlink"/>
            <w:u w:val="none"/>
          </w:rPr>
          <w:t>16.13</w:t>
        </w:r>
        <w:r w:rsidR="000C1414" w:rsidRPr="000C1414">
          <w:rPr>
            <w:rFonts w:eastAsiaTheme="minorEastAsia"/>
            <w:kern w:val="2"/>
            <w14:ligatures w14:val="standardContextual"/>
          </w:rPr>
          <w:tab/>
        </w:r>
        <w:r w:rsidR="000C1414" w:rsidRPr="000C1414">
          <w:rPr>
            <w:rStyle w:val="Hyperlink"/>
            <w:u w:val="none"/>
          </w:rPr>
          <w:t>Registration of Emergency Response Service Resources</w:t>
        </w:r>
        <w:r w:rsidR="000C1414" w:rsidRPr="000C1414">
          <w:rPr>
            <w:webHidden/>
          </w:rPr>
          <w:tab/>
        </w:r>
        <w:r w:rsidR="000C1414" w:rsidRPr="000C1414">
          <w:rPr>
            <w:webHidden/>
          </w:rPr>
          <w:fldChar w:fldCharType="begin"/>
        </w:r>
        <w:r w:rsidR="000C1414" w:rsidRPr="000C1414">
          <w:rPr>
            <w:webHidden/>
          </w:rPr>
          <w:instrText xml:space="preserve"> PAGEREF _Toc184623067 \h </w:instrText>
        </w:r>
        <w:r w:rsidR="000C1414" w:rsidRPr="000C1414">
          <w:rPr>
            <w:webHidden/>
          </w:rPr>
        </w:r>
        <w:r w:rsidR="000C1414" w:rsidRPr="000C1414">
          <w:rPr>
            <w:webHidden/>
          </w:rPr>
          <w:fldChar w:fldCharType="separate"/>
        </w:r>
        <w:r>
          <w:rPr>
            <w:webHidden/>
          </w:rPr>
          <w:t>16-83</w:t>
        </w:r>
        <w:r w:rsidR="000C1414" w:rsidRPr="000C1414">
          <w:rPr>
            <w:webHidden/>
          </w:rPr>
          <w:fldChar w:fldCharType="end"/>
        </w:r>
      </w:hyperlink>
    </w:p>
    <w:p w14:paraId="5B25B2D5" w14:textId="24C87A54" w:rsidR="000C1414" w:rsidRPr="000C1414" w:rsidRDefault="00023AB4">
      <w:pPr>
        <w:pStyle w:val="TOC2"/>
        <w:rPr>
          <w:rFonts w:eastAsiaTheme="minorEastAsia"/>
          <w:kern w:val="2"/>
          <w14:ligatures w14:val="standardContextual"/>
        </w:rPr>
      </w:pPr>
      <w:hyperlink w:anchor="_Toc184623068" w:history="1">
        <w:r w:rsidR="000C1414" w:rsidRPr="000C1414">
          <w:rPr>
            <w:rStyle w:val="Hyperlink"/>
            <w:u w:val="none"/>
          </w:rPr>
          <w:t>16.14</w:t>
        </w:r>
        <w:r w:rsidR="000C1414" w:rsidRPr="000C1414">
          <w:rPr>
            <w:rFonts w:eastAsiaTheme="minorEastAsia"/>
            <w:kern w:val="2"/>
            <w14:ligatures w14:val="standardContextual"/>
          </w:rPr>
          <w:tab/>
        </w:r>
        <w:r w:rsidR="000C1414" w:rsidRPr="000C1414">
          <w:rPr>
            <w:rStyle w:val="Hyperlink"/>
            <w:u w:val="none"/>
          </w:rPr>
          <w:t>Termination of Access Privileges to Restricted Computer Systems and Control Systems</w:t>
        </w:r>
        <w:r w:rsidR="000C1414" w:rsidRPr="000C1414">
          <w:rPr>
            <w:webHidden/>
          </w:rPr>
          <w:tab/>
        </w:r>
        <w:r w:rsidR="000C1414" w:rsidRPr="000C1414">
          <w:rPr>
            <w:webHidden/>
          </w:rPr>
          <w:fldChar w:fldCharType="begin"/>
        </w:r>
        <w:r w:rsidR="000C1414" w:rsidRPr="000C1414">
          <w:rPr>
            <w:webHidden/>
          </w:rPr>
          <w:instrText xml:space="preserve"> PAGEREF _Toc184623068 \h </w:instrText>
        </w:r>
        <w:r w:rsidR="000C1414" w:rsidRPr="000C1414">
          <w:rPr>
            <w:webHidden/>
          </w:rPr>
        </w:r>
        <w:r w:rsidR="000C1414" w:rsidRPr="000C1414">
          <w:rPr>
            <w:webHidden/>
          </w:rPr>
          <w:fldChar w:fldCharType="separate"/>
        </w:r>
        <w:r>
          <w:rPr>
            <w:webHidden/>
          </w:rPr>
          <w:t>16-83</w:t>
        </w:r>
        <w:r w:rsidR="000C1414" w:rsidRPr="000C1414">
          <w:rPr>
            <w:webHidden/>
          </w:rPr>
          <w:fldChar w:fldCharType="end"/>
        </w:r>
      </w:hyperlink>
    </w:p>
    <w:p w14:paraId="504A78F5" w14:textId="06F3F04D" w:rsidR="000C1414" w:rsidRPr="000C1414" w:rsidRDefault="00023AB4">
      <w:pPr>
        <w:pStyle w:val="TOC2"/>
        <w:rPr>
          <w:rFonts w:eastAsiaTheme="minorEastAsia"/>
          <w:kern w:val="2"/>
          <w14:ligatures w14:val="standardContextual"/>
        </w:rPr>
      </w:pPr>
      <w:hyperlink w:anchor="_Toc184623069" w:history="1">
        <w:r w:rsidR="000C1414" w:rsidRPr="000C1414">
          <w:rPr>
            <w:rStyle w:val="Hyperlink"/>
            <w:u w:val="none"/>
          </w:rPr>
          <w:t>16.15</w:t>
        </w:r>
        <w:r w:rsidR="000C1414" w:rsidRPr="000C1414">
          <w:rPr>
            <w:rFonts w:eastAsiaTheme="minorEastAsia"/>
            <w:kern w:val="2"/>
            <w14:ligatures w14:val="standardContextual"/>
          </w:rPr>
          <w:tab/>
        </w:r>
        <w:r w:rsidR="000C1414" w:rsidRPr="000C1414">
          <w:rPr>
            <w:rStyle w:val="Hyperlink"/>
            <w:u w:val="none"/>
          </w:rPr>
          <w:t>Registration of Independent Market Information System Registered Entity</w:t>
        </w:r>
        <w:r w:rsidR="000C1414" w:rsidRPr="000C1414">
          <w:rPr>
            <w:webHidden/>
          </w:rPr>
          <w:tab/>
        </w:r>
        <w:r w:rsidR="000C1414" w:rsidRPr="000C1414">
          <w:rPr>
            <w:webHidden/>
          </w:rPr>
          <w:fldChar w:fldCharType="begin"/>
        </w:r>
        <w:r w:rsidR="000C1414" w:rsidRPr="000C1414">
          <w:rPr>
            <w:webHidden/>
          </w:rPr>
          <w:instrText xml:space="preserve"> PAGEREF _Toc184623069 \h </w:instrText>
        </w:r>
        <w:r w:rsidR="000C1414" w:rsidRPr="000C1414">
          <w:rPr>
            <w:webHidden/>
          </w:rPr>
        </w:r>
        <w:r w:rsidR="000C1414" w:rsidRPr="000C1414">
          <w:rPr>
            <w:webHidden/>
          </w:rPr>
          <w:fldChar w:fldCharType="separate"/>
        </w:r>
        <w:r>
          <w:rPr>
            <w:webHidden/>
          </w:rPr>
          <w:t>16-84</w:t>
        </w:r>
        <w:r w:rsidR="000C1414" w:rsidRPr="000C1414">
          <w:rPr>
            <w:webHidden/>
          </w:rPr>
          <w:fldChar w:fldCharType="end"/>
        </w:r>
      </w:hyperlink>
    </w:p>
    <w:p w14:paraId="540F3834" w14:textId="0655C3DD" w:rsidR="000C1414" w:rsidRPr="000C1414" w:rsidRDefault="00023AB4">
      <w:pPr>
        <w:pStyle w:val="TOC2"/>
        <w:rPr>
          <w:rFonts w:eastAsiaTheme="minorEastAsia"/>
          <w:kern w:val="2"/>
          <w14:ligatures w14:val="standardContextual"/>
        </w:rPr>
      </w:pPr>
      <w:hyperlink w:anchor="_Toc184623070" w:history="1">
        <w:r w:rsidR="000C1414" w:rsidRPr="000C1414">
          <w:rPr>
            <w:rStyle w:val="Hyperlink"/>
            <w:u w:val="none"/>
          </w:rPr>
          <w:t>16.16</w:t>
        </w:r>
        <w:r w:rsidR="000C1414" w:rsidRPr="000C1414">
          <w:rPr>
            <w:rFonts w:eastAsiaTheme="minorEastAsia"/>
            <w:kern w:val="2"/>
            <w14:ligatures w14:val="standardContextual"/>
          </w:rPr>
          <w:tab/>
        </w:r>
        <w:r w:rsidR="000C1414" w:rsidRPr="000C1414">
          <w:rPr>
            <w:rStyle w:val="Hyperlink"/>
            <w:u w:val="none"/>
          </w:rPr>
          <w:t>Additional Counter-Party Qualification Requirements</w:t>
        </w:r>
        <w:r w:rsidR="000C1414" w:rsidRPr="000C1414">
          <w:rPr>
            <w:webHidden/>
          </w:rPr>
          <w:tab/>
        </w:r>
        <w:r w:rsidR="000C1414" w:rsidRPr="000C1414">
          <w:rPr>
            <w:webHidden/>
          </w:rPr>
          <w:fldChar w:fldCharType="begin"/>
        </w:r>
        <w:r w:rsidR="000C1414" w:rsidRPr="000C1414">
          <w:rPr>
            <w:webHidden/>
          </w:rPr>
          <w:instrText xml:space="preserve"> PAGEREF _Toc184623070 \h </w:instrText>
        </w:r>
        <w:r w:rsidR="000C1414" w:rsidRPr="000C1414">
          <w:rPr>
            <w:webHidden/>
          </w:rPr>
        </w:r>
        <w:r w:rsidR="000C1414" w:rsidRPr="000C1414">
          <w:rPr>
            <w:webHidden/>
          </w:rPr>
          <w:fldChar w:fldCharType="separate"/>
        </w:r>
        <w:r>
          <w:rPr>
            <w:webHidden/>
          </w:rPr>
          <w:t>16-84</w:t>
        </w:r>
        <w:r w:rsidR="000C1414" w:rsidRPr="000C1414">
          <w:rPr>
            <w:webHidden/>
          </w:rPr>
          <w:fldChar w:fldCharType="end"/>
        </w:r>
      </w:hyperlink>
    </w:p>
    <w:p w14:paraId="66EBFDA0" w14:textId="6BE599C4" w:rsidR="000C1414" w:rsidRPr="000C1414" w:rsidRDefault="00023AB4">
      <w:pPr>
        <w:pStyle w:val="TOC3"/>
        <w:rPr>
          <w:rFonts w:eastAsiaTheme="minorEastAsia"/>
          <w:i w:val="0"/>
          <w:iCs w:val="0"/>
          <w:noProof/>
          <w:kern w:val="2"/>
          <w14:ligatures w14:val="standardContextual"/>
        </w:rPr>
      </w:pPr>
      <w:hyperlink w:anchor="_Toc184623071" w:history="1">
        <w:r w:rsidR="000C1414" w:rsidRPr="000C1414">
          <w:rPr>
            <w:rStyle w:val="Hyperlink"/>
            <w:i w:val="0"/>
            <w:iCs w:val="0"/>
            <w:noProof/>
            <w:u w:val="none"/>
          </w:rPr>
          <w:t>16.16.1</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Counter-Party Criteria</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_Toc184623071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16-84</w:t>
        </w:r>
        <w:r w:rsidR="000C1414" w:rsidRPr="000C1414">
          <w:rPr>
            <w:i w:val="0"/>
            <w:iCs w:val="0"/>
            <w:noProof/>
            <w:webHidden/>
          </w:rPr>
          <w:fldChar w:fldCharType="end"/>
        </w:r>
      </w:hyperlink>
    </w:p>
    <w:p w14:paraId="066DE20F" w14:textId="04A16C4D" w:rsidR="000C1414" w:rsidRPr="000C1414" w:rsidRDefault="00023AB4">
      <w:pPr>
        <w:pStyle w:val="TOC3"/>
        <w:rPr>
          <w:rFonts w:eastAsiaTheme="minorEastAsia"/>
          <w:i w:val="0"/>
          <w:iCs w:val="0"/>
          <w:noProof/>
          <w:kern w:val="2"/>
          <w14:ligatures w14:val="standardContextual"/>
        </w:rPr>
      </w:pPr>
      <w:hyperlink w:anchor="_Toc184623072" w:history="1">
        <w:r w:rsidR="000C1414" w:rsidRPr="000C1414">
          <w:rPr>
            <w:rStyle w:val="Hyperlink"/>
            <w:i w:val="0"/>
            <w:iCs w:val="0"/>
            <w:noProof/>
            <w:u w:val="none"/>
          </w:rPr>
          <w:t>16.16.2</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Annual Certification</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_Toc184623072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16-86</w:t>
        </w:r>
        <w:r w:rsidR="000C1414" w:rsidRPr="000C1414">
          <w:rPr>
            <w:i w:val="0"/>
            <w:iCs w:val="0"/>
            <w:noProof/>
            <w:webHidden/>
          </w:rPr>
          <w:fldChar w:fldCharType="end"/>
        </w:r>
      </w:hyperlink>
    </w:p>
    <w:p w14:paraId="40860163" w14:textId="1CFF0BF0" w:rsidR="000C1414" w:rsidRPr="000C1414" w:rsidRDefault="00023AB4">
      <w:pPr>
        <w:pStyle w:val="TOC3"/>
        <w:rPr>
          <w:rFonts w:eastAsiaTheme="minorEastAsia"/>
          <w:i w:val="0"/>
          <w:iCs w:val="0"/>
          <w:noProof/>
          <w:kern w:val="2"/>
          <w14:ligatures w14:val="standardContextual"/>
        </w:rPr>
      </w:pPr>
      <w:hyperlink w:anchor="_Toc184623073" w:history="1">
        <w:r w:rsidR="000C1414" w:rsidRPr="000C1414">
          <w:rPr>
            <w:rStyle w:val="Hyperlink"/>
            <w:i w:val="0"/>
            <w:iCs w:val="0"/>
            <w:noProof/>
            <w:u w:val="none"/>
          </w:rPr>
          <w:t>16.16.3</w:t>
        </w:r>
        <w:r w:rsidR="000C1414" w:rsidRPr="000C1414">
          <w:rPr>
            <w:rFonts w:eastAsiaTheme="minorEastAsia"/>
            <w:i w:val="0"/>
            <w:iCs w:val="0"/>
            <w:noProof/>
            <w:kern w:val="2"/>
            <w14:ligatures w14:val="standardContextual"/>
          </w:rPr>
          <w:tab/>
        </w:r>
        <w:r w:rsidR="000C1414" w:rsidRPr="000C1414">
          <w:rPr>
            <w:rStyle w:val="Hyperlink"/>
            <w:i w:val="0"/>
            <w:iCs w:val="0"/>
            <w:noProof/>
            <w:u w:val="none"/>
          </w:rPr>
          <w:t>Verification of Risk Management Framework</w:t>
        </w:r>
        <w:r w:rsidR="000C1414" w:rsidRPr="000C1414">
          <w:rPr>
            <w:i w:val="0"/>
            <w:iCs w:val="0"/>
            <w:noProof/>
            <w:webHidden/>
          </w:rPr>
          <w:tab/>
        </w:r>
        <w:r w:rsidR="000C1414" w:rsidRPr="000C1414">
          <w:rPr>
            <w:i w:val="0"/>
            <w:iCs w:val="0"/>
            <w:noProof/>
            <w:webHidden/>
          </w:rPr>
          <w:fldChar w:fldCharType="begin"/>
        </w:r>
        <w:r w:rsidR="000C1414" w:rsidRPr="000C1414">
          <w:rPr>
            <w:i w:val="0"/>
            <w:iCs w:val="0"/>
            <w:noProof/>
            <w:webHidden/>
          </w:rPr>
          <w:instrText xml:space="preserve"> PAGEREF _Toc184623073 \h </w:instrText>
        </w:r>
        <w:r w:rsidR="000C1414" w:rsidRPr="000C1414">
          <w:rPr>
            <w:i w:val="0"/>
            <w:iCs w:val="0"/>
            <w:noProof/>
            <w:webHidden/>
          </w:rPr>
        </w:r>
        <w:r w:rsidR="000C1414" w:rsidRPr="000C1414">
          <w:rPr>
            <w:i w:val="0"/>
            <w:iCs w:val="0"/>
            <w:noProof/>
            <w:webHidden/>
          </w:rPr>
          <w:fldChar w:fldCharType="separate"/>
        </w:r>
        <w:r>
          <w:rPr>
            <w:i w:val="0"/>
            <w:iCs w:val="0"/>
            <w:noProof/>
            <w:webHidden/>
          </w:rPr>
          <w:t>16-86</w:t>
        </w:r>
        <w:r w:rsidR="000C1414" w:rsidRPr="000C1414">
          <w:rPr>
            <w:i w:val="0"/>
            <w:iCs w:val="0"/>
            <w:noProof/>
            <w:webHidden/>
          </w:rPr>
          <w:fldChar w:fldCharType="end"/>
        </w:r>
      </w:hyperlink>
    </w:p>
    <w:p w14:paraId="6FF005AF" w14:textId="39202C7A" w:rsidR="000C1414" w:rsidRPr="000C1414" w:rsidRDefault="00023AB4">
      <w:pPr>
        <w:pStyle w:val="TOC2"/>
        <w:rPr>
          <w:rFonts w:eastAsiaTheme="minorEastAsia"/>
          <w:kern w:val="2"/>
          <w14:ligatures w14:val="standardContextual"/>
        </w:rPr>
      </w:pPr>
      <w:hyperlink w:anchor="_Toc184623074" w:history="1">
        <w:r w:rsidR="000C1414" w:rsidRPr="000C1414">
          <w:rPr>
            <w:rStyle w:val="Hyperlink"/>
            <w:u w:val="none"/>
          </w:rPr>
          <w:t>16.17</w:t>
        </w:r>
        <w:r w:rsidR="000C1414" w:rsidRPr="000C1414">
          <w:rPr>
            <w:rFonts w:eastAsiaTheme="minorEastAsia"/>
            <w:kern w:val="2"/>
            <w14:ligatures w14:val="standardContextual"/>
          </w:rPr>
          <w:tab/>
        </w:r>
        <w:r w:rsidR="000C1414" w:rsidRPr="000C1414">
          <w:rPr>
            <w:rStyle w:val="Hyperlink"/>
            <w:u w:val="none"/>
          </w:rPr>
          <w:t>Exemption for Qualified Scheduling Entities Participating Only in Emergency Response Service</w:t>
        </w:r>
        <w:r w:rsidR="000C1414" w:rsidRPr="000C1414">
          <w:rPr>
            <w:webHidden/>
          </w:rPr>
          <w:tab/>
        </w:r>
        <w:r w:rsidR="000C1414" w:rsidRPr="000C1414">
          <w:rPr>
            <w:webHidden/>
          </w:rPr>
          <w:fldChar w:fldCharType="begin"/>
        </w:r>
        <w:r w:rsidR="000C1414" w:rsidRPr="000C1414">
          <w:rPr>
            <w:webHidden/>
          </w:rPr>
          <w:instrText xml:space="preserve"> PAGEREF _Toc184623074 \h </w:instrText>
        </w:r>
        <w:r w:rsidR="000C1414" w:rsidRPr="000C1414">
          <w:rPr>
            <w:webHidden/>
          </w:rPr>
        </w:r>
        <w:r w:rsidR="000C1414" w:rsidRPr="000C1414">
          <w:rPr>
            <w:webHidden/>
          </w:rPr>
          <w:fldChar w:fldCharType="separate"/>
        </w:r>
        <w:r>
          <w:rPr>
            <w:webHidden/>
          </w:rPr>
          <w:t>16-89</w:t>
        </w:r>
        <w:r w:rsidR="000C1414" w:rsidRPr="000C1414">
          <w:rPr>
            <w:webHidden/>
          </w:rPr>
          <w:fldChar w:fldCharType="end"/>
        </w:r>
      </w:hyperlink>
    </w:p>
    <w:p w14:paraId="6616F8CB" w14:textId="1CC8FFAD" w:rsidR="000C1414" w:rsidRPr="000C1414" w:rsidRDefault="00023AB4">
      <w:pPr>
        <w:pStyle w:val="TOC2"/>
        <w:rPr>
          <w:rFonts w:eastAsiaTheme="minorEastAsia"/>
          <w:kern w:val="2"/>
          <w14:ligatures w14:val="standardContextual"/>
        </w:rPr>
      </w:pPr>
      <w:hyperlink w:anchor="_Toc184623075" w:history="1">
        <w:r w:rsidR="000C1414" w:rsidRPr="000C1414">
          <w:rPr>
            <w:rStyle w:val="Hyperlink"/>
            <w:u w:val="none"/>
          </w:rPr>
          <w:t>16.18</w:t>
        </w:r>
        <w:r w:rsidR="000C1414" w:rsidRPr="000C1414">
          <w:rPr>
            <w:rFonts w:eastAsiaTheme="minorEastAsia"/>
            <w:kern w:val="2"/>
            <w14:ligatures w14:val="standardContextual"/>
          </w:rPr>
          <w:tab/>
        </w:r>
        <w:r w:rsidR="000C1414" w:rsidRPr="000C1414">
          <w:rPr>
            <w:rStyle w:val="Hyperlink"/>
            <w:u w:val="none"/>
          </w:rPr>
          <w:t>Registration of a Direct Current Tie Operator</w:t>
        </w:r>
        <w:r w:rsidR="000C1414" w:rsidRPr="000C1414">
          <w:rPr>
            <w:webHidden/>
          </w:rPr>
          <w:tab/>
        </w:r>
        <w:r w:rsidR="000C1414" w:rsidRPr="000C1414">
          <w:rPr>
            <w:webHidden/>
          </w:rPr>
          <w:fldChar w:fldCharType="begin"/>
        </w:r>
        <w:r w:rsidR="000C1414" w:rsidRPr="000C1414">
          <w:rPr>
            <w:webHidden/>
          </w:rPr>
          <w:instrText xml:space="preserve"> PAGEREF _Toc184623075 \h </w:instrText>
        </w:r>
        <w:r w:rsidR="000C1414" w:rsidRPr="000C1414">
          <w:rPr>
            <w:webHidden/>
          </w:rPr>
        </w:r>
        <w:r w:rsidR="000C1414" w:rsidRPr="000C1414">
          <w:rPr>
            <w:webHidden/>
          </w:rPr>
          <w:fldChar w:fldCharType="separate"/>
        </w:r>
        <w:r>
          <w:rPr>
            <w:webHidden/>
          </w:rPr>
          <w:t>16-90</w:t>
        </w:r>
        <w:r w:rsidR="000C1414" w:rsidRPr="000C1414">
          <w:rPr>
            <w:webHidden/>
          </w:rPr>
          <w:fldChar w:fldCharType="end"/>
        </w:r>
      </w:hyperlink>
    </w:p>
    <w:p w14:paraId="1A536515" w14:textId="350F91B8" w:rsidR="000C1414" w:rsidRPr="000C1414" w:rsidRDefault="00023AB4">
      <w:pPr>
        <w:pStyle w:val="TOC2"/>
        <w:rPr>
          <w:rFonts w:eastAsiaTheme="minorEastAsia"/>
          <w:kern w:val="2"/>
          <w14:ligatures w14:val="standardContextual"/>
        </w:rPr>
      </w:pPr>
      <w:hyperlink w:anchor="_Toc184623076" w:history="1">
        <w:r w:rsidR="000C1414" w:rsidRPr="000C1414">
          <w:rPr>
            <w:rStyle w:val="Hyperlink"/>
            <w:u w:val="none"/>
          </w:rPr>
          <w:t>16.18</w:t>
        </w:r>
        <w:r w:rsidR="000C1414" w:rsidRPr="000C1414">
          <w:rPr>
            <w:rFonts w:eastAsiaTheme="minorEastAsia"/>
            <w:kern w:val="2"/>
            <w14:ligatures w14:val="standardContextual"/>
          </w:rPr>
          <w:tab/>
        </w:r>
        <w:r w:rsidR="000C1414" w:rsidRPr="000C1414">
          <w:rPr>
            <w:rStyle w:val="Hyperlink"/>
            <w:u w:val="none"/>
          </w:rPr>
          <w:t>Cybersecurity Incident Notification</w:t>
        </w:r>
        <w:r w:rsidR="000C1414" w:rsidRPr="000C1414">
          <w:rPr>
            <w:webHidden/>
          </w:rPr>
          <w:tab/>
        </w:r>
        <w:r w:rsidR="000C1414" w:rsidRPr="000C1414">
          <w:rPr>
            <w:webHidden/>
          </w:rPr>
          <w:fldChar w:fldCharType="begin"/>
        </w:r>
        <w:r w:rsidR="000C1414" w:rsidRPr="000C1414">
          <w:rPr>
            <w:webHidden/>
          </w:rPr>
          <w:instrText xml:space="preserve"> PAGEREF _Toc184623076 \h </w:instrText>
        </w:r>
        <w:r w:rsidR="000C1414" w:rsidRPr="000C1414">
          <w:rPr>
            <w:webHidden/>
          </w:rPr>
        </w:r>
        <w:r w:rsidR="000C1414" w:rsidRPr="000C1414">
          <w:rPr>
            <w:webHidden/>
          </w:rPr>
          <w:fldChar w:fldCharType="separate"/>
        </w:r>
        <w:r>
          <w:rPr>
            <w:webHidden/>
          </w:rPr>
          <w:t>16-90</w:t>
        </w:r>
        <w:r w:rsidR="000C1414" w:rsidRPr="000C1414">
          <w:rPr>
            <w:webHidden/>
          </w:rPr>
          <w:fldChar w:fldCharType="end"/>
        </w:r>
      </w:hyperlink>
    </w:p>
    <w:p w14:paraId="0C59883C" w14:textId="00FD765D" w:rsidR="000C1414" w:rsidRPr="000C1414" w:rsidRDefault="00023AB4">
      <w:pPr>
        <w:pStyle w:val="TOC2"/>
        <w:rPr>
          <w:rFonts w:eastAsiaTheme="minorEastAsia"/>
          <w:kern w:val="2"/>
          <w14:ligatures w14:val="standardContextual"/>
        </w:rPr>
      </w:pPr>
      <w:hyperlink w:anchor="_Toc184623077" w:history="1">
        <w:r w:rsidR="000C1414" w:rsidRPr="000C1414">
          <w:rPr>
            <w:rStyle w:val="Hyperlink"/>
            <w:snapToGrid w:val="0"/>
            <w:u w:val="none"/>
          </w:rPr>
          <w:t>16.19</w:t>
        </w:r>
        <w:r w:rsidR="000C1414" w:rsidRPr="000C1414">
          <w:rPr>
            <w:rFonts w:eastAsiaTheme="minorEastAsia"/>
            <w:kern w:val="2"/>
            <w14:ligatures w14:val="standardContextual"/>
          </w:rPr>
          <w:tab/>
        </w:r>
        <w:r w:rsidR="000C1414" w:rsidRPr="000C1414">
          <w:rPr>
            <w:rStyle w:val="Hyperlink"/>
            <w:u w:val="none"/>
          </w:rPr>
          <w:t>Designation</w:t>
        </w:r>
        <w:r w:rsidR="000C1414" w:rsidRPr="000C1414">
          <w:rPr>
            <w:rStyle w:val="Hyperlink"/>
            <w:snapToGrid w:val="0"/>
            <w:u w:val="none"/>
          </w:rPr>
          <w:t xml:space="preserve"> of Transmission Operators</w:t>
        </w:r>
        <w:r w:rsidR="000C1414" w:rsidRPr="000C1414">
          <w:rPr>
            <w:webHidden/>
          </w:rPr>
          <w:tab/>
        </w:r>
        <w:r w:rsidR="000C1414" w:rsidRPr="000C1414">
          <w:rPr>
            <w:webHidden/>
          </w:rPr>
          <w:fldChar w:fldCharType="begin"/>
        </w:r>
        <w:r w:rsidR="000C1414" w:rsidRPr="000C1414">
          <w:rPr>
            <w:webHidden/>
          </w:rPr>
          <w:instrText xml:space="preserve"> PAGEREF _Toc184623077 \h </w:instrText>
        </w:r>
        <w:r w:rsidR="000C1414" w:rsidRPr="000C1414">
          <w:rPr>
            <w:webHidden/>
          </w:rPr>
        </w:r>
        <w:r w:rsidR="000C1414" w:rsidRPr="000C1414">
          <w:rPr>
            <w:webHidden/>
          </w:rPr>
          <w:fldChar w:fldCharType="separate"/>
        </w:r>
        <w:r>
          <w:rPr>
            <w:webHidden/>
          </w:rPr>
          <w:t>16-92</w:t>
        </w:r>
        <w:r w:rsidR="000C1414" w:rsidRPr="000C1414">
          <w:rPr>
            <w:webHidden/>
          </w:rPr>
          <w:fldChar w:fldCharType="end"/>
        </w:r>
      </w:hyperlink>
    </w:p>
    <w:p w14:paraId="61CC22B6" w14:textId="0BB2D054" w:rsidR="000C1414" w:rsidRPr="000C1414" w:rsidRDefault="00023AB4">
      <w:pPr>
        <w:pStyle w:val="TOC2"/>
        <w:rPr>
          <w:rFonts w:eastAsiaTheme="minorEastAsia"/>
          <w:kern w:val="2"/>
          <w14:ligatures w14:val="standardContextual"/>
        </w:rPr>
      </w:pPr>
      <w:hyperlink w:anchor="_Toc184623078" w:history="1">
        <w:r w:rsidR="000C1414" w:rsidRPr="000C1414">
          <w:rPr>
            <w:rStyle w:val="Hyperlink"/>
            <w:snapToGrid w:val="0"/>
            <w:u w:val="none"/>
          </w:rPr>
          <w:t>16.19</w:t>
        </w:r>
        <w:r w:rsidR="000C1414" w:rsidRPr="000C1414">
          <w:rPr>
            <w:rFonts w:eastAsiaTheme="minorEastAsia"/>
            <w:kern w:val="2"/>
            <w14:ligatures w14:val="standardContextual"/>
          </w:rPr>
          <w:tab/>
        </w:r>
        <w:r w:rsidR="000C1414" w:rsidRPr="000C1414">
          <w:rPr>
            <w:rStyle w:val="Hyperlink"/>
            <w:snapToGrid w:val="0"/>
            <w:u w:val="none"/>
          </w:rPr>
          <w:t>Designation of Transmission Operators</w:t>
        </w:r>
        <w:r w:rsidR="000C1414" w:rsidRPr="000C1414">
          <w:rPr>
            <w:webHidden/>
          </w:rPr>
          <w:tab/>
        </w:r>
        <w:r w:rsidR="000C1414" w:rsidRPr="000C1414">
          <w:rPr>
            <w:webHidden/>
          </w:rPr>
          <w:fldChar w:fldCharType="begin"/>
        </w:r>
        <w:r w:rsidR="000C1414" w:rsidRPr="000C1414">
          <w:rPr>
            <w:webHidden/>
          </w:rPr>
          <w:instrText xml:space="preserve"> PAGEREF _Toc184623078 \h </w:instrText>
        </w:r>
        <w:r w:rsidR="000C1414" w:rsidRPr="000C1414">
          <w:rPr>
            <w:webHidden/>
          </w:rPr>
        </w:r>
        <w:r w:rsidR="000C1414" w:rsidRPr="000C1414">
          <w:rPr>
            <w:webHidden/>
          </w:rPr>
          <w:fldChar w:fldCharType="separate"/>
        </w:r>
        <w:r>
          <w:rPr>
            <w:webHidden/>
          </w:rPr>
          <w:t>16-93</w:t>
        </w:r>
        <w:r w:rsidR="000C1414" w:rsidRPr="000C1414">
          <w:rPr>
            <w:webHidden/>
          </w:rPr>
          <w:fldChar w:fldCharType="end"/>
        </w:r>
      </w:hyperlink>
    </w:p>
    <w:p w14:paraId="5217AED2" w14:textId="6F5C93CE" w:rsidR="00FC1C5F" w:rsidRDefault="00816A7E">
      <w:pPr>
        <w:pStyle w:val="Heading1"/>
        <w:numPr>
          <w:ilvl w:val="0"/>
          <w:numId w:val="0"/>
        </w:numPr>
        <w:rPr>
          <w:bCs/>
          <w:i/>
          <w:caps w:val="0"/>
          <w:szCs w:val="24"/>
        </w:rPr>
        <w:sectPr w:rsidR="00FC1C5F">
          <w:headerReference w:type="default" r:id="rId12"/>
          <w:footerReference w:type="default" r:id="rId13"/>
          <w:headerReference w:type="first" r:id="rId14"/>
          <w:footerReference w:type="first" r:id="rId15"/>
          <w:pgSz w:w="12240" w:h="15840" w:code="1"/>
          <w:pgMar w:top="1440" w:right="1440" w:bottom="1440" w:left="1440" w:header="720" w:footer="720" w:gutter="0"/>
          <w:pgNumType w:start="0"/>
          <w:cols w:space="720"/>
        </w:sectPr>
      </w:pPr>
      <w:r w:rsidRPr="005250EA">
        <w:rPr>
          <w:b w:val="0"/>
          <w:szCs w:val="24"/>
        </w:rPr>
        <w:fldChar w:fldCharType="end"/>
      </w:r>
    </w:p>
    <w:p w14:paraId="719A87FA" w14:textId="77777777" w:rsidR="00FC1C5F" w:rsidRDefault="00727E32">
      <w:pPr>
        <w:pStyle w:val="Heading1"/>
      </w:pPr>
      <w:bookmarkStart w:id="0" w:name="_Toc71369169"/>
      <w:bookmarkStart w:id="1" w:name="_Toc71539385"/>
      <w:bookmarkStart w:id="2" w:name="_Toc390438909"/>
      <w:bookmarkStart w:id="3" w:name="_Toc405897606"/>
      <w:bookmarkStart w:id="4" w:name="_Toc415055710"/>
      <w:bookmarkStart w:id="5" w:name="_Toc415055836"/>
      <w:bookmarkStart w:id="6" w:name="_Toc415055935"/>
      <w:bookmarkStart w:id="7" w:name="_Toc415056036"/>
      <w:bookmarkStart w:id="8" w:name="_Toc184622967"/>
      <w:r>
        <w:lastRenderedPageBreak/>
        <w:t xml:space="preserve">REGISTRATION </w:t>
      </w:r>
      <w:smartTag w:uri="urn:schemas-microsoft-com:office:smarttags" w:element="stockticker">
        <w:r>
          <w:t>AND</w:t>
        </w:r>
      </w:smartTag>
      <w:r>
        <w:t xml:space="preserve"> QUALIFICATION OF MARKET PARTICIPANTS</w:t>
      </w:r>
      <w:bookmarkEnd w:id="0"/>
      <w:bookmarkEnd w:id="1"/>
      <w:bookmarkEnd w:id="2"/>
      <w:bookmarkEnd w:id="3"/>
      <w:bookmarkEnd w:id="4"/>
      <w:bookmarkEnd w:id="5"/>
      <w:bookmarkEnd w:id="6"/>
      <w:bookmarkEnd w:id="7"/>
      <w:bookmarkEnd w:id="8"/>
      <w:r>
        <w:t xml:space="preserve"> </w:t>
      </w:r>
    </w:p>
    <w:p w14:paraId="505F6BEB" w14:textId="77777777" w:rsidR="00FC1C5F" w:rsidRDefault="00727E32">
      <w:pPr>
        <w:pStyle w:val="H2"/>
      </w:pPr>
      <w:bookmarkStart w:id="9" w:name="_Toc71369170"/>
      <w:bookmarkStart w:id="10" w:name="_Toc71539386"/>
      <w:bookmarkStart w:id="11" w:name="_Toc390438910"/>
      <w:bookmarkStart w:id="12" w:name="_Toc405897607"/>
      <w:bookmarkStart w:id="13" w:name="_Toc415055711"/>
      <w:bookmarkStart w:id="14" w:name="_Toc415055837"/>
      <w:bookmarkStart w:id="15" w:name="_Toc415055936"/>
      <w:bookmarkStart w:id="16" w:name="_Toc415056037"/>
      <w:bookmarkStart w:id="17" w:name="_Toc184622968"/>
      <w:r>
        <w:t>16.1</w:t>
      </w:r>
      <w:r>
        <w:tab/>
        <w:t>Registration and Execution of Agreements</w:t>
      </w:r>
      <w:bookmarkEnd w:id="9"/>
      <w:bookmarkEnd w:id="10"/>
      <w:bookmarkEnd w:id="11"/>
      <w:bookmarkEnd w:id="12"/>
      <w:bookmarkEnd w:id="13"/>
      <w:bookmarkEnd w:id="14"/>
      <w:bookmarkEnd w:id="15"/>
      <w:bookmarkEnd w:id="16"/>
      <w:bookmarkEnd w:id="17"/>
    </w:p>
    <w:p w14:paraId="77BBF800" w14:textId="7498E5D1" w:rsidR="00FC1C5F" w:rsidRDefault="00727E32">
      <w:pPr>
        <w:pStyle w:val="List"/>
        <w:ind w:left="720"/>
      </w:pPr>
      <w:r>
        <w:t>(1)</w:t>
      </w:r>
      <w:r>
        <w:tab/>
        <w:t xml:space="preserve">ERCOT shall require each Market Participant to register and execute the Standard Form Market Participant Agreement and, as applicable, </w:t>
      </w:r>
      <w:r w:rsidR="00081A43">
        <w:t xml:space="preserve">Standard Form </w:t>
      </w:r>
      <w:r>
        <w:t>Reliability Must-Run Agreement</w:t>
      </w:r>
      <w:r w:rsidR="00573E18">
        <w:t xml:space="preserve">, </w:t>
      </w:r>
      <w:r>
        <w:t xml:space="preserve">and </w:t>
      </w:r>
      <w:r w:rsidR="00081A43">
        <w:t xml:space="preserve">Standard Form </w:t>
      </w:r>
      <w:r>
        <w:t>Black Start Agreement.</w:t>
      </w:r>
    </w:p>
    <w:p w14:paraId="01260BD8" w14:textId="5EC6866C" w:rsidR="00FC1C5F" w:rsidRDefault="00727E32">
      <w:pPr>
        <w:pStyle w:val="BodyText"/>
        <w:ind w:left="720" w:hanging="720"/>
      </w:pPr>
      <w:r>
        <w:t>(2)</w:t>
      </w:r>
      <w:r>
        <w:tab/>
        <w:t xml:space="preserve">A Standard Form Market Participant Agreement is in Section 22, </w:t>
      </w:r>
      <w:r w:rsidR="008E0107">
        <w:t>Attachments</w:t>
      </w:r>
      <w:r>
        <w:t xml:space="preserve">, and ERCOT shall also post this agreement on the </w:t>
      </w:r>
      <w:r w:rsidR="00F13002">
        <w:t>ERCOT website</w:t>
      </w:r>
      <w:r>
        <w:t>.</w:t>
      </w:r>
    </w:p>
    <w:p w14:paraId="2BA10A0D" w14:textId="011FC9A9" w:rsidR="00FC1C5F" w:rsidRDefault="00727E32">
      <w:pPr>
        <w:pStyle w:val="BodyText"/>
        <w:ind w:left="720" w:hanging="720"/>
      </w:pPr>
      <w:r>
        <w:t>(3)</w:t>
      </w:r>
      <w:r>
        <w:tab/>
        <w:t xml:space="preserve">ERCOT shall post on the </w:t>
      </w:r>
      <w:r w:rsidR="00F13002">
        <w:t>ERCOT website</w:t>
      </w:r>
      <w:r>
        <w:t xml:space="preserve"> all registration procedures and applications necessary to complete registration for any function described in these Protocols.  As part of its registration procedures, ERCOT may require one or more of the following:</w:t>
      </w:r>
    </w:p>
    <w:p w14:paraId="5C0B717C" w14:textId="77777777" w:rsidR="00FC1C5F" w:rsidRDefault="00727E32">
      <w:pPr>
        <w:pStyle w:val="List"/>
      </w:pPr>
      <w:r>
        <w:t>(a)</w:t>
      </w:r>
      <w:r>
        <w:tab/>
        <w:t>Reasonable tests of the ability of a Market Participant to communicate with ERCOT or perform as required under these Protocols;</w:t>
      </w:r>
    </w:p>
    <w:p w14:paraId="3E0D8271" w14:textId="77777777" w:rsidR="00FC1C5F" w:rsidRDefault="00727E32">
      <w:pPr>
        <w:pStyle w:val="List"/>
      </w:pPr>
      <w:r>
        <w:t>(b)</w:t>
      </w:r>
      <w:r>
        <w:tab/>
        <w:t xml:space="preserve">An application fee as determined by the ERCOT Board; </w:t>
      </w:r>
    </w:p>
    <w:p w14:paraId="275209DC" w14:textId="482B7B7B" w:rsidR="00FC1C5F" w:rsidRDefault="00727E32">
      <w:pPr>
        <w:pStyle w:val="List"/>
      </w:pPr>
      <w:r>
        <w:t>(c)</w:t>
      </w:r>
      <w:r>
        <w:tab/>
        <w:t>Related agreements for specific purposes (such as agency designation, meter splitting, or network interconnection) that apply only to some Market Participants</w:t>
      </w:r>
      <w:r w:rsidR="005444D9">
        <w:t>;</w:t>
      </w:r>
    </w:p>
    <w:p w14:paraId="454B3C9C" w14:textId="472CF0EE" w:rsidR="00B22CBC" w:rsidRPr="003A2715" w:rsidRDefault="005444D9" w:rsidP="00B22CBC">
      <w:pPr>
        <w:spacing w:after="240"/>
        <w:ind w:left="1440" w:hanging="72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0% equity interest in (as owner, partner or other equity interest owner) another Entity at the time of a default where the default resulted in amounts owed to ERCOT remaining unpaid on any Agreement with ERCOT</w:t>
      </w:r>
      <w:r w:rsidR="00B22CBC">
        <w:t>; and</w:t>
      </w:r>
    </w:p>
    <w:p w14:paraId="7260F9D8" w14:textId="77777777" w:rsidR="00B22CBC" w:rsidRDefault="00B22CBC" w:rsidP="00B22CBC">
      <w:pPr>
        <w:spacing w:after="240"/>
        <w:ind w:left="1440" w:hanging="720"/>
      </w:pPr>
      <w:r>
        <w:t>(e)</w:t>
      </w:r>
      <w:r>
        <w:tab/>
        <w:t xml:space="preserve">An </w:t>
      </w:r>
      <w:r w:rsidRPr="003A2715">
        <w:t>attestation</w:t>
      </w:r>
      <w:r>
        <w:t xml:space="preserve"> regarding citizenship, ownership, or headquarters of the Entity seeking to register as a Market Participant.</w:t>
      </w:r>
    </w:p>
    <w:p w14:paraId="6D0B9DB8" w14:textId="77777777" w:rsidR="00271ED3" w:rsidRDefault="00271ED3" w:rsidP="00271ED3">
      <w:pPr>
        <w:pStyle w:val="H3"/>
      </w:pPr>
      <w:bookmarkStart w:id="18" w:name="_Toc390438911"/>
      <w:bookmarkStart w:id="19" w:name="_Toc405897608"/>
      <w:bookmarkStart w:id="20" w:name="_Toc415055712"/>
      <w:bookmarkStart w:id="21" w:name="_Toc415055838"/>
      <w:bookmarkStart w:id="22" w:name="_Toc415055937"/>
      <w:bookmarkStart w:id="23" w:name="_Toc415056038"/>
      <w:bookmarkStart w:id="24" w:name="_Toc184622969"/>
      <w:bookmarkStart w:id="25" w:name="_Toc71369171"/>
      <w:bookmarkStart w:id="26" w:name="_Toc71539387"/>
      <w:r>
        <w:t>16.1.1</w:t>
      </w:r>
      <w:r>
        <w:tab/>
        <w:t>Re-Registration as a Market Participant</w:t>
      </w:r>
      <w:bookmarkEnd w:id="18"/>
      <w:bookmarkEnd w:id="19"/>
      <w:bookmarkEnd w:id="20"/>
      <w:bookmarkEnd w:id="21"/>
      <w:bookmarkEnd w:id="22"/>
      <w:bookmarkEnd w:id="23"/>
      <w:bookmarkEnd w:id="24"/>
    </w:p>
    <w:p w14:paraId="71AE8CE8" w14:textId="77777777" w:rsidR="00271ED3" w:rsidRDefault="00853D39" w:rsidP="009F10FE">
      <w:pPr>
        <w:pStyle w:val="BodyText"/>
        <w:ind w:left="720" w:hanging="720"/>
      </w:pPr>
      <w:r>
        <w:t>(1)</w:t>
      </w:r>
      <w:r>
        <w:tab/>
      </w:r>
      <w:r w:rsidR="00271ED3">
        <w:t>Any M</w:t>
      </w:r>
      <w:r w:rsidR="00FA18C9">
        <w:t xml:space="preserve">arket </w:t>
      </w:r>
      <w:r w:rsidR="00271ED3">
        <w:t>P</w:t>
      </w:r>
      <w:r w:rsidR="00FA18C9">
        <w:t>articipant</w:t>
      </w:r>
      <w:r w:rsidR="00271ED3">
        <w:t xml:space="preserve"> that has had one of the following occur must provide to ERCOT a new DUNS Number (DUNS #) to re-register as a M</w:t>
      </w:r>
      <w:r w:rsidR="00FA18C9">
        <w:t xml:space="preserve">arket </w:t>
      </w:r>
      <w:r w:rsidR="00271ED3">
        <w:t>P</w:t>
      </w:r>
      <w:r w:rsidR="00FA18C9">
        <w:t>articipant</w:t>
      </w:r>
      <w:r w:rsidR="00271ED3">
        <w:t xml:space="preserve"> with ERCOT:</w:t>
      </w:r>
    </w:p>
    <w:p w14:paraId="5060A43B" w14:textId="77777777" w:rsidR="00271ED3" w:rsidRDefault="00271ED3" w:rsidP="00271ED3">
      <w:pPr>
        <w:pStyle w:val="List"/>
      </w:pPr>
      <w:r>
        <w:t>(</w:t>
      </w:r>
      <w:r w:rsidR="00825A48">
        <w:t>a</w:t>
      </w:r>
      <w:r>
        <w:t>)</w:t>
      </w:r>
      <w:r>
        <w:tab/>
        <w:t>Its Agreement with ERCOT terminated;</w:t>
      </w:r>
    </w:p>
    <w:p w14:paraId="26894054" w14:textId="3B880581" w:rsidR="00271ED3" w:rsidRDefault="00825A48" w:rsidP="00271ED3">
      <w:pPr>
        <w:pStyle w:val="List"/>
      </w:pPr>
      <w:r>
        <w:t>(b</w:t>
      </w:r>
      <w:r w:rsidR="00271ED3">
        <w:t>)</w:t>
      </w:r>
      <w:r w:rsidR="00271ED3">
        <w:tab/>
        <w:t>Its Customers dropped to the Provider(s) of Last Resort (POLR(s)) pursuant to Section 15.1.3, Transition</w:t>
      </w:r>
      <w:r w:rsidR="00081A43">
        <w:t xml:space="preserve"> Process</w:t>
      </w:r>
      <w:r w:rsidR="00271ED3">
        <w:t>; or</w:t>
      </w:r>
    </w:p>
    <w:p w14:paraId="7A75A8A2" w14:textId="0377C880" w:rsidR="00271ED3" w:rsidRDefault="00825A48" w:rsidP="00271ED3">
      <w:pPr>
        <w:pStyle w:val="List"/>
      </w:pPr>
      <w:r>
        <w:t>(c</w:t>
      </w:r>
      <w:r w:rsidR="00271ED3" w:rsidRPr="00927386">
        <w:t>)</w:t>
      </w:r>
      <w:r w:rsidR="00271ED3" w:rsidRPr="00927386">
        <w:tab/>
        <w:t xml:space="preserve">Its Customers dropped to a </w:t>
      </w:r>
      <w:r w:rsidR="00461E7A">
        <w:t>G</w:t>
      </w:r>
      <w:r w:rsidR="00271ED3" w:rsidRPr="00927386">
        <w:t xml:space="preserve">aining </w:t>
      </w:r>
      <w:r w:rsidR="004A501E">
        <w:t>Competitive Retailer (</w:t>
      </w:r>
      <w:r w:rsidR="00271ED3" w:rsidRPr="00927386">
        <w:t>CR</w:t>
      </w:r>
      <w:r w:rsidR="004A501E">
        <w:t>)</w:t>
      </w:r>
      <w:r w:rsidR="00271ED3" w:rsidRPr="00927386">
        <w:t xml:space="preserve"> pursuant to Section 15.1.3.</w:t>
      </w:r>
    </w:p>
    <w:p w14:paraId="114D8F20" w14:textId="4CBF31D5" w:rsidR="006B2E4D" w:rsidRDefault="006B2E4D" w:rsidP="006B2E4D">
      <w:pPr>
        <w:pStyle w:val="H3"/>
        <w:rPr>
          <w:b w:val="0"/>
          <w:i w:val="0"/>
        </w:rPr>
      </w:pPr>
      <w:bookmarkStart w:id="27" w:name="_Toc184622970"/>
      <w:bookmarkStart w:id="28" w:name="_Hlk90904101"/>
      <w:r w:rsidRPr="00CB652F">
        <w:lastRenderedPageBreak/>
        <w:t>16.1.2</w:t>
      </w:r>
      <w:r w:rsidR="00963894" w:rsidRPr="00963894">
        <w:tab/>
      </w:r>
      <w:r w:rsidRPr="00CB652F">
        <w:t>Principal of a Market Participant</w:t>
      </w:r>
      <w:bookmarkEnd w:id="27"/>
      <w:r w:rsidRPr="009F2339">
        <w:t xml:space="preserve"> </w:t>
      </w:r>
    </w:p>
    <w:p w14:paraId="1339BB8F" w14:textId="77777777" w:rsidR="006B2E4D" w:rsidRDefault="006B2E4D" w:rsidP="006B2E4D">
      <w:pPr>
        <w:spacing w:after="240"/>
        <w:ind w:left="720" w:hanging="720"/>
      </w:pPr>
      <w:r>
        <w:t>(1)</w:t>
      </w:r>
      <w:r>
        <w:tab/>
        <w:t>For purposes of Section 16, Registration and Qualification of Market Participants, a Principal is any of the following, as related to a registered Market Participant or Market Participant applicant:</w:t>
      </w:r>
    </w:p>
    <w:p w14:paraId="28DD1E97" w14:textId="77777777" w:rsidR="006B2E4D" w:rsidRDefault="006B2E4D" w:rsidP="006B2E4D">
      <w:pPr>
        <w:spacing w:after="240"/>
        <w:ind w:left="720"/>
      </w:pPr>
      <w:r>
        <w:t>(a)</w:t>
      </w:r>
      <w:r>
        <w:tab/>
        <w:t>A sole proprietor of a sole proprietorship;</w:t>
      </w:r>
    </w:p>
    <w:p w14:paraId="45EB3ED4" w14:textId="77777777" w:rsidR="006B2E4D" w:rsidRDefault="006B2E4D" w:rsidP="006B2E4D">
      <w:pPr>
        <w:spacing w:after="240"/>
        <w:ind w:left="1440" w:hanging="720"/>
      </w:pPr>
      <w:r>
        <w:t>(b)</w:t>
      </w:r>
      <w:r>
        <w:tab/>
        <w:t>A general partner of a general partnership;</w:t>
      </w:r>
    </w:p>
    <w:p w14:paraId="6CD618CA" w14:textId="77777777" w:rsidR="006B2E4D" w:rsidRDefault="006B2E4D" w:rsidP="006B2E4D">
      <w:pPr>
        <w:spacing w:after="240"/>
        <w:ind w:left="1440" w:hanging="720"/>
      </w:pPr>
      <w:r>
        <w:t>(c)</w:t>
      </w:r>
      <w:r>
        <w:tab/>
        <w:t>An executive of a company (e.g., president, chief executive officer, chief operating officer, chief financial officer, general counsel, or equivalent position);</w:t>
      </w:r>
    </w:p>
    <w:p w14:paraId="6C81EC0D" w14:textId="77777777" w:rsidR="006B2E4D" w:rsidRDefault="006B2E4D" w:rsidP="006B2E4D">
      <w:pPr>
        <w:spacing w:after="240"/>
        <w:ind w:left="1440" w:hanging="720"/>
      </w:pPr>
      <w:r>
        <w:t>(d)</w:t>
      </w:r>
      <w:r>
        <w:tab/>
        <w:t>A manager, managing member, or a member vested with the management authority of a limited liability company or limited liability partnership;</w:t>
      </w:r>
    </w:p>
    <w:p w14:paraId="4F499380" w14:textId="77777777" w:rsidR="006B2E4D" w:rsidRDefault="006B2E4D" w:rsidP="006B2E4D">
      <w:pPr>
        <w:spacing w:after="240"/>
        <w:ind w:left="1440" w:hanging="720"/>
      </w:pPr>
      <w:r>
        <w:t>(e)</w:t>
      </w:r>
      <w:r>
        <w:tab/>
        <w:t xml:space="preserve">A </w:t>
      </w:r>
      <w:r w:rsidRPr="007172CC">
        <w:t xml:space="preserve">shareholder </w:t>
      </w:r>
      <w:r>
        <w:t>with</w:t>
      </w:r>
      <w:r w:rsidRPr="007172CC">
        <w:t xml:space="preserve"> more than 10% equity </w:t>
      </w:r>
      <w:r>
        <w:t>of the Entity; or</w:t>
      </w:r>
    </w:p>
    <w:p w14:paraId="50F2B90F" w14:textId="54AC7B2D" w:rsidR="006B2E4D" w:rsidRDefault="006B2E4D" w:rsidP="006B2E4D">
      <w:pPr>
        <w:pStyle w:val="List"/>
      </w:pPr>
      <w:r>
        <w:t>(f)</w:t>
      </w:r>
      <w:r>
        <w:tab/>
        <w:t>A</w:t>
      </w:r>
      <w:r>
        <w:rPr>
          <w:lang w:eastAsia="x-none"/>
        </w:rPr>
        <w:t xml:space="preserve"> </w:t>
      </w:r>
      <w:r>
        <w:rPr>
          <w:lang w:val="x-none" w:eastAsia="x-none"/>
        </w:rPr>
        <w:t xml:space="preserve">person </w:t>
      </w:r>
      <w:r>
        <w:rPr>
          <w:lang w:eastAsia="x-none"/>
        </w:rPr>
        <w:t xml:space="preserve">that has authority to </w:t>
      </w:r>
      <w:r>
        <w:rPr>
          <w:lang w:val="x-none" w:eastAsia="x-none"/>
        </w:rPr>
        <w:t xml:space="preserve">make decisions </w:t>
      </w:r>
      <w:r>
        <w:rPr>
          <w:lang w:eastAsia="x-none"/>
        </w:rPr>
        <w:t>under these Protocols on</w:t>
      </w:r>
      <w:r>
        <w:rPr>
          <w:lang w:val="x-none" w:eastAsia="x-none"/>
        </w:rPr>
        <w:t xml:space="preserve"> </w:t>
      </w:r>
      <w:r>
        <w:rPr>
          <w:lang w:eastAsia="x-none"/>
        </w:rPr>
        <w:t xml:space="preserve">behalf of the registered Market Participant or applicant, and is not otherwise controlled by any of the other Principal types listed above, </w:t>
      </w:r>
      <w:r w:rsidRPr="000D340C">
        <w:rPr>
          <w:lang w:eastAsia="x-none"/>
        </w:rPr>
        <w:t>or as otherwise identified by ERCOT</w:t>
      </w:r>
      <w:r>
        <w:rPr>
          <w:lang w:eastAsia="x-none"/>
        </w:rPr>
        <w:t>.</w:t>
      </w:r>
    </w:p>
    <w:p w14:paraId="3DCF89BB" w14:textId="77777777" w:rsidR="00B22CBC" w:rsidRPr="003A2715" w:rsidRDefault="00B22CBC" w:rsidP="00B22CBC">
      <w:pPr>
        <w:pStyle w:val="H3"/>
      </w:pPr>
      <w:bookmarkStart w:id="29" w:name="_Toc184622971"/>
      <w:bookmarkStart w:id="30" w:name="_Toc390438912"/>
      <w:bookmarkStart w:id="31" w:name="_Toc405897609"/>
      <w:bookmarkStart w:id="32" w:name="_Toc415055713"/>
      <w:bookmarkStart w:id="33" w:name="_Toc415055839"/>
      <w:bookmarkStart w:id="34" w:name="_Toc415055938"/>
      <w:bookmarkStart w:id="35" w:name="_Toc415056039"/>
      <w:bookmarkEnd w:id="28"/>
      <w:r w:rsidRPr="003A2715">
        <w:t>16.1.3</w:t>
      </w:r>
      <w:r w:rsidRPr="003A2715">
        <w:tab/>
        <w:t>Market Participant Citizenship, Ownership, or Headquarters</w:t>
      </w:r>
      <w:bookmarkEnd w:id="29"/>
    </w:p>
    <w:p w14:paraId="5DE3AFC9" w14:textId="77777777" w:rsidR="00B22CBC" w:rsidRDefault="00B22CBC" w:rsidP="00B22CBC">
      <w:pPr>
        <w:spacing w:after="240"/>
        <w:ind w:left="720" w:hanging="720"/>
      </w:pPr>
      <w:r w:rsidRPr="00AF1FB5">
        <w:t>(1)</w:t>
      </w:r>
      <w:r>
        <w:tab/>
      </w:r>
      <w:r w:rsidRPr="00AF1FB5">
        <w:t xml:space="preserve">An Entity is not eligible to register </w:t>
      </w:r>
      <w:r>
        <w:t xml:space="preserve">or maintain its registration </w:t>
      </w:r>
      <w:r w:rsidRPr="00AF1FB5">
        <w:t>with ERCOT as a Market Participant if the Entity</w:t>
      </w:r>
      <w:r>
        <w:t>:</w:t>
      </w:r>
    </w:p>
    <w:p w14:paraId="02DB9E98" w14:textId="4010DCCA" w:rsidR="00B22CBC" w:rsidRDefault="00B22CBC" w:rsidP="00B22CBC">
      <w:pPr>
        <w:spacing w:after="240"/>
        <w:ind w:left="1440" w:hanging="720"/>
      </w:pPr>
      <w:r>
        <w:t>(a)</w:t>
      </w:r>
      <w:r>
        <w:tab/>
        <w:t xml:space="preserve">Is a person who is a citizen of </w:t>
      </w:r>
      <w:r w:rsidR="00461B44" w:rsidRPr="00AC0350">
        <w:t>a Lone Star Infrastructure Protection Act (LSIPA) Designated Country</w:t>
      </w:r>
      <w:r>
        <w:t>; or</w:t>
      </w:r>
      <w:r w:rsidRPr="00F43105">
        <w:t xml:space="preserve">   </w:t>
      </w:r>
    </w:p>
    <w:p w14:paraId="3E5FE843" w14:textId="41F2DE9C" w:rsidR="00B22CBC" w:rsidRDefault="00B22CBC" w:rsidP="00B22CBC">
      <w:pPr>
        <w:spacing w:after="240"/>
        <w:ind w:left="1440" w:hanging="720"/>
      </w:pPr>
      <w:r>
        <w:t>(b)</w:t>
      </w:r>
      <w:r>
        <w:tab/>
        <w:t xml:space="preserve">Is an </w:t>
      </w:r>
      <w:r w:rsidR="00461B44" w:rsidRPr="00AC0350">
        <w:t>LSIPA Designated Company</w:t>
      </w:r>
      <w:r w:rsidRPr="00AF1FB5">
        <w:t xml:space="preserve">.  </w:t>
      </w:r>
    </w:p>
    <w:p w14:paraId="005E3148" w14:textId="1D52E349" w:rsidR="00B22CBC" w:rsidRDefault="00B22CBC" w:rsidP="00B22CBC">
      <w:pPr>
        <w:spacing w:after="240"/>
        <w:ind w:left="720" w:hanging="720"/>
      </w:pPr>
      <w:r w:rsidRPr="00441345">
        <w:t>(2)</w:t>
      </w:r>
      <w:r w:rsidRPr="00441345">
        <w:tab/>
        <w:t xml:space="preserve">If an Entity meets any of the above listed criteria solely due to the citizenship, ownership or headquarters of a wholly owned subsidiary, majority-owned subsidiary, or </w:t>
      </w:r>
      <w:r>
        <w:t>A</w:t>
      </w:r>
      <w:r w:rsidRPr="00441345">
        <w:t xml:space="preserve">ffiliate, the Entity </w:t>
      </w:r>
      <w:r w:rsidR="00461B44">
        <w:t>will</w:t>
      </w:r>
      <w:r w:rsidRPr="00441345">
        <w:t xml:space="preserve"> be eligible to register as a Market Participant</w:t>
      </w:r>
      <w:r w:rsidR="00461B44" w:rsidRPr="00AC0350">
        <w:t>, subject to paragraph (5) below,</w:t>
      </w:r>
      <w:r w:rsidRPr="00441345">
        <w:t xml:space="preserve"> if it certifies that the subsidiary or </w:t>
      </w:r>
      <w:r>
        <w:t>A</w:t>
      </w:r>
      <w:r w:rsidRPr="00441345">
        <w:t xml:space="preserve">ffiliate at issue will not have direct or remote access to or control of ERCOT’s Wide Area Network (WAN), Market Information System (MIS), or any data from such ERCOT systems. </w:t>
      </w:r>
    </w:p>
    <w:p w14:paraId="38954098" w14:textId="6C92FB6F" w:rsidR="00B22CBC" w:rsidRDefault="00B22CBC" w:rsidP="00B22CBC">
      <w:pPr>
        <w:spacing w:after="240"/>
        <w:ind w:left="720" w:hanging="720"/>
      </w:pPr>
      <w:r>
        <w:t>(3)</w:t>
      </w:r>
      <w:r>
        <w:tab/>
      </w:r>
      <w:r w:rsidRPr="00AF1FB5">
        <w:t>Any Entity that seeks to register as a Market Participant shall submit an attestation</w:t>
      </w:r>
      <w:r>
        <w:t xml:space="preserve"> as reflected in</w:t>
      </w:r>
      <w:r w:rsidRPr="00AF1FB5">
        <w:t xml:space="preserve"> Section 23, Form Q, </w:t>
      </w:r>
      <w:bookmarkStart w:id="36" w:name="_Hlk113545603"/>
      <w:r w:rsidRPr="00FA221F">
        <w:t xml:space="preserve">Attestation Regarding </w:t>
      </w:r>
      <w:r>
        <w:t>Market Participant Citizenship, Ownership, or Headquarters</w:t>
      </w:r>
      <w:bookmarkEnd w:id="36"/>
      <w:r w:rsidRPr="00AF1FB5">
        <w:t xml:space="preserve">, </w:t>
      </w:r>
      <w:r>
        <w:t>certifying</w:t>
      </w:r>
      <w:r w:rsidRPr="00AF1FB5">
        <w:t xml:space="preserve"> that the Entity </w:t>
      </w:r>
      <w:r>
        <w:t>complies with</w:t>
      </w:r>
      <w:r w:rsidRPr="00AF1FB5">
        <w:t xml:space="preserve"> the </w:t>
      </w:r>
      <w:r>
        <w:t xml:space="preserve">above </w:t>
      </w:r>
      <w:r w:rsidRPr="00AF1FB5">
        <w:t>criteria</w:t>
      </w:r>
      <w:r w:rsidR="00461B44" w:rsidRPr="00AC0350">
        <w:t>, to the best of the Entity’s knowledge and belief following reasonable diligence</w:t>
      </w:r>
      <w:r>
        <w:t>.</w:t>
      </w:r>
    </w:p>
    <w:p w14:paraId="50DBCBDB" w14:textId="14839746" w:rsidR="00B22CBC" w:rsidRDefault="00B22CBC" w:rsidP="00B22CBC">
      <w:pPr>
        <w:spacing w:after="240"/>
        <w:ind w:left="720" w:hanging="720"/>
        <w:rPr>
          <w:iCs/>
        </w:rPr>
      </w:pPr>
      <w:r>
        <w:t>(4)</w:t>
      </w:r>
      <w:r>
        <w:tab/>
      </w:r>
      <w:r>
        <w:rPr>
          <w:iCs/>
        </w:rPr>
        <w:t xml:space="preserve">If there are changes </w:t>
      </w:r>
      <w:r w:rsidRPr="001C6A63">
        <w:rPr>
          <w:iCs/>
        </w:rPr>
        <w:t>t</w:t>
      </w:r>
      <w:r>
        <w:rPr>
          <w:iCs/>
        </w:rPr>
        <w:t>o a</w:t>
      </w:r>
      <w:r w:rsidRPr="001C6A63">
        <w:rPr>
          <w:iCs/>
        </w:rPr>
        <w:t xml:space="preserve"> </w:t>
      </w:r>
      <w:r>
        <w:rPr>
          <w:iCs/>
        </w:rPr>
        <w:t xml:space="preserve">Market Participant’s citizenship, ownership, or headquarters such that the Market Participant </w:t>
      </w:r>
      <w:r w:rsidRPr="001C6A63">
        <w:rPr>
          <w:iCs/>
        </w:rPr>
        <w:t xml:space="preserve">meets any of the prohibited company </w:t>
      </w:r>
      <w:r>
        <w:rPr>
          <w:iCs/>
        </w:rPr>
        <w:t xml:space="preserve">citizenship, </w:t>
      </w:r>
      <w:r w:rsidRPr="001C6A63">
        <w:rPr>
          <w:iCs/>
        </w:rPr>
        <w:lastRenderedPageBreak/>
        <w:t xml:space="preserve">ownership (including </w:t>
      </w:r>
      <w:r>
        <w:rPr>
          <w:iCs/>
        </w:rPr>
        <w:t>A</w:t>
      </w:r>
      <w:r w:rsidRPr="001C6A63">
        <w:rPr>
          <w:iCs/>
        </w:rPr>
        <w:t xml:space="preserve">ffiliations) or headquarters criteria </w:t>
      </w:r>
      <w:r w:rsidR="00461B44" w:rsidRPr="00AC0350">
        <w:rPr>
          <w:iCs/>
        </w:rPr>
        <w:t>of an LSIPA Designated Company</w:t>
      </w:r>
      <w:r>
        <w:rPr>
          <w:iCs/>
        </w:rPr>
        <w:t xml:space="preserve">, </w:t>
      </w:r>
      <w:r w:rsidRPr="001C6A63">
        <w:rPr>
          <w:iCs/>
        </w:rPr>
        <w:t xml:space="preserve">then the </w:t>
      </w:r>
      <w:r>
        <w:rPr>
          <w:iCs/>
        </w:rPr>
        <w:t>Market Participant</w:t>
      </w:r>
      <w:r w:rsidRPr="001C6A63">
        <w:rPr>
          <w:iCs/>
        </w:rPr>
        <w:t xml:space="preserve"> shall execute and submit a new attestation </w:t>
      </w:r>
      <w:r>
        <w:rPr>
          <w:iCs/>
        </w:rPr>
        <w:t xml:space="preserve">to ERCOT </w:t>
      </w:r>
      <w:r w:rsidRPr="001C6A63">
        <w:rPr>
          <w:iCs/>
        </w:rPr>
        <w:t xml:space="preserve">within ten Business Days of the change </w:t>
      </w:r>
      <w:r>
        <w:rPr>
          <w:iCs/>
        </w:rPr>
        <w:t>becoming effective</w:t>
      </w:r>
      <w:r w:rsidRPr="001C6A63">
        <w:rPr>
          <w:iCs/>
        </w:rPr>
        <w:t>.</w:t>
      </w:r>
    </w:p>
    <w:p w14:paraId="00CDCE8D" w14:textId="77777777" w:rsidR="00461B44" w:rsidRPr="00AC0350" w:rsidRDefault="00461B44" w:rsidP="00461B44">
      <w:pPr>
        <w:spacing w:after="240"/>
        <w:ind w:left="720" w:hanging="720"/>
        <w:rPr>
          <w:iCs/>
        </w:rPr>
      </w:pPr>
      <w:r w:rsidRPr="00AC0350">
        <w:rPr>
          <w:iCs/>
        </w:rPr>
        <w:t>(5)</w:t>
      </w:r>
      <w:r w:rsidRPr="00AC0350">
        <w:rPr>
          <w:iCs/>
        </w:rPr>
        <w:tab/>
      </w:r>
      <w:bookmarkStart w:id="37" w:name="_Hlk141972803"/>
      <w:r w:rsidRPr="00AC0350">
        <w:rPr>
          <w:iCs/>
        </w:rPr>
        <w:t>ERCOT may immediately suspend or terminate a Market Participant’s registration or access to any of ERCOT’s systems if ERCOT has a reasonable suspicion that the Entity meets any of the criteria described by paragraph (1) above or that an Entity has provided access or control to a subsidiary or Affiliate as described by paragraph (2) above.</w:t>
      </w:r>
      <w:bookmarkEnd w:id="37"/>
    </w:p>
    <w:p w14:paraId="15D23589" w14:textId="77777777" w:rsidR="00461B44" w:rsidRPr="00461B44" w:rsidRDefault="00461B44" w:rsidP="00461B44">
      <w:pPr>
        <w:pStyle w:val="H3"/>
      </w:pPr>
      <w:bookmarkStart w:id="38" w:name="_Toc184622972"/>
      <w:r w:rsidRPr="00AC0350">
        <w:t>16.1.4</w:t>
      </w:r>
      <w:r w:rsidRPr="00461B44">
        <w:tab/>
      </w:r>
      <w:bookmarkStart w:id="39" w:name="_Hlk158744000"/>
      <w:r w:rsidRPr="00461B44">
        <w:t>Market Participant Reporting of Critical Electric Grid Equipment and Services-Related Purchases</w:t>
      </w:r>
      <w:bookmarkEnd w:id="39"/>
      <w:bookmarkEnd w:id="38"/>
    </w:p>
    <w:p w14:paraId="3C5C8EAE" w14:textId="70DD9F09" w:rsidR="00461B44" w:rsidRPr="00AC0350" w:rsidRDefault="00461B44" w:rsidP="00461B44">
      <w:pPr>
        <w:spacing w:after="240"/>
        <w:ind w:left="720" w:hanging="720"/>
        <w:rPr>
          <w:iCs/>
        </w:rPr>
      </w:pPr>
      <w:r w:rsidRPr="00AC0350">
        <w:rPr>
          <w:iCs/>
        </w:rPr>
        <w:t>(1)</w:t>
      </w:r>
      <w:r w:rsidRPr="00AC0350">
        <w:rPr>
          <w:iCs/>
        </w:rPr>
        <w:tab/>
        <w:t>As a condition of registering and maintaining registration with ERCOT as a Market Participant, an Entity shall report to ERCOT the purchase, lease, or receipt (referred to in this Section as a “purchase”) of any Critical Electric Grid Equipment (CEGE) or Critical Electric Grid Services (CEGS) that the Entity knows to be from a</w:t>
      </w:r>
      <w:r w:rsidR="00363641">
        <w:rPr>
          <w:iCs/>
        </w:rPr>
        <w:t>n</w:t>
      </w:r>
      <w:r w:rsidRPr="00AC0350">
        <w:rPr>
          <w:iCs/>
        </w:rPr>
        <w:t xml:space="preserve"> LSIPA Designated Company or an LSIPA Designated Country.  This includes, but is not limited to, a purchase of CEGE or CEGS that were </w:t>
      </w:r>
      <w:bookmarkStart w:id="40" w:name="_Hlk154135678"/>
      <w:r w:rsidRPr="00AC0350">
        <w:rPr>
          <w:iCs/>
        </w:rPr>
        <w:t xml:space="preserve">manufactured, produced, created, or otherwise provided by a company known to the Entity to be an </w:t>
      </w:r>
      <w:bookmarkEnd w:id="40"/>
      <w:r w:rsidRPr="00AC0350">
        <w:rPr>
          <w:iCs/>
        </w:rPr>
        <w:t xml:space="preserve">LSIPA Designated Company and subsequently sold to the Entity by a non-LSIPA Designated Company.  </w:t>
      </w:r>
    </w:p>
    <w:p w14:paraId="45DA6EBF" w14:textId="02058C4C" w:rsidR="00461B44" w:rsidRPr="00AC0350" w:rsidRDefault="00461B44" w:rsidP="00461B44">
      <w:pPr>
        <w:spacing w:after="240"/>
        <w:ind w:left="1440" w:hanging="720"/>
        <w:rPr>
          <w:iCs/>
        </w:rPr>
      </w:pPr>
      <w:r w:rsidRPr="00AC0350">
        <w:rPr>
          <w:iCs/>
        </w:rPr>
        <w:t>(a)</w:t>
      </w:r>
      <w:r w:rsidRPr="00AC0350">
        <w:rPr>
          <w:iCs/>
        </w:rPr>
        <w:tab/>
        <w:t xml:space="preserve">As used in this Section 16.1.4 and Section 23, Form S, </w:t>
      </w:r>
      <w:r w:rsidR="00C934BD" w:rsidRPr="00C934BD">
        <w:rPr>
          <w:iCs/>
        </w:rPr>
        <w:t>Reporting and Attestation Regarding Purchase of Critical Electric Grid Equipment (CEGE) and Critical Electric Grid Services (CEGS) from a Lone Star Infrastructure Protection Act (LSIPA) Designated Company or LSIPA Designated Country</w:t>
      </w:r>
      <w:r w:rsidR="00C934BD">
        <w:rPr>
          <w:iCs/>
        </w:rPr>
        <w:t xml:space="preserve">, </w:t>
      </w:r>
      <w:r w:rsidRPr="00AC0350">
        <w:rPr>
          <w:iCs/>
        </w:rPr>
        <w:t xml:space="preserve">the terms “knows,” “known,” and “knowledge” refer to the Entity’s actual knowledge or knowledge that the Entity could have obtained through reasonable inquiry with respect to any clearly evident, non-obscure information indicating that the equipment or service was manufactured, produced, created, or otherwise provided by an LSIPA Designated Company.   </w:t>
      </w:r>
    </w:p>
    <w:p w14:paraId="67D75E71" w14:textId="77777777" w:rsidR="00461B44" w:rsidRPr="00AC0350" w:rsidRDefault="00461B44" w:rsidP="00461B44">
      <w:pPr>
        <w:spacing w:after="240"/>
        <w:ind w:left="1440" w:hanging="720"/>
        <w:rPr>
          <w:iCs/>
        </w:rPr>
      </w:pPr>
      <w:r w:rsidRPr="00AC0350">
        <w:rPr>
          <w:iCs/>
        </w:rPr>
        <w:t>(b)</w:t>
      </w:r>
      <w:r w:rsidRPr="00AC0350">
        <w:rPr>
          <w:iCs/>
        </w:rPr>
        <w:tab/>
        <w:t>If the Entity obtains a contractual representation (or either a letter of attestation or a contractual representation if the purchase was made before June 8, 2023)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  For the avoidance of doubt, this subsection does not create or suggest a requirement not otherwise imposed by this Section 16.1.4.</w:t>
      </w:r>
    </w:p>
    <w:p w14:paraId="4C4EF2B6" w14:textId="3EF7CEF6" w:rsidR="00461B44" w:rsidRPr="00AC0350" w:rsidRDefault="00461B44" w:rsidP="00461B44">
      <w:pPr>
        <w:spacing w:after="240"/>
        <w:ind w:left="1440" w:hanging="720"/>
        <w:rPr>
          <w:iCs/>
        </w:rPr>
      </w:pPr>
      <w:r w:rsidRPr="00AC0350">
        <w:rPr>
          <w:iCs/>
        </w:rPr>
        <w:t>(c)</w:t>
      </w:r>
      <w:r w:rsidRPr="00AC0350">
        <w:rPr>
          <w:iCs/>
        </w:rPr>
        <w:tab/>
        <w:t xml:space="preserve">If a Market Participant or an Entity applying for registration purchases CEGE from a non-LSIPA Designated Company and clearly evident, non-obscure information indicates that such equipment has a part or component (which itself has routable connectivity) that originated from an LSIPA Designated Company or </w:t>
      </w:r>
      <w:r w:rsidRPr="00AC0350">
        <w:rPr>
          <w:iCs/>
        </w:rPr>
        <w:lastRenderedPageBreak/>
        <w:t xml:space="preserve">LSIPA Designated Country, then such part or component shall be reported using Section 23, Form S, but in Subsections 2(a)-(b) of </w:t>
      </w:r>
      <w:r w:rsidR="00851767">
        <w:rPr>
          <w:iCs/>
        </w:rPr>
        <w:t xml:space="preserve">Section 23, </w:t>
      </w:r>
      <w:r w:rsidRPr="00AC0350">
        <w:rPr>
          <w:iCs/>
        </w:rPr>
        <w:t xml:space="preserve">Form S, the Entity or Market Participant is only required to provide the following information for the part or component: </w:t>
      </w:r>
    </w:p>
    <w:p w14:paraId="0BC20BE8" w14:textId="77777777" w:rsidR="00461B44" w:rsidRPr="00AC0350" w:rsidRDefault="00461B44" w:rsidP="00461B44">
      <w:pPr>
        <w:spacing w:after="240"/>
        <w:ind w:left="2160" w:hanging="720"/>
        <w:rPr>
          <w:iCs/>
        </w:rPr>
      </w:pPr>
      <w:r w:rsidRPr="00AC0350">
        <w:rPr>
          <w:iCs/>
        </w:rPr>
        <w:t>(i)</w:t>
      </w:r>
      <w:r w:rsidRPr="00AC0350">
        <w:rPr>
          <w:iCs/>
        </w:rPr>
        <w:tab/>
        <w:t xml:space="preserve">A general description of the part or component; </w:t>
      </w:r>
    </w:p>
    <w:p w14:paraId="2E4F8A51" w14:textId="77777777" w:rsidR="00461B44" w:rsidRPr="00AC0350" w:rsidRDefault="00461B44" w:rsidP="00461B44">
      <w:pPr>
        <w:spacing w:after="240"/>
        <w:ind w:left="2160" w:hanging="720"/>
        <w:rPr>
          <w:iCs/>
        </w:rPr>
      </w:pPr>
      <w:r w:rsidRPr="00AC0350">
        <w:rPr>
          <w:iCs/>
        </w:rPr>
        <w:t>(ii)</w:t>
      </w:r>
      <w:r w:rsidRPr="00AC0350">
        <w:rPr>
          <w:iCs/>
        </w:rPr>
        <w:tab/>
        <w:t xml:space="preserve">The name of the LSIPA Designated Country from which the part or component originated; and </w:t>
      </w:r>
    </w:p>
    <w:p w14:paraId="3C7A0065" w14:textId="77777777" w:rsidR="00461B44" w:rsidRPr="00AC0350" w:rsidRDefault="00461B44" w:rsidP="00461B44">
      <w:pPr>
        <w:spacing w:after="240"/>
        <w:ind w:left="2160" w:hanging="720"/>
        <w:rPr>
          <w:iCs/>
        </w:rPr>
      </w:pPr>
      <w:r w:rsidRPr="00AC0350">
        <w:rPr>
          <w:iCs/>
        </w:rPr>
        <w:t>(iii)</w:t>
      </w:r>
      <w:r w:rsidRPr="00AC0350">
        <w:rPr>
          <w:iCs/>
        </w:rPr>
        <w:tab/>
        <w:t xml:space="preserve">The name of the LSIPA Designated Company from which the part or component originated, unless the Market Participant or Entity applying for registration does not actually know the name of the LSIPA Designated Company.  </w:t>
      </w:r>
    </w:p>
    <w:p w14:paraId="2F6DFAA9" w14:textId="77777777" w:rsidR="00461B44" w:rsidRPr="00AC0350" w:rsidRDefault="00461B44" w:rsidP="00461B44">
      <w:pPr>
        <w:spacing w:after="240"/>
        <w:ind w:left="1440" w:hanging="720"/>
        <w:rPr>
          <w:iCs/>
        </w:rPr>
      </w:pPr>
      <w:r w:rsidRPr="00AC0350">
        <w:rPr>
          <w:iCs/>
        </w:rPr>
        <w:t>(d)</w:t>
      </w:r>
      <w:r w:rsidRPr="00AC0350">
        <w:rPr>
          <w:iCs/>
        </w:rPr>
        <w:tab/>
        <w:t xml:space="preserve">For each reported purchase made after June 8, 2023, the Market Participant or Entity applying for registration shall attest that the purchase will not result in access to or control of CEGE by an LSIPA Designated Company or an LSIPA Designated Country, excluding access specifically allowed by the Market Participant or Entity applying for registration for product warranty and support purposes. </w:t>
      </w:r>
    </w:p>
    <w:p w14:paraId="2935E250" w14:textId="77777777" w:rsidR="00461B44" w:rsidRPr="00AC0350" w:rsidRDefault="00461B44" w:rsidP="00461B44">
      <w:pPr>
        <w:spacing w:after="240"/>
        <w:ind w:left="1440" w:hanging="720"/>
        <w:rPr>
          <w:iCs/>
        </w:rPr>
      </w:pPr>
      <w:r w:rsidRPr="00AC0350">
        <w:rPr>
          <w:iCs/>
        </w:rPr>
        <w:t>(e)</w:t>
      </w:r>
      <w:r w:rsidRPr="00AC0350">
        <w:rPr>
          <w:iCs/>
        </w:rPr>
        <w:tab/>
        <w:t xml:space="preserve">For any purchases made before June 8, 2023, the Market Participant or Entity applying for registration shall take reasonable and necessary actions to mitigate access to or control of its CEGE by a company known to the Entity to be an LSIPA Designated Company or an LSIPA Designated Country, excluding access specifically allowed by the Market Participant or Entity applying for registration for product warranty and support purposes, and shall report those actions to ERCOT on the form reflected in Section 23, Form S. </w:t>
      </w:r>
    </w:p>
    <w:p w14:paraId="1337E464" w14:textId="579BBDD6" w:rsidR="00461B44" w:rsidRPr="00AC0350" w:rsidRDefault="00461B44" w:rsidP="00461B44">
      <w:pPr>
        <w:spacing w:after="240"/>
        <w:ind w:left="720" w:hanging="720"/>
        <w:rPr>
          <w:iCs/>
        </w:rPr>
      </w:pPr>
      <w:r w:rsidRPr="00AC0350">
        <w:rPr>
          <w:iCs/>
        </w:rPr>
        <w:t>(2)</w:t>
      </w:r>
      <w:r w:rsidRPr="00AC0350">
        <w:rPr>
          <w:iCs/>
        </w:rPr>
        <w:tab/>
        <w:t>Market Participants and Entities applying for registration with ERCOT shall submit an initial report and attestation, on the form reflected in Section 23, Form S</w:t>
      </w:r>
      <w:r w:rsidRPr="007710BA">
        <w:rPr>
          <w:iCs/>
        </w:rPr>
        <w:t xml:space="preserve"> </w:t>
      </w:r>
      <w:r w:rsidRPr="00AC0350">
        <w:rPr>
          <w:iCs/>
        </w:rPr>
        <w:t>identifying any purchase described in paragraph (1) above that occurred during the following time periods:</w:t>
      </w:r>
    </w:p>
    <w:p w14:paraId="6241952F" w14:textId="77777777" w:rsidR="00461B44" w:rsidRPr="00AC0350" w:rsidRDefault="00461B44" w:rsidP="00461B44">
      <w:pPr>
        <w:spacing w:after="240"/>
        <w:ind w:left="1440" w:hanging="720"/>
        <w:rPr>
          <w:iCs/>
        </w:rPr>
      </w:pPr>
      <w:r w:rsidRPr="00AC0350">
        <w:rPr>
          <w:iCs/>
        </w:rPr>
        <w:t>(a)</w:t>
      </w:r>
      <w:r w:rsidRPr="00AC0350">
        <w:rPr>
          <w:iCs/>
        </w:rPr>
        <w:tab/>
        <w:t xml:space="preserve">For a Market Participant, purchase(s) that were made after June 18, 2021.  This initial report and attestation shall be submitted by October 28, 2024; </w:t>
      </w:r>
    </w:p>
    <w:p w14:paraId="09052982" w14:textId="77777777" w:rsidR="00461B44" w:rsidRPr="00AC0350" w:rsidRDefault="00461B44" w:rsidP="00461B44">
      <w:pPr>
        <w:spacing w:after="240"/>
        <w:ind w:left="1440" w:hanging="720"/>
        <w:rPr>
          <w:iCs/>
        </w:rPr>
      </w:pPr>
      <w:r w:rsidRPr="00AC0350">
        <w:rPr>
          <w:iCs/>
        </w:rPr>
        <w:t>(b)</w:t>
      </w:r>
      <w:r w:rsidRPr="00AC0350">
        <w:rPr>
          <w:iCs/>
        </w:rPr>
        <w:tab/>
        <w:t>For a Market Participant, purchase(s) that were made between June 8, 2018 through June 18, 2021.  This initial report and attestation shall be submitted by December 15, 2024; and</w:t>
      </w:r>
    </w:p>
    <w:p w14:paraId="26161640" w14:textId="77777777" w:rsidR="00461B44" w:rsidRPr="00AC0350" w:rsidRDefault="00461B44" w:rsidP="00461B44">
      <w:pPr>
        <w:spacing w:after="240"/>
        <w:ind w:left="1440" w:hanging="720"/>
        <w:rPr>
          <w:iCs/>
        </w:rPr>
      </w:pPr>
      <w:r w:rsidRPr="00AC0350">
        <w:rPr>
          <w:iCs/>
        </w:rPr>
        <w:t>(c)</w:t>
      </w:r>
      <w:r w:rsidRPr="00AC0350">
        <w:rPr>
          <w:iCs/>
        </w:rPr>
        <w:tab/>
        <w:t>For an Entity applying for registration with ERCOT, purchase(s) that were made within the five years preceding the date on which the Entity signed the Standard Form Agreement.  This initial report and attestation must be submitted before ERCOT may approve registration.</w:t>
      </w:r>
    </w:p>
    <w:p w14:paraId="38606DAB" w14:textId="77777777" w:rsidR="00461B44" w:rsidRPr="00AC0350" w:rsidRDefault="00461B44" w:rsidP="00461B44">
      <w:pPr>
        <w:spacing w:after="240"/>
        <w:ind w:left="720" w:hanging="720"/>
        <w:rPr>
          <w:iCs/>
        </w:rPr>
      </w:pPr>
      <w:r w:rsidRPr="00AC0350">
        <w:rPr>
          <w:iCs/>
        </w:rPr>
        <w:lastRenderedPageBreak/>
        <w:t>(3)</w:t>
      </w:r>
      <w:r w:rsidRPr="00AC0350">
        <w:rPr>
          <w:iCs/>
        </w:rPr>
        <w:tab/>
        <w:t xml:space="preserve">A Market Participant shall submit a report and attestation, on the form reflected in Section 23, Form S, identifying any purchase(s) described in paragraph (1) above that occur after the date(s) of the purchases reported pursuant to paragraph (2) above and that have not already been reported pursuant to this Section. </w:t>
      </w:r>
    </w:p>
    <w:p w14:paraId="665BF97C" w14:textId="77777777" w:rsidR="00461B44" w:rsidRPr="00AC0350" w:rsidRDefault="00461B44" w:rsidP="00461B44">
      <w:pPr>
        <w:spacing w:after="240"/>
        <w:ind w:left="720" w:hanging="720"/>
        <w:rPr>
          <w:iCs/>
        </w:rPr>
      </w:pPr>
      <w:bookmarkStart w:id="41" w:name="_Hlk155261380"/>
      <w:r w:rsidRPr="00AC0350">
        <w:rPr>
          <w:iCs/>
        </w:rPr>
        <w:t>(4)</w:t>
      </w:r>
      <w:r w:rsidRPr="00AC0350">
        <w:rPr>
          <w:iCs/>
        </w:rPr>
        <w:tab/>
        <w:t xml:space="preserve">Reports and attestations submitted pursuant to paragraph (3) above shall be submitted within 180 days of the date of the  purchase. </w:t>
      </w:r>
    </w:p>
    <w:p w14:paraId="0ED3520E" w14:textId="77777777" w:rsidR="00FC1C5F" w:rsidRDefault="00727E32" w:rsidP="00FE610C">
      <w:pPr>
        <w:pStyle w:val="H2"/>
      </w:pPr>
      <w:bookmarkStart w:id="42" w:name="_Toc184622973"/>
      <w:bookmarkEnd w:id="41"/>
      <w:r>
        <w:t>16.2</w:t>
      </w:r>
      <w:r>
        <w:tab/>
        <w:t>Registration and Qualification of Qualified Scheduling Entities</w:t>
      </w:r>
      <w:bookmarkEnd w:id="25"/>
      <w:bookmarkEnd w:id="26"/>
      <w:bookmarkEnd w:id="30"/>
      <w:bookmarkEnd w:id="31"/>
      <w:bookmarkEnd w:id="32"/>
      <w:bookmarkEnd w:id="33"/>
      <w:bookmarkEnd w:id="34"/>
      <w:bookmarkEnd w:id="35"/>
      <w:bookmarkEnd w:id="42"/>
    </w:p>
    <w:p w14:paraId="5BFF98A9" w14:textId="77777777" w:rsidR="00FC1C5F" w:rsidRDefault="00727E32">
      <w:pPr>
        <w:pStyle w:val="H3"/>
      </w:pPr>
      <w:bookmarkStart w:id="43" w:name="_Toc71369172"/>
      <w:bookmarkStart w:id="44" w:name="_Toc71539388"/>
      <w:bookmarkStart w:id="45" w:name="_Toc390438913"/>
      <w:bookmarkStart w:id="46" w:name="_Toc405897610"/>
      <w:bookmarkStart w:id="47" w:name="_Toc415055714"/>
      <w:bookmarkStart w:id="48" w:name="_Toc415055840"/>
      <w:bookmarkStart w:id="49" w:name="_Toc415055939"/>
      <w:bookmarkStart w:id="50" w:name="_Toc415056040"/>
      <w:bookmarkStart w:id="51" w:name="_Toc184622974"/>
      <w:r>
        <w:t>16.2.1</w:t>
      </w:r>
      <w:r>
        <w:tab/>
        <w:t>Criteria for Qualification as a Qualified Scheduling Entity</w:t>
      </w:r>
      <w:bookmarkEnd w:id="43"/>
      <w:bookmarkEnd w:id="44"/>
      <w:bookmarkEnd w:id="45"/>
      <w:bookmarkEnd w:id="46"/>
      <w:bookmarkEnd w:id="47"/>
      <w:bookmarkEnd w:id="48"/>
      <w:bookmarkEnd w:id="49"/>
      <w:bookmarkEnd w:id="50"/>
      <w:bookmarkEnd w:id="51"/>
      <w:r>
        <w:t xml:space="preserve"> </w:t>
      </w:r>
    </w:p>
    <w:p w14:paraId="7790605C" w14:textId="77777777" w:rsidR="00FC1C5F" w:rsidRDefault="00727E32">
      <w:pPr>
        <w:pStyle w:val="BodyText"/>
        <w:ind w:left="720" w:hanging="720"/>
      </w:pPr>
      <w:r>
        <w:t>(1)</w:t>
      </w:r>
      <w:r>
        <w:tab/>
        <w:t xml:space="preserve">To become and remain a </w:t>
      </w:r>
      <w:r w:rsidR="00BD6527">
        <w:t>Qualified Scheduling Entity (</w:t>
      </w:r>
      <w:r>
        <w:t>QSE</w:t>
      </w:r>
      <w:r w:rsidR="00BD6527">
        <w:t>)</w:t>
      </w:r>
      <w:r>
        <w:t>, an Entity must meet the following requirements:</w:t>
      </w:r>
    </w:p>
    <w:p w14:paraId="78CDA8DF" w14:textId="0FDD2B89" w:rsidR="00FC1C5F" w:rsidRDefault="00727E32">
      <w:pPr>
        <w:pStyle w:val="List"/>
      </w:pPr>
      <w:bookmarkStart w:id="52" w:name="_Hlk90904109"/>
      <w:r>
        <w:t>(a)</w:t>
      </w:r>
      <w:r>
        <w:tab/>
      </w:r>
      <w:r w:rsidR="00BB1306">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52"/>
    </w:p>
    <w:p w14:paraId="035B326B" w14:textId="77777777" w:rsidR="0028005C" w:rsidRPr="00636B19" w:rsidRDefault="0028005C" w:rsidP="00373358">
      <w:pPr>
        <w:pStyle w:val="List"/>
      </w:pPr>
      <w:r>
        <w:t>(b)</w:t>
      </w:r>
      <w:r>
        <w:tab/>
      </w:r>
      <w:r w:rsidRPr="00636B19">
        <w:t>Comply with ERCOT’s background check process, as described in Section 16.2.1.1, QSE Background Check Process;</w:t>
      </w:r>
    </w:p>
    <w:p w14:paraId="5CA9EE83" w14:textId="075F89E0" w:rsidR="0028005C" w:rsidRDefault="0028005C" w:rsidP="00373358">
      <w:pPr>
        <w:pStyle w:val="List"/>
      </w:pPr>
      <w:r w:rsidRPr="003A5651">
        <w:t>(c)</w:t>
      </w:r>
      <w:r w:rsidRPr="003A5651">
        <w:tab/>
        <w:t xml:space="preserve">Demonstrate to ERCOT’s reasonable satisfaction that the Entity does not pose an </w:t>
      </w:r>
      <w:r w:rsidR="000475FE">
        <w:t>“</w:t>
      </w:r>
      <w:r w:rsidRPr="00804822">
        <w:t>Unreasonable Financial Risk</w:t>
      </w:r>
      <w:r w:rsidR="000475FE">
        <w:t>”</w:t>
      </w:r>
      <w:r w:rsidRPr="003A5651">
        <w:t>, as defined in this Section;</w:t>
      </w:r>
    </w:p>
    <w:p w14:paraId="04D4722B" w14:textId="1EB89368" w:rsidR="00FC1C5F" w:rsidRDefault="00727E32" w:rsidP="00FE610C">
      <w:pPr>
        <w:pStyle w:val="List"/>
      </w:pPr>
      <w:r>
        <w:t>(</w:t>
      </w:r>
      <w:r w:rsidR="0028005C">
        <w:t>d</w:t>
      </w:r>
      <w:r>
        <w:t>)</w:t>
      </w:r>
      <w:r>
        <w:tab/>
        <w:t xml:space="preserve">Sign a Standard Form Market Participant Agreement; </w:t>
      </w:r>
    </w:p>
    <w:p w14:paraId="652C9889" w14:textId="48B0AAB6" w:rsidR="00FC1C5F" w:rsidRDefault="00727E32">
      <w:pPr>
        <w:pStyle w:val="List"/>
      </w:pPr>
      <w:r>
        <w:t>(</w:t>
      </w:r>
      <w:r w:rsidR="0028005C">
        <w:t>e</w:t>
      </w:r>
      <w:r>
        <w:t>)</w:t>
      </w:r>
      <w:r>
        <w:tab/>
        <w:t xml:space="preserve">Sign any required Agreements relating to use of the ERCOT </w:t>
      </w:r>
      <w:r w:rsidR="00F52CAC">
        <w:t>Wide Area N</w:t>
      </w:r>
      <w:r>
        <w:t>etwork</w:t>
      </w:r>
      <w:r w:rsidR="00F52CAC">
        <w:t xml:space="preserve"> (WAN)</w:t>
      </w:r>
      <w:r>
        <w:t>, software, and systems;</w:t>
      </w:r>
    </w:p>
    <w:p w14:paraId="7AE4B375" w14:textId="55747E6E" w:rsidR="00FC1C5F" w:rsidRDefault="00727E32">
      <w:pPr>
        <w:pStyle w:val="List"/>
      </w:pPr>
      <w:r>
        <w:t>(</w:t>
      </w:r>
      <w:r w:rsidR="0028005C">
        <w:t>f</w:t>
      </w:r>
      <w:r>
        <w:t>)</w:t>
      </w:r>
      <w:r>
        <w:tab/>
        <w:t xml:space="preserve">Demonstrate to ERCOT’s reasonable satisfaction that the Entity is capable of performing the functions of a QSE; </w:t>
      </w:r>
    </w:p>
    <w:p w14:paraId="32C57ABA" w14:textId="45543E55" w:rsidR="00FC1C5F" w:rsidRDefault="00727E32">
      <w:pPr>
        <w:pStyle w:val="List"/>
      </w:pPr>
      <w:r>
        <w:t>(</w:t>
      </w:r>
      <w:r w:rsidR="0028005C">
        <w:t>g</w:t>
      </w:r>
      <w:r>
        <w:t>)</w:t>
      </w:r>
      <w:r>
        <w:tab/>
        <w:t xml:space="preserve">Demonstrate to ERCOT’s reasonable satisfaction that the Entity is capable of complying with the requirements of all ERCOT Protocols and Operating Guides; </w:t>
      </w:r>
    </w:p>
    <w:p w14:paraId="5D0208B6" w14:textId="19E00FC8" w:rsidR="00FC1C5F" w:rsidRDefault="00727E32">
      <w:pPr>
        <w:pStyle w:val="List"/>
      </w:pPr>
      <w:r>
        <w:t>(</w:t>
      </w:r>
      <w:r w:rsidR="0028005C">
        <w:t>h</w:t>
      </w:r>
      <w:r>
        <w:t>)</w:t>
      </w:r>
      <w:r>
        <w:tab/>
      </w:r>
      <w:r w:rsidR="00B55C27" w:rsidRPr="00F52CAC">
        <w:t>Satisfy ERCOT’s creditworthiness requirements as set forth in this Section, unless exempted from these requirements by Section 16.17, Exemption for Qualified Scheduling Entities Participating Only in Emergency Response Service;</w:t>
      </w:r>
    </w:p>
    <w:p w14:paraId="32151179" w14:textId="1A9E7DC0" w:rsidR="00FC1C5F" w:rsidRDefault="00727E32" w:rsidP="00D9080F">
      <w:pPr>
        <w:pStyle w:val="List"/>
      </w:pPr>
      <w:r>
        <w:t>(</w:t>
      </w:r>
      <w:r w:rsidR="0028005C">
        <w:t>i</w:t>
      </w:r>
      <w:r>
        <w:t>)</w:t>
      </w:r>
      <w:r>
        <w:tab/>
        <w:t>Be generally able to pay its debts as they come due</w:t>
      </w:r>
      <w:r w:rsidR="008458E2">
        <w:t>.</w:t>
      </w:r>
      <w:r>
        <w:t xml:space="preserve"> </w:t>
      </w:r>
      <w:r w:rsidR="008458E2">
        <w:t xml:space="preserve"> </w:t>
      </w:r>
      <w:r>
        <w:t>ERCOT may request evidence of compliance with this qualification only if ERCOT reasonably believes that a QSE is failing to comply with it;</w:t>
      </w:r>
    </w:p>
    <w:p w14:paraId="6D4C2340" w14:textId="0BAFBB19" w:rsidR="00FC1C5F" w:rsidRDefault="00727E32">
      <w:pPr>
        <w:pStyle w:val="List"/>
      </w:pPr>
      <w:r>
        <w:lastRenderedPageBreak/>
        <w:t>(</w:t>
      </w:r>
      <w:r w:rsidR="0028005C">
        <w:t>j</w:t>
      </w:r>
      <w:r>
        <w:t>)</w:t>
      </w:r>
      <w:r>
        <w:tab/>
        <w:t xml:space="preserve">Provide all necessary bank account information and arrange for Fedwire system transfers for two-way confirmation; </w:t>
      </w:r>
    </w:p>
    <w:p w14:paraId="1CF1355B" w14:textId="2D13915E" w:rsidR="00FC1C5F" w:rsidRDefault="00727E32">
      <w:pPr>
        <w:pStyle w:val="List"/>
      </w:pPr>
      <w:r>
        <w:t>(</w:t>
      </w:r>
      <w:r w:rsidR="0028005C">
        <w:t>k</w:t>
      </w:r>
      <w:r>
        <w:t>)</w:t>
      </w:r>
      <w:r>
        <w:tab/>
        <w:t xml:space="preserve">Be financially responsible for payment of </w:t>
      </w:r>
      <w:r w:rsidR="007349BB">
        <w:t>S</w:t>
      </w:r>
      <w:r>
        <w:t>ettlement charges for those Entities it represents under these Protocols;</w:t>
      </w:r>
    </w:p>
    <w:p w14:paraId="1AC60F76" w14:textId="77777777" w:rsidR="007642E6" w:rsidRDefault="007642E6" w:rsidP="007642E6">
      <w:pPr>
        <w:pStyle w:val="List"/>
      </w:pPr>
      <w:r>
        <w:t>(l)</w:t>
      </w:r>
      <w:r>
        <w:tab/>
        <w:t xml:space="preserve">Submit an executed ERCOT Private Wide Area Network (WAN) Agreement under Section 23, Form K, Wide Area Network (WAN) Agreement, for WAN Participants; </w:t>
      </w:r>
    </w:p>
    <w:p w14:paraId="6C989522" w14:textId="535F7A23" w:rsidR="00FC1C5F" w:rsidRDefault="00727E32">
      <w:pPr>
        <w:pStyle w:val="List"/>
      </w:pPr>
      <w:r>
        <w:t>(</w:t>
      </w:r>
      <w:r w:rsidR="007642E6">
        <w:t>m</w:t>
      </w:r>
      <w:r>
        <w:t>)</w:t>
      </w:r>
      <w:r>
        <w:tab/>
        <w:t>Comply with the backup plan requirements</w:t>
      </w:r>
      <w:r w:rsidR="007642E6" w:rsidRPr="007642E6">
        <w:t xml:space="preserve"> </w:t>
      </w:r>
      <w:r w:rsidR="007642E6" w:rsidRPr="0007138D">
        <w:t>for WAN Participants, if applicable,</w:t>
      </w:r>
      <w:r>
        <w:t xml:space="preserve"> in </w:t>
      </w:r>
      <w:r w:rsidR="007642E6">
        <w:t xml:space="preserve">accordance with </w:t>
      </w:r>
      <w:r>
        <w:t xml:space="preserve">the Operating Guides; </w:t>
      </w:r>
    </w:p>
    <w:p w14:paraId="349E3895" w14:textId="14971680" w:rsidR="00FC1C5F" w:rsidRDefault="00727E32">
      <w:pPr>
        <w:pStyle w:val="List"/>
        <w:rPr>
          <w:b/>
        </w:rPr>
      </w:pPr>
      <w:r>
        <w:t>(</w:t>
      </w:r>
      <w:r w:rsidR="007642E6">
        <w:t>n</w:t>
      </w:r>
      <w:r>
        <w:t>)</w:t>
      </w:r>
      <w:r>
        <w:tab/>
      </w:r>
      <w:bookmarkStart w:id="53" w:name="_Hlk147130589"/>
      <w:r w:rsidR="007642E6">
        <w:rPr>
          <w:szCs w:val="24"/>
        </w:rPr>
        <w:t>D</w:t>
      </w:r>
      <w:r w:rsidR="007642E6">
        <w:t xml:space="preserve">emonstrate to ERCOT’s reasonable satisfaction that the Entity can </w:t>
      </w:r>
      <w:bookmarkEnd w:id="53"/>
      <w:r w:rsidR="007642E6">
        <w:t>m</w:t>
      </w:r>
      <w:r w:rsidR="00EE1CAB" w:rsidRPr="000021D0">
        <w:t xml:space="preserve">aintain a 24-hour, seven-day-per-week </w:t>
      </w:r>
      <w:r w:rsidR="007642E6">
        <w:t>control or operations</w:t>
      </w:r>
      <w:r w:rsidR="00EE1CAB" w:rsidRPr="000021D0">
        <w:t xml:space="preserve"> center with qualified personnel for the purposes of communicating with ERCOT </w:t>
      </w:r>
      <w:r w:rsidR="00EE1CAB">
        <w:t>relating to</w:t>
      </w:r>
      <w:r w:rsidR="00EE1CAB" w:rsidRPr="000021D0">
        <w:t xml:space="preserve"> Day-Ahead and Operating Day exchange of market and operational obligations.  </w:t>
      </w:r>
      <w:r w:rsidR="007642E6">
        <w:t>This requirement applies to QSEs that are WAN Participants.</w:t>
      </w:r>
      <w:r w:rsidR="007642E6" w:rsidRPr="00F90BA1">
        <w:rPr>
          <w:szCs w:val="24"/>
        </w:rPr>
        <w:t xml:space="preserve"> </w:t>
      </w:r>
      <w:r w:rsidR="007642E6">
        <w:rPr>
          <w:szCs w:val="24"/>
        </w:rPr>
        <w:t xml:space="preserve"> C</w:t>
      </w:r>
      <w:r w:rsidR="007642E6">
        <w:t>ontrol or operations</w:t>
      </w:r>
      <w:r w:rsidR="007642E6" w:rsidRPr="000021D0">
        <w:t xml:space="preserve"> center</w:t>
      </w:r>
      <w:r w:rsidR="00EE1CAB" w:rsidRPr="000021D0">
        <w:t xml:space="preserve"> personnel must be responsible for operational communications and must have sufficient authority to commit and bind the QSE and the Entities that it represents;</w:t>
      </w:r>
    </w:p>
    <w:p w14:paraId="34ED7017" w14:textId="7BAAB496" w:rsidR="00FC1C5F" w:rsidRDefault="00727E32" w:rsidP="00350FB0">
      <w:pPr>
        <w:pStyle w:val="List"/>
      </w:pPr>
      <w:r>
        <w:t>(</w:t>
      </w:r>
      <w:r w:rsidR="0028005C">
        <w:t>o</w:t>
      </w:r>
      <w:r>
        <w:t>)</w:t>
      </w:r>
      <w:r>
        <w:tab/>
        <w:t>Demonstrate and maintain a working functional interface with all required ERCOT computer systems;</w:t>
      </w:r>
    </w:p>
    <w:p w14:paraId="13F1F288" w14:textId="476FD3B8" w:rsidR="00FC1C5F" w:rsidRDefault="00727E32">
      <w:pPr>
        <w:pStyle w:val="List"/>
      </w:pPr>
      <w:r>
        <w:t>(</w:t>
      </w:r>
      <w:r w:rsidR="0028005C">
        <w:t>p</w:t>
      </w:r>
      <w:r>
        <w:t>)</w:t>
      </w:r>
      <w:r>
        <w:tab/>
        <w:t>Allow ERCOT, upon reasonable notice, to conduct a site visit to verify information provided by the QSE</w:t>
      </w:r>
      <w:r w:rsidR="00F52CAC">
        <w:t>; and</w:t>
      </w:r>
    </w:p>
    <w:p w14:paraId="35D83FAD" w14:textId="45946DCE" w:rsidR="00F52CAC" w:rsidRDefault="00F52CAC">
      <w:pPr>
        <w:pStyle w:val="List"/>
      </w:pPr>
      <w:r>
        <w:t>(</w:t>
      </w:r>
      <w:r w:rsidR="0028005C">
        <w:t>q</w:t>
      </w:r>
      <w:r>
        <w:t>)</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 xml:space="preserve">.  </w:t>
      </w:r>
    </w:p>
    <w:p w14:paraId="43F20C85" w14:textId="78F9B1B0" w:rsidR="00FC1C5F" w:rsidRDefault="00727E32">
      <w:pPr>
        <w:pStyle w:val="BodyTextNumbered"/>
      </w:pPr>
      <w:r>
        <w:t>(2)</w:t>
      </w:r>
      <w:r>
        <w:tab/>
        <w:t xml:space="preserve">If a QSE chooses to use </w:t>
      </w:r>
      <w:r w:rsidR="007349BB">
        <w:t>E</w:t>
      </w:r>
      <w:r>
        <w:t xml:space="preserve">lectronic </w:t>
      </w:r>
      <w:r w:rsidR="007349BB">
        <w:t>D</w:t>
      </w:r>
      <w:r>
        <w:t xml:space="preserve">ata </w:t>
      </w:r>
      <w:r w:rsidR="007349BB">
        <w:t>I</w:t>
      </w:r>
      <w:r>
        <w:t xml:space="preserve">nterchange (EDI) transactions to receive Settlement Statements and Invoices, it must participate in and successfully complete testing as described in Section </w:t>
      </w:r>
      <w:r w:rsidR="007349BB">
        <w:t>19.8</w:t>
      </w:r>
      <w:r>
        <w:t>, Retail Market Testing, before starting operations with ERCOT as a QSE.</w:t>
      </w:r>
    </w:p>
    <w:p w14:paraId="504A4C00" w14:textId="13436EA2" w:rsidR="0028005C" w:rsidRPr="000046B5" w:rsidRDefault="0028005C" w:rsidP="0028005C">
      <w:pPr>
        <w:pStyle w:val="BodyTextNumbered"/>
      </w:pPr>
      <w:bookmarkStart w:id="54" w:name="_Hlk90904129"/>
      <w:r>
        <w:t>(3)</w:t>
      </w:r>
      <w:r>
        <w:tab/>
      </w:r>
      <w:bookmarkStart w:id="55"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xml:space="preserve">, or other past civil judgement </w:t>
      </w:r>
      <w:r>
        <w:rPr>
          <w:rFonts w:eastAsiaTheme="minorHAnsi"/>
          <w:szCs w:val="24"/>
        </w:rPr>
        <w:lastRenderedPageBreak/>
        <w:t>or criminal conviction that reflects problematic behavior on the part of the Entity or its Principals</w:t>
      </w:r>
      <w:r w:rsidRPr="00154BB0">
        <w:rPr>
          <w:rFonts w:eastAsiaTheme="minorHAnsi"/>
          <w:szCs w:val="24"/>
        </w:rPr>
        <w:t>.</w:t>
      </w:r>
      <w:bookmarkEnd w:id="55"/>
    </w:p>
    <w:p w14:paraId="32423C72" w14:textId="20D32823" w:rsidR="00BB1306" w:rsidRDefault="00BB1306" w:rsidP="00BB1306">
      <w:pPr>
        <w:pStyle w:val="BodyTextNumbered"/>
      </w:pPr>
      <w:r>
        <w:t>(</w:t>
      </w:r>
      <w:r w:rsidR="0028005C">
        <w:t>4</w:t>
      </w:r>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1E22A5E0" w14:textId="36D016F2" w:rsidR="00BB1306" w:rsidRDefault="00BB1306" w:rsidP="00BB1306">
      <w:pPr>
        <w:pStyle w:val="BodyTextNumbered"/>
      </w:pPr>
      <w:r>
        <w:t>(</w:t>
      </w:r>
      <w:r w:rsidR="0028005C">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7D71E3D" w14:textId="3A17641D" w:rsidR="00FC1C5F" w:rsidRDefault="00727E32" w:rsidP="00FE610C">
      <w:pPr>
        <w:pStyle w:val="BodyTextNumbered"/>
      </w:pPr>
      <w:bookmarkStart w:id="56" w:name="_Hlk90904142"/>
      <w:bookmarkEnd w:id="54"/>
      <w:r>
        <w:t>(</w:t>
      </w:r>
      <w:r w:rsidR="0028005C">
        <w:t>6</w:t>
      </w:r>
      <w:r>
        <w:t>)</w:t>
      </w:r>
      <w:r>
        <w:tab/>
      </w:r>
      <w:r w:rsidR="00BB1306">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00BB1306" w:rsidRPr="00EC565B">
        <w:t>This includes any changes in the Principals of the QSE.</w:t>
      </w:r>
      <w:r w:rsidR="00BB1306">
        <w:t xml:space="preserve">  If the QSE fails to so notify ERCOT of such change </w:t>
      </w:r>
      <w:r w:rsidR="00BB1306" w:rsidRPr="00E231EE">
        <w:t xml:space="preserve">within </w:t>
      </w:r>
      <w:r w:rsidR="00BB1306" w:rsidRPr="000D340C">
        <w:t xml:space="preserve">two Business </w:t>
      </w:r>
      <w:r w:rsidR="00BB1306" w:rsidRPr="00CF54FA">
        <w:t>D</w:t>
      </w:r>
      <w:r w:rsidR="00BB1306" w:rsidRPr="00DF09AE">
        <w:t>ays</w:t>
      </w:r>
      <w:r w:rsidR="00BB1306">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R="00BB1306" w:rsidDel="00BB1306">
        <w:t xml:space="preserve"> </w:t>
      </w:r>
      <w:bookmarkEnd w:id="56"/>
      <w:r>
        <w:t xml:space="preserve"> </w:t>
      </w:r>
    </w:p>
    <w:p w14:paraId="52AFCE6B" w14:textId="5F3F13FE" w:rsidR="00FC1C5F" w:rsidRDefault="00727E32" w:rsidP="00FE610C">
      <w:pPr>
        <w:pStyle w:val="List"/>
        <w:ind w:left="720"/>
      </w:pPr>
      <w:r>
        <w:t>(</w:t>
      </w:r>
      <w:r w:rsidR="0028005C">
        <w:t>7</w:t>
      </w:r>
      <w:r>
        <w:t>)</w:t>
      </w:r>
      <w:r>
        <w:tab/>
        <w:t xml:space="preserve">Subject to the following provisions of this </w:t>
      </w:r>
      <w:r w:rsidR="004E101F">
        <w:t>paragraph</w:t>
      </w:r>
      <w:r>
        <w:t xml:space="preserve">,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D8ECAEB" w14:textId="3F860E7C" w:rsidR="00FC1C5F" w:rsidRDefault="00727E32">
      <w:pPr>
        <w:pStyle w:val="BodyTextNumbered"/>
      </w:pPr>
      <w:r>
        <w:t>(</w:t>
      </w:r>
      <w:r w:rsidR="0028005C">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w:t>
      </w:r>
      <w:r>
        <w:lastRenderedPageBreak/>
        <w:t xml:space="preserve">financial liability is cumulative for all Subordinate QSEs for the single Entity signing the QSE Agreement.    </w:t>
      </w:r>
    </w:p>
    <w:p w14:paraId="700AF157" w14:textId="3E23BCF7" w:rsidR="00747E08" w:rsidRDefault="00727E32">
      <w:pPr>
        <w:pStyle w:val="BodyTextNumbered"/>
      </w:pPr>
      <w:r>
        <w:t>(</w:t>
      </w:r>
      <w:r w:rsidR="0028005C">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A0B705D" w14:textId="5E522232" w:rsidR="00FC1C5F" w:rsidRDefault="00747E08">
      <w:pPr>
        <w:pStyle w:val="BodyTextNumbered"/>
      </w:pPr>
      <w:r w:rsidRPr="00747E08">
        <w:t>(</w:t>
      </w:r>
      <w:r w:rsidR="0028005C">
        <w:t>10</w:t>
      </w:r>
      <w:r w:rsidRPr="00747E08">
        <w:t>)</w:t>
      </w:r>
      <w:r w:rsidRPr="00747E08">
        <w:tab/>
        <w:t>Each QSE</w:t>
      </w:r>
      <w:r w:rsidR="007642E6" w:rsidRPr="007642E6">
        <w:t xml:space="preserve"> </w:t>
      </w:r>
      <w:r w:rsidR="007642E6">
        <w:t>that is a WAN Participant</w:t>
      </w:r>
      <w:r w:rsidRPr="00747E08">
        <w:t>, or its designated QSE agent, shall maintain 24-hour, seven-day-per-week operations and Hotline communications with ERCOT</w:t>
      </w:r>
      <w:r w:rsidR="007642E6">
        <w:t xml:space="preserve"> and</w:t>
      </w:r>
      <w:r w:rsidRPr="00747E08">
        <w:t xml:space="preserve"> answer each QSE Hotline call.</w:t>
      </w:r>
    </w:p>
    <w:p w14:paraId="6C6B9206" w14:textId="77777777" w:rsidR="0028005C" w:rsidRPr="0028005C" w:rsidRDefault="0028005C" w:rsidP="0028005C">
      <w:pPr>
        <w:pStyle w:val="H4"/>
        <w:rPr>
          <w:b/>
        </w:rPr>
      </w:pPr>
      <w:bookmarkStart w:id="57" w:name="_Toc184622975"/>
      <w:r w:rsidRPr="0028005C">
        <w:rPr>
          <w:b/>
        </w:rPr>
        <w:t>16.2.1.1</w:t>
      </w:r>
      <w:r w:rsidRPr="0028005C">
        <w:rPr>
          <w:b/>
        </w:rPr>
        <w:tab/>
        <w:t>QSE Background Check Process</w:t>
      </w:r>
      <w:bookmarkEnd w:id="57"/>
    </w:p>
    <w:p w14:paraId="75CDE909" w14:textId="77777777" w:rsidR="0028005C" w:rsidRPr="00636B19" w:rsidRDefault="0028005C" w:rsidP="0028005C">
      <w:pPr>
        <w:spacing w:after="240"/>
        <w:ind w:left="720" w:hanging="720"/>
      </w:pPr>
      <w:r w:rsidRPr="00636B19">
        <w:t>(1)</w:t>
      </w:r>
      <w:r w:rsidRPr="00636B19">
        <w:tab/>
        <w:t xml:space="preserve">A QSE applicant must satisfy a background check as a part of the ERCOT registration process.  </w:t>
      </w:r>
      <w:r>
        <w:t xml:space="preserve">All background checks will be performed by a third-party acting on ERCOT’s behalf.  </w:t>
      </w:r>
      <w:r w:rsidRPr="00636B19">
        <w:t xml:space="preserve">Upon ERCOT’s request, a registered QSE may be required to satisfy a background check as a condition of maintaining its ERCOT registration.  </w:t>
      </w:r>
    </w:p>
    <w:p w14:paraId="7771FE05" w14:textId="77777777" w:rsidR="0028005C" w:rsidRPr="00636B19" w:rsidRDefault="0028005C" w:rsidP="0028005C">
      <w:pPr>
        <w:spacing w:after="240"/>
        <w:ind w:left="720" w:hanging="720"/>
      </w:pPr>
      <w:r w:rsidRPr="00636B19">
        <w:t>(2)</w:t>
      </w:r>
      <w:r w:rsidRPr="00636B19">
        <w:tab/>
        <w:t>A QSE</w:t>
      </w:r>
      <w:r>
        <w:t>, QSE applicants, and their Principals,</w:t>
      </w:r>
      <w:r w:rsidRPr="00636B19">
        <w:t xml:space="preserve"> will provide the following disclosures to complete a QSE background check:</w:t>
      </w:r>
    </w:p>
    <w:p w14:paraId="6B2AFA7A" w14:textId="77777777" w:rsidR="0028005C" w:rsidRPr="00636B19" w:rsidRDefault="0028005C" w:rsidP="0028005C">
      <w:pPr>
        <w:spacing w:after="240"/>
        <w:ind w:left="1440" w:hanging="720"/>
      </w:pPr>
      <w:r w:rsidRPr="00636B19">
        <w:t>(a)</w:t>
      </w:r>
      <w:r w:rsidRPr="00636B19">
        <w:tab/>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AD8137A" w14:textId="41C7BC31" w:rsidR="0028005C" w:rsidRPr="00636B19" w:rsidRDefault="0028005C" w:rsidP="0028005C">
      <w:pPr>
        <w:spacing w:after="240"/>
        <w:ind w:left="144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7E702494" w14:textId="461EC2B1"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 xml:space="preserve">that impacted or revoked the </w:t>
      </w:r>
      <w:r w:rsidRPr="00154BB0">
        <w:t>right</w:t>
      </w:r>
      <w:r w:rsidRPr="00636B19">
        <w:t xml:space="preserve"> to operate in any other energy market within the last ten years;</w:t>
      </w:r>
    </w:p>
    <w:p w14:paraId="2F384C4F" w14:textId="23044E78"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1DD446FF" w14:textId="77777777" w:rsidR="0028005C" w:rsidRPr="00636B19" w:rsidRDefault="0028005C" w:rsidP="0028005C">
      <w:pPr>
        <w:spacing w:after="240"/>
        <w:ind w:left="1440" w:hanging="720"/>
      </w:pPr>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1BA0F5E7" w14:textId="77777777" w:rsidR="0028005C" w:rsidRDefault="0028005C" w:rsidP="0028005C">
      <w:pPr>
        <w:spacing w:after="240"/>
        <w:ind w:left="720" w:hanging="720"/>
      </w:pPr>
      <w:r w:rsidRPr="00636B19">
        <w:t>(3)</w:t>
      </w:r>
      <w:r w:rsidRPr="00636B19">
        <w:tab/>
        <w:t>As required by paragraph (6) of Section 16.2.1, Criteria for Qualification as a Qualified Scheduling Entity, a QSE</w:t>
      </w:r>
      <w:r>
        <w:t>, QSE applicants, and their Principals,</w:t>
      </w:r>
      <w:r w:rsidRPr="00636B19">
        <w:t xml:space="preserve"> must </w:t>
      </w:r>
      <w:r w:rsidRPr="00C445D9">
        <w:t>promptly</w:t>
      </w:r>
      <w:r>
        <w:t xml:space="preserve"> </w:t>
      </w:r>
      <w:r w:rsidRPr="00636B19">
        <w:t xml:space="preserve">provide </w:t>
      </w:r>
      <w:r w:rsidRPr="00636B19">
        <w:lastRenderedPageBreak/>
        <w:t>ERCOT notice of any change that a reasonable examiner could deem material to the QSE’s ability to continue to satisfy the background check requirement, including any change to information that must be disclosed under this Section.</w:t>
      </w:r>
    </w:p>
    <w:p w14:paraId="13E27535" w14:textId="007E6602" w:rsidR="00EE1CAB" w:rsidRPr="00EE1CAB" w:rsidRDefault="00EE1CAB" w:rsidP="0028005C">
      <w:pPr>
        <w:pStyle w:val="H4"/>
        <w:rPr>
          <w:b/>
        </w:rPr>
      </w:pPr>
      <w:bookmarkStart w:id="58" w:name="_Toc184622976"/>
      <w:r w:rsidRPr="00EE1CAB">
        <w:rPr>
          <w:b/>
        </w:rPr>
        <w:t>16.2.1.</w:t>
      </w:r>
      <w:r w:rsidR="0028005C">
        <w:rPr>
          <w:b/>
        </w:rPr>
        <w:t>2</w:t>
      </w:r>
      <w:r w:rsidRPr="00EE1CAB">
        <w:rPr>
          <w:b/>
        </w:rPr>
        <w:tab/>
        <w:t xml:space="preserve">Data </w:t>
      </w:r>
      <w:r w:rsidRPr="00443D81">
        <w:rPr>
          <w:b/>
        </w:rPr>
        <w:t>Agent</w:t>
      </w:r>
      <w:r w:rsidRPr="00EE1CAB">
        <w:rPr>
          <w:b/>
        </w:rPr>
        <w:t>-Only Qualified Scheduling Entities</w:t>
      </w:r>
      <w:bookmarkEnd w:id="58"/>
    </w:p>
    <w:p w14:paraId="71B7286D" w14:textId="77777777" w:rsidR="00EE1CAB" w:rsidRPr="00443D81" w:rsidRDefault="00EE1CAB" w:rsidP="00EE1CAB">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1A96C3F4" w14:textId="77777777" w:rsidR="00EE1CAB" w:rsidRPr="00443D81" w:rsidRDefault="00EE1CAB" w:rsidP="00EE1CAB">
      <w:pPr>
        <w:spacing w:after="240"/>
        <w:ind w:left="720" w:hanging="720"/>
        <w:rPr>
          <w:iCs/>
        </w:rPr>
      </w:pPr>
      <w:r w:rsidRPr="00443D81">
        <w:rPr>
          <w:iCs/>
        </w:rPr>
        <w:t>(2)</w:t>
      </w:r>
      <w:r w:rsidRPr="00443D81">
        <w:rPr>
          <w:iCs/>
        </w:rPr>
        <w:tab/>
        <w:t>An Entity is eligible to register as a Data Agent-Only QSE and maintain that registration if it:</w:t>
      </w:r>
    </w:p>
    <w:p w14:paraId="24E81FEA" w14:textId="65041852" w:rsidR="00EE1CAB" w:rsidRPr="00443D81" w:rsidRDefault="00EE1CAB" w:rsidP="00EE1CAB">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28005C" w:rsidRPr="00636B19">
        <w:rPr>
          <w:iCs/>
        </w:rPr>
        <w:t xml:space="preserve">(b), (c), </w:t>
      </w:r>
      <w:r w:rsidRPr="00443D81">
        <w:rPr>
          <w:iCs/>
        </w:rPr>
        <w:t>(</w:t>
      </w:r>
      <w:r w:rsidR="0028005C">
        <w:rPr>
          <w:iCs/>
        </w:rPr>
        <w:t>h</w:t>
      </w:r>
      <w:r w:rsidRPr="00443D81">
        <w:rPr>
          <w:iCs/>
        </w:rPr>
        <w:t>), (</w:t>
      </w:r>
      <w:r w:rsidR="0028005C">
        <w:rPr>
          <w:iCs/>
        </w:rPr>
        <w:t>j</w:t>
      </w:r>
      <w:r w:rsidRPr="00443D81">
        <w:rPr>
          <w:iCs/>
        </w:rPr>
        <w:t>), (</w:t>
      </w:r>
      <w:r w:rsidR="004E5204">
        <w:rPr>
          <w:iCs/>
        </w:rPr>
        <w:t>m</w:t>
      </w:r>
      <w:r w:rsidRPr="00443D81">
        <w:rPr>
          <w:iCs/>
        </w:rPr>
        <w:t>), and (</w:t>
      </w:r>
      <w:r w:rsidR="004E5204">
        <w:rPr>
          <w:iCs/>
        </w:rPr>
        <w:t>n</w:t>
      </w:r>
      <w:r w:rsidRPr="00443D81">
        <w:rPr>
          <w:iCs/>
        </w:rPr>
        <w:t>);</w:t>
      </w:r>
    </w:p>
    <w:p w14:paraId="781D174A" w14:textId="77777777" w:rsidR="00EE1CAB" w:rsidRPr="00443D81" w:rsidRDefault="00EE1CAB" w:rsidP="00EE1CAB">
      <w:pPr>
        <w:spacing w:after="240"/>
        <w:ind w:left="1440" w:hanging="720"/>
        <w:rPr>
          <w:iCs/>
        </w:rPr>
      </w:pPr>
      <w:r w:rsidRPr="00443D81">
        <w:rPr>
          <w:iCs/>
        </w:rPr>
        <w:t>(b)</w:t>
      </w:r>
      <w:r w:rsidRPr="00443D81">
        <w:rPr>
          <w:iCs/>
        </w:rPr>
        <w:tab/>
        <w:t>Is not also registered as a Congestion Revenue Right (CRR) Account Holder;</w:t>
      </w:r>
    </w:p>
    <w:p w14:paraId="0F13766F" w14:textId="77777777" w:rsidR="00EE1CAB" w:rsidRPr="00443D81" w:rsidRDefault="00EE1CAB" w:rsidP="00EE1CAB">
      <w:pPr>
        <w:spacing w:after="240"/>
        <w:ind w:left="1440" w:hanging="720"/>
        <w:rPr>
          <w:iCs/>
        </w:rPr>
      </w:pPr>
      <w:r w:rsidRPr="00443D81">
        <w:rPr>
          <w:iCs/>
        </w:rPr>
        <w:t>(c)</w:t>
      </w:r>
      <w:r w:rsidRPr="00443D81">
        <w:rPr>
          <w:iCs/>
        </w:rPr>
        <w:tab/>
        <w:t>Does not participate in the Day-Ahead Market (DAM) or Real-Time Market (RTM);</w:t>
      </w:r>
    </w:p>
    <w:p w14:paraId="78B3403C" w14:textId="1D245CC8" w:rsidR="00EE1CAB" w:rsidRPr="00443D81" w:rsidRDefault="00EE1CAB" w:rsidP="00EE1CAB">
      <w:pPr>
        <w:spacing w:after="240"/>
        <w:ind w:left="1440" w:hanging="720"/>
        <w:rPr>
          <w:iCs/>
        </w:rPr>
      </w:pPr>
      <w:r w:rsidRPr="00443D81">
        <w:rPr>
          <w:iCs/>
        </w:rPr>
        <w:t>(d)</w:t>
      </w:r>
      <w:r w:rsidRPr="00443D81">
        <w:rPr>
          <w:iCs/>
        </w:rPr>
        <w:tab/>
        <w:t>Does not participate in the ERS market;</w:t>
      </w:r>
    </w:p>
    <w:p w14:paraId="0FB43BAE" w14:textId="4842585C" w:rsidR="00EE1CAB" w:rsidRPr="00443D81" w:rsidRDefault="00EE1CAB" w:rsidP="00EE1CAB">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w:t>
      </w:r>
      <w:r w:rsidR="004E5204">
        <w:t xml:space="preserve"> and</w:t>
      </w:r>
    </w:p>
    <w:p w14:paraId="4D59E45F" w14:textId="03F04CC6" w:rsidR="00747E08" w:rsidRPr="00443D81" w:rsidRDefault="00EE1CAB" w:rsidP="004E5204">
      <w:pPr>
        <w:spacing w:after="240"/>
        <w:ind w:left="1440" w:hanging="720"/>
      </w:pPr>
      <w:r w:rsidRPr="00443D81">
        <w:rPr>
          <w:iCs/>
        </w:rPr>
        <w:t>(f)</w:t>
      </w:r>
      <w:r w:rsidRPr="00443D81">
        <w:rPr>
          <w:iCs/>
        </w:rPr>
        <w:tab/>
        <w:t xml:space="preserve">Maintains </w:t>
      </w:r>
      <w:r w:rsidR="00FF324B">
        <w:rPr>
          <w:iCs/>
        </w:rPr>
        <w:t xml:space="preserve">a </w:t>
      </w:r>
      <w:r w:rsidRPr="00443D81">
        <w:rPr>
          <w:iCs/>
        </w:rPr>
        <w:t>24</w:t>
      </w:r>
      <w:r w:rsidRPr="00443D81">
        <w:t>-hour, seven-day-per-week support contact with qualified personnel to support and resolve any data or communication issues with ERCOT</w:t>
      </w:r>
      <w:r w:rsidR="00747E08">
        <w:t xml:space="preserve">.  </w:t>
      </w:r>
    </w:p>
    <w:p w14:paraId="23986844" w14:textId="34BE01DA" w:rsidR="00EE1CAB" w:rsidRPr="00443D81" w:rsidRDefault="00EE1CAB" w:rsidP="00EE1CAB">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w:t>
      </w:r>
    </w:p>
    <w:p w14:paraId="28E4BB51" w14:textId="77777777" w:rsidR="00EE1CAB" w:rsidRPr="00443D81" w:rsidRDefault="00EE1CAB" w:rsidP="00EE1CAB">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35AB181E" w14:textId="22E8A65B" w:rsidR="0028005C" w:rsidRDefault="00EE1CAB" w:rsidP="0028005C">
      <w:pPr>
        <w:spacing w:after="240"/>
        <w:ind w:left="1440" w:hanging="720"/>
        <w:rPr>
          <w:iCs/>
        </w:rPr>
      </w:pPr>
      <w:r w:rsidRPr="00443D81">
        <w:rPr>
          <w:iCs/>
        </w:rPr>
        <w:t>(a)</w:t>
      </w:r>
      <w:r w:rsidRPr="00443D81">
        <w:rPr>
          <w:iCs/>
        </w:rPr>
        <w:tab/>
      </w:r>
      <w:r w:rsidR="0028005C" w:rsidRPr="00443D81">
        <w:rPr>
          <w:iCs/>
        </w:rPr>
        <w:t>Paragraph (1)(</w:t>
      </w:r>
      <w:r w:rsidR="0028005C">
        <w:rPr>
          <w:iCs/>
        </w:rPr>
        <w:t>b</w:t>
      </w:r>
      <w:r w:rsidR="0028005C" w:rsidRPr="00443D81">
        <w:rPr>
          <w:iCs/>
        </w:rPr>
        <w:t>) of Section 16.2.1</w:t>
      </w:r>
      <w:r w:rsidR="0028005C">
        <w:rPr>
          <w:iCs/>
        </w:rPr>
        <w:t>;</w:t>
      </w:r>
    </w:p>
    <w:p w14:paraId="7FC8F59C" w14:textId="46FDA423" w:rsidR="0028005C" w:rsidRDefault="0028005C" w:rsidP="0028005C">
      <w:pPr>
        <w:spacing w:after="240"/>
        <w:ind w:left="1440" w:hanging="720"/>
        <w:rPr>
          <w:iCs/>
        </w:rPr>
      </w:pPr>
      <w:r>
        <w:rPr>
          <w:iCs/>
        </w:rPr>
        <w:lastRenderedPageBreak/>
        <w:t>(b)</w:t>
      </w:r>
      <w:r>
        <w:rPr>
          <w:iCs/>
        </w:rPr>
        <w:tab/>
      </w:r>
      <w:r w:rsidRPr="00443D81">
        <w:rPr>
          <w:iCs/>
        </w:rPr>
        <w:t>Paragraph (1)(</w:t>
      </w:r>
      <w:r>
        <w:rPr>
          <w:iCs/>
        </w:rPr>
        <w:t>c</w:t>
      </w:r>
      <w:r w:rsidRPr="00443D81">
        <w:rPr>
          <w:iCs/>
        </w:rPr>
        <w:t>) of Section 16.2.1</w:t>
      </w:r>
      <w:r>
        <w:rPr>
          <w:iCs/>
        </w:rPr>
        <w:t>;</w:t>
      </w:r>
    </w:p>
    <w:p w14:paraId="69F2D842" w14:textId="202F436B" w:rsidR="00EE1CAB" w:rsidRPr="00443D81" w:rsidRDefault="0028005C" w:rsidP="00EE1CAB">
      <w:pPr>
        <w:spacing w:after="240"/>
        <w:ind w:left="1440" w:hanging="720"/>
        <w:rPr>
          <w:iCs/>
        </w:rPr>
      </w:pPr>
      <w:r>
        <w:rPr>
          <w:iCs/>
        </w:rPr>
        <w:t>(c)</w:t>
      </w:r>
      <w:r>
        <w:rPr>
          <w:iCs/>
        </w:rPr>
        <w:tab/>
      </w:r>
      <w:r w:rsidR="00EE1CAB" w:rsidRPr="00443D81">
        <w:rPr>
          <w:iCs/>
        </w:rPr>
        <w:t>Paragraph (1)(</w:t>
      </w:r>
      <w:r>
        <w:rPr>
          <w:iCs/>
        </w:rPr>
        <w:t>h</w:t>
      </w:r>
      <w:r w:rsidR="00EE1CAB" w:rsidRPr="00443D81">
        <w:rPr>
          <w:iCs/>
        </w:rPr>
        <w:t>) of Section 16.2.1;</w:t>
      </w:r>
    </w:p>
    <w:p w14:paraId="245F40E8" w14:textId="0C77CBEB" w:rsidR="00EE1CAB" w:rsidRPr="00443D81" w:rsidRDefault="00EE1CAB" w:rsidP="00EE1CAB">
      <w:pPr>
        <w:spacing w:after="240"/>
        <w:ind w:left="1440" w:hanging="720"/>
        <w:rPr>
          <w:iCs/>
        </w:rPr>
      </w:pPr>
      <w:r w:rsidRPr="00443D81">
        <w:rPr>
          <w:iCs/>
        </w:rPr>
        <w:t>(</w:t>
      </w:r>
      <w:r w:rsidR="0028005C">
        <w:rPr>
          <w:iCs/>
        </w:rPr>
        <w:t>d</w:t>
      </w:r>
      <w:r w:rsidRPr="00443D81">
        <w:rPr>
          <w:iCs/>
        </w:rPr>
        <w:t>)</w:t>
      </w:r>
      <w:r w:rsidRPr="00443D81">
        <w:rPr>
          <w:iCs/>
        </w:rPr>
        <w:tab/>
        <w:t>Paragraph (1)(</w:t>
      </w:r>
      <w:r w:rsidR="0028005C">
        <w:rPr>
          <w:iCs/>
        </w:rPr>
        <w:t>j</w:t>
      </w:r>
      <w:r w:rsidRPr="00443D81">
        <w:rPr>
          <w:iCs/>
        </w:rPr>
        <w:t>) of Section 16.2.1;</w:t>
      </w:r>
    </w:p>
    <w:p w14:paraId="7549D174" w14:textId="448CA779" w:rsidR="00EE1CAB" w:rsidRPr="00443D81" w:rsidRDefault="00EE1CAB" w:rsidP="00EE1CAB">
      <w:pPr>
        <w:spacing w:after="240"/>
        <w:ind w:left="1440" w:hanging="720"/>
        <w:rPr>
          <w:iCs/>
        </w:rPr>
      </w:pPr>
      <w:r w:rsidRPr="00443D81">
        <w:rPr>
          <w:iCs/>
        </w:rPr>
        <w:t>(</w:t>
      </w:r>
      <w:r w:rsidR="0028005C">
        <w:rPr>
          <w:iCs/>
        </w:rPr>
        <w:t>e</w:t>
      </w:r>
      <w:r w:rsidRPr="00443D81">
        <w:rPr>
          <w:iCs/>
        </w:rPr>
        <w:t>)</w:t>
      </w:r>
      <w:r w:rsidRPr="00443D81">
        <w:rPr>
          <w:iCs/>
        </w:rPr>
        <w:tab/>
        <w:t>Paragraph (1)(</w:t>
      </w:r>
      <w:r w:rsidR="004E5204">
        <w:rPr>
          <w:iCs/>
        </w:rPr>
        <w:t>m</w:t>
      </w:r>
      <w:r w:rsidRPr="00443D81">
        <w:rPr>
          <w:iCs/>
        </w:rPr>
        <w:t>) of Section 16.2.1;</w:t>
      </w:r>
    </w:p>
    <w:p w14:paraId="2BF552CB" w14:textId="3D085CF6" w:rsidR="00EE1CAB" w:rsidRPr="00443D81" w:rsidRDefault="00EE1CAB" w:rsidP="00EE1CAB">
      <w:pPr>
        <w:spacing w:after="240"/>
        <w:ind w:left="1440" w:hanging="720"/>
        <w:rPr>
          <w:iCs/>
        </w:rPr>
      </w:pPr>
      <w:r w:rsidRPr="00443D81">
        <w:rPr>
          <w:iCs/>
        </w:rPr>
        <w:t>(</w:t>
      </w:r>
      <w:r w:rsidR="0028005C">
        <w:rPr>
          <w:iCs/>
        </w:rPr>
        <w:t>f</w:t>
      </w:r>
      <w:r w:rsidRPr="00443D81">
        <w:rPr>
          <w:iCs/>
        </w:rPr>
        <w:t>)</w:t>
      </w:r>
      <w:r w:rsidRPr="00443D81">
        <w:rPr>
          <w:iCs/>
        </w:rPr>
        <w:tab/>
        <w:t>Paragraph (1)(</w:t>
      </w:r>
      <w:r w:rsidR="004E5204">
        <w:rPr>
          <w:iCs/>
        </w:rPr>
        <w:t>n</w:t>
      </w:r>
      <w:r w:rsidRPr="00443D81">
        <w:rPr>
          <w:iCs/>
        </w:rPr>
        <w:t>) of Section 16.2.1;</w:t>
      </w:r>
    </w:p>
    <w:p w14:paraId="7D75EEC3" w14:textId="69F3F15F" w:rsidR="00EE1CAB" w:rsidRPr="00443D81" w:rsidRDefault="00EE1CAB" w:rsidP="00EE1CAB">
      <w:pPr>
        <w:spacing w:after="240"/>
        <w:ind w:left="1440" w:hanging="720"/>
        <w:rPr>
          <w:iCs/>
        </w:rPr>
      </w:pPr>
      <w:r w:rsidRPr="00443D81">
        <w:rPr>
          <w:iCs/>
        </w:rPr>
        <w:t>(</w:t>
      </w:r>
      <w:r w:rsidR="0028005C">
        <w:rPr>
          <w:iCs/>
        </w:rPr>
        <w:t>g</w:t>
      </w:r>
      <w:r w:rsidRPr="00443D81">
        <w:rPr>
          <w:iCs/>
        </w:rPr>
        <w:t>)</w:t>
      </w:r>
      <w:r w:rsidRPr="00443D81">
        <w:rPr>
          <w:iCs/>
        </w:rPr>
        <w:tab/>
        <w:t>Section 16.11, Financial Security for Counter-Parties; and</w:t>
      </w:r>
    </w:p>
    <w:p w14:paraId="3055B7CF" w14:textId="7B5B1E4F" w:rsidR="00EE1CAB" w:rsidRPr="00443D81" w:rsidRDefault="00EE1CAB" w:rsidP="00EE1CAB">
      <w:pPr>
        <w:spacing w:after="240"/>
        <w:ind w:left="1440" w:hanging="720"/>
        <w:rPr>
          <w:iCs/>
        </w:rPr>
      </w:pPr>
      <w:r w:rsidRPr="00443D81">
        <w:rPr>
          <w:iCs/>
        </w:rPr>
        <w:t>(</w:t>
      </w:r>
      <w:r w:rsidR="0028005C">
        <w:rPr>
          <w:iCs/>
        </w:rPr>
        <w:t>h</w:t>
      </w:r>
      <w:r w:rsidRPr="00443D81">
        <w:rPr>
          <w:iCs/>
        </w:rPr>
        <w:t>)</w:t>
      </w:r>
      <w:r w:rsidRPr="00443D81">
        <w:rPr>
          <w:iCs/>
        </w:rPr>
        <w:tab/>
        <w:t>Section 16.16, Additional Counter-Party Qualification Requirements.</w:t>
      </w:r>
    </w:p>
    <w:p w14:paraId="63795B89" w14:textId="77777777" w:rsidR="00EE1CAB" w:rsidRPr="00443D81" w:rsidRDefault="00EE1CAB" w:rsidP="00EE1CAB">
      <w:pPr>
        <w:spacing w:after="240"/>
        <w:ind w:left="720" w:hanging="720"/>
        <w:rPr>
          <w:iCs/>
        </w:rPr>
      </w:pPr>
      <w:r w:rsidRPr="00443D81">
        <w:rPr>
          <w:iCs/>
        </w:rPr>
        <w:t>(5)</w:t>
      </w:r>
      <w:r w:rsidRPr="00443D81">
        <w:rPr>
          <w:iCs/>
        </w:rPr>
        <w:tab/>
        <w:t>ERCOT will ensure that its systems prevent participation by a Data Agent-Only QSE in the DAM and RTM.</w:t>
      </w:r>
    </w:p>
    <w:p w14:paraId="41B980B8" w14:textId="77777777" w:rsidR="00EE1CAB" w:rsidRPr="00443D81" w:rsidRDefault="00EE1CAB" w:rsidP="00EE1CAB">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00A2A986" w14:textId="52BD3BF2" w:rsidR="00747E08" w:rsidRDefault="00EE1CAB" w:rsidP="00EE1CAB">
      <w:pPr>
        <w:pStyle w:val="BodyTextNumbered"/>
      </w:pPr>
      <w:r w:rsidRPr="00443D81">
        <w:rPr>
          <w:iCs w:val="0"/>
        </w:rPr>
        <w:t>(7)</w:t>
      </w:r>
      <w:r w:rsidRPr="00443D81">
        <w:rPr>
          <w:iCs w:val="0"/>
        </w:rPr>
        <w:tab/>
        <w:t xml:space="preserve">Nothing in this </w:t>
      </w:r>
      <w:r w:rsidR="00A01AC4">
        <w:rPr>
          <w:iCs w:val="0"/>
        </w:rPr>
        <w:t>S</w:t>
      </w:r>
      <w:r w:rsidRPr="00443D81">
        <w:rPr>
          <w:iCs w:val="0"/>
        </w:rPr>
        <w:t>ection affects a Data Agent-Only QSE’s obligation under paragraph (</w:t>
      </w:r>
      <w:r w:rsidR="000475FE">
        <w:rPr>
          <w:iCs w:val="0"/>
        </w:rPr>
        <w:t>6</w:t>
      </w:r>
      <w:r w:rsidRPr="00443D81">
        <w:rPr>
          <w:iCs w:val="0"/>
        </w:rPr>
        <w:t>) of Section 16.2.1 to provide ERCOT notice of any material change that could adversely affect the reliability or safety of the ERCOT System.</w:t>
      </w:r>
    </w:p>
    <w:p w14:paraId="048BE68B" w14:textId="7AAF1DED" w:rsidR="00EE1CAB" w:rsidRDefault="00747E08" w:rsidP="00EE1CAB">
      <w:pPr>
        <w:pStyle w:val="BodyTextNumbered"/>
      </w:pPr>
      <w:r w:rsidRPr="00747E08">
        <w:rPr>
          <w:iCs w:val="0"/>
        </w:rPr>
        <w:t>(8)</w:t>
      </w:r>
      <w:r w:rsidRPr="00747E08">
        <w:rPr>
          <w:iCs w:val="0"/>
        </w:rPr>
        <w:tab/>
        <w:t xml:space="preserve">Each Data Agent-Only QSE </w:t>
      </w:r>
      <w:r w:rsidR="004E5204">
        <w:rPr>
          <w:iCs w:val="0"/>
        </w:rPr>
        <w:t>shall</w:t>
      </w:r>
      <w:r w:rsidRPr="00747E08">
        <w:rPr>
          <w:iCs w:val="0"/>
        </w:rPr>
        <w:t xml:space="preserve"> maintain 24-hour, seven-day-per-week operations and Hotline communications with ERCOT</w:t>
      </w:r>
      <w:r w:rsidR="004E5204">
        <w:rPr>
          <w:iCs w:val="0"/>
        </w:rPr>
        <w:t xml:space="preserve"> and</w:t>
      </w:r>
      <w:r w:rsidRPr="00747E08">
        <w:rPr>
          <w:iCs w:val="0"/>
        </w:rPr>
        <w:t xml:space="preserve"> answer each QSE Hotline call.</w:t>
      </w:r>
    </w:p>
    <w:p w14:paraId="061811DB" w14:textId="77777777" w:rsidR="00FC1C5F" w:rsidRDefault="00727E32" w:rsidP="00350FB0">
      <w:pPr>
        <w:pStyle w:val="H3"/>
      </w:pPr>
      <w:bookmarkStart w:id="59" w:name="_Toc390438914"/>
      <w:bookmarkStart w:id="60" w:name="_Toc405897611"/>
      <w:bookmarkStart w:id="61" w:name="_Toc415055715"/>
      <w:bookmarkStart w:id="62" w:name="_Toc415055841"/>
      <w:bookmarkStart w:id="63" w:name="_Toc415055940"/>
      <w:bookmarkStart w:id="64" w:name="_Toc415056041"/>
      <w:bookmarkStart w:id="65" w:name="_Toc184622977"/>
      <w:bookmarkStart w:id="66" w:name="_Toc71369174"/>
      <w:bookmarkStart w:id="67" w:name="_Toc71539390"/>
      <w:r>
        <w:t>16.2.2</w:t>
      </w:r>
      <w:r>
        <w:tab/>
        <w:t>QSE Application Process</w:t>
      </w:r>
      <w:bookmarkEnd w:id="59"/>
      <w:bookmarkEnd w:id="60"/>
      <w:bookmarkEnd w:id="61"/>
      <w:bookmarkEnd w:id="62"/>
      <w:bookmarkEnd w:id="63"/>
      <w:bookmarkEnd w:id="64"/>
      <w:bookmarkEnd w:id="65"/>
      <w:r>
        <w:t xml:space="preserve">  </w:t>
      </w:r>
      <w:bookmarkEnd w:id="66"/>
      <w:bookmarkEnd w:id="67"/>
    </w:p>
    <w:p w14:paraId="6471AA3D" w14:textId="49A9E130" w:rsidR="00FC1C5F" w:rsidRDefault="00853D39" w:rsidP="009F10FE">
      <w:pPr>
        <w:pStyle w:val="BodyText"/>
        <w:ind w:left="720" w:hanging="720"/>
      </w:pPr>
      <w:bookmarkStart w:id="68" w:name="_Hlk90904166"/>
      <w:r>
        <w:t>(1)</w:t>
      </w:r>
      <w:r>
        <w:tab/>
      </w:r>
      <w:r w:rsidR="00BB1306">
        <w:t>To register as a QSE, an applicant must submit to ERCOT a completed Section 23, Form G, QSE Application and Service Filing for Registration Form, and any applicable fee.  ERCOT shall post on the ERCOT website the form in which QSE applications must be submitted, all materials that must be provided with the QSE application and the fee schedule, if any, applicable to QSE applications.  The QSE application shall be attested to by a duly authorized officer or agent of the applicant.  The QSE applicant shall promptly notify ERCOT of any material changes affecting a pending application using the appropriate form posted on the ERCOT website.  The application must be submitted at least 60 days before the proposed date of commencement of service.</w:t>
      </w:r>
      <w:bookmarkEnd w:id="68"/>
    </w:p>
    <w:p w14:paraId="779CE263" w14:textId="77777777" w:rsidR="00FC1C5F" w:rsidRPr="00D63F95" w:rsidRDefault="00727E32" w:rsidP="00FE610C">
      <w:pPr>
        <w:pStyle w:val="H4"/>
        <w:ind w:left="1267" w:hanging="1267"/>
        <w:rPr>
          <w:b/>
        </w:rPr>
      </w:pPr>
      <w:bookmarkStart w:id="69" w:name="_Toc390438915"/>
      <w:bookmarkStart w:id="70" w:name="_Toc405897612"/>
      <w:bookmarkStart w:id="71" w:name="_Toc415055716"/>
      <w:bookmarkStart w:id="72" w:name="_Toc415055842"/>
      <w:bookmarkStart w:id="73" w:name="_Toc415055941"/>
      <w:bookmarkStart w:id="74" w:name="_Toc415056042"/>
      <w:bookmarkStart w:id="75" w:name="_Toc184622978"/>
      <w:r w:rsidRPr="00D63F95">
        <w:rPr>
          <w:b/>
        </w:rPr>
        <w:t>16.2.2.1</w:t>
      </w:r>
      <w:r w:rsidRPr="00D63F95">
        <w:rPr>
          <w:b/>
        </w:rPr>
        <w:tab/>
        <w:t>Notice of Receipt of Qualified Scheduling Entity Application</w:t>
      </w:r>
      <w:bookmarkEnd w:id="69"/>
      <w:bookmarkEnd w:id="70"/>
      <w:bookmarkEnd w:id="71"/>
      <w:bookmarkEnd w:id="72"/>
      <w:bookmarkEnd w:id="73"/>
      <w:bookmarkEnd w:id="74"/>
      <w:bookmarkEnd w:id="75"/>
    </w:p>
    <w:p w14:paraId="58A5F64F" w14:textId="77777777" w:rsidR="00FC1C5F" w:rsidRDefault="00853D39" w:rsidP="009F10FE">
      <w:pPr>
        <w:pStyle w:val="BodyText"/>
        <w:ind w:left="720" w:hanging="720"/>
      </w:pPr>
      <w:r>
        <w:t>(1)</w:t>
      </w:r>
      <w:r>
        <w:tab/>
      </w:r>
      <w:r w:rsidR="00727E32">
        <w:t xml:space="preserve">Within three Business Days after receiving a QSE application, ERCOT shall issue to the applicant a written confirmation that ERCOT has received the QSE application.  ERCOT shall return without review any QSE application that does not include the proper </w:t>
      </w:r>
      <w:r w:rsidR="00727E32">
        <w:lastRenderedPageBreak/>
        <w:t>application fee.  The remainder of this Section does not apply to any QSE application returned for failure to include the proper application fee.</w:t>
      </w:r>
    </w:p>
    <w:p w14:paraId="71E728C3" w14:textId="65BDE809" w:rsidR="00FC1C5F" w:rsidRPr="00D63F95" w:rsidRDefault="00727E32">
      <w:pPr>
        <w:pStyle w:val="H4"/>
        <w:rPr>
          <w:b/>
        </w:rPr>
      </w:pPr>
      <w:bookmarkStart w:id="76" w:name="_Toc390438916"/>
      <w:bookmarkStart w:id="77" w:name="_Toc405897613"/>
      <w:bookmarkStart w:id="78" w:name="_Toc415055717"/>
      <w:bookmarkStart w:id="79" w:name="_Toc415055843"/>
      <w:bookmarkStart w:id="80" w:name="_Toc415055942"/>
      <w:bookmarkStart w:id="81" w:name="_Toc415056043"/>
      <w:bookmarkStart w:id="82" w:name="_Toc184622979"/>
      <w:bookmarkStart w:id="83" w:name="_Hlk90904178"/>
      <w:r w:rsidRPr="00D63F95">
        <w:rPr>
          <w:b/>
        </w:rPr>
        <w:t>16.2.2.2</w:t>
      </w:r>
      <w:r w:rsidRPr="00D63F95">
        <w:rPr>
          <w:b/>
        </w:rPr>
        <w:tab/>
        <w:t xml:space="preserve">Incomplete </w:t>
      </w:r>
      <w:r w:rsidR="00BB1306">
        <w:rPr>
          <w:b/>
        </w:rPr>
        <w:t xml:space="preserve">QSE </w:t>
      </w:r>
      <w:r w:rsidRPr="00D63F95">
        <w:rPr>
          <w:b/>
        </w:rPr>
        <w:t>Applications</w:t>
      </w:r>
      <w:bookmarkEnd w:id="76"/>
      <w:bookmarkEnd w:id="77"/>
      <w:bookmarkEnd w:id="78"/>
      <w:bookmarkEnd w:id="79"/>
      <w:bookmarkEnd w:id="80"/>
      <w:bookmarkEnd w:id="81"/>
      <w:bookmarkEnd w:id="82"/>
      <w:r w:rsidRPr="00D63F95">
        <w:rPr>
          <w:b/>
        </w:rPr>
        <w:t xml:space="preserve">  </w:t>
      </w:r>
    </w:p>
    <w:p w14:paraId="432029E7" w14:textId="552F0E87" w:rsidR="00400902" w:rsidRDefault="00400902" w:rsidP="00400902">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r w:rsidR="0028005C" w:rsidRPr="00636B19">
        <w:t>, including information necessary to complete any background checks</w:t>
      </w:r>
      <w:r>
        <w:t xml:space="preserve">. </w:t>
      </w:r>
    </w:p>
    <w:p w14:paraId="43F46B98" w14:textId="77777777" w:rsidR="00400902" w:rsidRDefault="00400902" w:rsidP="00400902">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p>
    <w:p w14:paraId="12D0768C" w14:textId="77777777" w:rsidR="00400902" w:rsidRDefault="00400902" w:rsidP="00400902">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91FFB44" w14:textId="00AB1E29" w:rsidR="00FC1C5F" w:rsidRDefault="00400902">
      <w:pPr>
        <w:pStyle w:val="BodyTextNumbered"/>
      </w:pPr>
      <w:r>
        <w:t>(4)</w:t>
      </w:r>
      <w:r>
        <w:tab/>
        <w:t>ERCOT will notify the applicant of the date on which the application is deemed complete.</w:t>
      </w:r>
    </w:p>
    <w:p w14:paraId="2AF72683" w14:textId="77777777" w:rsidR="00FC1C5F" w:rsidRPr="00D63F95" w:rsidRDefault="00727E32" w:rsidP="00FE610C">
      <w:pPr>
        <w:pStyle w:val="H4"/>
        <w:rPr>
          <w:b/>
        </w:rPr>
      </w:pPr>
      <w:bookmarkStart w:id="84" w:name="_Toc390438917"/>
      <w:bookmarkStart w:id="85" w:name="_Toc405897614"/>
      <w:bookmarkStart w:id="86" w:name="_Toc415055718"/>
      <w:bookmarkStart w:id="87" w:name="_Toc415055844"/>
      <w:bookmarkStart w:id="88" w:name="_Toc415055943"/>
      <w:bookmarkStart w:id="89" w:name="_Toc415056044"/>
      <w:bookmarkStart w:id="90" w:name="_Toc184622980"/>
      <w:bookmarkEnd w:id="83"/>
      <w:r w:rsidRPr="00D63F95">
        <w:rPr>
          <w:b/>
        </w:rPr>
        <w:t>16.2.2.3</w:t>
      </w:r>
      <w:r w:rsidRPr="00D63F95">
        <w:rPr>
          <w:b/>
        </w:rPr>
        <w:tab/>
        <w:t>ERCOT Approval or Rejection of Qualified Scheduling Entity Application</w:t>
      </w:r>
      <w:bookmarkEnd w:id="84"/>
      <w:bookmarkEnd w:id="85"/>
      <w:bookmarkEnd w:id="86"/>
      <w:bookmarkEnd w:id="87"/>
      <w:bookmarkEnd w:id="88"/>
      <w:bookmarkEnd w:id="89"/>
      <w:bookmarkEnd w:id="90"/>
    </w:p>
    <w:p w14:paraId="668D3C04" w14:textId="375DC34F" w:rsidR="00FC1C5F" w:rsidRDefault="00727E32">
      <w:pPr>
        <w:pStyle w:val="BodyTextNumbered"/>
      </w:pPr>
      <w:bookmarkStart w:id="91" w:name="_Hlk90904186"/>
      <w:r>
        <w:t>(1)</w:t>
      </w:r>
      <w:r>
        <w:tab/>
      </w:r>
      <w:r w:rsidR="00400902" w:rsidRPr="008552F8">
        <w:t xml:space="preserve">ERCOT will approve or reject a QSE application within 60 days after the application has been deemed complete as provided for in Section 16.2.2.2, Incomplete QSE Applications, unless ERCOT determines that additional time is needed to complete its review of the application. </w:t>
      </w:r>
      <w:r w:rsidR="00400902">
        <w:t xml:space="preserve"> </w:t>
      </w:r>
      <w:r w:rsidR="00400902" w:rsidRPr="008552F8">
        <w:t xml:space="preserve">ERCOT will notify the applicant when additional time is needed to complete its review and will provide a date by which ERCOT expects to complete its review. </w:t>
      </w:r>
      <w:r w:rsidR="00400902">
        <w:t xml:space="preserve"> </w:t>
      </w:r>
      <w:r w:rsidR="00400902" w:rsidRPr="008552F8">
        <w:t>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bookmarkEnd w:id="91"/>
    </w:p>
    <w:p w14:paraId="534449C8" w14:textId="0FE224EF" w:rsidR="00FC1C5F" w:rsidRDefault="00727E32" w:rsidP="00FE610C">
      <w:pPr>
        <w:pStyle w:val="BodyTextNumbered"/>
      </w:pPr>
      <w:r>
        <w:t>(2)</w:t>
      </w:r>
      <w:r>
        <w:tab/>
        <w:t>If ERCOT rejects a QSE application, ERCOT shall send the applicant a rejection letter explaining the grounds upon which ERCOT rejected the QSE application.  Appropriate grounds for rejecting a QSE application include the following:</w:t>
      </w:r>
    </w:p>
    <w:p w14:paraId="7DCF5FCF" w14:textId="77777777" w:rsidR="00FC1C5F" w:rsidRDefault="00727E32">
      <w:pPr>
        <w:pStyle w:val="List"/>
        <w:ind w:left="1260" w:hanging="540"/>
      </w:pPr>
      <w:r>
        <w:t>(a)</w:t>
      </w:r>
      <w:r>
        <w:tab/>
        <w:t>Required information is not provided to ERCOT in the allotted time;</w:t>
      </w:r>
    </w:p>
    <w:p w14:paraId="179B8675" w14:textId="77777777" w:rsidR="00FC1C5F" w:rsidRDefault="00727E32">
      <w:pPr>
        <w:pStyle w:val="List"/>
        <w:ind w:left="1260" w:hanging="540"/>
      </w:pPr>
      <w:r>
        <w:t>(b)</w:t>
      </w:r>
      <w:r>
        <w:tab/>
        <w:t>Noncompliance with technical requirements; and</w:t>
      </w:r>
    </w:p>
    <w:p w14:paraId="4481EC87" w14:textId="77777777" w:rsidR="00FC1C5F" w:rsidRDefault="00727E32">
      <w:pPr>
        <w:pStyle w:val="List"/>
        <w:ind w:left="1260" w:hanging="540"/>
      </w:pPr>
      <w:r>
        <w:t>(c)</w:t>
      </w:r>
      <w:r>
        <w:tab/>
        <w:t>Noncompliance with other specific eligibility requirements in this Section or in any other Protocols.</w:t>
      </w:r>
    </w:p>
    <w:p w14:paraId="475BCF75" w14:textId="77777777" w:rsidR="00FC1C5F" w:rsidRDefault="00727E32">
      <w:pPr>
        <w:pStyle w:val="BodyText"/>
        <w:ind w:left="720" w:hanging="720"/>
      </w:pPr>
      <w:r>
        <w:lastRenderedPageBreak/>
        <w:t>(3)</w:t>
      </w:r>
      <w:r>
        <w:tab/>
        <w:t>Not later than ten Business Days after receiving a rejection letter, the QSE applicant may challenge the rejection of its QSE application using the dispute resolution procedures set forth in Section 20, Alternative Dispute Resolution Procedure.</w:t>
      </w:r>
      <w:r>
        <w:rPr>
          <w:b/>
        </w:rPr>
        <w:t xml:space="preserve">  </w:t>
      </w:r>
      <w:r>
        <w:t>The applicant may submit a new QSE application and fee at any time, and ERCOT shall process the new QSE application under this Section.</w:t>
      </w:r>
    </w:p>
    <w:p w14:paraId="2832A23B" w14:textId="7C44FFDB" w:rsidR="00FC1C5F" w:rsidRDefault="00727E32">
      <w:pPr>
        <w:pStyle w:val="BodyText"/>
        <w:ind w:left="720" w:hanging="720"/>
      </w:pPr>
      <w:bookmarkStart w:id="92" w:name="_Hlk90904196"/>
      <w:r>
        <w:t>(4)</w:t>
      </w:r>
      <w:r>
        <w:tab/>
      </w:r>
      <w:r w:rsidR="00400902">
        <w:t>If ERCOT approves the QSE application, ERCOT shall send the applicant a Standard Form Market Participant Agreement and any other required Agreements relating to use of the ERCOT network, software, and systems for the applicant’s signature.</w:t>
      </w:r>
    </w:p>
    <w:p w14:paraId="425E209F" w14:textId="30165DF0" w:rsidR="00400902" w:rsidRDefault="00400902">
      <w:pPr>
        <w:pStyle w:val="BodyText"/>
        <w:ind w:left="720" w:hanging="720"/>
      </w:pPr>
      <w:r>
        <w:t>(5)</w:t>
      </w:r>
      <w:r>
        <w:tab/>
        <w:t>If ERCOT fails to approve or deny the QSE application within 60 days after the application is deemed complete, and also fails to notify the applicant that additional time is needed to complete its review, the QSE applicant may seek relief using the dispute resolution procedures set forth in Section 20.</w:t>
      </w:r>
    </w:p>
    <w:p w14:paraId="39868C66" w14:textId="77777777" w:rsidR="00FC1C5F" w:rsidRDefault="00727E32" w:rsidP="00FE610C">
      <w:pPr>
        <w:pStyle w:val="H3"/>
      </w:pPr>
      <w:bookmarkStart w:id="93" w:name="_Toc71369175"/>
      <w:bookmarkStart w:id="94" w:name="_Toc71539391"/>
      <w:bookmarkStart w:id="95" w:name="_Toc390438918"/>
      <w:bookmarkStart w:id="96" w:name="_Toc405897615"/>
      <w:bookmarkStart w:id="97" w:name="_Toc415055719"/>
      <w:bookmarkStart w:id="98" w:name="_Toc415055845"/>
      <w:bookmarkStart w:id="99" w:name="_Toc415055944"/>
      <w:bookmarkStart w:id="100" w:name="_Toc415056045"/>
      <w:bookmarkStart w:id="101" w:name="_Toc184622981"/>
      <w:bookmarkEnd w:id="92"/>
      <w:r>
        <w:t>16.2.3</w:t>
      </w:r>
      <w:r>
        <w:tab/>
        <w:t xml:space="preserve">Remaining Steps for Qualified Scheduling Entity </w:t>
      </w:r>
      <w:bookmarkEnd w:id="93"/>
      <w:bookmarkEnd w:id="94"/>
      <w:r>
        <w:t>Registration</w:t>
      </w:r>
      <w:bookmarkEnd w:id="95"/>
      <w:bookmarkEnd w:id="96"/>
      <w:bookmarkEnd w:id="97"/>
      <w:bookmarkEnd w:id="98"/>
      <w:bookmarkEnd w:id="99"/>
      <w:bookmarkEnd w:id="100"/>
      <w:bookmarkEnd w:id="101"/>
    </w:p>
    <w:p w14:paraId="79C4EC29" w14:textId="77777777" w:rsidR="00FC1C5F" w:rsidRDefault="00853D39" w:rsidP="009F10FE">
      <w:pPr>
        <w:pStyle w:val="ListIntroduction"/>
        <w:ind w:left="720" w:hanging="720"/>
      </w:pPr>
      <w:r>
        <w:rPr>
          <w:lang w:val="en-US"/>
        </w:rPr>
        <w:t>(1)</w:t>
      </w:r>
      <w:r>
        <w:rPr>
          <w:lang w:val="en-US"/>
        </w:rPr>
        <w:tab/>
      </w:r>
      <w:r w:rsidR="00727E32">
        <w:t>After a QSE application is deemed approved under Section 16.2.2.3, ERCOT Approval or Rejection of Qualified Scheduling Entity Application, the applicant shall coordinate or perform the following:</w:t>
      </w:r>
    </w:p>
    <w:p w14:paraId="12A4C933" w14:textId="77777777" w:rsidR="00FC1C5F" w:rsidRDefault="00727E32" w:rsidP="00A643DE">
      <w:pPr>
        <w:pStyle w:val="List"/>
      </w:pPr>
      <w:r>
        <w:t>(a)</w:t>
      </w:r>
      <w:r>
        <w:tab/>
        <w:t>Return the signed Standard Form Market Participant Agreement and other related agreements to ERCOT;</w:t>
      </w:r>
    </w:p>
    <w:p w14:paraId="56C75702" w14:textId="77777777" w:rsidR="00FC1C5F" w:rsidRDefault="00727E32" w:rsidP="00A643DE">
      <w:pPr>
        <w:pStyle w:val="List"/>
      </w:pPr>
      <w:r>
        <w:t>(b)</w:t>
      </w:r>
      <w:r>
        <w:tab/>
        <w:t>Coordinate with ERCOT and other Entities, as necessary, to test all communications necessary to participate in the market in the ERCOT Region;</w:t>
      </w:r>
    </w:p>
    <w:p w14:paraId="3861CB62" w14:textId="77777777" w:rsidR="004E6267" w:rsidRDefault="004E6267" w:rsidP="00A643DE">
      <w:pPr>
        <w:pStyle w:val="List"/>
      </w:pPr>
      <w:r>
        <w:t>(c)</w:t>
      </w:r>
      <w:r>
        <w:tab/>
      </w:r>
      <w:r w:rsidRPr="00B64491">
        <w:t>If applicable, a</w:t>
      </w:r>
      <w:r>
        <w:t xml:space="preserve"> QSE offering services in a </w:t>
      </w:r>
      <w:r w:rsidR="00022A2E">
        <w:t>Non-Opt-In Entity (</w:t>
      </w:r>
      <w:r>
        <w:t>NOIE</w:t>
      </w:r>
      <w:r w:rsidR="00022A2E">
        <w:t>)</w:t>
      </w:r>
      <w:r>
        <w:t xml:space="preserve"> service territory must obtain written authorization from the NOIE, and submit such authorization to ERCOT;</w:t>
      </w:r>
      <w:r w:rsidR="00D56D45">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1C6988" w14:paraId="3896DBE4" w14:textId="77777777" w:rsidTr="003532D1">
        <w:tc>
          <w:tcPr>
            <w:tcW w:w="9350" w:type="dxa"/>
            <w:shd w:val="clear" w:color="auto" w:fill="FFFFFF"/>
          </w:tcPr>
          <w:p w14:paraId="2F4F72CA" w14:textId="527D8CD1" w:rsidR="001C6988" w:rsidRPr="00307CAD" w:rsidRDefault="001C6988" w:rsidP="001C6988">
            <w:pPr>
              <w:pStyle w:val="Instructions"/>
            </w:pPr>
            <w:r w:rsidRPr="00307CAD">
              <w:t>[P</w:t>
            </w:r>
            <w:r>
              <w:t>IR005</w:t>
            </w:r>
            <w:r w:rsidRPr="00307CAD">
              <w:t xml:space="preserve">:  ERCOT </w:t>
            </w:r>
            <w:r>
              <w:t xml:space="preserve">Protocol </w:t>
            </w:r>
            <w:r w:rsidRPr="00307CAD">
              <w:t xml:space="preserve">Interpretation of </w:t>
            </w:r>
            <w:r>
              <w:t>paragraph (1)(c) of Section 16.2.3 above</w:t>
            </w:r>
            <w:r w:rsidRPr="00307CAD">
              <w:t>:]</w:t>
            </w:r>
          </w:p>
          <w:p w14:paraId="15F379DD" w14:textId="1EB042EE" w:rsidR="001C6988" w:rsidRPr="00307CAD" w:rsidRDefault="001C6988" w:rsidP="0050013B">
            <w:pPr>
              <w:spacing w:after="240"/>
              <w:jc w:val="both"/>
              <w:rPr>
                <w:szCs w:val="24"/>
              </w:rPr>
            </w:pPr>
            <w:r>
              <w:t xml:space="preserve">On June 29, 2021, ERCOT issued a Protocol Interpretation regarding the applicability of </w:t>
            </w:r>
            <w:r w:rsidR="0050013B">
              <w:t xml:space="preserve">paragraph </w:t>
            </w:r>
            <w:r>
              <w:t>(1)(c)</w:t>
            </w:r>
            <w:r w:rsidR="0050013B">
              <w:t xml:space="preserve"> of Section 16.2.3</w:t>
            </w:r>
            <w:r>
              <w:t xml:space="preserve"> to QSEs representing Energy Storage Resources. See Market Notice</w:t>
            </w:r>
            <w:r w:rsidR="00B93E20">
              <w:t xml:space="preserve"> </w:t>
            </w:r>
            <w:r w:rsidR="00B93E20" w:rsidRPr="00B93E20">
              <w:t>M-A062921-01</w:t>
            </w:r>
            <w:r>
              <w:t xml:space="preserve">, Protocol Interpretation Regarding Necessity of Non-Opt-In Entity Consent to Qualified Scheduling Entity Representation of Energy Storage Resource in Non-Opt-In Entity Service Territory, at </w:t>
            </w:r>
            <w:hyperlink r:id="rId16" w:history="1">
              <w:r>
                <w:rPr>
                  <w:rStyle w:val="Hyperlink"/>
                </w:rPr>
                <w:t>http://www.ercot.com/mktrules/nprotocols/pir_process.html</w:t>
              </w:r>
            </w:hyperlink>
            <w:r>
              <w:t xml:space="preserve"> for full details of this Protocol Interpretation.</w:t>
            </w:r>
          </w:p>
        </w:tc>
      </w:tr>
    </w:tbl>
    <w:p w14:paraId="1AC43869" w14:textId="77777777" w:rsidR="00FC1C5F" w:rsidRDefault="00727E32" w:rsidP="003532D1">
      <w:pPr>
        <w:pStyle w:val="List"/>
        <w:spacing w:before="240"/>
        <w:ind w:left="720" w:firstLine="0"/>
      </w:pPr>
      <w:r>
        <w:t>(</w:t>
      </w:r>
      <w:r w:rsidR="00D56D45">
        <w:t>d</w:t>
      </w:r>
      <w:r>
        <w:t>)</w:t>
      </w:r>
      <w:r>
        <w:tab/>
        <w:t>Demonstrate compliance with security and financial requirements.</w:t>
      </w:r>
    </w:p>
    <w:p w14:paraId="74B4C465" w14:textId="77777777" w:rsidR="00FC1C5F" w:rsidRPr="00D63F95" w:rsidRDefault="00727E32">
      <w:pPr>
        <w:pStyle w:val="H4"/>
        <w:rPr>
          <w:b/>
        </w:rPr>
      </w:pPr>
      <w:bookmarkStart w:id="102" w:name="_Toc390438919"/>
      <w:bookmarkStart w:id="103" w:name="_Toc405897616"/>
      <w:bookmarkStart w:id="104" w:name="_Toc415055720"/>
      <w:bookmarkStart w:id="105" w:name="_Toc415055846"/>
      <w:bookmarkStart w:id="106" w:name="_Toc415055945"/>
      <w:bookmarkStart w:id="107" w:name="_Toc415056046"/>
      <w:bookmarkStart w:id="108" w:name="_Toc184622982"/>
      <w:r w:rsidRPr="00D63F95">
        <w:rPr>
          <w:b/>
        </w:rPr>
        <w:lastRenderedPageBreak/>
        <w:t>16.2.3.</w:t>
      </w:r>
      <w:r w:rsidR="00D56D45">
        <w:rPr>
          <w:b/>
        </w:rPr>
        <w:t>1</w:t>
      </w:r>
      <w:r w:rsidRPr="00D63F95">
        <w:rPr>
          <w:b/>
        </w:rPr>
        <w:tab/>
        <w:t>Process to Gain Approval to Follow DSR Load</w:t>
      </w:r>
      <w:bookmarkEnd w:id="102"/>
      <w:bookmarkEnd w:id="103"/>
      <w:bookmarkEnd w:id="104"/>
      <w:bookmarkEnd w:id="105"/>
      <w:bookmarkEnd w:id="106"/>
      <w:bookmarkEnd w:id="107"/>
      <w:bookmarkEnd w:id="108"/>
    </w:p>
    <w:p w14:paraId="55DF55FE" w14:textId="77777777" w:rsidR="00FC1C5F" w:rsidRDefault="00727E32">
      <w:pPr>
        <w:pStyle w:val="BodyTextNumbered"/>
      </w:pPr>
      <w:r>
        <w:t>(1)</w:t>
      </w:r>
      <w:r>
        <w:tab/>
        <w:t xml:space="preserve">Each QSE wanting to use Resources to follow </w:t>
      </w:r>
      <w:r w:rsidR="00D56D45">
        <w:t>Dynamically Scheduled Resource (</w:t>
      </w:r>
      <w:r>
        <w:t>DSR</w:t>
      </w:r>
      <w:r w:rsidR="00D56D45">
        <w:t>)</w:t>
      </w:r>
      <w:r>
        <w:t xml:space="preserve"> Load shall submit a proposal to ERCOT for analysis of the feasibility and reliability of the telemetry required by the proposal.  ERCOT shall either approve or disapprove that proposal based on ERCOT’s ability to monitor the DSR Load behavior.</w:t>
      </w:r>
    </w:p>
    <w:p w14:paraId="73F2E27D" w14:textId="77777777" w:rsidR="00FC1C5F" w:rsidRDefault="00727E32">
      <w:pPr>
        <w:pStyle w:val="BodyTextNumbered"/>
      </w:pPr>
      <w:r>
        <w:t>(2)</w:t>
      </w:r>
      <w:r>
        <w:tab/>
        <w:t>Each DSR Load must be associated with a Load meter or group of Load meters.  This includes Load that is calculated by subtracting interchange telemetry from actual generation telemetry, appropriately adjusted for Transmission and Distribution Losses.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70D89" w14:paraId="1FCF23C3" w14:textId="77777777" w:rsidTr="00CD51A8">
        <w:tc>
          <w:tcPr>
            <w:tcW w:w="9332" w:type="dxa"/>
            <w:shd w:val="pct12" w:color="auto" w:fill="auto"/>
          </w:tcPr>
          <w:p w14:paraId="3D206BAA" w14:textId="0FD932CA" w:rsidR="00B70D89" w:rsidRPr="00365293" w:rsidRDefault="00B70D89" w:rsidP="00B70D89">
            <w:pPr>
              <w:pStyle w:val="Instructions"/>
              <w:spacing w:before="120"/>
              <w:rPr>
                <w:iCs/>
              </w:rPr>
            </w:pPr>
            <w:bookmarkStart w:id="109" w:name="_Toc390438920"/>
            <w:bookmarkStart w:id="110" w:name="_Toc405897617"/>
            <w:bookmarkStart w:id="111" w:name="_Toc415055721"/>
            <w:bookmarkStart w:id="112" w:name="_Toc415055847"/>
            <w:bookmarkStart w:id="113" w:name="_Toc415055946"/>
            <w:bookmarkStart w:id="114" w:name="_Toc415056047"/>
            <w:r>
              <w:rPr>
                <w:iCs/>
              </w:rPr>
              <w:t>[NPRR1000</w:t>
            </w:r>
            <w:r w:rsidRPr="0002450E">
              <w:rPr>
                <w:iCs/>
              </w:rPr>
              <w:t xml:space="preserve">:  </w:t>
            </w:r>
            <w:r>
              <w:rPr>
                <w:iCs/>
              </w:rPr>
              <w:t>Delete Section 16.2.3.1 above upon system implementation and renumber accordingly</w:t>
            </w:r>
            <w:r w:rsidR="00EC4F5C">
              <w:rPr>
                <w:iCs/>
              </w:rPr>
              <w:t>.]</w:t>
            </w:r>
          </w:p>
        </w:tc>
      </w:tr>
    </w:tbl>
    <w:p w14:paraId="47E7C0DB" w14:textId="77777777" w:rsidR="00FC1C5F" w:rsidRDefault="00727E32" w:rsidP="00AA42E8">
      <w:pPr>
        <w:pStyle w:val="Heading4"/>
        <w:numPr>
          <w:ilvl w:val="0"/>
          <w:numId w:val="0"/>
        </w:numPr>
        <w:tabs>
          <w:tab w:val="left" w:pos="1620"/>
        </w:tabs>
        <w:spacing w:before="480"/>
      </w:pPr>
      <w:bookmarkStart w:id="115" w:name="_Toc184622983"/>
      <w:r>
        <w:t>16.2.3.</w:t>
      </w:r>
      <w:r w:rsidR="00D56D45">
        <w:t>2</w:t>
      </w:r>
      <w:r>
        <w:tab/>
        <w:t>Maintaining and Updating QSE Information</w:t>
      </w:r>
      <w:bookmarkEnd w:id="109"/>
      <w:bookmarkEnd w:id="110"/>
      <w:bookmarkEnd w:id="111"/>
      <w:bookmarkEnd w:id="112"/>
      <w:bookmarkEnd w:id="113"/>
      <w:bookmarkEnd w:id="114"/>
      <w:bookmarkEnd w:id="115"/>
      <w:r>
        <w:t xml:space="preserve"> </w:t>
      </w:r>
    </w:p>
    <w:p w14:paraId="20DE7DAF" w14:textId="77777777" w:rsidR="00FC1C5F" w:rsidRDefault="00853D39" w:rsidP="009F10FE">
      <w:pPr>
        <w:pStyle w:val="ListIntroduction"/>
        <w:ind w:left="720" w:hanging="720"/>
      </w:pPr>
      <w:r>
        <w:rPr>
          <w:lang w:val="en-US"/>
        </w:rPr>
        <w:t>(1)</w:t>
      </w:r>
      <w:r>
        <w:rPr>
          <w:lang w:val="en-US"/>
        </w:rPr>
        <w:tab/>
      </w:r>
      <w:r w:rsidR="00727E32">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12885A2D" w14:textId="78D1A07C" w:rsidR="00FC1C5F" w:rsidRDefault="00727E32">
      <w:pPr>
        <w:pStyle w:val="List"/>
      </w:pPr>
      <w:r>
        <w:t>(a)</w:t>
      </w:r>
      <w:r>
        <w:tab/>
        <w:t>The QSE’s addresses;</w:t>
      </w:r>
    </w:p>
    <w:p w14:paraId="1D069A94" w14:textId="2164D80A" w:rsidR="00400902" w:rsidRDefault="00400902">
      <w:pPr>
        <w:pStyle w:val="List"/>
      </w:pPr>
      <w:bookmarkStart w:id="116" w:name="_Hlk90904203"/>
      <w:r>
        <w:t>(b)</w:t>
      </w:r>
      <w:r>
        <w:tab/>
        <w:t xml:space="preserve">A list of Principals, as defined in Section </w:t>
      </w:r>
      <w:r w:rsidRPr="00942972">
        <w:t>16.1.2</w:t>
      </w:r>
      <w:r>
        <w:t>,</w:t>
      </w:r>
      <w:r w:rsidRPr="00880886">
        <w:t xml:space="preserve"> Principal of a Market Participant</w:t>
      </w:r>
      <w:r>
        <w:t>;</w:t>
      </w:r>
    </w:p>
    <w:bookmarkEnd w:id="116"/>
    <w:p w14:paraId="13F81B49" w14:textId="1CE8A147" w:rsidR="00FC1C5F" w:rsidRDefault="00727E32" w:rsidP="00FE610C">
      <w:pPr>
        <w:pStyle w:val="List"/>
      </w:pPr>
      <w:r>
        <w:t>(</w:t>
      </w:r>
      <w:r w:rsidR="00400902">
        <w:t>c</w:t>
      </w:r>
      <w:r>
        <w:t>)</w:t>
      </w:r>
      <w:r>
        <w:tab/>
        <w:t>A list of Affiliates; and</w:t>
      </w:r>
    </w:p>
    <w:p w14:paraId="303B7612" w14:textId="6DC6F9B0" w:rsidR="00FC1C5F" w:rsidRDefault="00727E32">
      <w:pPr>
        <w:pStyle w:val="List"/>
      </w:pPr>
      <w:r>
        <w:t>(</w:t>
      </w:r>
      <w:r w:rsidR="00400902">
        <w:t>d</w:t>
      </w:r>
      <w:r>
        <w:t>)</w:t>
      </w:r>
      <w:r>
        <w:tab/>
        <w:t xml:space="preserve">Designation of the QSE’s officers, directors, Authorized Representatives, Credit Contacts, and User Security Administrator </w:t>
      </w:r>
      <w:r w:rsidR="002B565A">
        <w:t xml:space="preserve">(USA) </w:t>
      </w:r>
      <w:r>
        <w:t xml:space="preserve">(all per the QSE application) including the telephone and e-mail addresses for those persons. </w:t>
      </w:r>
    </w:p>
    <w:p w14:paraId="742D4D01" w14:textId="77777777" w:rsidR="00FC1C5F" w:rsidRPr="00D63F95" w:rsidRDefault="00727E32">
      <w:pPr>
        <w:pStyle w:val="H4"/>
        <w:rPr>
          <w:b/>
        </w:rPr>
      </w:pPr>
      <w:bookmarkStart w:id="117" w:name="_Toc390438921"/>
      <w:bookmarkStart w:id="118" w:name="_Toc405897618"/>
      <w:bookmarkStart w:id="119" w:name="_Toc415055722"/>
      <w:bookmarkStart w:id="120" w:name="_Toc415055848"/>
      <w:bookmarkStart w:id="121" w:name="_Toc415055947"/>
      <w:bookmarkStart w:id="122" w:name="_Toc415056048"/>
      <w:bookmarkStart w:id="123" w:name="_Toc184622984"/>
      <w:r w:rsidRPr="00D63F95">
        <w:rPr>
          <w:b/>
        </w:rPr>
        <w:t>16.2.3.</w:t>
      </w:r>
      <w:r w:rsidR="00D56D45">
        <w:rPr>
          <w:b/>
        </w:rPr>
        <w:t>3</w:t>
      </w:r>
      <w:r w:rsidRPr="00D63F95">
        <w:rPr>
          <w:b/>
        </w:rPr>
        <w:tab/>
        <w:t>Qualified Scheduling Entity Service Termination</w:t>
      </w:r>
      <w:bookmarkEnd w:id="117"/>
      <w:bookmarkEnd w:id="118"/>
      <w:bookmarkEnd w:id="119"/>
      <w:bookmarkEnd w:id="120"/>
      <w:bookmarkEnd w:id="121"/>
      <w:bookmarkEnd w:id="122"/>
      <w:bookmarkEnd w:id="123"/>
    </w:p>
    <w:p w14:paraId="08F00F9C" w14:textId="2B1F9BA7" w:rsidR="00FC1C5F" w:rsidRDefault="00727E32">
      <w:pPr>
        <w:pStyle w:val="BodyTextNumbered"/>
      </w:pPr>
      <w:r>
        <w:t>(1)</w:t>
      </w:r>
      <w:r>
        <w:tab/>
        <w:t xml:space="preserve">If a QSE intends to terminate representation of a Resource </w:t>
      </w:r>
      <w:r w:rsidR="004E5204" w:rsidRPr="007B773F">
        <w:t>Entity that owns or controls a Resource</w:t>
      </w:r>
      <w:r w:rsidR="004E5204">
        <w:t xml:space="preserve"> that is in the ERCOT Network Operations Model </w:t>
      </w:r>
      <w:r>
        <w:t xml:space="preserve">(other than a Resource </w:t>
      </w:r>
      <w:r w:rsidR="004E5204">
        <w:t xml:space="preserve">Entity </w:t>
      </w:r>
      <w:r>
        <w:t xml:space="preserve">serving as its own QSE, in which case this Section does not apply), the QSE shall provide, no less than </w:t>
      </w:r>
      <w:r w:rsidR="004E5204">
        <w:t>45</w:t>
      </w:r>
      <w:r>
        <w:t xml:space="preserve"> </w:t>
      </w:r>
      <w:r w:rsidR="004E5204">
        <w:t>d</w:t>
      </w:r>
      <w:r>
        <w:t>ays before the specified effective termination date (“Termination Date”), written notice to ERCOT and the Resource.</w:t>
      </w:r>
    </w:p>
    <w:p w14:paraId="7C77C001" w14:textId="77777777" w:rsidR="004E5204" w:rsidRDefault="004E5204" w:rsidP="004E5204">
      <w:pPr>
        <w:pStyle w:val="BodyTextNumbered"/>
      </w:pPr>
      <w:r w:rsidRPr="005357A3">
        <w:t>(</w:t>
      </w:r>
      <w:r>
        <w:t>2</w:t>
      </w:r>
      <w:r w:rsidRPr="005357A3">
        <w:t>)</w:t>
      </w:r>
      <w:r w:rsidRPr="005357A3">
        <w:tab/>
        <w:t>If a QSE intends to terminate representation of a Load Serving Entity (LSE)</w:t>
      </w:r>
      <w:r>
        <w:t xml:space="preserve"> or a Resource </w:t>
      </w:r>
      <w:r w:rsidRPr="007B773F">
        <w:t xml:space="preserve">Entity that </w:t>
      </w:r>
      <w:r>
        <w:t xml:space="preserve">does not </w:t>
      </w:r>
      <w:r w:rsidRPr="007B773F">
        <w:t>own or control a Resource</w:t>
      </w:r>
      <w:r>
        <w:t xml:space="preserve"> that is in the ERCOT Network Operations Model </w:t>
      </w:r>
      <w:r w:rsidRPr="005357A3">
        <w:t xml:space="preserve">(other than an LSE </w:t>
      </w:r>
      <w:r>
        <w:t xml:space="preserve">or Resource Entity </w:t>
      </w:r>
      <w:r w:rsidRPr="005357A3">
        <w:t>serving as its own QSE</w:t>
      </w:r>
      <w:r>
        <w:t>,</w:t>
      </w:r>
      <w:r w:rsidRPr="005357A3">
        <w:t xml:space="preserve"> in which case this Section does not apply)</w:t>
      </w:r>
      <w:r>
        <w:t xml:space="preserve">, </w:t>
      </w:r>
      <w:r w:rsidRPr="005357A3">
        <w:t xml:space="preserve">the QSE shall provide, no less than 12 Business </w:t>
      </w:r>
      <w:r w:rsidRPr="005357A3">
        <w:lastRenderedPageBreak/>
        <w:t xml:space="preserve">Days before the specified effective </w:t>
      </w:r>
      <w:r>
        <w:t>T</w:t>
      </w:r>
      <w:r w:rsidRPr="005357A3">
        <w:t xml:space="preserve">ermination </w:t>
      </w:r>
      <w:r>
        <w:t>D</w:t>
      </w:r>
      <w:r w:rsidRPr="005357A3">
        <w:t>ate, written notice to ERCOT and the LSE</w:t>
      </w:r>
      <w:r>
        <w:t xml:space="preserve"> or Resource Entity</w:t>
      </w:r>
      <w:r w:rsidRPr="005357A3">
        <w:t>.</w:t>
      </w:r>
    </w:p>
    <w:p w14:paraId="7C938B0A" w14:textId="15442B8E" w:rsidR="00FC1C5F" w:rsidRDefault="00727E32">
      <w:pPr>
        <w:pStyle w:val="BodyTextNumbered"/>
      </w:pPr>
      <w:r>
        <w:t>(</w:t>
      </w:r>
      <w:r w:rsidR="004E5204">
        <w:t>3</w:t>
      </w:r>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1617F7">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434A07C0" w14:textId="77777777" w:rsidR="00FC1C5F" w:rsidRDefault="00727E32">
      <w:pPr>
        <w:pStyle w:val="List"/>
      </w:pPr>
      <w:r>
        <w:t>(a)</w:t>
      </w:r>
      <w:r>
        <w:tab/>
        <w:t xml:space="preserve">Affiliates itself with a new QSE, or </w:t>
      </w:r>
    </w:p>
    <w:p w14:paraId="0A183A2D" w14:textId="77777777" w:rsidR="00FC1C5F" w:rsidRDefault="00727E32">
      <w:pPr>
        <w:pStyle w:val="List"/>
      </w:pPr>
      <w:r>
        <w:t>(</w:t>
      </w:r>
      <w:r>
        <w:rPr>
          <w:iCs/>
        </w:rPr>
        <w:t>b</w:t>
      </w:r>
      <w:r>
        <w:t>)</w:t>
      </w:r>
      <w:r>
        <w:tab/>
        <w:t>Fulfills ERCOT’s creditworthiness requirements in order to become an Emergency QSE,</w:t>
      </w:r>
    </w:p>
    <w:p w14:paraId="5E7C99A0" w14:textId="77777777" w:rsidR="00FC1C5F" w:rsidRDefault="00727E32">
      <w:pPr>
        <w:pStyle w:val="BodyTextNumbered"/>
        <w:ind w:firstLine="0"/>
      </w:pPr>
      <w:r>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6D1E81B0" w14:textId="3FA9AC92" w:rsidR="00FC1C5F" w:rsidRDefault="00727E32">
      <w:pPr>
        <w:pStyle w:val="BodyTextNumbered"/>
      </w:pPr>
      <w:r>
        <w:t>(</w:t>
      </w:r>
      <w:r w:rsidR="004E5204">
        <w:t>4</w:t>
      </w:r>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466232BA" w14:textId="77777777" w:rsidR="00FC1C5F" w:rsidRDefault="00727E32">
      <w:pPr>
        <w:pStyle w:val="H3"/>
      </w:pPr>
      <w:bookmarkStart w:id="124" w:name="_Toc71369182"/>
      <w:bookmarkStart w:id="125" w:name="_Toc71539398"/>
      <w:bookmarkStart w:id="126" w:name="_Toc390438922"/>
      <w:bookmarkStart w:id="127" w:name="_Toc405897619"/>
      <w:bookmarkStart w:id="128" w:name="_Toc415055723"/>
      <w:bookmarkStart w:id="129" w:name="_Toc415055849"/>
      <w:bookmarkStart w:id="130" w:name="_Toc415055948"/>
      <w:bookmarkStart w:id="131" w:name="_Toc415056049"/>
      <w:bookmarkStart w:id="132" w:name="_Toc184622985"/>
      <w:r>
        <w:t>16.2.4</w:t>
      </w:r>
      <w:r>
        <w:tab/>
        <w:t>Posting of Qualified Scheduling Entity List</w:t>
      </w:r>
      <w:bookmarkEnd w:id="124"/>
      <w:bookmarkEnd w:id="125"/>
      <w:bookmarkEnd w:id="126"/>
      <w:bookmarkEnd w:id="127"/>
      <w:bookmarkEnd w:id="128"/>
      <w:bookmarkEnd w:id="129"/>
      <w:bookmarkEnd w:id="130"/>
      <w:bookmarkEnd w:id="131"/>
      <w:bookmarkEnd w:id="132"/>
    </w:p>
    <w:p w14:paraId="4040D1BA" w14:textId="6F49DA02" w:rsidR="00FC1C5F" w:rsidRDefault="00853D39" w:rsidP="009F10FE">
      <w:pPr>
        <w:pStyle w:val="BodyText"/>
        <w:ind w:left="720" w:hanging="720"/>
      </w:pPr>
      <w:r>
        <w:t>(1)</w:t>
      </w:r>
      <w:r>
        <w:tab/>
      </w:r>
      <w:r w:rsidR="00727E32">
        <w:t xml:space="preserve">ERCOT shall post on the </w:t>
      </w:r>
      <w:r w:rsidR="00F13002">
        <w:t>ERCOT website</w:t>
      </w:r>
      <w:r w:rsidR="00727E32">
        <w:t xml:space="preserve"> and maintain a current list of all QSEs.  ERCOT shall include with that posting a cautionary statement that inclusion on that list does not necessarily mean that a QSE is entitled to provide any service to a third party, nor does it obligate a QSE to provide any service to a third party.</w:t>
      </w:r>
    </w:p>
    <w:p w14:paraId="11BAA357" w14:textId="47F640C0" w:rsidR="00FC1C5F" w:rsidRDefault="00727E32">
      <w:pPr>
        <w:pStyle w:val="H3"/>
        <w:spacing w:after="120"/>
      </w:pPr>
      <w:bookmarkStart w:id="133" w:name="_Toc71369183"/>
      <w:bookmarkStart w:id="134" w:name="_Toc71539399"/>
      <w:bookmarkStart w:id="135" w:name="_Toc390438923"/>
      <w:bookmarkStart w:id="136" w:name="_Toc405897620"/>
      <w:bookmarkStart w:id="137" w:name="_Toc415055724"/>
      <w:bookmarkStart w:id="138" w:name="_Toc415055850"/>
      <w:bookmarkStart w:id="139" w:name="_Toc415055949"/>
      <w:bookmarkStart w:id="140" w:name="_Toc415056050"/>
      <w:bookmarkStart w:id="141" w:name="_Toc184622986"/>
      <w:r>
        <w:t>16.2.5</w:t>
      </w:r>
      <w:r>
        <w:tab/>
        <w:t xml:space="preserve">Suspended </w:t>
      </w:r>
      <w:r w:rsidR="00296FC2">
        <w:t xml:space="preserve">or Terminated </w:t>
      </w:r>
      <w:r>
        <w:t>Qualified Scheduling Entity</w:t>
      </w:r>
      <w:bookmarkEnd w:id="133"/>
      <w:bookmarkEnd w:id="134"/>
      <w:r>
        <w:t xml:space="preserve"> – Notification to LSEs and Resource Entities Represented</w:t>
      </w:r>
      <w:bookmarkEnd w:id="135"/>
      <w:bookmarkEnd w:id="136"/>
      <w:bookmarkEnd w:id="137"/>
      <w:bookmarkEnd w:id="138"/>
      <w:bookmarkEnd w:id="139"/>
      <w:bookmarkEnd w:id="140"/>
      <w:bookmarkEnd w:id="141"/>
    </w:p>
    <w:p w14:paraId="4019011E" w14:textId="4ADC9AEC" w:rsidR="00FC1C5F" w:rsidRDefault="00727E32">
      <w:pPr>
        <w:pStyle w:val="BodyText"/>
        <w:ind w:left="720" w:hanging="720"/>
      </w:pPr>
      <w:r>
        <w:t>(1)</w:t>
      </w:r>
      <w:r>
        <w:tab/>
        <w:t xml:space="preserve">If ERCOT suspends </w:t>
      </w:r>
      <w:r w:rsidR="00296FC2">
        <w:t>a</w:t>
      </w:r>
      <w:r>
        <w:t xml:space="preserve"> QSE or terminates the </w:t>
      </w:r>
      <w:r w:rsidR="00296FC2">
        <w:t xml:space="preserve">QSE’s </w:t>
      </w:r>
      <w:r>
        <w:t>Standard Form Market Participant Agreement</w:t>
      </w:r>
      <w:r w:rsidR="00296FC2">
        <w:t xml:space="preserve"> for Default</w:t>
      </w:r>
      <w:r>
        <w:t xml:space="preserve">, ERCOT shall notify the affected LSEs and Resource Entities that the QSE has been suspended </w:t>
      </w:r>
      <w:r w:rsidR="00296FC2">
        <w:t xml:space="preserve">or terminated </w:t>
      </w:r>
      <w:r>
        <w:t>and the effective date of such suspension</w:t>
      </w:r>
      <w:r w:rsidR="00296FC2">
        <w:t xml:space="preserve"> or termination</w:t>
      </w:r>
      <w:r>
        <w:t xml:space="preserve">.  </w:t>
      </w:r>
    </w:p>
    <w:p w14:paraId="1A4CC4CD" w14:textId="2D928B44" w:rsidR="00FC1C5F" w:rsidRDefault="00727E32">
      <w:pPr>
        <w:pStyle w:val="BodyText"/>
        <w:ind w:left="720" w:hanging="720"/>
      </w:pPr>
      <w:r>
        <w:t>(2)</w:t>
      </w:r>
      <w:r>
        <w:tab/>
        <w:t xml:space="preserve">If an LSE or Resource Entity represented by </w:t>
      </w:r>
      <w:r w:rsidR="00296FC2">
        <w:t>a terminated</w:t>
      </w:r>
      <w:r>
        <w:t xml:space="preserve"> or suspended QSE is the same Entity as the </w:t>
      </w:r>
      <w:r w:rsidR="00296FC2">
        <w:t>terminated</w:t>
      </w:r>
      <w:r>
        <w:t xml:space="preserve"> or suspended QSE, the provisions of Section 16.11.6.1.6, Revocation of a Market Participant’s Rights and Termination of Agreements, shall apply to that LSE or Resource Entity, and that LSE or Resource Entity shall not be entitled to become an Emergency QSE.</w:t>
      </w:r>
    </w:p>
    <w:p w14:paraId="0E26AB57" w14:textId="77777777" w:rsidR="00FC1C5F" w:rsidRDefault="00727E32">
      <w:pPr>
        <w:pStyle w:val="H3"/>
        <w:spacing w:after="120"/>
      </w:pPr>
      <w:bookmarkStart w:id="142" w:name="_Toc71369184"/>
      <w:bookmarkStart w:id="143" w:name="_Toc71539400"/>
      <w:bookmarkStart w:id="144" w:name="_Toc390438924"/>
      <w:bookmarkStart w:id="145" w:name="_Toc405897621"/>
      <w:bookmarkStart w:id="146" w:name="_Toc415055725"/>
      <w:bookmarkStart w:id="147" w:name="_Toc415055851"/>
      <w:bookmarkStart w:id="148" w:name="_Toc415055950"/>
      <w:bookmarkStart w:id="149" w:name="_Toc415056051"/>
      <w:bookmarkStart w:id="150" w:name="_Toc184622987"/>
      <w:r>
        <w:lastRenderedPageBreak/>
        <w:t>16.2.6</w:t>
      </w:r>
      <w:r>
        <w:tab/>
        <w:t>Emergency Qualified Scheduling Entity</w:t>
      </w:r>
      <w:bookmarkEnd w:id="142"/>
      <w:bookmarkEnd w:id="143"/>
      <w:bookmarkEnd w:id="144"/>
      <w:bookmarkEnd w:id="145"/>
      <w:bookmarkEnd w:id="146"/>
      <w:bookmarkEnd w:id="147"/>
      <w:bookmarkEnd w:id="148"/>
      <w:bookmarkEnd w:id="149"/>
      <w:bookmarkEnd w:id="150"/>
    </w:p>
    <w:p w14:paraId="7C87EB4A" w14:textId="77777777" w:rsidR="00FC1C5F" w:rsidRPr="00D63F95" w:rsidRDefault="00727E32">
      <w:pPr>
        <w:pStyle w:val="H4"/>
        <w:spacing w:after="120"/>
        <w:rPr>
          <w:b/>
        </w:rPr>
      </w:pPr>
      <w:bookmarkStart w:id="151" w:name="_Toc390438925"/>
      <w:bookmarkStart w:id="152" w:name="_Toc405897622"/>
      <w:bookmarkStart w:id="153" w:name="_Toc415055726"/>
      <w:bookmarkStart w:id="154" w:name="_Toc415055852"/>
      <w:bookmarkStart w:id="155" w:name="_Toc415055951"/>
      <w:bookmarkStart w:id="156" w:name="_Toc415056052"/>
      <w:bookmarkStart w:id="157" w:name="_Toc184622988"/>
      <w:r w:rsidRPr="00D63F95">
        <w:rPr>
          <w:b/>
        </w:rPr>
        <w:t>16.2.6.1</w:t>
      </w:r>
      <w:r w:rsidRPr="00D63F95">
        <w:rPr>
          <w:b/>
        </w:rPr>
        <w:tab/>
        <w:t>Designation as an Emergency Qualified Scheduling Entity or Virtual Qualified Scheduling Entity</w:t>
      </w:r>
      <w:bookmarkEnd w:id="151"/>
      <w:bookmarkEnd w:id="152"/>
      <w:bookmarkEnd w:id="153"/>
      <w:bookmarkEnd w:id="154"/>
      <w:bookmarkEnd w:id="155"/>
      <w:bookmarkEnd w:id="156"/>
      <w:bookmarkEnd w:id="157"/>
    </w:p>
    <w:p w14:paraId="055A690D" w14:textId="0B59EECB" w:rsidR="00FC1C5F" w:rsidRDefault="00727E32">
      <w:pPr>
        <w:pStyle w:val="BodyText"/>
        <w:ind w:left="720" w:hanging="720"/>
      </w:pPr>
      <w:r>
        <w:t>(1)</w:t>
      </w:r>
      <w:r>
        <w:tab/>
        <w:t xml:space="preserve">A “Virtual QSE” is defined as an LSE or Resource Entity </w:t>
      </w:r>
      <w:r w:rsidR="00296FC2">
        <w:t>that has not qualified and been designated as an Emergency QSE, but has been designated by ERCOT to temporarily perform the responsibilities of a QSE</w:t>
      </w:r>
      <w:r>
        <w:t xml:space="preserve">. </w:t>
      </w:r>
    </w:p>
    <w:p w14:paraId="787CD23D" w14:textId="4013116A" w:rsidR="00FC1C5F" w:rsidRDefault="00727E32">
      <w:pPr>
        <w:pStyle w:val="BodyText"/>
        <w:ind w:left="720" w:hanging="720"/>
      </w:pPr>
      <w:r>
        <w:t>(2)</w:t>
      </w:r>
      <w:r>
        <w:tab/>
        <w:t>If a QSE has given Notice of its intent to terminate its relationship with an LSE or Resource Entity, that LSE or Resource Entity, must, by noon on the fourth Business Day after the termination notice date, either</w:t>
      </w:r>
      <w:r w:rsidR="00296FC2">
        <w:t>:</w:t>
      </w:r>
    </w:p>
    <w:p w14:paraId="679A690A" w14:textId="77777777" w:rsidR="00FC1C5F" w:rsidRDefault="00727E32">
      <w:pPr>
        <w:pStyle w:val="BodyTextNumbered"/>
        <w:ind w:left="1440"/>
      </w:pPr>
      <w:r>
        <w:t xml:space="preserve">(a) </w:t>
      </w:r>
      <w:r>
        <w:tab/>
        <w:t>Designate a new QSE with such relationship to take effect on the Termination Date, or earlier if allowed by ERCOT; or</w:t>
      </w:r>
    </w:p>
    <w:p w14:paraId="29BCA0A4" w14:textId="0A803EA3" w:rsidR="00FC1C5F" w:rsidRDefault="00727E32">
      <w:pPr>
        <w:pStyle w:val="BodyTextNumbered"/>
        <w:ind w:left="1440"/>
      </w:pPr>
      <w:r>
        <w:t xml:space="preserve">(b) </w:t>
      </w:r>
      <w:r>
        <w:tab/>
        <w:t>Satisfy all necessary creditworthiness requirements for QSEs as described in Section 16.2, Registration and Qualification of Qualified Scheduling Entities</w:t>
      </w:r>
      <w:r w:rsidR="00296FC2">
        <w:t>, and operate as an Emergency QSE as described below</w:t>
      </w:r>
      <w:r>
        <w:t xml:space="preserve">.  </w:t>
      </w:r>
    </w:p>
    <w:p w14:paraId="446B7EA8" w14:textId="29422152" w:rsidR="00FC1C5F" w:rsidRDefault="00727E32">
      <w:pPr>
        <w:pStyle w:val="List2"/>
        <w:ind w:left="720"/>
      </w:pPr>
      <w:r>
        <w:t>(3)</w:t>
      </w:r>
      <w:r>
        <w:tab/>
        <w:t xml:space="preserve">If ERCOT has given Notice of an LSE’s or Resource Entity’s QSE’s </w:t>
      </w:r>
      <w:r w:rsidR="00296FC2">
        <w:t xml:space="preserve">termination or </w:t>
      </w:r>
      <w:r>
        <w:t>suspension, that LSE or Resource Entity will be designated as a Virtual QSE for up to two Bank Business Days, during which time it must either</w:t>
      </w:r>
      <w:r w:rsidR="00296FC2">
        <w:t>:</w:t>
      </w:r>
      <w:r>
        <w:t xml:space="preserve"> </w:t>
      </w:r>
    </w:p>
    <w:p w14:paraId="6AE6CD05" w14:textId="77777777" w:rsidR="00FC1C5F" w:rsidRDefault="00727E32">
      <w:pPr>
        <w:pStyle w:val="List2"/>
        <w:ind w:left="0" w:firstLine="0"/>
      </w:pPr>
      <w:r>
        <w:tab/>
        <w:t xml:space="preserve">(a) </w:t>
      </w:r>
      <w:r>
        <w:tab/>
        <w:t>Designate and begin operations with a new QSE; or</w:t>
      </w:r>
    </w:p>
    <w:p w14:paraId="3354186D" w14:textId="767712F9" w:rsidR="00FC1C5F" w:rsidRDefault="00727E32">
      <w:pPr>
        <w:pStyle w:val="BodyTextNumbered"/>
        <w:ind w:left="1440"/>
      </w:pPr>
      <w:r>
        <w:t xml:space="preserve">(b) </w:t>
      </w:r>
      <w:r>
        <w:tab/>
        <w:t>Satisfy all necessary creditworthiness requirements for QSEs as described in Section 16.2, and operate as an Emergency QSE as described below.</w:t>
      </w:r>
      <w:r w:rsidR="00296FC2" w:rsidRPr="00296FC2">
        <w:t xml:space="preserve"> </w:t>
      </w:r>
      <w:r w:rsidR="00296FC2">
        <w:t xml:space="preserve"> As provided in paragraph (2) of Section 16.2.5, Suspended or Terminated</w:t>
      </w:r>
      <w:r w:rsidR="00296FC2" w:rsidRPr="00220D12">
        <w:t xml:space="preserve"> Qualified Scheduling Entity – Notification to LSEs and Resource Entities Represented</w:t>
      </w:r>
      <w:r w:rsidR="00296FC2">
        <w:t>, this option does not apply to an LSE or Resource Entity represented by a terminated or suspended QSE that is the same Entity as the terminated or suspended QSE.</w:t>
      </w:r>
    </w:p>
    <w:p w14:paraId="3C39DEBF" w14:textId="05AC6A83" w:rsidR="00FC1C5F" w:rsidRDefault="00727E32">
      <w:pPr>
        <w:pStyle w:val="BodyTextNumbered"/>
      </w:pPr>
      <w:r>
        <w:t>(4)</w:t>
      </w:r>
      <w:r>
        <w:tab/>
        <w:t xml:space="preserve">If an LSE or Resource Entity meets the creditworthiness requirements, the LSE or Resource Entity may be designated as an Emergency QSE </w:t>
      </w:r>
      <w:r w:rsidR="00296FC2">
        <w:t xml:space="preserve">except as provided in paragraph (2) of Section 16.2.5 </w:t>
      </w:r>
      <w:r>
        <w:t xml:space="preserve">and may, upon the Termination Date, be issued </w:t>
      </w:r>
      <w:r w:rsidR="00296FC2">
        <w:t>D</w:t>
      </w:r>
      <w:r>
        <w:t xml:space="preserve">igital </w:t>
      </w:r>
      <w:r w:rsidR="00296FC2">
        <w:t>C</w:t>
      </w:r>
      <w:r>
        <w:t xml:space="preserve">ertificates and given access to the </w:t>
      </w:r>
      <w:r w:rsidR="00F13002">
        <w:t>Market Information System (</w:t>
      </w:r>
      <w:r>
        <w:t>MIS</w:t>
      </w:r>
      <w:r w:rsidR="00F13002">
        <w:t>)</w:t>
      </w:r>
      <w:r>
        <w:t xml:space="preserve"> as determined by ERCOT.</w:t>
      </w:r>
    </w:p>
    <w:p w14:paraId="1323145D" w14:textId="376650D4" w:rsidR="00FC1C5F" w:rsidRDefault="00727E32" w:rsidP="00FC1E00">
      <w:pPr>
        <w:pStyle w:val="BodyTextNumbered"/>
      </w:pPr>
      <w:r>
        <w:t>(5)</w:t>
      </w:r>
      <w:r>
        <w:tab/>
        <w:t xml:space="preserve">If the LSE fails to meet the requirements of one of the above options in the timeframe set forth above, </w:t>
      </w:r>
      <w:r w:rsidR="00296FC2">
        <w:t xml:space="preserve">it shall constitute a QSE Affiliation Breach under the LSE’s Standard Form Market Participant Agreement.  If the LSE fails to cure the QSE Affiliation Breach within the cure period set forth in the Standard Form Market Participant Agreement, and the LSE serves Load, </w:t>
      </w:r>
      <w:r>
        <w:t xml:space="preserve">ERCOT shall, after notice </w:t>
      </w:r>
      <w:r w:rsidR="00562B70">
        <w:t>as specified in Retail Market Guide Section 7.11, Transition Process</w:t>
      </w:r>
      <w:r>
        <w:t>, initiate</w:t>
      </w:r>
      <w:r w:rsidR="00CD1D2D">
        <w:t xml:space="preserve"> a Mass Transition of the LSE’s Electronic Service Identifiers (</w:t>
      </w:r>
      <w:r>
        <w:t>ESI IDs</w:t>
      </w:r>
      <w:r w:rsidR="00CD1D2D">
        <w:t>)</w:t>
      </w:r>
      <w:r>
        <w:t xml:space="preserve"> pursuant to Section 15.1.</w:t>
      </w:r>
      <w:r w:rsidR="00FC1E00">
        <w:t>3</w:t>
      </w:r>
      <w:r>
        <w:t xml:space="preserve">, </w:t>
      </w:r>
      <w:r w:rsidR="00CD1D2D">
        <w:t>Transition Process</w:t>
      </w:r>
      <w:r>
        <w:t>.</w:t>
      </w:r>
    </w:p>
    <w:p w14:paraId="43D0F87F" w14:textId="22F90D4F" w:rsidR="00FC1C5F" w:rsidRDefault="00727E32">
      <w:pPr>
        <w:pStyle w:val="BodyTextNumbered"/>
      </w:pPr>
      <w:r>
        <w:lastRenderedPageBreak/>
        <w:t>(6)</w:t>
      </w:r>
      <w:r>
        <w:tab/>
        <w:t>If a Resource Entity fails to meet the requirements of one of the options set forth in paragraph (</w:t>
      </w:r>
      <w:r w:rsidR="00296FC2">
        <w:t>2</w:t>
      </w:r>
      <w:r>
        <w:t>) or (</w:t>
      </w:r>
      <w:r w:rsidR="00296FC2">
        <w:t>3</w:t>
      </w:r>
      <w:r>
        <w:t xml:space="preserve">) above within the requisite timeframe, </w:t>
      </w:r>
      <w:r w:rsidR="00296FC2">
        <w:t xml:space="preserve">it shall constitute a QSE Affiliation Breach under the Resource Entity’s Standard Form Market Participant Agreement, provided that </w:t>
      </w:r>
      <w:r>
        <w:t>ERCOT may allow the Resource Entity additional time, as determined by ERCOT staff, to meet the requirements.</w:t>
      </w:r>
    </w:p>
    <w:p w14:paraId="42D9E944" w14:textId="234F70F7" w:rsidR="00FC1C5F" w:rsidRDefault="00727E32">
      <w:pPr>
        <w:pStyle w:val="BodyTextNumbered"/>
      </w:pPr>
      <w:r>
        <w:t>(7)</w:t>
      </w:r>
      <w:r>
        <w:tab/>
        <w:t xml:space="preserve">For any Operating Day in which an LSE or Resource Entity is not either represented by a QSE or qualified as an Emergency QSE, ERCOT may designate the LSE or Resource Entity as a Virtual QSE. </w:t>
      </w:r>
      <w:r w:rsidR="00826ED4">
        <w:t xml:space="preserve"> </w:t>
      </w:r>
      <w:r>
        <w:t xml:space="preserve">ERCOT may issue </w:t>
      </w:r>
      <w:r w:rsidR="00296FC2">
        <w:t>D</w:t>
      </w:r>
      <w:r>
        <w:t xml:space="preserve">igital </w:t>
      </w:r>
      <w:r w:rsidR="00296FC2">
        <w:t>C</w:t>
      </w:r>
      <w:r>
        <w:t>ertificates to the Virtual QSE for access to the capabilities of the MIS.  A Virtual QSE shall be liable for any and all charges associated with Initial, Final and True-Up Settlements as well as any Resettlements applying to dates during which the Virtual QSE represented ESI IDs or otherwise incurred charges pursuant to these Protocols, along with any and all costs incurred by ERCOT in collecting such amounts.</w:t>
      </w:r>
    </w:p>
    <w:p w14:paraId="3CD6BA55" w14:textId="7F3D5F88" w:rsidR="00FC1C5F" w:rsidRDefault="00727E32">
      <w:pPr>
        <w:pStyle w:val="BodyTextNumbered"/>
      </w:pPr>
      <w:r>
        <w:t>(8)</w:t>
      </w:r>
      <w:r>
        <w:tab/>
        <w:t xml:space="preserve">ERCOT shall maintain a referral list of qualified QSEs on the </w:t>
      </w:r>
      <w:r w:rsidR="00F13002">
        <w:t>ERCOT website</w:t>
      </w:r>
      <w:r>
        <w:t xml:space="preserve"> who request to be listed as providing QSE services on short notice. </w:t>
      </w:r>
      <w:r w:rsidR="00296FC2">
        <w:t xml:space="preserve"> </w:t>
      </w:r>
      <w:r>
        <w:t xml:space="preserve">The list shall include the QSE’s name, contact information and whether they are qualified to represent Load and/or Resources and/or provide Ancillary Services. </w:t>
      </w:r>
      <w:r w:rsidR="00296FC2">
        <w:t xml:space="preserve"> </w:t>
      </w:r>
      <w:r>
        <w:t>ERCOT shall not be obligated to verify the abilities of any QSE so listed.  ERCOT shall require all QSEs listed to confirm their inclusion on the referral list no later than the start of each calendar year.</w:t>
      </w:r>
    </w:p>
    <w:p w14:paraId="14B7268C" w14:textId="77777777" w:rsidR="00FC1C5F" w:rsidRPr="00D63F95" w:rsidRDefault="00727E32">
      <w:pPr>
        <w:pStyle w:val="H4"/>
        <w:rPr>
          <w:b/>
        </w:rPr>
      </w:pPr>
      <w:bookmarkStart w:id="158" w:name="_Toc390438926"/>
      <w:bookmarkStart w:id="159" w:name="_Toc405897623"/>
      <w:bookmarkStart w:id="160" w:name="_Toc415055727"/>
      <w:bookmarkStart w:id="161" w:name="_Toc415055853"/>
      <w:bookmarkStart w:id="162" w:name="_Toc415055952"/>
      <w:bookmarkStart w:id="163" w:name="_Toc415056053"/>
      <w:bookmarkStart w:id="164" w:name="_Toc184622989"/>
      <w:r w:rsidRPr="00D63F95">
        <w:rPr>
          <w:b/>
        </w:rPr>
        <w:t>16.2.6.2</w:t>
      </w:r>
      <w:r w:rsidRPr="00D63F95">
        <w:rPr>
          <w:b/>
        </w:rPr>
        <w:tab/>
        <w:t>Market Participation by an Emergency Qualified Scheduling Entity or a Virtual Qualified Scheduling Entity</w:t>
      </w:r>
      <w:bookmarkEnd w:id="158"/>
      <w:bookmarkEnd w:id="159"/>
      <w:bookmarkEnd w:id="160"/>
      <w:bookmarkEnd w:id="161"/>
      <w:bookmarkEnd w:id="162"/>
      <w:bookmarkEnd w:id="163"/>
      <w:bookmarkEnd w:id="164"/>
    </w:p>
    <w:p w14:paraId="7221E977" w14:textId="77777777" w:rsidR="00296FC2" w:rsidRDefault="00727E32">
      <w:pPr>
        <w:pStyle w:val="BodyTextNumbered"/>
      </w:pPr>
      <w:r>
        <w:t>(1)</w:t>
      </w:r>
      <w:r>
        <w:tab/>
        <w:t>An Emergency QSE or a Virtual QSE may only represent itself</w:t>
      </w:r>
      <w:r w:rsidR="00296FC2">
        <w:t>; it may not represent another legal Entity.</w:t>
      </w:r>
      <w:r>
        <w:t xml:space="preserve"> </w:t>
      </w:r>
    </w:p>
    <w:p w14:paraId="514E9044" w14:textId="39AD6A81" w:rsidR="00FC1C5F" w:rsidRDefault="00296FC2">
      <w:pPr>
        <w:pStyle w:val="BodyTextNumbered"/>
      </w:pPr>
      <w:r>
        <w:t>(2)</w:t>
      </w:r>
      <w:r>
        <w:tab/>
        <w:t>An Emergency QSE or a Virtual QSE that is also an LSE</w:t>
      </w:r>
      <w:r w:rsidR="00727E32">
        <w:t xml:space="preserve"> may only submit</w:t>
      </w:r>
      <w:r w:rsidRPr="00296FC2">
        <w:t xml:space="preserve"> </w:t>
      </w:r>
      <w:r>
        <w:t>the following transactions, and may do so only to the extent that the transactions are intended to serve the Load of the Emergency QSE’s or Virtual QSE’s Customers</w:t>
      </w:r>
      <w:r w:rsidR="00727E32">
        <w:t xml:space="preserve">: </w:t>
      </w:r>
    </w:p>
    <w:p w14:paraId="4E015E83" w14:textId="77777777" w:rsidR="00FC1C5F" w:rsidRDefault="00727E32">
      <w:pPr>
        <w:pStyle w:val="List"/>
      </w:pPr>
      <w:r>
        <w:t>(a)</w:t>
      </w:r>
      <w:r>
        <w:tab/>
        <w:t>Energy Trades in which the Emergency QSE or the Virtual QSE is the buyer;</w:t>
      </w:r>
    </w:p>
    <w:p w14:paraId="2593B151" w14:textId="77777777" w:rsidR="00FC1C5F" w:rsidRDefault="00727E32">
      <w:pPr>
        <w:pStyle w:val="List"/>
      </w:pPr>
      <w:r>
        <w:t>(b)</w:t>
      </w:r>
      <w:r>
        <w:tab/>
        <w:t>Capacity Trades in which the Emergency QSE or the Virtual QSE is the buyer;</w:t>
      </w:r>
    </w:p>
    <w:p w14:paraId="2E062F38" w14:textId="77777777" w:rsidR="00FC1C5F" w:rsidRDefault="00727E32">
      <w:pPr>
        <w:pStyle w:val="List"/>
      </w:pPr>
      <w:r>
        <w:t>(c)</w:t>
      </w:r>
      <w:r>
        <w:tab/>
        <w:t>Ancillary Service Trades in which the Emergency QSE or the Virtual QSE is the buyer; and</w:t>
      </w:r>
    </w:p>
    <w:p w14:paraId="3E4E3310" w14:textId="21D1E9AE" w:rsidR="00FC1C5F" w:rsidRDefault="00727E32" w:rsidP="00520F89">
      <w:pPr>
        <w:pStyle w:val="List"/>
        <w:ind w:left="0" w:firstLine="720"/>
      </w:pPr>
      <w:r>
        <w:t>(</w:t>
      </w:r>
      <w:r w:rsidR="00296FC2">
        <w:t>d</w:t>
      </w:r>
      <w:r>
        <w:t>)</w:t>
      </w:r>
      <w:r>
        <w:tab/>
        <w:t xml:space="preserve">DAM Energy Bids. </w:t>
      </w:r>
    </w:p>
    <w:p w14:paraId="5909BDBC" w14:textId="1634B85F" w:rsidR="00FC1C5F" w:rsidRDefault="00727E32">
      <w:pPr>
        <w:pStyle w:val="BodyTextNumbered"/>
      </w:pPr>
      <w:r>
        <w:t>(3)</w:t>
      </w:r>
      <w:r>
        <w:tab/>
        <w:t xml:space="preserve">An Emergency QSE or a Virtual QSE </w:t>
      </w:r>
      <w:r w:rsidR="00296FC2">
        <w:t>that is also</w:t>
      </w:r>
      <w:r>
        <w:t xml:space="preserve"> a Resource Entity may </w:t>
      </w:r>
      <w:r w:rsidR="00296FC2">
        <w:t xml:space="preserve">only </w:t>
      </w:r>
      <w:r>
        <w:t xml:space="preserve">submit transactions </w:t>
      </w:r>
      <w:r w:rsidR="00296FC2">
        <w:t>that</w:t>
      </w:r>
      <w:r>
        <w:t xml:space="preserve"> are </w:t>
      </w:r>
      <w:r w:rsidR="00296FC2">
        <w:t xml:space="preserve">directly attributable to and </w:t>
      </w:r>
      <w:r>
        <w:t>wholly provided by the Resource Entity’s Resource(s).</w:t>
      </w:r>
    </w:p>
    <w:p w14:paraId="65C0B5BA" w14:textId="77777777" w:rsidR="00FC1C5F" w:rsidRPr="00D63F95" w:rsidRDefault="00727E32">
      <w:pPr>
        <w:pStyle w:val="H4"/>
        <w:rPr>
          <w:b/>
        </w:rPr>
      </w:pPr>
      <w:bookmarkStart w:id="165" w:name="_Toc390438927"/>
      <w:bookmarkStart w:id="166" w:name="_Toc405897624"/>
      <w:bookmarkStart w:id="167" w:name="_Toc415055728"/>
      <w:bookmarkStart w:id="168" w:name="_Toc415055854"/>
      <w:bookmarkStart w:id="169" w:name="_Toc415055953"/>
      <w:bookmarkStart w:id="170" w:name="_Toc415056054"/>
      <w:bookmarkStart w:id="171" w:name="_Toc184622990"/>
      <w:r w:rsidRPr="00D63F95">
        <w:rPr>
          <w:b/>
        </w:rPr>
        <w:t>16.2.6.3</w:t>
      </w:r>
      <w:r w:rsidRPr="00D63F95">
        <w:rPr>
          <w:b/>
        </w:rPr>
        <w:tab/>
        <w:t xml:space="preserve">Requirement to Obtain New Qualified Scheduling Entity or Qualified </w:t>
      </w:r>
      <w:r w:rsidRPr="00D63F95">
        <w:rPr>
          <w:b/>
        </w:rPr>
        <w:lastRenderedPageBreak/>
        <w:t>Scheduling Entity Qualification</w:t>
      </w:r>
      <w:bookmarkEnd w:id="165"/>
      <w:bookmarkEnd w:id="166"/>
      <w:bookmarkEnd w:id="167"/>
      <w:bookmarkEnd w:id="168"/>
      <w:bookmarkEnd w:id="169"/>
      <w:bookmarkEnd w:id="170"/>
      <w:bookmarkEnd w:id="171"/>
    </w:p>
    <w:p w14:paraId="2D089802" w14:textId="77777777" w:rsidR="00FC1C5F" w:rsidRDefault="00727E32">
      <w:pPr>
        <w:pStyle w:val="BodyText"/>
        <w:ind w:left="720" w:hanging="720"/>
      </w:pPr>
      <w:r>
        <w:t>(1)</w:t>
      </w:r>
      <w:r>
        <w:tab/>
        <w:t xml:space="preserve">Within seven Business Days after receiving designation as an Emergency QSE, an Emergency QSE must either: </w:t>
      </w:r>
    </w:p>
    <w:p w14:paraId="3DBC4CBC" w14:textId="77777777" w:rsidR="00FC1C5F" w:rsidRDefault="00727E32">
      <w:pPr>
        <w:pStyle w:val="BodyText"/>
        <w:ind w:left="1440" w:hanging="720"/>
      </w:pPr>
      <w:r>
        <w:t>(a)</w:t>
      </w:r>
      <w:r>
        <w:tab/>
        <w:t>Designate a QSE that will represent the LSE or Resource Entity to ERCOT</w:t>
      </w:r>
      <w:r w:rsidR="00CD1D2D">
        <w:t>;</w:t>
      </w:r>
      <w:r>
        <w:t xml:space="preserve"> or </w:t>
      </w:r>
    </w:p>
    <w:p w14:paraId="7BD89120" w14:textId="77777777" w:rsidR="00FC1C5F" w:rsidRDefault="00727E32">
      <w:pPr>
        <w:pStyle w:val="BodyText"/>
        <w:ind w:left="1440" w:hanging="720"/>
      </w:pPr>
      <w:r>
        <w:t>(b)</w:t>
      </w:r>
      <w:r>
        <w:tab/>
        <w:t xml:space="preserve">Fulfill all QSE registration and qualification requirements.  After completing the requirements in item (b), ERCOT may redesignate the Emergency QSE as a QSE.  </w:t>
      </w:r>
    </w:p>
    <w:p w14:paraId="3E4467BE" w14:textId="77777777" w:rsidR="00FC1C5F" w:rsidRDefault="00727E32">
      <w:pPr>
        <w:pStyle w:val="BodyText"/>
        <w:ind w:left="720" w:hanging="720"/>
      </w:pPr>
      <w:r>
        <w:t>(2)</w:t>
      </w:r>
      <w:r>
        <w:tab/>
        <w:t xml:space="preserve">If an Emergency QSE that is an LSE fails to meet at least one of the requirements listed above within the allotted time, then ERCOT shall, after notice </w:t>
      </w:r>
      <w:r w:rsidR="00562B70">
        <w:t>as specified in Retail Market Guide Section 7.11</w:t>
      </w:r>
      <w:r w:rsidR="00CD1D2D">
        <w:t>, Transition Process</w:t>
      </w:r>
      <w:r>
        <w:t>, initiate a Mass Transition of the LSE’s ESI IDs pursuant to Section 15.1.</w:t>
      </w:r>
      <w:r w:rsidR="00FC1E00">
        <w:t>3</w:t>
      </w:r>
      <w:r>
        <w:t xml:space="preserve">, </w:t>
      </w:r>
      <w:r w:rsidR="00CD1D2D">
        <w:t>Transition Process</w:t>
      </w:r>
      <w:r>
        <w:t>.  If an Emergency QSE that is a Resource Entity fails to meet at least one of the requirements listed above within the allotted time, ERCOT may allow the Resource Entity additional time, as determined by ERCOT staff, to meet the requirements.</w:t>
      </w:r>
      <w:r>
        <w:rPr>
          <w:i/>
        </w:rPr>
        <w:t xml:space="preserve"> </w:t>
      </w:r>
    </w:p>
    <w:p w14:paraId="614CCC3F" w14:textId="77777777" w:rsidR="00FC1C5F" w:rsidRDefault="00727E32">
      <w:pPr>
        <w:pStyle w:val="Heading3"/>
        <w:numPr>
          <w:ilvl w:val="0"/>
          <w:numId w:val="0"/>
        </w:numPr>
      </w:pPr>
      <w:bookmarkStart w:id="172" w:name="_Toc390438928"/>
      <w:bookmarkStart w:id="173" w:name="_Toc405897625"/>
      <w:bookmarkStart w:id="174" w:name="_Toc415055729"/>
      <w:bookmarkStart w:id="175" w:name="_Toc415055855"/>
      <w:bookmarkStart w:id="176" w:name="_Toc415055954"/>
      <w:bookmarkStart w:id="177" w:name="_Toc415056055"/>
      <w:bookmarkStart w:id="178" w:name="_Toc184622991"/>
      <w:bookmarkStart w:id="179" w:name="_Toc71369185"/>
      <w:bookmarkStart w:id="180" w:name="_Toc71539401"/>
      <w:r>
        <w:t>16.2.7</w:t>
      </w:r>
      <w:r>
        <w:tab/>
        <w:t>Acceleration</w:t>
      </w:r>
      <w:bookmarkEnd w:id="172"/>
      <w:bookmarkEnd w:id="173"/>
      <w:bookmarkEnd w:id="174"/>
      <w:bookmarkEnd w:id="175"/>
      <w:bookmarkEnd w:id="176"/>
      <w:bookmarkEnd w:id="177"/>
      <w:bookmarkEnd w:id="178"/>
    </w:p>
    <w:p w14:paraId="5A448020" w14:textId="77777777" w:rsidR="00FC1C5F" w:rsidRDefault="00853D39" w:rsidP="009F10FE">
      <w:pPr>
        <w:pStyle w:val="BodyText"/>
        <w:ind w:left="720" w:hanging="720"/>
      </w:pPr>
      <w:r>
        <w:t>(1)</w:t>
      </w:r>
      <w:r>
        <w:tab/>
      </w:r>
      <w:r w:rsidR="00727E32">
        <w:t>Upon termination of a QSE’s rights as a QSE and the Standard Form Market Participant Agreement or any other Agreement(s) between ERCOT and the QSE, all sums owed to ERCOT are immediately accelerated and are immediately due and owing in full.  At that time, ERCOT may immediately draw upon any security or other collateral pledged to ERCOT and may offset or recoup all amounts due to ERCOT to satisfy those due and owing amounts.</w:t>
      </w:r>
    </w:p>
    <w:p w14:paraId="10F43367" w14:textId="77777777" w:rsidR="00FC1C5F" w:rsidRDefault="00727E32">
      <w:pPr>
        <w:pStyle w:val="H2"/>
      </w:pPr>
      <w:bookmarkStart w:id="181" w:name="_Toc390438929"/>
      <w:bookmarkStart w:id="182" w:name="_Toc405897626"/>
      <w:bookmarkStart w:id="183" w:name="_Toc415055730"/>
      <w:bookmarkStart w:id="184" w:name="_Toc415055856"/>
      <w:bookmarkStart w:id="185" w:name="_Toc415055955"/>
      <w:bookmarkStart w:id="186" w:name="_Toc415056056"/>
      <w:bookmarkStart w:id="187" w:name="_Toc184622992"/>
      <w:r>
        <w:t>16.3</w:t>
      </w:r>
      <w:r>
        <w:tab/>
        <w:t>Registration of Load Serving Entities</w:t>
      </w:r>
      <w:bookmarkEnd w:id="179"/>
      <w:bookmarkEnd w:id="180"/>
      <w:bookmarkEnd w:id="181"/>
      <w:bookmarkEnd w:id="182"/>
      <w:bookmarkEnd w:id="183"/>
      <w:bookmarkEnd w:id="184"/>
      <w:bookmarkEnd w:id="185"/>
      <w:bookmarkEnd w:id="186"/>
      <w:bookmarkEnd w:id="187"/>
    </w:p>
    <w:p w14:paraId="0364BFDA" w14:textId="77777777" w:rsidR="00FC1C5F" w:rsidRDefault="00727E32">
      <w:pPr>
        <w:pStyle w:val="BodyTextNumbered"/>
      </w:pPr>
      <w:r>
        <w:t>(1)</w:t>
      </w:r>
      <w:r>
        <w:tab/>
        <w:t>Load Serving Entities (LSEs) provide electric service to Customers and Wholesale Customers.  LSEs include Non-Opt</w:t>
      </w:r>
      <w:r w:rsidR="00C0339E">
        <w:t>-</w:t>
      </w:r>
      <w:r>
        <w:t>In Entities (NOIEs) that serve Load</w:t>
      </w:r>
      <w:r w:rsidR="008932A4">
        <w:t xml:space="preserve">, </w:t>
      </w:r>
      <w:r>
        <w:t>Competitive Retailers (CRs) (which includes Retail Electric Providers (REPs))</w:t>
      </w:r>
      <w:r w:rsidR="008932A4">
        <w:t>, and External Load Serving Entities (ELSEs)</w:t>
      </w:r>
      <w:r>
        <w:t>.  Each LSE must register with ERCOT.  To become registered as an LSE, an Entity must execute a Standard Form Market Participant Agreement (using the form in Section 22</w:t>
      </w:r>
      <w:r w:rsidR="007349BB">
        <w:t>, Attachment A, Standard Form Market Participant Agreement</w:t>
      </w:r>
      <w:r>
        <w:t>), designate LSE Authorized Representatives, contacts, and a User Security Administrator</w:t>
      </w:r>
      <w:r w:rsidR="007349BB">
        <w:t xml:space="preserve"> (USA)</w:t>
      </w:r>
      <w:r>
        <w:t xml:space="preserve"> (per </w:t>
      </w:r>
      <w:r w:rsidR="00B35DA1" w:rsidRPr="00B35DA1">
        <w:t>Section 23, Form B, Load Serving Entity (LSE) Application for Registration</w:t>
      </w:r>
      <w:r>
        <w:t xml:space="preserve">), and demonstrate to ERCOT’s reasonable satisfaction that it is capable of performing the functions of an LSE under these Protocols.   Additionally, a </w:t>
      </w:r>
      <w:smartTag w:uri="urn:schemas-microsoft-com:office:smarttags" w:element="stockticker">
        <w:r>
          <w:t>REP</w:t>
        </w:r>
      </w:smartTag>
      <w:r>
        <w:t xml:space="preserve"> must demonstrate certification by </w:t>
      </w:r>
      <w:r>
        <w:rPr>
          <w:smallCaps/>
          <w:szCs w:val="24"/>
        </w:rPr>
        <w:t>P.U.C. Subst. R</w:t>
      </w:r>
      <w:r>
        <w:t>. 25.107, Certification of Retail Electric Providers (REPs), and comply with the remaining requirements of this Section.</w:t>
      </w:r>
    </w:p>
    <w:p w14:paraId="4B20C1F8" w14:textId="77777777" w:rsidR="00FC1C5F" w:rsidRDefault="00727E32">
      <w:pPr>
        <w:pStyle w:val="BodyTextNumbered"/>
      </w:pPr>
      <w:r>
        <w:t xml:space="preserve">(2) </w:t>
      </w:r>
      <w:r>
        <w:tab/>
        <w:t>All CRs must participate in and successfully complete testing as described in Section</w:t>
      </w:r>
      <w:r w:rsidR="008932A4">
        <w:t xml:space="preserve"> </w:t>
      </w:r>
      <w:r w:rsidR="007349BB">
        <w:t xml:space="preserve">19.8, </w:t>
      </w:r>
      <w:r>
        <w:t>Retail Market Testing, prior to commencing operations with ERCOT.</w:t>
      </w:r>
    </w:p>
    <w:p w14:paraId="42BE34A4" w14:textId="77777777" w:rsidR="00FC1C5F" w:rsidRDefault="00727E32">
      <w:pPr>
        <w:pStyle w:val="BodyTextNumbered"/>
      </w:pPr>
      <w:r>
        <w:lastRenderedPageBreak/>
        <w:t>(3)</w:t>
      </w:r>
      <w:r>
        <w:tab/>
        <w:t xml:space="preserve">ERCOT may require that the Entity satisfactorily complete testing of interfaces between the Entity’s systems and relevant ERCOT systems.  </w:t>
      </w:r>
    </w:p>
    <w:p w14:paraId="15F6407C" w14:textId="72E7B712" w:rsidR="008932A4" w:rsidRPr="00E55B86" w:rsidRDefault="008932A4" w:rsidP="008932A4">
      <w:pPr>
        <w:spacing w:after="240"/>
        <w:ind w:left="720" w:hanging="720"/>
        <w:rPr>
          <w:iCs/>
        </w:rPr>
      </w:pPr>
      <w:r>
        <w:rPr>
          <w:iCs/>
        </w:rPr>
        <w:t>(4)</w:t>
      </w:r>
      <w:r>
        <w:rPr>
          <w:iCs/>
        </w:rPr>
        <w:tab/>
      </w:r>
      <w:r w:rsidRPr="003C5709">
        <w:rPr>
          <w:iCs/>
        </w:rPr>
        <w:t xml:space="preserve">An Entity that wishes to register as an ELSE shall select the ELSE status on the LSE application </w:t>
      </w:r>
      <w:r w:rsidR="00B35DA1" w:rsidRPr="00A35A89">
        <w:t>(</w:t>
      </w:r>
      <w:r w:rsidR="00B35DA1">
        <w:t>Section 23, Form B</w:t>
      </w:r>
      <w:r w:rsidR="00081A43">
        <w:t>, Load Serving Entity (LSE) Application for Registration</w:t>
      </w:r>
      <w:r w:rsidR="00B35DA1">
        <w:t xml:space="preserve">) </w:t>
      </w:r>
      <w:r w:rsidRPr="003C5709">
        <w:rPr>
          <w:iCs/>
        </w:rPr>
        <w:t>and other registration forms as designated by ERCOT.  An ELSE shall provide all informa</w:t>
      </w:r>
      <w:r w:rsidRPr="00376AC8">
        <w:rPr>
          <w:iCs/>
        </w:rPr>
        <w:t>tion sufficient to ju</w:t>
      </w:r>
      <w:r w:rsidRPr="00167B72">
        <w:rPr>
          <w:iCs/>
        </w:rPr>
        <w:t>stify its designation as an ELSE</w:t>
      </w:r>
      <w:r w:rsidRPr="00720C92">
        <w:rPr>
          <w:iCs/>
        </w:rPr>
        <w:t xml:space="preserve"> if so requested by ERCOT.</w:t>
      </w:r>
    </w:p>
    <w:p w14:paraId="2314A4C6" w14:textId="77777777" w:rsidR="008932A4" w:rsidRDefault="008932A4" w:rsidP="008932A4">
      <w:pPr>
        <w:pStyle w:val="BodyTextNumbered"/>
      </w:pPr>
      <w:r>
        <w:rPr>
          <w:iCs w:val="0"/>
        </w:rPr>
        <w:t>(5)</w:t>
      </w:r>
      <w:r>
        <w:rPr>
          <w:iCs w:val="0"/>
        </w:rPr>
        <w:tab/>
      </w:r>
      <w:r w:rsidRPr="003C5709">
        <w:rPr>
          <w:iCs w:val="0"/>
        </w:rPr>
        <w:t xml:space="preserve">An ELSE shall assign an </w:t>
      </w:r>
      <w:r>
        <w:t>Electric Service Identifier (</w:t>
      </w:r>
      <w:r w:rsidRPr="003C5709">
        <w:rPr>
          <w:iCs w:val="0"/>
        </w:rPr>
        <w:t>ESI ID</w:t>
      </w:r>
      <w:r>
        <w:rPr>
          <w:iCs w:val="0"/>
        </w:rPr>
        <w:t>)</w:t>
      </w:r>
      <w:r w:rsidRPr="003C5709">
        <w:rPr>
          <w:iCs w:val="0"/>
        </w:rPr>
        <w:t xml:space="preserve"> for each wholesale point of delivery as specified in these Protocols.  An ESI ID shall not be assigned to any individual Customer behind an ELSE wholesale point of delivery.</w:t>
      </w:r>
    </w:p>
    <w:p w14:paraId="6A01FD98" w14:textId="77777777" w:rsidR="00FC1C5F" w:rsidRDefault="00727E32" w:rsidP="00FC1C5F">
      <w:pPr>
        <w:pStyle w:val="Heading3"/>
        <w:numPr>
          <w:ilvl w:val="0"/>
          <w:numId w:val="0"/>
        </w:numPr>
      </w:pPr>
      <w:bookmarkStart w:id="188" w:name="_Toc390438930"/>
      <w:bookmarkStart w:id="189" w:name="_Toc405897627"/>
      <w:bookmarkStart w:id="190" w:name="_Toc415055731"/>
      <w:bookmarkStart w:id="191" w:name="_Toc415055857"/>
      <w:bookmarkStart w:id="192" w:name="_Toc415055956"/>
      <w:bookmarkStart w:id="193" w:name="_Toc415056057"/>
      <w:bookmarkStart w:id="194" w:name="_Toc184622993"/>
      <w:r>
        <w:t>16.3.1</w:t>
      </w:r>
      <w:r>
        <w:tab/>
        <w:t>Technical and Managerial Requirements for LSE Applicants</w:t>
      </w:r>
      <w:bookmarkEnd w:id="188"/>
      <w:bookmarkEnd w:id="189"/>
      <w:bookmarkEnd w:id="190"/>
      <w:bookmarkEnd w:id="191"/>
      <w:bookmarkEnd w:id="192"/>
      <w:bookmarkEnd w:id="193"/>
      <w:bookmarkEnd w:id="194"/>
    </w:p>
    <w:p w14:paraId="696A9CDD" w14:textId="77777777" w:rsidR="00FC1C5F" w:rsidRDefault="00853D39" w:rsidP="009F10FE">
      <w:pPr>
        <w:pStyle w:val="BodyText"/>
        <w:ind w:left="720" w:hanging="720"/>
      </w:pPr>
      <w:r>
        <w:t>(1)</w:t>
      </w:r>
      <w:r>
        <w:tab/>
      </w:r>
      <w:r w:rsidR="00727E32">
        <w:t>An LSE applicant must:</w:t>
      </w:r>
    </w:p>
    <w:p w14:paraId="3A10B2A9" w14:textId="77777777" w:rsidR="00FC1C5F" w:rsidRDefault="00727E32" w:rsidP="009F10FE">
      <w:pPr>
        <w:pStyle w:val="List"/>
      </w:pPr>
      <w:r>
        <w:t>(</w:t>
      </w:r>
      <w:r w:rsidR="00853D39">
        <w:t>a</w:t>
      </w:r>
      <w:r>
        <w:t>)</w:t>
      </w:r>
      <w:r>
        <w:tab/>
        <w:t>Be capable of complying with all policies, rules, guidelines, registration requirements and procedures established by these Protocols, ERCOT, or other Independent Organizations, if applicable;</w:t>
      </w:r>
    </w:p>
    <w:p w14:paraId="2DA2D836" w14:textId="77777777" w:rsidR="00FC1C5F" w:rsidRDefault="00727E32" w:rsidP="009F10FE">
      <w:pPr>
        <w:pStyle w:val="List"/>
      </w:pPr>
      <w:r>
        <w:t>(</w:t>
      </w:r>
      <w:r w:rsidR="00853D39">
        <w:t>b</w:t>
      </w:r>
      <w:r>
        <w:t>)</w:t>
      </w:r>
      <w:r>
        <w:tab/>
        <w:t>Be capable of purchasing  power from Entities registered with or by ERCOT or the Independent Organizations and capable of complying with its system rules; and,</w:t>
      </w:r>
    </w:p>
    <w:p w14:paraId="5B4D48C9" w14:textId="77777777" w:rsidR="00FC1C5F" w:rsidRDefault="00727E32" w:rsidP="009F10FE">
      <w:pPr>
        <w:pStyle w:val="List"/>
      </w:pPr>
      <w:r>
        <w:t>(</w:t>
      </w:r>
      <w:r w:rsidR="00853D39">
        <w:t>c</w:t>
      </w:r>
      <w:r>
        <w:t>)</w:t>
      </w:r>
      <w:r>
        <w:tab/>
        <w:t>Be capable of purchasing capacity and reserves, or other Ancillary Services, as may be required by ERCOT, or other Independent Organizations, to provide adequate electricity to all the applicant’s Customers.</w:t>
      </w:r>
    </w:p>
    <w:p w14:paraId="3EEE3790" w14:textId="77777777" w:rsidR="00FC1C5F" w:rsidRPr="00D63F95" w:rsidRDefault="00727E32">
      <w:pPr>
        <w:pStyle w:val="H4"/>
        <w:rPr>
          <w:b/>
        </w:rPr>
      </w:pPr>
      <w:bookmarkStart w:id="195" w:name="_Toc390438931"/>
      <w:bookmarkStart w:id="196" w:name="_Toc405897628"/>
      <w:bookmarkStart w:id="197" w:name="_Toc415055732"/>
      <w:bookmarkStart w:id="198" w:name="_Toc415055858"/>
      <w:bookmarkStart w:id="199" w:name="_Toc415055957"/>
      <w:bookmarkStart w:id="200" w:name="_Toc415056058"/>
      <w:bookmarkStart w:id="201" w:name="_Toc184622994"/>
      <w:r w:rsidRPr="00D63F95">
        <w:rPr>
          <w:b/>
        </w:rPr>
        <w:t>16.3.1.1</w:t>
      </w:r>
      <w:r w:rsidRPr="00D63F95">
        <w:rPr>
          <w:b/>
        </w:rPr>
        <w:tab/>
        <w:t>Designation of a Qualified Scheduling Entity</w:t>
      </w:r>
      <w:bookmarkEnd w:id="195"/>
      <w:bookmarkEnd w:id="196"/>
      <w:bookmarkEnd w:id="197"/>
      <w:bookmarkEnd w:id="198"/>
      <w:bookmarkEnd w:id="199"/>
      <w:bookmarkEnd w:id="200"/>
      <w:bookmarkEnd w:id="201"/>
    </w:p>
    <w:p w14:paraId="53D66268" w14:textId="77777777" w:rsidR="00FC1C5F" w:rsidRDefault="00727E32">
      <w:pPr>
        <w:pStyle w:val="BodyTextNumbered"/>
      </w:pPr>
      <w:r>
        <w:t>(1)</w:t>
      </w:r>
      <w:r>
        <w:tab/>
        <w:t xml:space="preserve">Each LSE applicant within the ERCOT Region shall designate the </w:t>
      </w:r>
      <w:r w:rsidR="00364DE6">
        <w:t>Qualified Scheduling Entity (</w:t>
      </w:r>
      <w:r>
        <w:t>QSE</w:t>
      </w:r>
      <w:r w:rsidR="00364DE6">
        <w:t>)</w:t>
      </w:r>
      <w:r>
        <w:t xml:space="preserve"> that will </w:t>
      </w:r>
      <w:r w:rsidR="000E3528">
        <w:t xml:space="preserve">perform QSE functions per these Protocols on behalf of the LSE.  </w:t>
      </w:r>
      <w:r>
        <w:t xml:space="preserve">Each applicant shall acknowledge that it bears sole responsibility for selecting and maintaining a QSE as its representative.  The applicant shall include a written statement from the designated QSE acknowledging that the QSE accepts responsibility for the applicant’s transactions </w:t>
      </w:r>
      <w:r w:rsidR="000E3528">
        <w:t>under</w:t>
      </w:r>
      <w:r>
        <w:t xml:space="preserve"> these Protocols</w:t>
      </w:r>
      <w:r w:rsidR="00B35DA1" w:rsidRPr="00B35DA1">
        <w:t xml:space="preserve"> (Section 23, Form B, Attachment A)</w:t>
      </w:r>
      <w:r>
        <w:t>.</w:t>
      </w:r>
      <w:r w:rsidR="000E3528">
        <w:t xml:space="preserve">  </w:t>
      </w:r>
      <w:r w:rsidR="000E3528" w:rsidRPr="00530E2D">
        <w:rPr>
          <w:szCs w:val="24"/>
        </w:rPr>
        <w:t xml:space="preserve">The acknowledgement of the LSE’s QSE designation must be approved by ERCOT prior to a CR’s enrollment of Customer ESI IDs or prior to NOIE </w:t>
      </w:r>
      <w:r w:rsidR="00364DE6">
        <w:rPr>
          <w:szCs w:val="24"/>
        </w:rPr>
        <w:t xml:space="preserve">or ELSE </w:t>
      </w:r>
      <w:r w:rsidR="000E3528" w:rsidRPr="00530E2D">
        <w:rPr>
          <w:szCs w:val="24"/>
        </w:rPr>
        <w:t>registration of a wholesale point of delivery.</w:t>
      </w:r>
    </w:p>
    <w:p w14:paraId="628A1A7A" w14:textId="77777777" w:rsidR="00FC1C5F" w:rsidRDefault="00727E32">
      <w:pPr>
        <w:pStyle w:val="BodyTextNumbered"/>
      </w:pPr>
      <w:r>
        <w:t>(</w:t>
      </w:r>
      <w:r w:rsidR="000E3528">
        <w:t>2</w:t>
      </w:r>
      <w:r>
        <w:t>)</w:t>
      </w:r>
      <w:r>
        <w:tab/>
        <w:t>If an LSE fails to maintain a QSE as its representative, the LSE may be designated as an Emergency QSE as provided in Section</w:t>
      </w:r>
      <w:r w:rsidR="000E3528">
        <w:t xml:space="preserve"> 16.2.6.1, </w:t>
      </w:r>
      <w:r w:rsidR="000E3528" w:rsidRPr="00530E2D">
        <w:rPr>
          <w:szCs w:val="24"/>
        </w:rPr>
        <w:t>Designation as an Emergency Qualified Scheduling Entity or Virtual Qualified Scheduling Entity</w:t>
      </w:r>
      <w:r>
        <w:t>.</w:t>
      </w:r>
    </w:p>
    <w:p w14:paraId="6726AD55" w14:textId="77777777" w:rsidR="00FC1C5F" w:rsidRDefault="00727E32">
      <w:pPr>
        <w:pStyle w:val="H3"/>
      </w:pPr>
      <w:bookmarkStart w:id="202" w:name="_Toc71369186"/>
      <w:bookmarkStart w:id="203" w:name="_Toc71539402"/>
      <w:bookmarkStart w:id="204" w:name="_Toc390438932"/>
      <w:bookmarkStart w:id="205" w:name="_Toc405897629"/>
      <w:bookmarkStart w:id="206" w:name="_Toc415055733"/>
      <w:bookmarkStart w:id="207" w:name="_Toc415055859"/>
      <w:bookmarkStart w:id="208" w:name="_Toc415055958"/>
      <w:bookmarkStart w:id="209" w:name="_Toc415056059"/>
      <w:bookmarkStart w:id="210" w:name="_Toc184622995"/>
      <w:r>
        <w:lastRenderedPageBreak/>
        <w:t>16.3.2</w:t>
      </w:r>
      <w:r>
        <w:tab/>
        <w:t>Registration Process for Load Serving Entities</w:t>
      </w:r>
      <w:bookmarkEnd w:id="202"/>
      <w:bookmarkEnd w:id="203"/>
      <w:bookmarkEnd w:id="204"/>
      <w:bookmarkEnd w:id="205"/>
      <w:bookmarkEnd w:id="206"/>
      <w:bookmarkEnd w:id="207"/>
      <w:bookmarkEnd w:id="208"/>
      <w:bookmarkEnd w:id="209"/>
      <w:bookmarkEnd w:id="210"/>
    </w:p>
    <w:p w14:paraId="51D48F1D" w14:textId="79637B27" w:rsidR="00FC1C5F" w:rsidRDefault="00727E32">
      <w:pPr>
        <w:pStyle w:val="BodyTextNumbered"/>
      </w:pPr>
      <w:r>
        <w:t>(1)</w:t>
      </w:r>
      <w:r>
        <w:tab/>
        <w:t>Any Entity providing electric service to Customers in ERCOT, or in Non-ERCOT portions of Texas in areas where Customer Choice is in effect, must submit to ERCOT a</w:t>
      </w:r>
      <w:r w:rsidR="00B35DA1">
        <w:t>n</w:t>
      </w:r>
      <w:r>
        <w:t xml:space="preserve"> LSE application</w:t>
      </w:r>
      <w:r w:rsidR="00B35DA1">
        <w:t xml:space="preserve"> (Section 23, Form B</w:t>
      </w:r>
      <w:r w:rsidR="00081A43" w:rsidRPr="00466F24">
        <w:t>, Load Serving Entity (LSE) Application for Registration</w:t>
      </w:r>
      <w:r>
        <w:t xml:space="preserve">).  ERCOT shall post on the </w:t>
      </w:r>
      <w:r w:rsidR="00F13002">
        <w:t>ERCOT website</w:t>
      </w:r>
      <w:r>
        <w:t xml:space="preserve"> the form in which LSE applications must be submitted, all materials that must be provided with the LSE application, and the fee schedule, if any, applicable to LSE applications.  </w:t>
      </w:r>
    </w:p>
    <w:p w14:paraId="62832154" w14:textId="78788605" w:rsidR="00FC1C5F" w:rsidRDefault="00727E32">
      <w:pPr>
        <w:pStyle w:val="BodyTextNumbered"/>
      </w:pPr>
      <w:r>
        <w:t>(2)</w:t>
      </w:r>
      <w:r>
        <w:tab/>
        <w:t xml:space="preserve">The LSE application must be attested to by a duly authorized officer or agent of the applicant.  The applicant shall promptly notify ERCOT of any material changes affecting a pending LSE application using the appropriate form posted on the </w:t>
      </w:r>
      <w:r w:rsidR="00F13002">
        <w:t>ERCOT website</w:t>
      </w:r>
      <w:r>
        <w:t xml:space="preserve">.  </w:t>
      </w:r>
    </w:p>
    <w:p w14:paraId="5BA26C87" w14:textId="77777777" w:rsidR="00FC1C5F" w:rsidRPr="00D63F95" w:rsidRDefault="00727E32">
      <w:pPr>
        <w:pStyle w:val="H4"/>
        <w:rPr>
          <w:b/>
        </w:rPr>
      </w:pPr>
      <w:bookmarkStart w:id="211" w:name="_Toc390438933"/>
      <w:bookmarkStart w:id="212" w:name="_Toc405897630"/>
      <w:bookmarkStart w:id="213" w:name="_Toc415055734"/>
      <w:bookmarkStart w:id="214" w:name="_Toc415055860"/>
      <w:bookmarkStart w:id="215" w:name="_Toc415055959"/>
      <w:bookmarkStart w:id="216" w:name="_Toc415056060"/>
      <w:bookmarkStart w:id="217" w:name="_Toc184622996"/>
      <w:r w:rsidRPr="00D63F95">
        <w:rPr>
          <w:b/>
        </w:rPr>
        <w:t>16.3.2.1</w:t>
      </w:r>
      <w:r w:rsidRPr="00D63F95">
        <w:rPr>
          <w:b/>
        </w:rPr>
        <w:tab/>
        <w:t>Notice of Receipt of Load Serving Entity Application</w:t>
      </w:r>
      <w:bookmarkEnd w:id="211"/>
      <w:bookmarkEnd w:id="212"/>
      <w:bookmarkEnd w:id="213"/>
      <w:bookmarkEnd w:id="214"/>
      <w:bookmarkEnd w:id="215"/>
      <w:bookmarkEnd w:id="216"/>
      <w:bookmarkEnd w:id="217"/>
    </w:p>
    <w:p w14:paraId="012A6F28" w14:textId="77777777" w:rsidR="00FC1C5F" w:rsidRDefault="00853D39" w:rsidP="009F10FE">
      <w:pPr>
        <w:pStyle w:val="BodyText"/>
        <w:ind w:left="720" w:hanging="720"/>
      </w:pPr>
      <w:r>
        <w:t>(1)</w:t>
      </w:r>
      <w:r>
        <w:tab/>
      </w:r>
      <w:r w:rsidR="00727E32">
        <w:t>Within three Business Days after receiving an LSE application, ERCOT shall issue the LSE applicant a written confirmation that ERCOT has received the LSE application.  ERCOT shall return without review any LSE application that does not include the proper application fee.  The remainder of this Section does not apply to any LSE application returned for failure to include the proper application fee.</w:t>
      </w:r>
    </w:p>
    <w:p w14:paraId="53F70B86" w14:textId="77777777" w:rsidR="00FC1C5F" w:rsidRPr="00D63F95" w:rsidRDefault="00727E32">
      <w:pPr>
        <w:pStyle w:val="H4"/>
        <w:rPr>
          <w:b/>
        </w:rPr>
      </w:pPr>
      <w:bookmarkStart w:id="218" w:name="_Toc390438934"/>
      <w:bookmarkStart w:id="219" w:name="_Toc405897631"/>
      <w:bookmarkStart w:id="220" w:name="_Toc415055735"/>
      <w:bookmarkStart w:id="221" w:name="_Toc415055861"/>
      <w:bookmarkStart w:id="222" w:name="_Toc415055960"/>
      <w:bookmarkStart w:id="223" w:name="_Toc415056061"/>
      <w:bookmarkStart w:id="224" w:name="_Toc184622997"/>
      <w:r w:rsidRPr="00D63F95">
        <w:rPr>
          <w:b/>
        </w:rPr>
        <w:t>16.3.2.2</w:t>
      </w:r>
      <w:r w:rsidRPr="00D63F95">
        <w:rPr>
          <w:b/>
        </w:rPr>
        <w:tab/>
        <w:t>Incomplete Load Serving Entity Applications</w:t>
      </w:r>
      <w:bookmarkEnd w:id="218"/>
      <w:bookmarkEnd w:id="219"/>
      <w:bookmarkEnd w:id="220"/>
      <w:bookmarkEnd w:id="221"/>
      <w:bookmarkEnd w:id="222"/>
      <w:bookmarkEnd w:id="223"/>
      <w:bookmarkEnd w:id="224"/>
    </w:p>
    <w:p w14:paraId="47820426" w14:textId="77777777" w:rsidR="00FC1C5F" w:rsidRDefault="00727E32">
      <w:pPr>
        <w:pStyle w:val="BodyText"/>
        <w:ind w:left="720" w:hanging="720"/>
      </w:pPr>
      <w:r>
        <w:t>(1)</w:t>
      </w:r>
      <w:r>
        <w:tab/>
        <w:t>Not more than ten Business Days after receiving an LSE application, ERCOT shall notify the applicant in writing whether the application is complete.</w:t>
      </w:r>
    </w:p>
    <w:p w14:paraId="61E5FD65" w14:textId="77777777" w:rsidR="00FC1C5F" w:rsidRDefault="00727E32">
      <w:pPr>
        <w:pStyle w:val="BodyText"/>
        <w:ind w:left="720" w:hanging="720"/>
      </w:pPr>
      <w:r>
        <w:t>(2)</w:t>
      </w:r>
      <w:r>
        <w:tab/>
        <w:t>If ERCOT determines that an LSE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w:t>
      </w:r>
    </w:p>
    <w:p w14:paraId="4F36F27E" w14:textId="77777777" w:rsidR="00FC1C5F" w:rsidRDefault="00727E32">
      <w:pPr>
        <w:pStyle w:val="BodyText"/>
        <w:ind w:left="720" w:hanging="720"/>
      </w:pPr>
      <w:r>
        <w:t>(3)</w:t>
      </w:r>
      <w:r>
        <w:tab/>
        <w:t>If the applicant does not timely respond to ERCOT’s Notice, then the application must be rejected, and ERCOT shall retain any application fee included with the application.</w:t>
      </w:r>
    </w:p>
    <w:p w14:paraId="0A01ADB5" w14:textId="77777777" w:rsidR="00FC1C5F" w:rsidRPr="00D63F95" w:rsidRDefault="00727E32">
      <w:pPr>
        <w:pStyle w:val="H4"/>
        <w:rPr>
          <w:b/>
        </w:rPr>
      </w:pPr>
      <w:bookmarkStart w:id="225" w:name="_Toc390438935"/>
      <w:bookmarkStart w:id="226" w:name="_Toc405897632"/>
      <w:bookmarkStart w:id="227" w:name="_Toc415055736"/>
      <w:bookmarkStart w:id="228" w:name="_Toc415055862"/>
      <w:bookmarkStart w:id="229" w:name="_Toc415055961"/>
      <w:bookmarkStart w:id="230" w:name="_Toc415056062"/>
      <w:bookmarkStart w:id="231" w:name="_Toc184622998"/>
      <w:r w:rsidRPr="00D63F95">
        <w:rPr>
          <w:b/>
        </w:rPr>
        <w:t>16.3.2.3</w:t>
      </w:r>
      <w:r w:rsidRPr="00D63F95">
        <w:rPr>
          <w:b/>
        </w:rPr>
        <w:tab/>
        <w:t>ERCOT Approval or Rejection of Load Serving Entity Application</w:t>
      </w:r>
      <w:bookmarkEnd w:id="225"/>
      <w:bookmarkEnd w:id="226"/>
      <w:bookmarkEnd w:id="227"/>
      <w:bookmarkEnd w:id="228"/>
      <w:bookmarkEnd w:id="229"/>
      <w:bookmarkEnd w:id="230"/>
      <w:bookmarkEnd w:id="231"/>
    </w:p>
    <w:p w14:paraId="7D71BBBD" w14:textId="77777777" w:rsidR="00FC1C5F" w:rsidRDefault="00727E32">
      <w:pPr>
        <w:pStyle w:val="BodyTextNumbered"/>
      </w:pPr>
      <w:r>
        <w:t>(1)</w:t>
      </w:r>
      <w:r>
        <w:tab/>
        <w:t>ERCOT may reject an LSE application within ten Business Days after the application has been deemed complete in accordance with this Section.  If ERCOT does not reject the LSE application within ten Business Days after the application is deemed complete then the application is deemed approved.</w:t>
      </w:r>
    </w:p>
    <w:p w14:paraId="0F3C2A57" w14:textId="77777777" w:rsidR="00FC1C5F" w:rsidRDefault="00727E32">
      <w:pPr>
        <w:pStyle w:val="BodyTextNumbered"/>
      </w:pPr>
      <w:r>
        <w:lastRenderedPageBreak/>
        <w:t>(2)</w:t>
      </w:r>
      <w:r>
        <w:tab/>
        <w:t>If ERCOT rejects a LSE application, ERCOT shall send the LSE applicant a rejection letter explaining the grounds upon which ERCOT rejected the LSE application.  Appropriate grounds for rejecting a LSE application include the following:</w:t>
      </w:r>
    </w:p>
    <w:p w14:paraId="1230F5A5" w14:textId="77777777" w:rsidR="00FC1C5F" w:rsidRDefault="00727E32">
      <w:pPr>
        <w:pStyle w:val="List"/>
      </w:pPr>
      <w:r>
        <w:t>(a)</w:t>
      </w:r>
      <w:r>
        <w:tab/>
        <w:t>Required information is not provided to ERCOT in the allotted time;</w:t>
      </w:r>
    </w:p>
    <w:p w14:paraId="7B4C6A98" w14:textId="77777777" w:rsidR="00FC1C5F" w:rsidRDefault="00727E32">
      <w:pPr>
        <w:pStyle w:val="List"/>
      </w:pPr>
      <w:r>
        <w:t>(b)</w:t>
      </w:r>
      <w:r>
        <w:tab/>
        <w:t>Noncompliance with technical requirements; and</w:t>
      </w:r>
    </w:p>
    <w:p w14:paraId="3DA23724" w14:textId="77777777" w:rsidR="00FC1C5F" w:rsidRDefault="00727E32">
      <w:pPr>
        <w:pStyle w:val="List"/>
      </w:pPr>
      <w:r>
        <w:t>(c)</w:t>
      </w:r>
      <w:r>
        <w:tab/>
        <w:t>Noncompliance with other specific eligibility requirements set forth in this Section or in any other part of these Protocols.</w:t>
      </w:r>
    </w:p>
    <w:p w14:paraId="132A258A" w14:textId="77777777" w:rsidR="00FC1C5F" w:rsidRDefault="00727E32">
      <w:pPr>
        <w:pStyle w:val="BodyTextNumbered"/>
      </w:pPr>
      <w:r>
        <w:t>(3)</w:t>
      </w:r>
      <w:r>
        <w:tab/>
        <w:t>Not later than ten Business Days after receiving a rejection letter, the LSE applicant may challenge the rejection of its LSE application using the dispute resolution procedures set forth in Section 20, Alternative Dispute Resolution Procedure.  The applicant may submit a new LSE application and fee at any time, and ERCOT shall process the new LSE application under this Section.</w:t>
      </w:r>
    </w:p>
    <w:p w14:paraId="52EEE138" w14:textId="77777777" w:rsidR="00FC1C5F" w:rsidRDefault="00727E32">
      <w:pPr>
        <w:pStyle w:val="H3"/>
      </w:pPr>
      <w:bookmarkStart w:id="232" w:name="_Toc390438936"/>
      <w:bookmarkStart w:id="233" w:name="_Toc405897633"/>
      <w:bookmarkStart w:id="234" w:name="_Toc415055737"/>
      <w:bookmarkStart w:id="235" w:name="_Toc415055863"/>
      <w:bookmarkStart w:id="236" w:name="_Toc415055962"/>
      <w:bookmarkStart w:id="237" w:name="_Toc415056063"/>
      <w:bookmarkStart w:id="238" w:name="_Toc184622999"/>
      <w:r>
        <w:t xml:space="preserve">16.3.3 </w:t>
      </w:r>
      <w:r>
        <w:tab/>
        <w:t>Changing QSE Designation</w:t>
      </w:r>
      <w:bookmarkEnd w:id="232"/>
      <w:bookmarkEnd w:id="233"/>
      <w:bookmarkEnd w:id="234"/>
      <w:bookmarkEnd w:id="235"/>
      <w:bookmarkEnd w:id="236"/>
      <w:bookmarkEnd w:id="237"/>
      <w:bookmarkEnd w:id="238"/>
      <w:r>
        <w:t xml:space="preserve"> </w:t>
      </w:r>
    </w:p>
    <w:p w14:paraId="31430320" w14:textId="77777777" w:rsidR="00FC1C5F" w:rsidRDefault="00727E32">
      <w:pPr>
        <w:pStyle w:val="List"/>
        <w:ind w:left="720" w:right="-360"/>
      </w:pPr>
      <w:r>
        <w:t>(1)</w:t>
      </w:r>
      <w:r>
        <w:tab/>
        <w:t xml:space="preserve">An LSE may change its designation of QSE </w:t>
      </w:r>
      <w:r w:rsidR="000E3528">
        <w:t xml:space="preserve">with written notice to ERCOT </w:t>
      </w:r>
      <w:r>
        <w:t xml:space="preserve">no more than once in any consecutive three days.  </w:t>
      </w:r>
    </w:p>
    <w:p w14:paraId="72DBBE09" w14:textId="77777777" w:rsidR="00FC1C5F" w:rsidRDefault="00727E32">
      <w:pPr>
        <w:pStyle w:val="List"/>
        <w:ind w:left="720" w:right="-360"/>
      </w:pPr>
      <w:r>
        <w:t>(2)</w:t>
      </w:r>
      <w:r>
        <w:tab/>
      </w:r>
      <w:r w:rsidR="000E3528">
        <w:t>If an LSE’s representation by a QSE will terminate or the LSE intends to be represented by a different QSE, the LSE shall provide the name of the newly designated QSE to ERCOT along with a written statement from the designated</w:t>
      </w:r>
      <w:r w:rsidR="00AC443B">
        <w:t xml:space="preserve"> QSE acknowledging</w:t>
      </w:r>
      <w:r w:rsidR="000E3528">
        <w:t xml:space="preserve"> </w:t>
      </w:r>
      <w:r>
        <w:t>the QSE</w:t>
      </w:r>
      <w:r w:rsidR="000E3528">
        <w:t>’s agreement to</w:t>
      </w:r>
      <w:r>
        <w:t xml:space="preserve"> accept responsibility for the LSE’s transactions under these Protocols.</w:t>
      </w:r>
      <w:r w:rsidR="000E3528">
        <w:t xml:space="preserve">  </w:t>
      </w:r>
      <w:r w:rsidR="000E3528" w:rsidRPr="000B3BF7">
        <w:t>ERCOT shall notify the LSE of approval or disapproval as soon as practicable after receipt of the designation</w:t>
      </w:r>
      <w:r w:rsidR="000E3528">
        <w:t>.</w:t>
      </w:r>
    </w:p>
    <w:p w14:paraId="7316502F" w14:textId="77777777" w:rsidR="000E3528" w:rsidRDefault="00727E32">
      <w:pPr>
        <w:pStyle w:val="List"/>
        <w:ind w:left="720"/>
      </w:pPr>
      <w:r>
        <w:t>(3)</w:t>
      </w:r>
      <w:r>
        <w:tab/>
      </w:r>
      <w:r w:rsidR="000E3528">
        <w:t>The</w:t>
      </w:r>
      <w:r>
        <w:t xml:space="preserve"> LSE shall submit updated QSE designation information to ERCOT no less than six days prior to the effective date.  </w:t>
      </w:r>
    </w:p>
    <w:p w14:paraId="3A0F1116" w14:textId="77777777" w:rsidR="00FC1C5F" w:rsidRDefault="000E3528">
      <w:pPr>
        <w:pStyle w:val="List"/>
        <w:ind w:left="720"/>
      </w:pPr>
      <w:r>
        <w:t>(4)</w:t>
      </w:r>
      <w:r>
        <w:tab/>
      </w:r>
      <w:r w:rsidR="00727E32">
        <w:t xml:space="preserve">Within two days of </w:t>
      </w:r>
      <w:r>
        <w:t xml:space="preserve">approving the LSE’s </w:t>
      </w:r>
      <w:r w:rsidR="00727E32">
        <w:t>notice, ERCOT shall notify all affected Entities, including the LSE’s current QSE, of the effective date of the change.</w:t>
      </w:r>
    </w:p>
    <w:p w14:paraId="6F0F5620" w14:textId="77777777" w:rsidR="00FC1C5F" w:rsidRDefault="00727E32">
      <w:pPr>
        <w:pStyle w:val="H3"/>
      </w:pPr>
      <w:bookmarkStart w:id="239" w:name="_Toc390438937"/>
      <w:bookmarkStart w:id="240" w:name="_Toc405897634"/>
      <w:bookmarkStart w:id="241" w:name="_Toc415055738"/>
      <w:bookmarkStart w:id="242" w:name="_Toc415055864"/>
      <w:bookmarkStart w:id="243" w:name="_Toc415055963"/>
      <w:bookmarkStart w:id="244" w:name="_Toc415056064"/>
      <w:bookmarkStart w:id="245" w:name="_Toc184623000"/>
      <w:r>
        <w:t>16.3.4</w:t>
      </w:r>
      <w:r>
        <w:tab/>
        <w:t>Maintaining and Updating LSE Information</w:t>
      </w:r>
      <w:bookmarkEnd w:id="239"/>
      <w:bookmarkEnd w:id="240"/>
      <w:bookmarkEnd w:id="241"/>
      <w:bookmarkEnd w:id="242"/>
      <w:bookmarkEnd w:id="243"/>
      <w:bookmarkEnd w:id="244"/>
      <w:bookmarkEnd w:id="245"/>
      <w:r>
        <w:t xml:space="preserve"> </w:t>
      </w:r>
    </w:p>
    <w:p w14:paraId="3A68015C" w14:textId="77777777" w:rsidR="00FC1C5F" w:rsidRDefault="00853D39" w:rsidP="009F10FE">
      <w:pPr>
        <w:pStyle w:val="ListIntroduction"/>
        <w:ind w:left="720" w:hanging="720"/>
      </w:pPr>
      <w:r>
        <w:rPr>
          <w:lang w:val="en-US"/>
        </w:rPr>
        <w:t>(1)</w:t>
      </w:r>
      <w:r>
        <w:rPr>
          <w:lang w:val="en-US"/>
        </w:rPr>
        <w:tab/>
      </w:r>
      <w:r w:rsidR="00727E32">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3090A74" w14:textId="77777777" w:rsidR="00FC1C5F" w:rsidRDefault="00727E32">
      <w:pPr>
        <w:pStyle w:val="List"/>
        <w:ind w:left="1260" w:hanging="540"/>
      </w:pPr>
      <w:r>
        <w:t>(a)</w:t>
      </w:r>
      <w:r>
        <w:tab/>
        <w:t>The LSE’s addresses;</w:t>
      </w:r>
    </w:p>
    <w:p w14:paraId="4CE2CA6C" w14:textId="77777777" w:rsidR="00FC1C5F" w:rsidRDefault="00727E32">
      <w:pPr>
        <w:pStyle w:val="List"/>
        <w:ind w:left="1260" w:hanging="540"/>
      </w:pPr>
      <w:r>
        <w:t>(b)</w:t>
      </w:r>
      <w:r>
        <w:tab/>
        <w:t>A list of Affiliates; and</w:t>
      </w:r>
    </w:p>
    <w:p w14:paraId="337C799C" w14:textId="2FB22202" w:rsidR="00FC1C5F" w:rsidRDefault="00727E32">
      <w:pPr>
        <w:pStyle w:val="List"/>
        <w:ind w:left="1260" w:hanging="540"/>
      </w:pPr>
      <w:r>
        <w:lastRenderedPageBreak/>
        <w:t>(c)</w:t>
      </w:r>
      <w:r>
        <w:tab/>
        <w:t>Designation of the LSE’s officers, directors, Authorized Representatives, and USA (all per the LSE application) including the telephone and e-mail addresses for those persons.</w:t>
      </w:r>
    </w:p>
    <w:p w14:paraId="4952307C" w14:textId="77777777" w:rsidR="00FC1C5F" w:rsidRDefault="00727E32">
      <w:pPr>
        <w:pStyle w:val="H2"/>
      </w:pPr>
      <w:bookmarkStart w:id="246" w:name="_Toc71369189"/>
      <w:bookmarkStart w:id="247" w:name="_Toc71539405"/>
      <w:bookmarkStart w:id="248" w:name="_Toc390438938"/>
      <w:bookmarkStart w:id="249" w:name="_Toc405897635"/>
      <w:bookmarkStart w:id="250" w:name="_Toc415055739"/>
      <w:bookmarkStart w:id="251" w:name="_Toc415055865"/>
      <w:bookmarkStart w:id="252" w:name="_Toc415055964"/>
      <w:bookmarkStart w:id="253" w:name="_Toc415056065"/>
      <w:bookmarkStart w:id="254" w:name="_Toc184623001"/>
      <w:r>
        <w:t>16.4</w:t>
      </w:r>
      <w:r>
        <w:tab/>
        <w:t>Registration of Transmission and Distribution Service Providers</w:t>
      </w:r>
      <w:bookmarkEnd w:id="246"/>
      <w:bookmarkEnd w:id="247"/>
      <w:bookmarkEnd w:id="248"/>
      <w:bookmarkEnd w:id="249"/>
      <w:bookmarkEnd w:id="250"/>
      <w:bookmarkEnd w:id="251"/>
      <w:bookmarkEnd w:id="252"/>
      <w:bookmarkEnd w:id="253"/>
      <w:bookmarkEnd w:id="254"/>
    </w:p>
    <w:p w14:paraId="711AE494" w14:textId="77777777" w:rsidR="00FC1C5F" w:rsidRDefault="00727E32">
      <w:pPr>
        <w:pStyle w:val="BodyTextNumbered"/>
      </w:pPr>
      <w:r>
        <w:t>(1)</w:t>
      </w:r>
      <w:r>
        <w:tab/>
        <w:t>Each Entity operating as a Transmission Service Provider (</w:t>
      </w:r>
      <w:smartTag w:uri="urn:schemas-microsoft-com:office:smarttags" w:element="stockticker">
        <w:r>
          <w:t>TSP</w:t>
        </w:r>
      </w:smartTag>
      <w:r>
        <w:t xml:space="preserve">) or Distribution Service Provider (DSP) within the ERCOT Region, including Municipally Owned Utilities (MOUs) and Electric Cooperatives (ECs), shall register as a </w:t>
      </w:r>
      <w:smartTag w:uri="urn:schemas-microsoft-com:office:smarttags" w:element="stockticker">
        <w:r>
          <w:t>TSP</w:t>
        </w:r>
      </w:smartTag>
      <w:r>
        <w:t xml:space="preserve"> or DSP, or both, as applicable, with ERCOT.  To register as a </w:t>
      </w:r>
      <w:smartTag w:uri="urn:schemas-microsoft-com:office:smarttags" w:element="stockticker">
        <w:r>
          <w:t>TSP</w:t>
        </w:r>
      </w:smartTag>
      <w:r>
        <w:t xml:space="preserve"> or DSP, an Entity must comply with the backup plan requirements in the Operating Guides, execute a Standard Form Market Participant Agreement (using the form provided in Section 22</w:t>
      </w:r>
      <w:r w:rsidR="007349BB">
        <w:t>, Attachment A, Standard Form Market Participant Agreement</w:t>
      </w:r>
      <w:r>
        <w:t>), designate TSP or DSP Authorized Representatives, contacts, and a User Security Administrator</w:t>
      </w:r>
      <w:r w:rsidR="007349BB">
        <w:t xml:space="preserve"> (USA)</w:t>
      </w:r>
      <w:r>
        <w:t xml:space="preserve"> (per </w:t>
      </w:r>
      <w:r w:rsidR="00B35DA1">
        <w:t xml:space="preserve">Section 23, Form J, </w:t>
      </w:r>
      <w:r w:rsidR="00B35DA1" w:rsidRPr="005B010C">
        <w:t>Transmission and/or Distribution Service Provider Application for Registration</w:t>
      </w:r>
      <w:r>
        <w:t xml:space="preserve">), and be capable of performing the functions of a </w:t>
      </w:r>
      <w:smartTag w:uri="urn:schemas-microsoft-com:office:smarttags" w:element="stockticker">
        <w:r>
          <w:t>TSP</w:t>
        </w:r>
      </w:smartTag>
      <w:r>
        <w:t xml:space="preserve"> or DSP, as applicable, as described in these Protocols. </w:t>
      </w:r>
    </w:p>
    <w:p w14:paraId="2FBFF24F" w14:textId="77777777" w:rsidR="00FC1C5F" w:rsidRDefault="00727E32">
      <w:pPr>
        <w:pStyle w:val="BodyTextNumbered"/>
      </w:pPr>
      <w:r>
        <w:t>(2)</w:t>
      </w:r>
      <w:r>
        <w:tab/>
        <w:t xml:space="preserve">DSPs operating within portions of Texas in areas where Customer Choice is in effect (including opt-in MOUs and opt-in co-ops) must participate in and successfully complete testing as described in Section </w:t>
      </w:r>
      <w:r w:rsidR="007349BB">
        <w:t xml:space="preserve">19.8, </w:t>
      </w:r>
      <w:r>
        <w:t>Retail Market Testing, before starting operations with ERCOT.</w:t>
      </w:r>
    </w:p>
    <w:p w14:paraId="71BF93F1" w14:textId="77777777" w:rsidR="00FC1C5F" w:rsidRDefault="00727E32">
      <w:pPr>
        <w:pStyle w:val="H2"/>
      </w:pPr>
      <w:bookmarkStart w:id="255" w:name="_Toc390438939"/>
      <w:bookmarkStart w:id="256" w:name="_Toc405897636"/>
      <w:bookmarkStart w:id="257" w:name="_Toc415055740"/>
      <w:bookmarkStart w:id="258" w:name="_Toc415055866"/>
      <w:bookmarkStart w:id="259" w:name="_Toc415055965"/>
      <w:bookmarkStart w:id="260" w:name="_Toc415056066"/>
      <w:bookmarkStart w:id="261" w:name="_Toc184623002"/>
      <w:bookmarkStart w:id="262" w:name="_Toc71369190"/>
      <w:bookmarkStart w:id="263" w:name="_Toc71539406"/>
      <w:r>
        <w:t>16.5</w:t>
      </w:r>
      <w:r>
        <w:tab/>
        <w:t>Registration of a Resource Entity</w:t>
      </w:r>
      <w:bookmarkEnd w:id="255"/>
      <w:bookmarkEnd w:id="256"/>
      <w:bookmarkEnd w:id="257"/>
      <w:bookmarkEnd w:id="258"/>
      <w:bookmarkEnd w:id="259"/>
      <w:bookmarkEnd w:id="260"/>
      <w:bookmarkEnd w:id="261"/>
      <w:r>
        <w:t xml:space="preserve"> </w:t>
      </w:r>
      <w:bookmarkEnd w:id="262"/>
      <w:bookmarkEnd w:id="263"/>
    </w:p>
    <w:p w14:paraId="3AF7C54E" w14:textId="77777777" w:rsidR="007C3D02" w:rsidRPr="009733D9" w:rsidRDefault="007C3D02" w:rsidP="007C3D02">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6645B82B" w14:textId="77777777" w:rsidTr="001945C9">
        <w:tc>
          <w:tcPr>
            <w:tcW w:w="9558" w:type="dxa"/>
            <w:shd w:val="pct12" w:color="auto" w:fill="auto"/>
          </w:tcPr>
          <w:p w14:paraId="4E59103C" w14:textId="77777777" w:rsidR="007C3D02" w:rsidRPr="009733D9" w:rsidRDefault="007C3D02" w:rsidP="001945C9">
            <w:pPr>
              <w:spacing w:before="120" w:after="240"/>
              <w:rPr>
                <w:b/>
                <w:i/>
                <w:iCs/>
                <w:szCs w:val="24"/>
              </w:rPr>
            </w:pPr>
            <w:r w:rsidRPr="009733D9">
              <w:rPr>
                <w:b/>
                <w:i/>
                <w:iCs/>
                <w:szCs w:val="24"/>
              </w:rPr>
              <w:lastRenderedPageBreak/>
              <w:t xml:space="preserve">[NPRR995:  Replace paragraph (1) above with the following upon system implementation:] </w:t>
            </w:r>
          </w:p>
          <w:p w14:paraId="49D0B1E7" w14:textId="77777777" w:rsidR="007C3D02" w:rsidRPr="009733D9" w:rsidRDefault="007C3D02" w:rsidP="001945C9">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1BB72DE1" w14:textId="77777777" w:rsidR="007C3D02" w:rsidRPr="009733D9" w:rsidRDefault="007C3D02" w:rsidP="007C3D02">
      <w:pPr>
        <w:spacing w:before="240" w:after="240"/>
        <w:ind w:left="720" w:hanging="720"/>
        <w:rPr>
          <w:iCs/>
        </w:rPr>
      </w:pPr>
      <w:r w:rsidRPr="009733D9">
        <w:rPr>
          <w:iCs/>
        </w:rPr>
        <w:t>(2)</w:t>
      </w:r>
      <w:r w:rsidRPr="009733D9">
        <w:rPr>
          <w:iCs/>
        </w:rPr>
        <w:tab/>
        <w:t>Prior to commissioning, Resources Entities will regularly update the data necessary for modeling.  These updates will reflect the best available information at the time submitted.</w:t>
      </w:r>
    </w:p>
    <w:p w14:paraId="5D67C590" w14:textId="77777777" w:rsidR="007C3D02" w:rsidRPr="009733D9" w:rsidRDefault="007C3D02" w:rsidP="007C3D02">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4331AC66" w14:textId="77777777" w:rsidTr="001945C9">
        <w:tc>
          <w:tcPr>
            <w:tcW w:w="9558" w:type="dxa"/>
            <w:shd w:val="pct12" w:color="auto" w:fill="auto"/>
          </w:tcPr>
          <w:p w14:paraId="71130152" w14:textId="77777777" w:rsidR="007C3D02" w:rsidRPr="009733D9" w:rsidRDefault="007C3D02" w:rsidP="001945C9">
            <w:pPr>
              <w:spacing w:before="120" w:after="240"/>
              <w:rPr>
                <w:b/>
                <w:i/>
                <w:iCs/>
                <w:szCs w:val="24"/>
              </w:rPr>
            </w:pPr>
            <w:r w:rsidRPr="009733D9">
              <w:rPr>
                <w:b/>
                <w:i/>
                <w:iCs/>
                <w:szCs w:val="24"/>
              </w:rPr>
              <w:lastRenderedPageBreak/>
              <w:t xml:space="preserve">[NPRR995:  Replace paragraph (3) above with the following upon system implementation:] </w:t>
            </w:r>
          </w:p>
          <w:p w14:paraId="0126A918" w14:textId="77777777" w:rsidR="007C3D02" w:rsidRPr="009733D9" w:rsidRDefault="007C3D02" w:rsidP="001945C9">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63AFA51D" w14:textId="77777777" w:rsidR="007C3D02" w:rsidRPr="009733D9" w:rsidRDefault="007C3D02" w:rsidP="007C3D02">
      <w:pPr>
        <w:spacing w:before="240" w:after="240"/>
        <w:ind w:left="720" w:hanging="720"/>
      </w:pPr>
      <w:r w:rsidRPr="009733D9">
        <w:t>(4)</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645E2997" w14:textId="77777777" w:rsidR="007C3D02" w:rsidRPr="009733D9" w:rsidRDefault="007C3D02" w:rsidP="007C3D02">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p>
    <w:p w14:paraId="0B6E80D1" w14:textId="77777777" w:rsidR="007C3D02" w:rsidRPr="009733D9" w:rsidRDefault="007C3D02" w:rsidP="007C3D02">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r w:rsidRPr="009733D9">
        <w:t>; or</w:t>
      </w:r>
    </w:p>
    <w:p w14:paraId="2950882D" w14:textId="77777777" w:rsidR="007C3D02" w:rsidRPr="009733D9" w:rsidRDefault="007C3D02" w:rsidP="007C3D02">
      <w:pPr>
        <w:spacing w:after="240"/>
        <w:ind w:left="1440" w:hanging="720"/>
      </w:pPr>
      <w:r w:rsidRPr="009733D9">
        <w:t>(c)</w:t>
      </w:r>
      <w:r w:rsidRPr="009733D9">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4D968505" w14:textId="77777777" w:rsidTr="001945C9">
        <w:tc>
          <w:tcPr>
            <w:tcW w:w="9558" w:type="dxa"/>
            <w:shd w:val="pct12" w:color="auto" w:fill="auto"/>
          </w:tcPr>
          <w:p w14:paraId="1184ED4F" w14:textId="77777777" w:rsidR="007C3D02" w:rsidRPr="009733D9" w:rsidRDefault="007C3D02" w:rsidP="001945C9">
            <w:pPr>
              <w:spacing w:before="120" w:after="240"/>
              <w:rPr>
                <w:b/>
                <w:i/>
                <w:iCs/>
                <w:szCs w:val="24"/>
              </w:rPr>
            </w:pPr>
            <w:r w:rsidRPr="009733D9">
              <w:rPr>
                <w:b/>
                <w:i/>
                <w:iCs/>
                <w:szCs w:val="24"/>
              </w:rPr>
              <w:t xml:space="preserve">[NPRR995:  Replace paragraph (4) above with the following upon system implementation:] </w:t>
            </w:r>
          </w:p>
          <w:p w14:paraId="3390A3B3" w14:textId="77777777" w:rsidR="007C3D02" w:rsidRPr="009733D9" w:rsidRDefault="007C3D02" w:rsidP="001945C9">
            <w:pPr>
              <w:spacing w:after="240"/>
              <w:ind w:left="720" w:hanging="720"/>
            </w:pPr>
            <w:r w:rsidRPr="009733D9">
              <w:t>(4)</w:t>
            </w:r>
            <w:r w:rsidRPr="009733D9">
              <w:tab/>
              <w:t xml:space="preserve">An Interconnecting Entity (IE) shall not proceed to Initial Synchronization of a Generation Resource, ESR, Settlement Only Transmission Generator (SOTG), </w:t>
            </w:r>
            <w:r w:rsidRPr="009733D9">
              <w:lastRenderedPageBreak/>
              <w:t>Settlement Only Transmission Self-Generator (SOTSG), or Settlement Only Transmission Energy Storage System (SOTESS) in the event of any of the following conditions:</w:t>
            </w:r>
          </w:p>
          <w:p w14:paraId="4EE4E61D" w14:textId="77777777" w:rsidR="007C3D02" w:rsidRPr="009733D9" w:rsidRDefault="007C3D02" w:rsidP="001945C9">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p>
          <w:p w14:paraId="3E5CC971" w14:textId="77777777" w:rsidR="007C3D02" w:rsidRPr="009733D9" w:rsidRDefault="007C3D02" w:rsidP="001945C9">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SOTSG, or SOTESS</w:t>
            </w:r>
            <w:r w:rsidRPr="009733D9">
              <w:t>; or</w:t>
            </w:r>
          </w:p>
          <w:p w14:paraId="08A8C4E7" w14:textId="77777777" w:rsidR="007C3D02" w:rsidRPr="009733D9" w:rsidRDefault="007C3D02" w:rsidP="001945C9">
            <w:pPr>
              <w:spacing w:after="240"/>
              <w:ind w:left="1440" w:hanging="720"/>
            </w:pPr>
            <w:r w:rsidRPr="009733D9">
              <w:t>(c)</w:t>
            </w:r>
            <w:r w:rsidRPr="009733D9">
              <w:tab/>
              <w:t>Any required Subsynchronous Resonance (SSR) studies, SSR Mitigation Plan, SSR Protection, and SSR monitoring if required, have not been completed and approved by ERCOT.</w:t>
            </w:r>
          </w:p>
        </w:tc>
      </w:tr>
    </w:tbl>
    <w:p w14:paraId="2279E603" w14:textId="77777777" w:rsidR="007C3D02" w:rsidRPr="009733D9" w:rsidRDefault="007C3D02" w:rsidP="007C3D02">
      <w:pPr>
        <w:spacing w:before="240" w:after="240"/>
        <w:ind w:left="720" w:hanging="720"/>
        <w:rPr>
          <w:iCs/>
        </w:rPr>
      </w:pPr>
      <w:r w:rsidRPr="009733D9">
        <w:rPr>
          <w:iCs/>
        </w:rPr>
        <w:lastRenderedPageBreak/>
        <w:t>(5)</w:t>
      </w:r>
      <w:r w:rsidRPr="009733D9">
        <w:rPr>
          <w:iCs/>
        </w:rPr>
        <w:tab/>
      </w:r>
      <w:r w:rsidRPr="009733D9">
        <w:t xml:space="preserve">DG with an installed capacity greater than one MW, the DG registration threshold, which exports energy into a Distribution System, must register with ERCOT.  </w:t>
      </w:r>
    </w:p>
    <w:p w14:paraId="24799D2A" w14:textId="77777777" w:rsidR="007C3D02" w:rsidRDefault="007C3D02" w:rsidP="007C3D02">
      <w:pPr>
        <w:pStyle w:val="BodyText"/>
        <w:ind w:left="720" w:hanging="720"/>
      </w:pPr>
      <w:r w:rsidRPr="009733D9">
        <w:rPr>
          <w:iCs w:val="0"/>
        </w:rPr>
        <w:t>(6)</w:t>
      </w:r>
      <w:r w:rsidRPr="009733D9">
        <w:rPr>
          <w:iCs w:val="0"/>
        </w:rPr>
        <w:tab/>
        <w:t>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are capable of treating an ESR as a single Resource.</w:t>
      </w:r>
      <w:r>
        <w:t xml:space="preserve"> </w:t>
      </w:r>
    </w:p>
    <w:p w14:paraId="271AF791" w14:textId="6179FB9E" w:rsidR="00FC1C5F" w:rsidRDefault="00727E32" w:rsidP="007C3D02">
      <w:pPr>
        <w:pStyle w:val="H3"/>
      </w:pPr>
      <w:bookmarkStart w:id="264" w:name="_Toc390438940"/>
      <w:bookmarkStart w:id="265" w:name="_Toc405897637"/>
      <w:bookmarkStart w:id="266" w:name="_Toc415055741"/>
      <w:bookmarkStart w:id="267" w:name="_Toc415055867"/>
      <w:bookmarkStart w:id="268" w:name="_Toc415055966"/>
      <w:bookmarkStart w:id="269" w:name="_Toc415056067"/>
      <w:bookmarkStart w:id="270" w:name="_Toc184623003"/>
      <w:r>
        <w:t>16.5.1</w:t>
      </w:r>
      <w:r>
        <w:tab/>
        <w:t>Technical and Managerial Requirements for Resource Entity Applicants</w:t>
      </w:r>
      <w:bookmarkEnd w:id="264"/>
      <w:bookmarkEnd w:id="265"/>
      <w:bookmarkEnd w:id="266"/>
      <w:bookmarkEnd w:id="267"/>
      <w:bookmarkEnd w:id="268"/>
      <w:bookmarkEnd w:id="269"/>
      <w:bookmarkEnd w:id="270"/>
    </w:p>
    <w:p w14:paraId="5098470C" w14:textId="77777777" w:rsidR="00FC1C5F" w:rsidRDefault="007B6516" w:rsidP="00D169BA">
      <w:pPr>
        <w:pStyle w:val="BodyText"/>
        <w:ind w:left="720" w:hanging="720"/>
      </w:pPr>
      <w:r>
        <w:t>(1)</w:t>
      </w:r>
      <w:r>
        <w:tab/>
      </w:r>
      <w:r w:rsidR="00727E32">
        <w:t>A Resource Entity applicant must:</w:t>
      </w:r>
    </w:p>
    <w:p w14:paraId="7CEA7B3C" w14:textId="77777777" w:rsidR="00FC1C5F" w:rsidRDefault="00727E32" w:rsidP="00D169BA">
      <w:pPr>
        <w:pStyle w:val="List"/>
      </w:pPr>
      <w:r>
        <w:t>(</w:t>
      </w:r>
      <w:r w:rsidR="007B6516">
        <w:t>a</w:t>
      </w:r>
      <w:r>
        <w:t>)</w:t>
      </w:r>
      <w:r>
        <w:tab/>
        <w:t>Be capable of complying with all policies, rules, guidelines, registration requirements, and procedures established by these Protocols, ERCOT, or other Independent Organizations, if applicable; and</w:t>
      </w:r>
    </w:p>
    <w:p w14:paraId="4A86B1DF" w14:textId="77777777" w:rsidR="00FC1C5F" w:rsidRDefault="00727E32" w:rsidP="00D169BA">
      <w:pPr>
        <w:pStyle w:val="List"/>
      </w:pPr>
      <w:r>
        <w:t>(</w:t>
      </w:r>
      <w:r w:rsidR="007B6516">
        <w:t>b</w:t>
      </w:r>
      <w:r>
        <w:t>)</w:t>
      </w:r>
      <w:r>
        <w:tab/>
        <w:t>Be capable of purchasing power from Entities registered with or by ERCOT or the Independent Organizations and capable of complying with its system rules.</w:t>
      </w:r>
    </w:p>
    <w:p w14:paraId="2C628244" w14:textId="77777777" w:rsidR="00FC1C5F" w:rsidRPr="00D63F95" w:rsidRDefault="00727E32">
      <w:pPr>
        <w:pStyle w:val="H4"/>
        <w:rPr>
          <w:b/>
        </w:rPr>
      </w:pPr>
      <w:bookmarkStart w:id="271" w:name="_Toc390438941"/>
      <w:bookmarkStart w:id="272" w:name="_Toc405897638"/>
      <w:bookmarkStart w:id="273" w:name="_Toc415055742"/>
      <w:bookmarkStart w:id="274" w:name="_Toc415055868"/>
      <w:bookmarkStart w:id="275" w:name="_Toc415055967"/>
      <w:bookmarkStart w:id="276" w:name="_Toc415056068"/>
      <w:bookmarkStart w:id="277" w:name="_Toc184623004"/>
      <w:r w:rsidRPr="00D63F95">
        <w:rPr>
          <w:b/>
        </w:rPr>
        <w:t>16.5.1.1</w:t>
      </w:r>
      <w:r w:rsidRPr="00D63F95">
        <w:rPr>
          <w:b/>
        </w:rPr>
        <w:tab/>
        <w:t>Designation of a Qualified Scheduling Entity</w:t>
      </w:r>
      <w:bookmarkEnd w:id="271"/>
      <w:bookmarkEnd w:id="272"/>
      <w:bookmarkEnd w:id="273"/>
      <w:bookmarkEnd w:id="274"/>
      <w:bookmarkEnd w:id="275"/>
      <w:bookmarkEnd w:id="276"/>
      <w:bookmarkEnd w:id="277"/>
    </w:p>
    <w:p w14:paraId="5A2C44C4" w14:textId="5FCF61B2" w:rsidR="00FC1C5F" w:rsidRDefault="00727E32" w:rsidP="000E3528">
      <w:pPr>
        <w:pStyle w:val="BodyTextNumbered"/>
      </w:pPr>
      <w:r>
        <w:t>(1)</w:t>
      </w:r>
      <w:r>
        <w:tab/>
        <w:t>Each Resource Entity applicant within the ERCOT Region shall designate the Qualified Scheduling Entity (QSE) that will</w:t>
      </w:r>
      <w:r w:rsidR="000E3528">
        <w:t xml:space="preserve"> perform QSE functions per these Protocol</w:t>
      </w:r>
      <w:r w:rsidR="00AC443B">
        <w:t>s</w:t>
      </w:r>
      <w:r w:rsidR="000E3528">
        <w:t xml:space="preserve"> on behalf of the Resource Entity</w:t>
      </w:r>
      <w:r>
        <w:t xml:space="preserve">.  Each applicant shall acknowledge that it bears sole responsibility for selecting and maintaining a QSE as its representative.  The applicant shall include a </w:t>
      </w:r>
      <w:r>
        <w:lastRenderedPageBreak/>
        <w:t>written statement from the designated QSE acknowledging that the QSE accepts responsibility for the applicant’s transactions pursuant to these Protocols.</w:t>
      </w:r>
      <w:r w:rsidR="000E3528">
        <w:t xml:space="preserve">  For the Resource Entity that owns or operates a Resource, the Resource Entity’s QSE designation must be submitted to ERCOT no later than 45 days prior to the Network Operations Model change date</w:t>
      </w:r>
      <w:r w:rsidR="000E3528" w:rsidRPr="00940B2B">
        <w:t xml:space="preserve">, </w:t>
      </w:r>
      <w:r w:rsidR="000E3528" w:rsidRPr="00940B2B">
        <w:rPr>
          <w:szCs w:val="24"/>
        </w:rPr>
        <w:t xml:space="preserve">as described in Section </w:t>
      </w:r>
      <w:bookmarkStart w:id="278" w:name="_Toc333405817"/>
      <w:bookmarkStart w:id="279" w:name="_Toc204048545"/>
      <w:bookmarkEnd w:id="278"/>
      <w:bookmarkEnd w:id="279"/>
      <w:r w:rsidR="000E3528" w:rsidRPr="00940B2B">
        <w:rPr>
          <w:szCs w:val="24"/>
        </w:rPr>
        <w:t xml:space="preserve">3.10.1, Time Line for Network Operations Model Changes, </w:t>
      </w:r>
      <w:r w:rsidR="000E3528" w:rsidRPr="00940B2B">
        <w:t>for</w:t>
      </w:r>
      <w:r w:rsidR="000E3528">
        <w:t xml:space="preserve"> the Resource.</w:t>
      </w:r>
    </w:p>
    <w:p w14:paraId="6F56F9C7" w14:textId="77777777" w:rsidR="00FC1C5F" w:rsidRDefault="00727E32" w:rsidP="000E3528">
      <w:pPr>
        <w:pStyle w:val="BodyTextNumbered"/>
      </w:pPr>
      <w:r>
        <w:t>(2)</w:t>
      </w:r>
      <w:r>
        <w:tab/>
      </w:r>
      <w:r w:rsidR="000E3528">
        <w:t xml:space="preserve">If a Resource Entity fails to maintain a QSE as its representative, the Resource Entity may be designated as an Emergency QSE as provided in Section </w:t>
      </w:r>
      <w:r w:rsidR="000E3528" w:rsidRPr="00C44315">
        <w:t>16.2.6.1, Designation as an Emergency Qualified Scheduling Entity or Virtual Qualified Scheduling Entity</w:t>
      </w:r>
      <w:r w:rsidR="000E3528">
        <w:t>.</w:t>
      </w:r>
    </w:p>
    <w:p w14:paraId="76B93AAE" w14:textId="77777777" w:rsidR="00FC1C5F" w:rsidRPr="00D63F95" w:rsidRDefault="00727E32">
      <w:pPr>
        <w:pStyle w:val="H4"/>
        <w:rPr>
          <w:b/>
        </w:rPr>
      </w:pPr>
      <w:bookmarkStart w:id="280" w:name="_Toc390438942"/>
      <w:bookmarkStart w:id="281" w:name="_Toc405897639"/>
      <w:bookmarkStart w:id="282" w:name="_Toc415055743"/>
      <w:bookmarkStart w:id="283" w:name="_Toc415055869"/>
      <w:bookmarkStart w:id="284" w:name="_Toc415055968"/>
      <w:bookmarkStart w:id="285" w:name="_Toc415056069"/>
      <w:bookmarkStart w:id="286" w:name="_Toc184623005"/>
      <w:r w:rsidRPr="00D63F95">
        <w:rPr>
          <w:b/>
        </w:rPr>
        <w:t>16.5.1.2</w:t>
      </w:r>
      <w:r w:rsidRPr="00D63F95">
        <w:rPr>
          <w:b/>
        </w:rPr>
        <w:tab/>
        <w:t>Waiver for Federal Hydroelectric Facilities</w:t>
      </w:r>
      <w:bookmarkEnd w:id="280"/>
      <w:bookmarkEnd w:id="281"/>
      <w:bookmarkEnd w:id="282"/>
      <w:bookmarkEnd w:id="283"/>
      <w:bookmarkEnd w:id="284"/>
      <w:bookmarkEnd w:id="285"/>
      <w:bookmarkEnd w:id="286"/>
    </w:p>
    <w:p w14:paraId="3B0D1AED" w14:textId="0AA29697" w:rsidR="00CB766B" w:rsidRPr="001E138D" w:rsidRDefault="00CB766B" w:rsidP="00CB766B">
      <w:pPr>
        <w:spacing w:after="240"/>
        <w:ind w:left="720" w:hanging="720"/>
        <w:rPr>
          <w:iCs/>
        </w:rPr>
      </w:pPr>
      <w:r w:rsidRPr="001E138D">
        <w:rPr>
          <w:iCs/>
        </w:rPr>
        <w:t>(1)</w:t>
      </w:r>
      <w:r w:rsidRPr="001E138D">
        <w:rPr>
          <w:iCs/>
        </w:rPr>
        <w:tab/>
        <w:t xml:space="preserve">ERCOT may grant a waiver to any federally owned hydroelectric </w:t>
      </w:r>
      <w:r>
        <w:rPr>
          <w:iCs/>
        </w:rPr>
        <w:t>Generation Resource, SOG, or Load Resource</w:t>
      </w:r>
      <w:r w:rsidRPr="001E138D">
        <w:rPr>
          <w:iCs/>
        </w:rPr>
        <w:t xml:space="preserve"> within the ERCOT System from fulfilling the requirements in </w:t>
      </w:r>
      <w:r w:rsidRPr="0032725A">
        <w:rPr>
          <w:iCs/>
        </w:rPr>
        <w:t>Section 16.5</w:t>
      </w:r>
      <w:r w:rsidRPr="001E138D">
        <w:rPr>
          <w:iCs/>
        </w:rPr>
        <w:t xml:space="preserve">, Registration of a Resource Entity, as they pertain to the submission of a Resource Entity application and the execution of a </w:t>
      </w:r>
      <w:r w:rsidR="00081A43">
        <w:rPr>
          <w:iCs/>
        </w:rPr>
        <w:t xml:space="preserve">Standard Form </w:t>
      </w:r>
      <w:r w:rsidRPr="001E138D">
        <w:rPr>
          <w:iCs/>
        </w:rPr>
        <w:t>Market Participant Agreement (</w:t>
      </w:r>
      <w:r w:rsidRPr="0032725A">
        <w:rPr>
          <w:iCs/>
        </w:rPr>
        <w:t>Section 22, Attachment A</w:t>
      </w:r>
      <w:r w:rsidRPr="001E138D">
        <w:rPr>
          <w:iCs/>
        </w:rPr>
        <w:t>, Standard Form Market Participant Agreement).  ERCOT may grant such waiver after the federally owned hydroelectric Resource Entity provides ERCOT with the following:</w:t>
      </w:r>
    </w:p>
    <w:p w14:paraId="00CEB75D" w14:textId="77777777" w:rsidR="00CB766B" w:rsidRPr="001E138D" w:rsidRDefault="00CB766B" w:rsidP="00CB766B">
      <w:pPr>
        <w:spacing w:after="240"/>
        <w:ind w:left="1440" w:hanging="720"/>
      </w:pPr>
      <w:r w:rsidRPr="001E138D">
        <w:t>(a)</w:t>
      </w:r>
      <w:r w:rsidRPr="001E138D">
        <w:tab/>
        <w:t>All information necessary to meet the Resource Entity registration requirements as provided in this Section;</w:t>
      </w:r>
    </w:p>
    <w:p w14:paraId="155D2648" w14:textId="77777777" w:rsidR="00CB766B" w:rsidRDefault="00CB766B" w:rsidP="00CB766B">
      <w:pPr>
        <w:spacing w:after="240"/>
        <w:ind w:left="1440" w:hanging="720"/>
      </w:pPr>
      <w:r w:rsidRPr="001E138D">
        <w:t>(b)</w:t>
      </w:r>
      <w:r w:rsidRPr="001E138D">
        <w:tab/>
        <w:t xml:space="preserve">The designation of a </w:t>
      </w:r>
      <w:r w:rsidRPr="0032725A">
        <w:t>QSE</w:t>
      </w:r>
      <w:r w:rsidRPr="001E138D">
        <w:t xml:space="preserve"> for each </w:t>
      </w:r>
      <w:r>
        <w:rPr>
          <w:iCs/>
        </w:rPr>
        <w:t>Generation Resource, SOG, or Load Resource</w:t>
      </w:r>
      <w:r w:rsidRPr="001E138D">
        <w:t xml:space="preserve"> that it owns or controls; and</w:t>
      </w:r>
    </w:p>
    <w:p w14:paraId="1ED97B23" w14:textId="16B398B2" w:rsidR="00FC1C5F" w:rsidRDefault="00CB766B">
      <w:pPr>
        <w:pStyle w:val="List"/>
      </w:pPr>
      <w:r w:rsidRPr="001E138D">
        <w:t>(c)</w:t>
      </w:r>
      <w:r w:rsidRPr="001E138D">
        <w:tab/>
        <w:t xml:space="preserve">Assignment of each </w:t>
      </w:r>
      <w:r>
        <w:t>Generation Resource’s, SOG’s, or Load Resource’s</w:t>
      </w:r>
      <w:r w:rsidRPr="001E138D">
        <w:t xml:space="preserve"> Electric Service Identifier (ESI ID) to a Load Serving Entity (LSE) serving any Load or net Load, if the </w:t>
      </w:r>
      <w:r>
        <w:t>Generation Resource, SOG, or Load Resource</w:t>
      </w:r>
      <w:r w:rsidRPr="001E138D">
        <w:t xml:space="preserve"> is net metered and will be connected to the ERCOT System.  Such Load, if retail Load, is subject to all applicable rules and procedures, including rules concerning disconnection and Provider of Last Resort (POLR) service, applicable to other retail points of delivery.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F27BC" w14:paraId="45E6A4ED" w14:textId="77777777" w:rsidTr="008552F8">
        <w:tc>
          <w:tcPr>
            <w:tcW w:w="9558" w:type="dxa"/>
            <w:shd w:val="pct12" w:color="auto" w:fill="auto"/>
          </w:tcPr>
          <w:p w14:paraId="40D1DE84" w14:textId="04059C09" w:rsidR="00DF27BC" w:rsidRPr="0002450E" w:rsidRDefault="00DF27BC" w:rsidP="008552F8">
            <w:pPr>
              <w:pStyle w:val="Instructions"/>
              <w:spacing w:before="120"/>
              <w:rPr>
                <w:iCs/>
              </w:rPr>
            </w:pPr>
            <w:bookmarkStart w:id="287" w:name="_Toc390438943"/>
            <w:bookmarkStart w:id="288" w:name="_Toc405897640"/>
            <w:bookmarkStart w:id="289" w:name="_Toc415055744"/>
            <w:bookmarkStart w:id="290" w:name="_Toc415055870"/>
            <w:bookmarkStart w:id="291" w:name="_Toc415055969"/>
            <w:bookmarkStart w:id="292" w:name="_Toc415056070"/>
            <w:r>
              <w:rPr>
                <w:iCs/>
              </w:rPr>
              <w:t>[NPRR995</w:t>
            </w:r>
            <w:r w:rsidRPr="0002450E">
              <w:rPr>
                <w:iCs/>
              </w:rPr>
              <w:t xml:space="preserve">:  Replace </w:t>
            </w:r>
            <w:r>
              <w:rPr>
                <w:iCs/>
              </w:rPr>
              <w:t xml:space="preserve">paragraph (1) </w:t>
            </w:r>
            <w:r w:rsidRPr="0002450E">
              <w:rPr>
                <w:iCs/>
              </w:rPr>
              <w:t xml:space="preserve">above with the following upon system implementation:] </w:t>
            </w:r>
          </w:p>
          <w:p w14:paraId="0DEF59F3" w14:textId="77777777" w:rsidR="00DF27BC" w:rsidRPr="007405C8" w:rsidRDefault="00DF27BC" w:rsidP="00DF27BC">
            <w:pPr>
              <w:spacing w:after="240"/>
              <w:ind w:left="720" w:hanging="720"/>
              <w:rPr>
                <w:iCs/>
              </w:rPr>
            </w:pPr>
            <w:r w:rsidRPr="007405C8">
              <w:rPr>
                <w:iCs/>
              </w:rPr>
              <w:t>(1)</w:t>
            </w:r>
            <w:r w:rsidRPr="007405C8">
              <w:rPr>
                <w:iCs/>
              </w:rPr>
              <w:tab/>
              <w:t xml:space="preserve">ERCOT may grant a waiver to any federally owned hydroelectric Generation Resource, SOG, </w:t>
            </w:r>
            <w:r>
              <w:rPr>
                <w:iCs/>
              </w:rPr>
              <w:t xml:space="preserve">SOESS, </w:t>
            </w:r>
            <w:r w:rsidRPr="007405C8">
              <w:rPr>
                <w:iCs/>
              </w:rPr>
              <w:t xml:space="preserve">or Load Resource within the ERCOT System from fulfilling the requirements in Section 16.5, Registration of a Resource Entity, as they pertain to the submission of a Resource Entity application and the execution of a </w:t>
            </w:r>
            <w:r w:rsidRPr="005D4CCB">
              <w:rPr>
                <w:iCs/>
              </w:rPr>
              <w:t xml:space="preserve">Standard Form </w:t>
            </w:r>
            <w:r w:rsidRPr="007405C8">
              <w:rPr>
                <w:iCs/>
              </w:rPr>
              <w:t>Market Participant Agreement (Section 22, Attachment A, Standard Form Market Participant Agreement).  ERCOT may grant such waiver after the federally owned hydroelectric Resource Entity provides ERCOT with the following:</w:t>
            </w:r>
          </w:p>
          <w:p w14:paraId="325A66B1" w14:textId="77777777" w:rsidR="00DF27BC" w:rsidRPr="007405C8" w:rsidRDefault="00DF27BC" w:rsidP="00DF27BC">
            <w:pPr>
              <w:spacing w:after="240"/>
              <w:ind w:left="1440" w:hanging="720"/>
            </w:pPr>
            <w:r w:rsidRPr="007405C8">
              <w:lastRenderedPageBreak/>
              <w:t>(a)</w:t>
            </w:r>
            <w:r w:rsidRPr="007405C8">
              <w:tab/>
              <w:t>All information necessary to meet the Resource Entity registration requirements as provided in this Section;</w:t>
            </w:r>
          </w:p>
          <w:p w14:paraId="51225C9B" w14:textId="77777777" w:rsidR="00DF27BC" w:rsidRPr="007405C8" w:rsidRDefault="00DF27BC" w:rsidP="00DF27BC">
            <w:pPr>
              <w:spacing w:after="240"/>
              <w:ind w:left="1440" w:hanging="720"/>
            </w:pPr>
            <w:r w:rsidRPr="007405C8">
              <w:t>(b)</w:t>
            </w:r>
            <w:r w:rsidRPr="007405C8">
              <w:tab/>
              <w:t xml:space="preserve">The designation of a QSE for each </w:t>
            </w:r>
            <w:r w:rsidRPr="007405C8">
              <w:rPr>
                <w:iCs/>
              </w:rPr>
              <w:t xml:space="preserve">Generation Resource, SOG, </w:t>
            </w:r>
            <w:r>
              <w:rPr>
                <w:iCs/>
              </w:rPr>
              <w:t xml:space="preserve">SOESS, </w:t>
            </w:r>
            <w:r w:rsidRPr="007405C8">
              <w:rPr>
                <w:iCs/>
              </w:rPr>
              <w:t>or Load Resource</w:t>
            </w:r>
            <w:r w:rsidRPr="007405C8">
              <w:t xml:space="preserve"> that it owns or controls; and</w:t>
            </w:r>
          </w:p>
          <w:p w14:paraId="4E5249D1" w14:textId="5F3BD9BE" w:rsidR="00DF27BC" w:rsidRPr="008D69E1" w:rsidRDefault="00DF27BC" w:rsidP="00DF27BC">
            <w:pPr>
              <w:spacing w:after="240"/>
              <w:ind w:left="1440" w:hanging="720"/>
            </w:pPr>
            <w:r w:rsidRPr="007405C8">
              <w:t>(c)</w:t>
            </w:r>
            <w:r w:rsidRPr="007405C8">
              <w:tab/>
              <w:t xml:space="preserve">Assignment of each Generation Resource’s, SOG’s, </w:t>
            </w:r>
            <w:r>
              <w:rPr>
                <w:iCs/>
              </w:rPr>
              <w:t xml:space="preserve">SOESS’s, </w:t>
            </w:r>
            <w:r w:rsidRPr="007405C8">
              <w:t xml:space="preserve">or Load Resource’s Electric Service Identifier (ESI ID) to a Load Serving Entity (LSE) serving any Load or net Load, if the Generation Resource, SOG, </w:t>
            </w:r>
            <w:r>
              <w:rPr>
                <w:iCs/>
              </w:rPr>
              <w:t xml:space="preserve">SOESS, </w:t>
            </w:r>
            <w:r w:rsidRPr="007405C8">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tc>
      </w:tr>
    </w:tbl>
    <w:p w14:paraId="604FAA6B" w14:textId="77777777" w:rsidR="00FC1C5F" w:rsidRPr="00D63F95" w:rsidRDefault="00727E32" w:rsidP="00C33516">
      <w:pPr>
        <w:pStyle w:val="H4"/>
        <w:keepNext w:val="0"/>
        <w:spacing w:before="480"/>
        <w:rPr>
          <w:b/>
        </w:rPr>
      </w:pPr>
      <w:bookmarkStart w:id="293" w:name="_Toc184623006"/>
      <w:r w:rsidRPr="00D63F95">
        <w:rPr>
          <w:b/>
        </w:rPr>
        <w:lastRenderedPageBreak/>
        <w:t>16.5.1.3</w:t>
      </w:r>
      <w:r w:rsidRPr="00D63F95">
        <w:rPr>
          <w:b/>
        </w:rPr>
        <w:tab/>
        <w:t>Waiver for Block Load Transfer Resources</w:t>
      </w:r>
      <w:bookmarkEnd w:id="287"/>
      <w:bookmarkEnd w:id="288"/>
      <w:bookmarkEnd w:id="289"/>
      <w:bookmarkEnd w:id="290"/>
      <w:bookmarkEnd w:id="291"/>
      <w:bookmarkEnd w:id="292"/>
      <w:bookmarkEnd w:id="293"/>
    </w:p>
    <w:p w14:paraId="6B49AF46" w14:textId="600A68CB" w:rsidR="00FC1C5F" w:rsidRDefault="00853D39" w:rsidP="009F10FE">
      <w:pPr>
        <w:pStyle w:val="ListIntroduction"/>
        <w:keepNext w:val="0"/>
        <w:ind w:left="720" w:hanging="720"/>
      </w:pPr>
      <w:r>
        <w:rPr>
          <w:lang w:val="en-US"/>
        </w:rPr>
        <w:t>(1)</w:t>
      </w:r>
      <w:r>
        <w:rPr>
          <w:lang w:val="en-US"/>
        </w:rPr>
        <w:tab/>
      </w:r>
      <w:r w:rsidR="00727E32">
        <w:t>ERCOT may grant a waiver to a Resource Entity for a Block Load Transfer (</w:t>
      </w:r>
      <w:smartTag w:uri="urn:schemas-microsoft-com:office:smarttags" w:element="stockticker">
        <w:r w:rsidR="00727E32">
          <w:t>BLT</w:t>
        </w:r>
      </w:smartTag>
      <w:r w:rsidR="00727E32">
        <w:t xml:space="preserve">) Resource from fulfilling the requirements in Section 16.5, Registration of a Resource Entity, as they pertain to the submission of a Resource Entity application and the execution of a </w:t>
      </w:r>
      <w:r w:rsidR="00081A43">
        <w:rPr>
          <w:lang w:val="en-US"/>
        </w:rPr>
        <w:t xml:space="preserve">Standard Form </w:t>
      </w:r>
      <w:r w:rsidR="00727E32">
        <w:t>Market Participant Agreement (Section 22, Attachment A, Standard Form Market Participant Agreement).  ERCOT may grant such waiver after the Resource Entity for the BLT Resource provides ERCOT with the following:</w:t>
      </w:r>
    </w:p>
    <w:p w14:paraId="04D5F98F" w14:textId="77777777" w:rsidR="00FC1C5F" w:rsidRDefault="00727E32">
      <w:pPr>
        <w:pStyle w:val="List"/>
      </w:pPr>
      <w:r>
        <w:t>(a)</w:t>
      </w:r>
      <w:r>
        <w:tab/>
        <w:t>All applicable information necessary to meet the Resource Entity registration requirements as provided in this Section; and</w:t>
      </w:r>
    </w:p>
    <w:p w14:paraId="1FD3906F" w14:textId="77777777" w:rsidR="00FC1C5F" w:rsidRDefault="00727E32">
      <w:pPr>
        <w:pStyle w:val="List"/>
      </w:pPr>
      <w:r>
        <w:t>(b)</w:t>
      </w:r>
      <w:r>
        <w:tab/>
        <w:t>The designation of a QSE for the BLT Resource.</w:t>
      </w:r>
    </w:p>
    <w:p w14:paraId="1258AF9E" w14:textId="77777777" w:rsidR="00FC1C5F" w:rsidRDefault="00727E32">
      <w:pPr>
        <w:pStyle w:val="H3"/>
      </w:pPr>
      <w:bookmarkStart w:id="294" w:name="_Toc390438944"/>
      <w:bookmarkStart w:id="295" w:name="_Toc405897641"/>
      <w:bookmarkStart w:id="296" w:name="_Toc415055745"/>
      <w:bookmarkStart w:id="297" w:name="_Toc415055871"/>
      <w:bookmarkStart w:id="298" w:name="_Toc415055970"/>
      <w:bookmarkStart w:id="299" w:name="_Toc415056071"/>
      <w:bookmarkStart w:id="300" w:name="_Toc184623007"/>
      <w:r>
        <w:t>16.5.2</w:t>
      </w:r>
      <w:r>
        <w:tab/>
        <w:t>Registration Process for a Resource Entity</w:t>
      </w:r>
      <w:bookmarkEnd w:id="294"/>
      <w:bookmarkEnd w:id="295"/>
      <w:bookmarkEnd w:id="296"/>
      <w:bookmarkEnd w:id="297"/>
      <w:bookmarkEnd w:id="298"/>
      <w:bookmarkEnd w:id="299"/>
      <w:bookmarkEnd w:id="300"/>
    </w:p>
    <w:p w14:paraId="6F560A33" w14:textId="42BA5B96" w:rsidR="00FC1C5F" w:rsidRDefault="00727E32">
      <w:pPr>
        <w:pStyle w:val="BodyTextNumbered"/>
      </w:pPr>
      <w:r>
        <w:t>(1)</w:t>
      </w:r>
      <w:r>
        <w:tab/>
        <w:t xml:space="preserve">To register as a Resource Entity, an applicant must submit to ERCOT a completed Resource Entity application and any applicable fee.  ERCOT shall post on the </w:t>
      </w:r>
      <w:r w:rsidR="00F13002">
        <w:t>ERCOT website</w:t>
      </w:r>
      <w:r>
        <w:t xml:space="preserve"> the form in which Resource Entity applications must be submitted, all materials that must be provided with the Resource Entity application.  </w:t>
      </w:r>
    </w:p>
    <w:p w14:paraId="52D24382" w14:textId="02586762" w:rsidR="00FC1C5F" w:rsidRDefault="00727E32">
      <w:pPr>
        <w:pStyle w:val="BodyTextNumbered"/>
      </w:pPr>
      <w:r>
        <w:t>(2)</w:t>
      </w:r>
      <w:r>
        <w:tab/>
        <w:t xml:space="preserve">The Resource Entity application must be attested to by a duly authorized officer or agent of the applicant.  The applicant shall promptly notify ERCOT of any material changes affecting a pending Resource Entity application using the appropriate form posted on the </w:t>
      </w:r>
      <w:r w:rsidR="00F13002">
        <w:t>ERCOT website</w:t>
      </w:r>
      <w:r>
        <w:t xml:space="preserve">.  </w:t>
      </w:r>
    </w:p>
    <w:p w14:paraId="6774AB2A" w14:textId="77777777" w:rsidR="004E6267" w:rsidRDefault="004E6267">
      <w:pPr>
        <w:pStyle w:val="BodyTextNumbered"/>
      </w:pPr>
      <w:r>
        <w:t>(3)</w:t>
      </w:r>
      <w:r>
        <w:tab/>
        <w:t xml:space="preserve">If the Resource Entity intends to own or control a Load Resource located within a Non-Opt-In Entity’s (NOIE’s) service territory, such applicant must designate the NOIE’s QSE, or an alternate QSE authorized by the NOIE.  If an alternate QSE is designated, then such QSE representing that Load Resource must first obtain written permission from </w:t>
      </w:r>
      <w:r>
        <w:lastRenderedPageBreak/>
        <w:t>the NOIE prior to offering any services in the NOIE’s service territory.  The alternate QSE shall submit the NOIE’s written permission to ERCOT at the time of designation.</w:t>
      </w:r>
    </w:p>
    <w:p w14:paraId="01D75B67" w14:textId="77777777" w:rsidR="00FC1C5F" w:rsidRPr="00D63F95" w:rsidRDefault="00727E32">
      <w:pPr>
        <w:pStyle w:val="H4"/>
        <w:rPr>
          <w:b/>
        </w:rPr>
      </w:pPr>
      <w:bookmarkStart w:id="301" w:name="_Toc390438945"/>
      <w:bookmarkStart w:id="302" w:name="_Toc405897642"/>
      <w:bookmarkStart w:id="303" w:name="_Toc415055746"/>
      <w:bookmarkStart w:id="304" w:name="_Toc415055872"/>
      <w:bookmarkStart w:id="305" w:name="_Toc415055971"/>
      <w:bookmarkStart w:id="306" w:name="_Toc415056072"/>
      <w:bookmarkStart w:id="307" w:name="_Toc184623008"/>
      <w:r w:rsidRPr="00D63F95">
        <w:rPr>
          <w:b/>
        </w:rPr>
        <w:t>16.5.2.1</w:t>
      </w:r>
      <w:r w:rsidRPr="00D63F95">
        <w:rPr>
          <w:b/>
        </w:rPr>
        <w:tab/>
        <w:t>Notice of Receipt of Resource Entity Application</w:t>
      </w:r>
      <w:bookmarkEnd w:id="301"/>
      <w:bookmarkEnd w:id="302"/>
      <w:bookmarkEnd w:id="303"/>
      <w:bookmarkEnd w:id="304"/>
      <w:bookmarkEnd w:id="305"/>
      <w:bookmarkEnd w:id="306"/>
      <w:bookmarkEnd w:id="307"/>
    </w:p>
    <w:p w14:paraId="3DDA3C89" w14:textId="77777777" w:rsidR="00FC1C5F" w:rsidRDefault="00853D39" w:rsidP="009F10FE">
      <w:pPr>
        <w:pStyle w:val="BodyText"/>
        <w:ind w:left="720" w:hanging="720"/>
      </w:pPr>
      <w:r>
        <w:t>(1)</w:t>
      </w:r>
      <w:r>
        <w:tab/>
      </w:r>
      <w:r w:rsidR="00727E32">
        <w:t>Within three Business Days after receiving a Resource Entity application, ERCOT shall issue the Resource Entity applicant a written confirmation that ERCOT has received the application.  ERCOT shall return without review any Resource Entity application that is not complete.</w:t>
      </w:r>
    </w:p>
    <w:p w14:paraId="78511D80" w14:textId="77777777" w:rsidR="00FC1C5F" w:rsidRPr="00D63F95" w:rsidRDefault="00727E32">
      <w:pPr>
        <w:pStyle w:val="H4"/>
        <w:rPr>
          <w:b/>
        </w:rPr>
      </w:pPr>
      <w:bookmarkStart w:id="308" w:name="_Toc390438946"/>
      <w:bookmarkStart w:id="309" w:name="_Toc405897643"/>
      <w:bookmarkStart w:id="310" w:name="_Toc415055747"/>
      <w:bookmarkStart w:id="311" w:name="_Toc415055873"/>
      <w:bookmarkStart w:id="312" w:name="_Toc415055972"/>
      <w:bookmarkStart w:id="313" w:name="_Toc415056073"/>
      <w:bookmarkStart w:id="314" w:name="_Toc184623009"/>
      <w:r w:rsidRPr="00D63F95">
        <w:rPr>
          <w:b/>
        </w:rPr>
        <w:t>16.5.2.2</w:t>
      </w:r>
      <w:r w:rsidRPr="00D63F95">
        <w:rPr>
          <w:b/>
        </w:rPr>
        <w:tab/>
        <w:t>Incomplete Resource Entity Applications</w:t>
      </w:r>
      <w:bookmarkEnd w:id="308"/>
      <w:bookmarkEnd w:id="309"/>
      <w:bookmarkEnd w:id="310"/>
      <w:bookmarkEnd w:id="311"/>
      <w:bookmarkEnd w:id="312"/>
      <w:bookmarkEnd w:id="313"/>
      <w:bookmarkEnd w:id="314"/>
    </w:p>
    <w:p w14:paraId="5AE59E27" w14:textId="77777777" w:rsidR="00FC1C5F" w:rsidRDefault="00727E32">
      <w:pPr>
        <w:pStyle w:val="BodyTextNumbered"/>
      </w:pPr>
      <w:r>
        <w:t>(1)</w:t>
      </w:r>
      <w:r>
        <w:tab/>
        <w:t>Not more than ten Business Days after receiving a Resource Entity application, ERCOT shall notify the applicant in writing whether the application is complete.</w:t>
      </w:r>
    </w:p>
    <w:p w14:paraId="35F11250" w14:textId="77777777" w:rsidR="00FC1C5F" w:rsidRDefault="00727E32">
      <w:pPr>
        <w:pStyle w:val="BodyTextNumbered"/>
      </w:pPr>
      <w:r>
        <w:t>(2)</w:t>
      </w:r>
      <w:r>
        <w:tab/>
        <w:t xml:space="preserve">If ERCOT determines that a Resource Entity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 </w:t>
      </w:r>
    </w:p>
    <w:p w14:paraId="7C586039" w14:textId="77777777" w:rsidR="00FC1C5F" w:rsidRDefault="00727E32">
      <w:pPr>
        <w:pStyle w:val="BodyTextNumbered"/>
      </w:pPr>
      <w:r>
        <w:t>(3)</w:t>
      </w:r>
      <w:r>
        <w:tab/>
        <w:t>If the applicant does not timely respond to ERCOT’s notice, then the application must be rejected, and ERCOT shall retain any application fee included with the application.</w:t>
      </w:r>
    </w:p>
    <w:p w14:paraId="657070C0" w14:textId="77777777" w:rsidR="00FC1C5F" w:rsidRDefault="00727E32">
      <w:pPr>
        <w:pStyle w:val="BodyText"/>
        <w:ind w:left="720" w:hanging="720"/>
        <w:rPr>
          <w:b/>
        </w:rPr>
      </w:pPr>
      <w:r>
        <w:rPr>
          <w:b/>
        </w:rPr>
        <w:t>16.5.2.3</w:t>
      </w:r>
      <w:r>
        <w:rPr>
          <w:b/>
        </w:rPr>
        <w:tab/>
        <w:t>ERCOT Approval or Rejection of a Resource Entity Application</w:t>
      </w:r>
    </w:p>
    <w:p w14:paraId="25A2744E" w14:textId="77777777" w:rsidR="00FC1C5F" w:rsidRDefault="00727E32">
      <w:pPr>
        <w:pStyle w:val="BodyTextNumbered"/>
      </w:pPr>
      <w:r>
        <w:t>(1)</w:t>
      </w:r>
      <w:r>
        <w:tab/>
        <w:t>ERCOT may reject a Resource Entity application within ten Business Days after the application has been deemed complete in accordance with this Section.  If ERCOT does not reject the Resource Entity application within ten Business Days after the application is deemed complete then the application is deemed approved.</w:t>
      </w:r>
    </w:p>
    <w:p w14:paraId="6454A628" w14:textId="77777777" w:rsidR="00FC1C5F" w:rsidRDefault="00727E32">
      <w:pPr>
        <w:pStyle w:val="BodyTextNumbered"/>
      </w:pPr>
      <w:r>
        <w:t>(2)</w:t>
      </w:r>
      <w:r>
        <w:tab/>
        <w:t>If ERCOT rejects a Resource Entity application, ERCOT shall send the Resource Entity applicant a rejection letter explaining the grounds upon which ERCOT rejected the Resource Entity application.  Appropriate grounds for rejecting a Resource Entity application include the following:</w:t>
      </w:r>
    </w:p>
    <w:p w14:paraId="1E7733DC" w14:textId="77777777" w:rsidR="00FC1C5F" w:rsidRDefault="00727E32">
      <w:pPr>
        <w:pStyle w:val="List"/>
      </w:pPr>
      <w:r>
        <w:t>(a)</w:t>
      </w:r>
      <w:r>
        <w:tab/>
        <w:t>Required information is not provided to ERCOT in the allotted time;</w:t>
      </w:r>
    </w:p>
    <w:p w14:paraId="5E0D44E7" w14:textId="77777777" w:rsidR="00FC1C5F" w:rsidRDefault="00727E32">
      <w:pPr>
        <w:pStyle w:val="List"/>
      </w:pPr>
      <w:r>
        <w:t>(b)</w:t>
      </w:r>
      <w:r>
        <w:tab/>
        <w:t>Noncompliance with technical requirements; and</w:t>
      </w:r>
    </w:p>
    <w:p w14:paraId="3E1944C9" w14:textId="77777777" w:rsidR="00FC1C5F" w:rsidRDefault="00727E32">
      <w:pPr>
        <w:pStyle w:val="List"/>
      </w:pPr>
      <w:r>
        <w:t>(c)</w:t>
      </w:r>
      <w:r>
        <w:tab/>
        <w:t>Noncompliance with other specific eligibility requirements set forth in this Section or in any other part of these Protocols.</w:t>
      </w:r>
    </w:p>
    <w:p w14:paraId="6A7097F4" w14:textId="77777777" w:rsidR="00FC1C5F" w:rsidRDefault="00727E32">
      <w:pPr>
        <w:pStyle w:val="BodyTextNumbered"/>
      </w:pPr>
      <w:r>
        <w:lastRenderedPageBreak/>
        <w:t>(3)</w:t>
      </w:r>
      <w:r>
        <w:tab/>
        <w:t>Not later than ten Business Days after receiving a rejection letter, the Resource Entity applicant may challenge the rejection of its Resource Entity application using the dispute resolution procedures set forth in Section 20, Alternative Dispute Resolution Procedure.  The applicant may submit a new Resource Entity application and fee at any time, and ERCOT shall process the new Resource Entity application under this Section.</w:t>
      </w:r>
    </w:p>
    <w:p w14:paraId="7C8249AC" w14:textId="77777777" w:rsidR="00FC1C5F" w:rsidRDefault="00727E32">
      <w:pPr>
        <w:pStyle w:val="H3"/>
      </w:pPr>
      <w:bookmarkStart w:id="315" w:name="_Toc71369193"/>
      <w:bookmarkStart w:id="316" w:name="_Toc71539409"/>
      <w:bookmarkStart w:id="317" w:name="_Toc390438947"/>
      <w:bookmarkStart w:id="318" w:name="_Toc405897644"/>
      <w:bookmarkStart w:id="319" w:name="_Toc415055748"/>
      <w:bookmarkStart w:id="320" w:name="_Toc415055874"/>
      <w:bookmarkStart w:id="321" w:name="_Toc415055973"/>
      <w:bookmarkStart w:id="322" w:name="_Toc415056074"/>
      <w:bookmarkStart w:id="323" w:name="_Toc184623010"/>
      <w:r>
        <w:t>16.5.3</w:t>
      </w:r>
      <w:r>
        <w:tab/>
        <w:t>Changing QSE Designation</w:t>
      </w:r>
      <w:bookmarkEnd w:id="315"/>
      <w:bookmarkEnd w:id="316"/>
      <w:bookmarkEnd w:id="317"/>
      <w:bookmarkEnd w:id="318"/>
      <w:bookmarkEnd w:id="319"/>
      <w:bookmarkEnd w:id="320"/>
      <w:bookmarkEnd w:id="321"/>
      <w:bookmarkEnd w:id="322"/>
      <w:bookmarkEnd w:id="323"/>
    </w:p>
    <w:p w14:paraId="2D514A1D" w14:textId="77777777" w:rsidR="00FC1C5F" w:rsidRDefault="00727E32">
      <w:pPr>
        <w:pStyle w:val="BodyTextNumbered"/>
      </w:pPr>
      <w:r>
        <w:t>(1)</w:t>
      </w:r>
      <w:r>
        <w:tab/>
        <w:t xml:space="preserve">A Resource Entity may change its designation of QSE </w:t>
      </w:r>
      <w:r w:rsidR="00F97889">
        <w:t>with written notice to ERCOT</w:t>
      </w:r>
      <w:r w:rsidR="000E3528">
        <w:t>, no more than once in any consecutive three days</w:t>
      </w:r>
      <w:r w:rsidR="00F97889">
        <w:t>.</w:t>
      </w:r>
      <w:r>
        <w:t xml:space="preserve">  </w:t>
      </w:r>
    </w:p>
    <w:p w14:paraId="2295137A" w14:textId="31E3C1A2" w:rsidR="000E3528" w:rsidRPr="00530E2D" w:rsidRDefault="00727E32" w:rsidP="000E3528">
      <w:pPr>
        <w:pStyle w:val="BodyTextNumbered"/>
        <w:rPr>
          <w:szCs w:val="24"/>
        </w:rPr>
      </w:pPr>
      <w:r>
        <w:t>(2)</w:t>
      </w:r>
      <w:r>
        <w:tab/>
      </w:r>
      <w:r w:rsidR="000E3528" w:rsidRPr="00530E2D">
        <w:rPr>
          <w:szCs w:val="24"/>
        </w:rPr>
        <w:t xml:space="preserve">If a Resource Entity’s representation by a QSE will terminate or the Resource Entity intends to be represented by a different QSE, the Resource Entity shall provide the name of the newly designated QSE to ERCOT along with </w:t>
      </w:r>
      <w:r>
        <w:t xml:space="preserve">a written statement from the </w:t>
      </w:r>
      <w:r w:rsidR="00F97889">
        <w:t xml:space="preserve">newly </w:t>
      </w:r>
      <w:r>
        <w:t>designated QSE acknowledging the QSE</w:t>
      </w:r>
      <w:r w:rsidR="000E3528">
        <w:t xml:space="preserve">’s agreement to </w:t>
      </w:r>
      <w:r>
        <w:t>accept responsibility for the Resource Entity’s transactions under these Protocols.</w:t>
      </w:r>
      <w:r w:rsidR="00F97889">
        <w:t xml:space="preserve">  </w:t>
      </w:r>
      <w:r w:rsidR="000E3528" w:rsidRPr="00530E2D">
        <w:rPr>
          <w:szCs w:val="24"/>
        </w:rPr>
        <w:t xml:space="preserve">For the Resource Entity that owns or operates a Resource, the Resource Entity’s QSE designation must be </w:t>
      </w:r>
      <w:r w:rsidR="004E5204" w:rsidRPr="007B773F">
        <w:rPr>
          <w:rFonts w:ascii="TimesNewRomanPSMT" w:hAnsi="TimesNewRomanPSMT" w:cs="TimesNewRomanPSMT"/>
        </w:rPr>
        <w:t>submitted to ERCOT no later than 45 days before the effective date of the change, unless otherwise</w:t>
      </w:r>
      <w:r w:rsidR="004E5204" w:rsidRPr="00530E2D">
        <w:rPr>
          <w:szCs w:val="24"/>
        </w:rPr>
        <w:t xml:space="preserve"> </w:t>
      </w:r>
      <w:r w:rsidR="000E3528" w:rsidRPr="00530E2D">
        <w:rPr>
          <w:szCs w:val="24"/>
        </w:rPr>
        <w:t>approved by ERCOT</w:t>
      </w:r>
      <w:r w:rsidR="00270D6A">
        <w:rPr>
          <w:szCs w:val="24"/>
        </w:rPr>
        <w:t>,</w:t>
      </w:r>
      <w:r w:rsidR="000E3528" w:rsidRPr="00530E2D">
        <w:rPr>
          <w:szCs w:val="24"/>
        </w:rPr>
        <w:t xml:space="preserve"> before the Resource Entity will be evaluated for compliance with the requirements of paragraph (3) below.  ERCOT shall notify the Resource Entity of approval or disapproval as soon as practicable after receipt of the request.</w:t>
      </w:r>
    </w:p>
    <w:p w14:paraId="4C18FA19" w14:textId="77777777" w:rsidR="000E3528" w:rsidRDefault="000E3528">
      <w:pPr>
        <w:pStyle w:val="BodyTextNumbered"/>
      </w:pPr>
      <w:r>
        <w:t>(3)</w:t>
      </w:r>
      <w:r>
        <w:tab/>
      </w:r>
      <w:r w:rsidR="00F97889">
        <w:t>For Resources required by these Protocols to be in the Network Operations Model, the</w:t>
      </w:r>
      <w:r>
        <w:t xml:space="preserve"> following apply:</w:t>
      </w:r>
    </w:p>
    <w:p w14:paraId="753F758F" w14:textId="77777777" w:rsidR="000E3528" w:rsidRDefault="000E3528" w:rsidP="00D77FC8">
      <w:pPr>
        <w:pStyle w:val="BodyTextNumbered"/>
        <w:ind w:left="1440"/>
      </w:pPr>
      <w:r>
        <w:t>(a)</w:t>
      </w:r>
      <w:r>
        <w:tab/>
        <w:t xml:space="preserve">The </w:t>
      </w:r>
      <w:r w:rsidR="00F97889">
        <w:t xml:space="preserve">designated QSE shall install all telemetry required of these Protocols for the requesting Resource Entity and schedule point-to-point data verification with ERCOT.  </w:t>
      </w:r>
    </w:p>
    <w:p w14:paraId="1E8DDF0B" w14:textId="77777777" w:rsidR="00FC1C5F" w:rsidRDefault="000E3528" w:rsidP="00D77FC8">
      <w:pPr>
        <w:pStyle w:val="BodyTextNumbered"/>
        <w:ind w:left="1440"/>
      </w:pPr>
      <w:r>
        <w:t>(b)</w:t>
      </w:r>
      <w:r>
        <w:tab/>
      </w:r>
      <w:r w:rsidR="00F97889">
        <w:t xml:space="preserve">The </w:t>
      </w:r>
      <w:r>
        <w:t xml:space="preserve">designated </w:t>
      </w:r>
      <w:r w:rsidR="00F97889">
        <w:t>QSE shall submit telemetry data descriptions to ERCOT to meet ERCOT’s normal model update process.</w:t>
      </w:r>
    </w:p>
    <w:p w14:paraId="43B278A5" w14:textId="77777777" w:rsidR="000E3528" w:rsidRDefault="00727E32" w:rsidP="00D77FC8">
      <w:pPr>
        <w:pStyle w:val="BodyTextNumbered"/>
        <w:ind w:left="1440"/>
      </w:pPr>
      <w:r>
        <w:t>(</w:t>
      </w:r>
      <w:r w:rsidR="000E3528">
        <w:t>c</w:t>
      </w:r>
      <w:r>
        <w:t>)</w:t>
      </w:r>
      <w:r>
        <w:tab/>
      </w:r>
      <w:r w:rsidR="000E3528">
        <w:t>The</w:t>
      </w:r>
      <w:r w:rsidR="00F97889">
        <w:t xml:space="preserve"> Resource must submit any changes in system topology or telemetry according to Section </w:t>
      </w:r>
      <w:r w:rsidR="00F97889" w:rsidRPr="005265DB">
        <w:t>3.3.2.1</w:t>
      </w:r>
      <w:r w:rsidR="00F97889">
        <w:t xml:space="preserve">, </w:t>
      </w:r>
      <w:r w:rsidR="00F97889" w:rsidRPr="005265DB">
        <w:t>Information to Be Provided to ERCOT</w:t>
      </w:r>
      <w:r>
        <w:t xml:space="preserve">.  </w:t>
      </w:r>
    </w:p>
    <w:p w14:paraId="30CB2F01" w14:textId="77777777" w:rsidR="000E3528" w:rsidRDefault="000E3528" w:rsidP="00D77FC8">
      <w:pPr>
        <w:pStyle w:val="BodyTextNumbered"/>
        <w:ind w:left="1440"/>
      </w:pPr>
      <w:r>
        <w:t>(d)</w:t>
      </w:r>
      <w:r>
        <w:tab/>
        <w:t>T</w:t>
      </w:r>
      <w:r w:rsidR="00F97889">
        <w:t xml:space="preserve">he effective date for </w:t>
      </w:r>
      <w:r>
        <w:t xml:space="preserve">the </w:t>
      </w:r>
      <w:r w:rsidR="00F97889">
        <w:t xml:space="preserve">newly designated QSE shall be in accordance with Section 3.10.1, Time Line for Network Operations Model Changes.  </w:t>
      </w:r>
    </w:p>
    <w:p w14:paraId="7DD703C3" w14:textId="77777777" w:rsidR="00FC1C5F" w:rsidRDefault="000E3528" w:rsidP="00D77FC8">
      <w:pPr>
        <w:pStyle w:val="BodyTextNumbered"/>
        <w:ind w:left="1440"/>
      </w:pPr>
      <w:r>
        <w:t>(e)</w:t>
      </w:r>
      <w:r>
        <w:tab/>
      </w:r>
      <w:r w:rsidR="00F97889">
        <w:t>ERCOT may request the Resource Entity to develop a transition implementation plan to be approved by ERCOT that sets appropriate deadlines for completion of all required data and telemetry verification and cutover testing activities with ERCOT</w:t>
      </w:r>
      <w:r w:rsidR="00727E32">
        <w:t>.</w:t>
      </w:r>
    </w:p>
    <w:p w14:paraId="3CB85E34" w14:textId="77777777" w:rsidR="000E3528" w:rsidRPr="00530E2D" w:rsidRDefault="000E3528" w:rsidP="000E3528">
      <w:pPr>
        <w:pStyle w:val="BodyTextNumbered"/>
        <w:rPr>
          <w:szCs w:val="24"/>
        </w:rPr>
      </w:pPr>
      <w:r w:rsidRPr="00530E2D">
        <w:rPr>
          <w:szCs w:val="24"/>
        </w:rPr>
        <w:t>(4)</w:t>
      </w:r>
      <w:r w:rsidRPr="00530E2D">
        <w:rPr>
          <w:szCs w:val="24"/>
        </w:rPr>
        <w:tab/>
        <w:t xml:space="preserve">For all other Resources, the new QSE designation is to be received no less than six days prior to the effective date.  </w:t>
      </w:r>
    </w:p>
    <w:p w14:paraId="0802CF3B" w14:textId="77777777" w:rsidR="000E3528" w:rsidRPr="000E3528" w:rsidRDefault="000E3528" w:rsidP="000E3528">
      <w:pPr>
        <w:pStyle w:val="BodyTextNumbered"/>
        <w:rPr>
          <w:szCs w:val="24"/>
        </w:rPr>
      </w:pPr>
      <w:r w:rsidRPr="00530E2D">
        <w:rPr>
          <w:szCs w:val="24"/>
        </w:rPr>
        <w:lastRenderedPageBreak/>
        <w:t>(5)</w:t>
      </w:r>
      <w:r w:rsidRPr="00530E2D">
        <w:rPr>
          <w:szCs w:val="24"/>
        </w:rPr>
        <w:tab/>
        <w:t xml:space="preserve">Within two days of approving a Resource Entity’s notice, ERCOT shall notify all affected Entities, including the Resource Entity’s current QSE, of the effective date of the change.  </w:t>
      </w:r>
    </w:p>
    <w:p w14:paraId="6ED4B1D8" w14:textId="77777777" w:rsidR="00FC1C5F" w:rsidRDefault="00727E32">
      <w:pPr>
        <w:pStyle w:val="H3"/>
      </w:pPr>
      <w:bookmarkStart w:id="324" w:name="_Toc390438948"/>
      <w:bookmarkStart w:id="325" w:name="_Toc405897645"/>
      <w:bookmarkStart w:id="326" w:name="_Toc415055749"/>
      <w:bookmarkStart w:id="327" w:name="_Toc415055875"/>
      <w:bookmarkStart w:id="328" w:name="_Toc415055974"/>
      <w:bookmarkStart w:id="329" w:name="_Toc415056075"/>
      <w:bookmarkStart w:id="330" w:name="_Toc184623011"/>
      <w:r>
        <w:t>16.5.4</w:t>
      </w:r>
      <w:r>
        <w:tab/>
        <w:t>Maintaining and Updating Resource Entity Information</w:t>
      </w:r>
      <w:bookmarkEnd w:id="324"/>
      <w:bookmarkEnd w:id="325"/>
      <w:bookmarkEnd w:id="326"/>
      <w:bookmarkEnd w:id="327"/>
      <w:bookmarkEnd w:id="328"/>
      <w:bookmarkEnd w:id="329"/>
      <w:bookmarkEnd w:id="330"/>
      <w:r>
        <w:t xml:space="preserve"> </w:t>
      </w:r>
    </w:p>
    <w:p w14:paraId="70B79A23" w14:textId="77777777" w:rsidR="00FC1C5F" w:rsidRDefault="00727E32">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4EA1157E" w14:textId="77777777" w:rsidR="00FC1C5F" w:rsidRDefault="00727E32">
      <w:pPr>
        <w:pStyle w:val="List"/>
      </w:pPr>
      <w:r>
        <w:t>(a)</w:t>
      </w:r>
      <w:r>
        <w:tab/>
        <w:t>The Resource Entity’s addresses;</w:t>
      </w:r>
    </w:p>
    <w:p w14:paraId="14C26874" w14:textId="77777777" w:rsidR="00FC1C5F" w:rsidRDefault="00727E32">
      <w:pPr>
        <w:pStyle w:val="List"/>
      </w:pPr>
      <w:r>
        <w:t>(b)</w:t>
      </w:r>
      <w:r>
        <w:tab/>
        <w:t>A list of Affiliates; and</w:t>
      </w:r>
    </w:p>
    <w:p w14:paraId="012DF047" w14:textId="465DF2E4" w:rsidR="00FC1C5F" w:rsidRDefault="00727E32">
      <w:pPr>
        <w:pStyle w:val="BodyText"/>
        <w:ind w:left="1440" w:hanging="720"/>
      </w:pPr>
      <w:r>
        <w:t>(c)</w:t>
      </w:r>
      <w:r>
        <w:tab/>
        <w:t xml:space="preserve">Designation of the Resource Entity’s officers, directors, Authorized Representatives, and </w:t>
      </w:r>
      <w:r w:rsidR="00AB2D05">
        <w:t>USA</w:t>
      </w:r>
      <w:r>
        <w:t xml:space="preserve"> (all per the Resource Entity application) including the telephone and e-mail addresses for those persons.</w:t>
      </w:r>
    </w:p>
    <w:p w14:paraId="745DDDD1" w14:textId="2D30C90D" w:rsidR="000E4B76" w:rsidRDefault="00727E32">
      <w:pPr>
        <w:pStyle w:val="BodyText"/>
        <w:ind w:left="720" w:hanging="720"/>
        <w:rPr>
          <w:color w:val="000000"/>
        </w:rPr>
      </w:pPr>
      <w:r>
        <w:t>(2)</w:t>
      </w:r>
      <w:r>
        <w:tab/>
      </w:r>
      <w:r w:rsidR="00B57B60">
        <w:rPr>
          <w:color w:val="000000"/>
        </w:rPr>
        <w:t xml:space="preserve">A Resource Entity that has a Switchable Generation Resource (SWGR) shall submit a report to ERCOT in writing indicating whether or not it has any contractual requirement in a non-ERCOT Control Area for each season as defined in Section </w:t>
      </w:r>
      <w:r w:rsidR="00B57B60" w:rsidRPr="00F0693E">
        <w:rPr>
          <w:color w:val="000000"/>
        </w:rPr>
        <w:t>3.2.6.</w:t>
      </w:r>
      <w:r w:rsidR="00B57B60">
        <w:rPr>
          <w:color w:val="000000"/>
        </w:rPr>
        <w:t xml:space="preserve">4, </w:t>
      </w:r>
      <w:r w:rsidR="00B57B60" w:rsidRPr="00F0693E">
        <w:rPr>
          <w:color w:val="000000"/>
        </w:rPr>
        <w:t>Total Capacity Estimate</w:t>
      </w:r>
      <w:r w:rsidR="00B57B60">
        <w:rPr>
          <w:color w:val="000000"/>
        </w:rPr>
        <w:t xml:space="preserve">s, which may cause the identified capacity to not be available to the ERCOT System for the subsequent ten years.  The initial </w:t>
      </w:r>
      <w:r w:rsidR="00B57B60" w:rsidRPr="00127F54">
        <w:t xml:space="preserve">communication </w:t>
      </w:r>
      <w:r w:rsidR="00B57B60">
        <w:rPr>
          <w:color w:val="000000"/>
        </w:rPr>
        <w:t>and subsequent updates to previously reported unavailable capacity</w:t>
      </w:r>
      <w:r w:rsidR="00B57B60" w:rsidRPr="00127F54">
        <w:t xml:space="preserve"> shall be </w:t>
      </w:r>
      <w:r w:rsidR="00B57B60">
        <w:t>filed with ERCOT as soon as possible, but in no event later than ten Business Days after the information is obtained</w:t>
      </w:r>
      <w:r w:rsidR="00B57B60" w:rsidRPr="00127F54">
        <w:t>.</w:t>
      </w:r>
      <w:r w:rsidR="00B57B60">
        <w:t xml:space="preserve">  The communications should reflect the Resource Entity’s best estimate of the required information at the time the filing is made.</w:t>
      </w:r>
      <w:r w:rsidR="00B57B60" w:rsidRPr="00127F54">
        <w:t xml:space="preserve"> </w:t>
      </w:r>
      <w:r w:rsidR="00B57B60">
        <w:t xml:space="preserve"> </w:t>
      </w:r>
      <w:r w:rsidR="00B57B60" w:rsidRPr="00127F54">
        <w:t>ERCOT</w:t>
      </w:r>
      <w:r w:rsidR="00B57B60">
        <w:rPr>
          <w:color w:val="000000"/>
        </w:rPr>
        <w:t xml:space="preserve"> shall use the provided data for preparation of the Report on Capacity, Demand and Reserves in the ERCOT Region (CDR) and other planning purposes.  The </w:t>
      </w:r>
      <w:r w:rsidR="00B57B60" w:rsidRPr="004A30B1">
        <w:rPr>
          <w:color w:val="000000"/>
        </w:rPr>
        <w:t>SWGR</w:t>
      </w:r>
      <w:r w:rsidR="00B57B60">
        <w:rPr>
          <w:color w:val="000000"/>
        </w:rPr>
        <w:t xml:space="preserve"> information reporting form is located on the ERCOT website.</w:t>
      </w:r>
    </w:p>
    <w:p w14:paraId="50D432B4" w14:textId="77777777" w:rsidR="00FC1C5F" w:rsidRDefault="00727E32" w:rsidP="00E849F2">
      <w:pPr>
        <w:pStyle w:val="H2"/>
      </w:pPr>
      <w:bookmarkStart w:id="331" w:name="_Toc71369194"/>
      <w:bookmarkStart w:id="332" w:name="_Toc71539410"/>
      <w:bookmarkStart w:id="333" w:name="_Toc390438949"/>
      <w:bookmarkStart w:id="334" w:name="_Toc405897646"/>
      <w:bookmarkStart w:id="335" w:name="_Toc415055750"/>
      <w:bookmarkStart w:id="336" w:name="_Toc415055876"/>
      <w:bookmarkStart w:id="337" w:name="_Toc415055975"/>
      <w:bookmarkStart w:id="338" w:name="_Toc415056076"/>
      <w:bookmarkStart w:id="339" w:name="_Toc184623012"/>
      <w:r>
        <w:t>16.6</w:t>
      </w:r>
      <w:r>
        <w:tab/>
        <w:t>Registration of Municipally Owned Utilities and Electric Cooperatives in the ERCOT Region</w:t>
      </w:r>
      <w:bookmarkEnd w:id="331"/>
      <w:bookmarkEnd w:id="332"/>
      <w:bookmarkEnd w:id="333"/>
      <w:bookmarkEnd w:id="334"/>
      <w:bookmarkEnd w:id="335"/>
      <w:bookmarkEnd w:id="336"/>
      <w:bookmarkEnd w:id="337"/>
      <w:bookmarkEnd w:id="338"/>
      <w:bookmarkEnd w:id="339"/>
    </w:p>
    <w:p w14:paraId="77AA0DA3" w14:textId="77777777" w:rsidR="00FC1C5F" w:rsidRDefault="00727E32">
      <w:pPr>
        <w:pStyle w:val="BodyTextNumbered"/>
      </w:pPr>
      <w:r>
        <w:t>(1)</w:t>
      </w:r>
      <w:r>
        <w:tab/>
        <w:t>Each Municipally Owned Utility (MOU) and Electric Cooperative (EC) shall register with ERCOT and sign the Agreements that apply to the functions it performs in the ERCOT Region, regardless of whether planning to be a Non-Opt-In Entity (NOIE) or a Competitive Retailer</w:t>
      </w:r>
      <w:r w:rsidR="00364DE6">
        <w:t xml:space="preserve"> (CR)</w:t>
      </w:r>
      <w:r>
        <w:t>.</w:t>
      </w:r>
    </w:p>
    <w:p w14:paraId="51DA15C8" w14:textId="3875047A" w:rsidR="00FC1C5F" w:rsidRDefault="00727E32">
      <w:pPr>
        <w:pStyle w:val="BodyTextNumbered"/>
      </w:pPr>
      <w:r>
        <w:t>(2)</w:t>
      </w:r>
      <w:r>
        <w:tab/>
      </w:r>
      <w:r w:rsidR="00FC39BA">
        <w:t>If an MOU or EC decides to register an affiliate as a CR, it must notify ERCOT of its intentions six months prior to opting in</w:t>
      </w:r>
      <w:r>
        <w:t xml:space="preserve">.  </w:t>
      </w:r>
    </w:p>
    <w:p w14:paraId="4841C207" w14:textId="5EC7149D" w:rsidR="00FC1C5F" w:rsidRDefault="00727E32">
      <w:pPr>
        <w:pStyle w:val="BodyTextNumbered"/>
      </w:pPr>
      <w:r>
        <w:t>(</w:t>
      </w:r>
      <w:r w:rsidR="00FC39BA">
        <w:t>3</w:t>
      </w:r>
      <w:r>
        <w:t>)</w:t>
      </w:r>
      <w:r>
        <w:tab/>
      </w:r>
      <w:r w:rsidR="00364DE6">
        <w:t xml:space="preserve">Each MOU and EC </w:t>
      </w:r>
      <w:r>
        <w:t xml:space="preserve">shall assign an </w:t>
      </w:r>
      <w:r w:rsidR="00364DE6">
        <w:t>Electric Service Identifier (</w:t>
      </w:r>
      <w:r>
        <w:t>ESI ID</w:t>
      </w:r>
      <w:r w:rsidR="00364DE6">
        <w:t>)</w:t>
      </w:r>
      <w:r>
        <w:t xml:space="preserve"> to each NOIE wholesale point of delivery as specified in these Protocols.  The ESI IDs must be assigned to a</w:t>
      </w:r>
      <w:r w:rsidR="00364DE6">
        <w:t xml:space="preserve"> Load Serving Entity (</w:t>
      </w:r>
      <w:r>
        <w:t>LSE</w:t>
      </w:r>
      <w:r w:rsidR="00364DE6">
        <w:t>)</w:t>
      </w:r>
      <w:r>
        <w:t>.</w:t>
      </w:r>
    </w:p>
    <w:p w14:paraId="1DBD7092" w14:textId="77777777" w:rsidR="00FC1C5F" w:rsidRDefault="00727E32">
      <w:pPr>
        <w:pStyle w:val="H2"/>
      </w:pPr>
      <w:bookmarkStart w:id="340" w:name="_Toc71369195"/>
      <w:bookmarkStart w:id="341" w:name="_Toc71539411"/>
      <w:bookmarkStart w:id="342" w:name="_Toc390438950"/>
      <w:bookmarkStart w:id="343" w:name="_Toc405897647"/>
      <w:bookmarkStart w:id="344" w:name="_Toc415055751"/>
      <w:bookmarkStart w:id="345" w:name="_Toc415055877"/>
      <w:bookmarkStart w:id="346" w:name="_Toc415055976"/>
      <w:bookmarkStart w:id="347" w:name="_Toc415056077"/>
      <w:bookmarkStart w:id="348" w:name="_Toc184623013"/>
      <w:r>
        <w:lastRenderedPageBreak/>
        <w:t>16.7</w:t>
      </w:r>
      <w:r>
        <w:tab/>
        <w:t>Registration of Renewable Energy Credit Account Holders</w:t>
      </w:r>
      <w:bookmarkEnd w:id="340"/>
      <w:bookmarkEnd w:id="341"/>
      <w:bookmarkEnd w:id="342"/>
      <w:bookmarkEnd w:id="343"/>
      <w:bookmarkEnd w:id="344"/>
      <w:bookmarkEnd w:id="345"/>
      <w:bookmarkEnd w:id="346"/>
      <w:bookmarkEnd w:id="347"/>
      <w:bookmarkEnd w:id="348"/>
    </w:p>
    <w:p w14:paraId="07944558" w14:textId="7EB5341D" w:rsidR="00FC1C5F" w:rsidRDefault="00853D39" w:rsidP="009F10FE">
      <w:pPr>
        <w:pStyle w:val="BodyText"/>
        <w:ind w:left="720" w:hanging="720"/>
      </w:pPr>
      <w:r>
        <w:t>(1)</w:t>
      </w:r>
      <w:r>
        <w:tab/>
      </w:r>
      <w:r w:rsidR="00727E32">
        <w:t xml:space="preserve">Each Entity intending to participate in the Renewable Energy Credit (REC) program shall register with ERCOT and execute a </w:t>
      </w:r>
      <w:r w:rsidR="00081A43">
        <w:t xml:space="preserve">Standard Form </w:t>
      </w:r>
      <w:r w:rsidR="00727E32">
        <w:t>Market Participant Agreement (as provided in Section 22, Attachment A, Standard Form Market Participant Agreement) prior to participation in the REC program.</w:t>
      </w:r>
    </w:p>
    <w:p w14:paraId="5E34EC33" w14:textId="77777777" w:rsidR="00FC1C5F" w:rsidRDefault="00727E32">
      <w:pPr>
        <w:pStyle w:val="H2"/>
        <w:spacing w:after="120"/>
        <w:ind w:left="0" w:firstLine="0"/>
      </w:pPr>
      <w:bookmarkStart w:id="349" w:name="_Toc71369196"/>
      <w:bookmarkStart w:id="350" w:name="_Toc71539412"/>
      <w:bookmarkStart w:id="351" w:name="_Toc390438951"/>
      <w:bookmarkStart w:id="352" w:name="_Toc405897648"/>
      <w:bookmarkStart w:id="353" w:name="_Toc415055752"/>
      <w:bookmarkStart w:id="354" w:name="_Toc415055878"/>
      <w:bookmarkStart w:id="355" w:name="_Toc415055977"/>
      <w:bookmarkStart w:id="356" w:name="_Toc415056078"/>
      <w:bookmarkStart w:id="357" w:name="_Toc184623014"/>
      <w:r>
        <w:t>16.8</w:t>
      </w:r>
      <w:r>
        <w:tab/>
        <w:t>Registration and Qualification of Congestion Revenue Rights Account Holders</w:t>
      </w:r>
      <w:bookmarkEnd w:id="349"/>
      <w:bookmarkEnd w:id="350"/>
      <w:bookmarkEnd w:id="351"/>
      <w:bookmarkEnd w:id="352"/>
      <w:bookmarkEnd w:id="353"/>
      <w:bookmarkEnd w:id="354"/>
      <w:bookmarkEnd w:id="355"/>
      <w:bookmarkEnd w:id="356"/>
      <w:bookmarkEnd w:id="357"/>
    </w:p>
    <w:p w14:paraId="2F565950" w14:textId="77777777" w:rsidR="00FC1C5F" w:rsidRDefault="00727E32" w:rsidP="00FC1C5F">
      <w:pPr>
        <w:pStyle w:val="H3"/>
      </w:pPr>
      <w:bookmarkStart w:id="358" w:name="_Toc390438952"/>
      <w:bookmarkStart w:id="359" w:name="_Toc405897649"/>
      <w:bookmarkStart w:id="360" w:name="_Toc415055753"/>
      <w:bookmarkStart w:id="361" w:name="_Toc415055879"/>
      <w:bookmarkStart w:id="362" w:name="_Toc415055978"/>
      <w:bookmarkStart w:id="363" w:name="_Toc415056079"/>
      <w:bookmarkStart w:id="364" w:name="_Toc184623015"/>
      <w:r>
        <w:t>16.8.1</w:t>
      </w:r>
      <w:r>
        <w:tab/>
        <w:t>Criteria for Qualification as a CRR Account Holder</w:t>
      </w:r>
      <w:bookmarkEnd w:id="358"/>
      <w:bookmarkEnd w:id="359"/>
      <w:bookmarkEnd w:id="360"/>
      <w:bookmarkEnd w:id="361"/>
      <w:bookmarkEnd w:id="362"/>
      <w:bookmarkEnd w:id="363"/>
      <w:bookmarkEnd w:id="364"/>
      <w:r>
        <w:t xml:space="preserve"> </w:t>
      </w:r>
    </w:p>
    <w:p w14:paraId="1EAD2469" w14:textId="77777777" w:rsidR="00FC1C5F" w:rsidRDefault="00727E32">
      <w:pPr>
        <w:pStyle w:val="BodyTextNumbered"/>
      </w:pPr>
      <w:r>
        <w:t>(1)</w:t>
      </w:r>
      <w:r>
        <w:tab/>
        <w:t xml:space="preserve">To become and remain a </w:t>
      </w:r>
      <w:r w:rsidR="0097211A">
        <w:t>Congestion Revenue Right (</w:t>
      </w:r>
      <w:r>
        <w:t>CRR</w:t>
      </w:r>
      <w:r w:rsidR="0097211A">
        <w:t>)</w:t>
      </w:r>
      <w:r>
        <w:t xml:space="preserve"> Account Holder, an Entity must meet the following requirements: </w:t>
      </w:r>
    </w:p>
    <w:p w14:paraId="735A9B85" w14:textId="3D6BC6D2" w:rsidR="00FC1C5F" w:rsidRDefault="00727E32">
      <w:pPr>
        <w:pStyle w:val="List"/>
      </w:pPr>
      <w:bookmarkStart w:id="365" w:name="_Hlk90904226"/>
      <w:r>
        <w:t>(a)</w:t>
      </w:r>
      <w:r>
        <w:tab/>
      </w:r>
      <w:r w:rsidR="00400902">
        <w:t>Submit a properly completed CRR Account Holder application</w:t>
      </w:r>
      <w:r w:rsidR="00400902" w:rsidRPr="00A35A89">
        <w:t xml:space="preserve"> (</w:t>
      </w:r>
      <w:r w:rsidR="00400902">
        <w:t>Section 23, Form A, Congestion Revenue Right (CRR) Account Holder Application for Registration) for qualification, including any applicable fee, any necessary disclosures, and designation of Authorized Representatives, each of whom is responsible for administrative communications with the CRR Account Holder and each of whom has enough authority to commit and bind the CRR Account Holder;</w:t>
      </w:r>
    </w:p>
    <w:bookmarkEnd w:id="365"/>
    <w:p w14:paraId="216D5CE4" w14:textId="77777777" w:rsidR="0028005C" w:rsidRDefault="0028005C" w:rsidP="0028005C">
      <w:pPr>
        <w:pStyle w:val="List"/>
      </w:pPr>
      <w:r>
        <w:t>(b)</w:t>
      </w:r>
      <w:r>
        <w:tab/>
      </w:r>
      <w:r w:rsidRPr="00636B19">
        <w:t>Comply with ERCOT’s background check process, as described in Section 16.8.1.1, CRR Account Holder Background Check Process;</w:t>
      </w:r>
    </w:p>
    <w:p w14:paraId="7B91607B" w14:textId="5C900C8C" w:rsidR="0028005C" w:rsidRDefault="0028005C" w:rsidP="0028005C">
      <w:pPr>
        <w:pStyle w:val="List"/>
      </w:pPr>
      <w:r>
        <w:t>(c)</w:t>
      </w:r>
      <w:r>
        <w:tab/>
        <w:t xml:space="preserve">Demonstrate to ERCOT’s reasonable satisfaction that the Entity does not pose an </w:t>
      </w:r>
      <w:r w:rsidR="000475FE">
        <w:t>“</w:t>
      </w:r>
      <w:r w:rsidRPr="00904FED">
        <w:t xml:space="preserve">Unreasonable </w:t>
      </w:r>
      <w:r w:rsidRPr="00904FED">
        <w:rPr>
          <w:rFonts w:eastAsiaTheme="minorHAnsi"/>
          <w:szCs w:val="24"/>
        </w:rPr>
        <w:t xml:space="preserve">Financial </w:t>
      </w:r>
      <w:r w:rsidRPr="00904FED">
        <w:t>Risk</w:t>
      </w:r>
      <w:r w:rsidR="000475FE">
        <w:t>”</w:t>
      </w:r>
      <w:r w:rsidRPr="00904FED">
        <w:t>,</w:t>
      </w:r>
      <w:r>
        <w:t xml:space="preserve"> as described in this Section;</w:t>
      </w:r>
    </w:p>
    <w:p w14:paraId="760D332D" w14:textId="7EDA978B" w:rsidR="00FC1C5F" w:rsidRDefault="00727E32" w:rsidP="00FE610C">
      <w:pPr>
        <w:pStyle w:val="List"/>
      </w:pPr>
      <w:r>
        <w:t>(</w:t>
      </w:r>
      <w:r w:rsidR="0028005C">
        <w:t>d</w:t>
      </w:r>
      <w:r>
        <w:t>)</w:t>
      </w:r>
      <w:r>
        <w:tab/>
        <w:t xml:space="preserve">Sign a CRR Account Holder Agreement; </w:t>
      </w:r>
    </w:p>
    <w:p w14:paraId="73713AE8" w14:textId="2E8BD57C" w:rsidR="00FC1C5F" w:rsidRDefault="00727E32">
      <w:pPr>
        <w:pStyle w:val="List"/>
      </w:pPr>
      <w:r>
        <w:t>(</w:t>
      </w:r>
      <w:r w:rsidR="0028005C">
        <w:t>e</w:t>
      </w:r>
      <w:r>
        <w:t>)</w:t>
      </w:r>
      <w:r>
        <w:tab/>
        <w:t>Sign any required Agreements relating to use of the ERCOT network, software, and systems;</w:t>
      </w:r>
    </w:p>
    <w:p w14:paraId="59EDD655" w14:textId="41ADD0A9" w:rsidR="00FC1C5F" w:rsidRDefault="00727E32">
      <w:pPr>
        <w:pStyle w:val="List"/>
      </w:pPr>
      <w:r>
        <w:t>(</w:t>
      </w:r>
      <w:r w:rsidR="0028005C">
        <w:t>f</w:t>
      </w:r>
      <w:r>
        <w:t>)</w:t>
      </w:r>
      <w:r>
        <w:tab/>
        <w:t xml:space="preserve">Demonstrate to ERCOT’s reasonable satisfaction that the Entity is capable of performing the functions of a CRR Account Holder; </w:t>
      </w:r>
    </w:p>
    <w:p w14:paraId="1444650E" w14:textId="0C223E84" w:rsidR="00FC1C5F" w:rsidRDefault="00727E32">
      <w:pPr>
        <w:pStyle w:val="List"/>
      </w:pPr>
      <w:r>
        <w:t>(</w:t>
      </w:r>
      <w:r w:rsidR="0028005C">
        <w:t>g</w:t>
      </w:r>
      <w:r>
        <w:t>)</w:t>
      </w:r>
      <w:r>
        <w:tab/>
        <w:t xml:space="preserve">Demonstrate to ERCOT’s reasonable satisfaction that the Entity is capable of complying with the requirements of all ERCOT Protocols and Operating Guides; </w:t>
      </w:r>
    </w:p>
    <w:p w14:paraId="1EE58C53" w14:textId="0C020139" w:rsidR="00FC1C5F" w:rsidRDefault="00727E32">
      <w:pPr>
        <w:pStyle w:val="List"/>
      </w:pPr>
      <w:r>
        <w:t>(</w:t>
      </w:r>
      <w:r w:rsidR="0028005C">
        <w:t>h</w:t>
      </w:r>
      <w:r>
        <w:t>)</w:t>
      </w:r>
      <w:r>
        <w:tab/>
        <w:t>Satisfy ERCOT’s creditworthiness requirements as set forth in this Section;</w:t>
      </w:r>
    </w:p>
    <w:p w14:paraId="67451581" w14:textId="2E8AFC52" w:rsidR="00FC1C5F" w:rsidRDefault="00727E32">
      <w:pPr>
        <w:pStyle w:val="List"/>
      </w:pPr>
      <w:r>
        <w:t>(</w:t>
      </w:r>
      <w:r w:rsidR="0028005C">
        <w:t>i</w:t>
      </w:r>
      <w:r>
        <w:t>)</w:t>
      </w:r>
      <w:r>
        <w:tab/>
        <w:t>Be generally able to pay its debts as they come due; ERCOT may request evidence of compliance with this qualification only if ERCOT reasonably believes that a CRR Account Holder is failing to comply with it;</w:t>
      </w:r>
    </w:p>
    <w:p w14:paraId="6056EF65" w14:textId="2E0E7D1D" w:rsidR="00FC1C5F" w:rsidRDefault="00727E32">
      <w:pPr>
        <w:pStyle w:val="List"/>
      </w:pPr>
      <w:r>
        <w:t>(</w:t>
      </w:r>
      <w:r w:rsidR="0028005C">
        <w:t>j</w:t>
      </w:r>
      <w:r>
        <w:t>)</w:t>
      </w:r>
      <w:r>
        <w:tab/>
        <w:t xml:space="preserve">Provide all necessary bank account information and arrange for Fedwire system transfers for two-way confirmation; </w:t>
      </w:r>
    </w:p>
    <w:p w14:paraId="022AE75D" w14:textId="1FCC28FD" w:rsidR="00FC1C5F" w:rsidRDefault="00727E32">
      <w:pPr>
        <w:pStyle w:val="List"/>
      </w:pPr>
      <w:r>
        <w:lastRenderedPageBreak/>
        <w:t>(</w:t>
      </w:r>
      <w:r w:rsidR="0028005C">
        <w:t>k</w:t>
      </w:r>
      <w:r>
        <w:t>)</w:t>
      </w:r>
      <w:r>
        <w:tab/>
        <w:t xml:space="preserve">Be financially responsible for payment of its </w:t>
      </w:r>
      <w:r w:rsidR="00B35DA1">
        <w:t>S</w:t>
      </w:r>
      <w:r>
        <w:t>ettlement charges under these Protocols; and</w:t>
      </w:r>
    </w:p>
    <w:p w14:paraId="42FA7CF4" w14:textId="2A41D80C" w:rsidR="00FC1C5F" w:rsidRDefault="00727E32">
      <w:pPr>
        <w:pStyle w:val="List"/>
      </w:pPr>
      <w:r>
        <w:t>(</w:t>
      </w:r>
      <w:r w:rsidR="0028005C">
        <w:t>l</w:t>
      </w:r>
      <w:r>
        <w:t>)</w:t>
      </w:r>
      <w:r>
        <w:tab/>
        <w:t xml:space="preserve">Not be an unbundled </w:t>
      </w:r>
      <w:r w:rsidR="0097211A">
        <w:t>Transmission Service Provider (</w:t>
      </w:r>
      <w:r>
        <w:t>TSP</w:t>
      </w:r>
      <w:r w:rsidR="0097211A">
        <w:t>)</w:t>
      </w:r>
      <w:r>
        <w:t xml:space="preserve">, </w:t>
      </w:r>
      <w:r w:rsidR="0097211A">
        <w:t>Distribution Service Provider (</w:t>
      </w:r>
      <w:r>
        <w:t>DSP</w:t>
      </w:r>
      <w:r w:rsidR="0097211A">
        <w:t>)</w:t>
      </w:r>
      <w:r>
        <w:t>, or an ERCOT employee.</w:t>
      </w:r>
    </w:p>
    <w:p w14:paraId="3EBF4DF4" w14:textId="5F18BF1A" w:rsidR="0028005C" w:rsidRDefault="0028005C" w:rsidP="0028005C">
      <w:pPr>
        <w:pStyle w:val="BodyTextNumbered"/>
      </w:pPr>
      <w:bookmarkStart w:id="366" w:name="_Hlk90904235"/>
      <w:r>
        <w:t>(2)</w:t>
      </w:r>
      <w:r>
        <w:tab/>
        <w:t xml:space="preserve">A CRR Account Holder </w:t>
      </w:r>
      <w:r w:rsidRPr="00440DBF">
        <w:rPr>
          <w:rFonts w:eastAsiaTheme="minorHAnsi"/>
          <w:szCs w:val="24"/>
        </w:rPr>
        <w:t xml:space="preserve">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rsidRPr="00440DBF">
        <w:rPr>
          <w:rFonts w:eastAsiaTheme="minorHAnsi"/>
          <w:szCs w:val="24"/>
        </w:rPr>
        <w:t xml:space="preserve"> </w:t>
      </w:r>
      <w:r>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p>
    <w:p w14:paraId="2EC22FCF" w14:textId="2862F7A2" w:rsidR="00400902" w:rsidRDefault="00400902" w:rsidP="00400902">
      <w:pPr>
        <w:pStyle w:val="BodyTextNumbered"/>
      </w:pPr>
      <w:r>
        <w:t>(</w:t>
      </w:r>
      <w:r w:rsidR="0028005C">
        <w:t>3</w:t>
      </w:r>
      <w:r>
        <w:t>)</w:t>
      </w:r>
      <w:r>
        <w:tab/>
        <w:t>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to the date on which the unpaid financial obligation first became due and owing to ERCOT.</w:t>
      </w:r>
    </w:p>
    <w:p w14:paraId="1F5C30A0" w14:textId="7D9CBFB8" w:rsidR="00400902" w:rsidRDefault="00400902" w:rsidP="00400902">
      <w:pPr>
        <w:pStyle w:val="BodyTextNumbered"/>
      </w:pPr>
      <w:r>
        <w:t>(</w:t>
      </w:r>
      <w:r w:rsidR="0028005C">
        <w:t>4</w:t>
      </w:r>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E986FE4" w14:textId="17A9EA3E" w:rsidR="00FC1C5F" w:rsidRDefault="00727E32" w:rsidP="00FE610C">
      <w:pPr>
        <w:pStyle w:val="BodyText"/>
        <w:ind w:left="720" w:hanging="720"/>
      </w:pPr>
      <w:bookmarkStart w:id="367" w:name="_Hlk90904242"/>
      <w:bookmarkEnd w:id="366"/>
      <w:r>
        <w:t>(</w:t>
      </w:r>
      <w:r w:rsidR="0028005C">
        <w:t>5</w:t>
      </w:r>
      <w:r>
        <w:t>)</w:t>
      </w:r>
      <w:r>
        <w:tab/>
      </w:r>
      <w:r w:rsidR="00400902" w:rsidRPr="00CA66D0">
        <w:t xml:space="preserve">A CRR Account Holder shall promptly notify ERCOT of any material change that </w:t>
      </w:r>
      <w:r w:rsidR="00400902">
        <w:t>a reasonable</w:t>
      </w:r>
      <w:r w:rsidR="00400902" w:rsidRPr="00CA66D0">
        <w:t xml:space="preserve"> examiner could deem material to the </w:t>
      </w:r>
      <w:r w:rsidR="00400902">
        <w:t>CRR Account Holder’s</w:t>
      </w:r>
      <w:r w:rsidR="00400902" w:rsidRPr="00CA66D0">
        <w:t xml:space="preserve"> </w:t>
      </w:r>
      <w:r w:rsidR="00400902" w:rsidRPr="008B4413">
        <w:t>ability to continue to meet the requirements set forth in paragraph</w:t>
      </w:r>
      <w:r w:rsidR="00400902">
        <w:t>s</w:t>
      </w:r>
      <w:r w:rsidR="00400902" w:rsidRPr="008B4413">
        <w:t xml:space="preserve"> (1)</w:t>
      </w:r>
      <w:r w:rsidR="00400902">
        <w:t xml:space="preserve"> to (</w:t>
      </w:r>
      <w:r w:rsidR="00C62276">
        <w:t>4</w:t>
      </w:r>
      <w:r w:rsidR="00400902">
        <w:t>)</w:t>
      </w:r>
      <w:r w:rsidR="00400902" w:rsidRPr="008B4413">
        <w:t xml:space="preserve"> above, and any material change in the information provided by the CRR Account Holder to ERCOT that may adversely affect the financial security of </w:t>
      </w:r>
      <w:r w:rsidR="00400902" w:rsidRPr="00EC565B">
        <w:t xml:space="preserve">ERCOT. </w:t>
      </w:r>
      <w:r w:rsidR="00400902">
        <w:t xml:space="preserve"> </w:t>
      </w:r>
      <w:r w:rsidR="00400902" w:rsidRPr="00EC565B">
        <w:t>This includes any changes in the Principals of the CRR Account Holder.</w:t>
      </w:r>
      <w:r w:rsidR="00400902">
        <w:t xml:space="preserve">  </w:t>
      </w:r>
      <w:r w:rsidR="00400902" w:rsidRPr="008B4413">
        <w:t xml:space="preserve">If the CRR Account Holder fails to so notify ERCOT of the following </w:t>
      </w:r>
      <w:r w:rsidR="00400902" w:rsidRPr="000D340C">
        <w:t>within two Business</w:t>
      </w:r>
      <w:r w:rsidR="00400902" w:rsidRPr="00DF09AE">
        <w:t xml:space="preserve"> Day</w:t>
      </w:r>
      <w:r w:rsidR="00400902" w:rsidRPr="00A80614">
        <w:t>s</w:t>
      </w:r>
      <w:r w:rsidR="00400902" w:rsidRPr="000D340C">
        <w:t xml:space="preserve"> after</w:t>
      </w:r>
      <w:r w:rsidR="00400902" w:rsidRPr="008B4413">
        <w:t xml:space="preserve"> becoming aware of the change, then ERCOT may refuse to allow the CRR Account Holder to continue to perform as a </w:t>
      </w:r>
      <w:r w:rsidR="00400902" w:rsidRPr="008B4413">
        <w:lastRenderedPageBreak/>
        <w:t>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367"/>
    <w:p w14:paraId="590940BD" w14:textId="51D4A390" w:rsidR="00FC1C5F" w:rsidRDefault="00727E32" w:rsidP="00FE610C">
      <w:pPr>
        <w:spacing w:after="240"/>
        <w:ind w:left="720" w:hanging="720"/>
      </w:pPr>
      <w:r>
        <w:t>(</w:t>
      </w:r>
      <w:r w:rsidR="0028005C">
        <w:t>6</w:t>
      </w:r>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4956763B" w14:textId="77777777" w:rsidR="0028005C" w:rsidRPr="0028005C" w:rsidRDefault="0028005C" w:rsidP="0028005C">
      <w:pPr>
        <w:pStyle w:val="BodyText"/>
        <w:ind w:left="720" w:hanging="720"/>
        <w:rPr>
          <w:b/>
        </w:rPr>
      </w:pPr>
      <w:bookmarkStart w:id="368" w:name="_Toc390438953"/>
      <w:bookmarkStart w:id="369" w:name="_Toc405897650"/>
      <w:bookmarkStart w:id="370" w:name="_Toc415055754"/>
      <w:bookmarkStart w:id="371" w:name="_Toc415055880"/>
      <w:bookmarkStart w:id="372" w:name="_Toc415055979"/>
      <w:bookmarkStart w:id="373" w:name="_Toc415056080"/>
      <w:r w:rsidRPr="0028005C">
        <w:rPr>
          <w:b/>
        </w:rPr>
        <w:t>16.8.1.1</w:t>
      </w:r>
      <w:r w:rsidRPr="0028005C">
        <w:rPr>
          <w:b/>
        </w:rPr>
        <w:tab/>
        <w:t>CRR Account Holder Background Check Process</w:t>
      </w:r>
    </w:p>
    <w:p w14:paraId="15028A55" w14:textId="77777777" w:rsidR="0028005C" w:rsidRPr="00494EB0" w:rsidRDefault="0028005C" w:rsidP="0028005C">
      <w:pPr>
        <w:spacing w:after="240"/>
        <w:ind w:left="720" w:hanging="720"/>
      </w:pPr>
      <w:r w:rsidRPr="00494EB0">
        <w:t>(1)</w:t>
      </w:r>
      <w:r w:rsidRPr="00494EB0">
        <w:tab/>
        <w:t xml:space="preserve">CRR Account Holder applicants must satisfy a background check as a part of the ERCOT registration process.  </w:t>
      </w:r>
      <w:r>
        <w:t xml:space="preserve">All background checks will be performed by a third-party acting on ERCOT’s behalf.  </w:t>
      </w:r>
      <w:r w:rsidRPr="00494EB0">
        <w:t>Upon ERCOT’s request, a registered CRR Account Holder may be required to satisfy a background check as a condition of maintaining its ERCOT registration.</w:t>
      </w:r>
    </w:p>
    <w:p w14:paraId="1D818AA4" w14:textId="765F5226" w:rsidR="0028005C" w:rsidRPr="00494EB0" w:rsidRDefault="0028005C" w:rsidP="0028005C">
      <w:pPr>
        <w:spacing w:after="240"/>
        <w:ind w:left="720" w:hanging="720"/>
      </w:pPr>
      <w:r w:rsidRPr="00494EB0">
        <w:t>(2)</w:t>
      </w:r>
      <w:r w:rsidRPr="00494EB0">
        <w:tab/>
        <w:t>A CRR Account Holder</w:t>
      </w:r>
      <w:r>
        <w:t>, CRR Account Holder applicants, and their Principals,</w:t>
      </w:r>
      <w:r w:rsidRPr="00494EB0">
        <w:t xml:space="preserve"> will provide the following disclosures to complete a CRR Account Holder background check:</w:t>
      </w:r>
    </w:p>
    <w:p w14:paraId="0DB06C0E" w14:textId="77777777" w:rsidR="0028005C" w:rsidRPr="00636B19" w:rsidRDefault="0028005C" w:rsidP="0028005C">
      <w:pPr>
        <w:spacing w:after="240"/>
        <w:ind w:left="1440" w:hanging="720"/>
      </w:pPr>
      <w:r w:rsidRPr="00494EB0">
        <w:t>(a)</w:t>
      </w:r>
      <w:r w:rsidRPr="00494EB0">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442E0A96" w14:textId="7EEF4783" w:rsidR="0028005C" w:rsidRPr="00636B19" w:rsidRDefault="0028005C" w:rsidP="0028005C">
      <w:pPr>
        <w:spacing w:after="240"/>
        <w:ind w:left="1440" w:hanging="720"/>
      </w:pPr>
      <w:r w:rsidRPr="00636B19">
        <w:t>(b)</w:t>
      </w:r>
      <w:r w:rsidRPr="00636B19">
        <w:tab/>
        <w:t xml:space="preserve">Any </w:t>
      </w:r>
      <w:r w:rsidRPr="00154BB0">
        <w:t>complaint,</w:t>
      </w:r>
      <w:r>
        <w:t xml:space="preserve"> formal</w:t>
      </w:r>
      <w:r w:rsidRPr="00154BB0">
        <w:t xml:space="preserve"> investigation, or disciplinary action concerning </w:t>
      </w:r>
      <w:r w:rsidRPr="00154BB0">
        <w:rPr>
          <w:rFonts w:eastAsiaTheme="minorHAnsi"/>
        </w:rPr>
        <w:t xml:space="preserve">financial matters </w:t>
      </w:r>
      <w:r w:rsidRPr="00154BB0">
        <w:t xml:space="preserve">initiated by </w:t>
      </w:r>
      <w:r w:rsidRPr="00916F3E">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3558EA7E" w14:textId="32DFADC3"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BF220B">
        <w:t xml:space="preserve"> right to operate in any other energy market within the last ten years;</w:t>
      </w:r>
    </w:p>
    <w:p w14:paraId="2F28C0FC" w14:textId="4B37B154"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49805BE3" w14:textId="77777777" w:rsidR="0028005C" w:rsidRPr="00636B19" w:rsidRDefault="0028005C" w:rsidP="0028005C">
      <w:pPr>
        <w:spacing w:after="240"/>
        <w:ind w:left="1440" w:hanging="720"/>
      </w:pPr>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5C51F339" w14:textId="77777777" w:rsidR="0028005C" w:rsidRDefault="0028005C" w:rsidP="0028005C">
      <w:pPr>
        <w:spacing w:after="240"/>
        <w:ind w:left="810" w:hanging="810"/>
      </w:pPr>
      <w:r w:rsidRPr="00494EB0">
        <w:t>(3)</w:t>
      </w:r>
      <w:r w:rsidRPr="00494EB0">
        <w:tab/>
        <w:t>As required by paragraph</w:t>
      </w:r>
      <w:r>
        <w:t xml:space="preserve"> (5) </w:t>
      </w:r>
      <w:r w:rsidRPr="00494EB0">
        <w:t>of Section 16.8.1, Criteria for Qualification as a CRR Account Holder, a CRR Account Holder</w:t>
      </w:r>
      <w:r>
        <w:t>, CRR Account Holder applicants, and their Principals,</w:t>
      </w:r>
      <w:r w:rsidRPr="00494EB0">
        <w:t xml:space="preserve"> must</w:t>
      </w:r>
      <w:r>
        <w:t xml:space="preserve"> promptly</w:t>
      </w:r>
      <w:r w:rsidRPr="00494EB0">
        <w:t xml:space="preserve"> provide ERCOT notice of any change that a reasonable examiner could deem material to the CRR Account Holder’s ability to continue to </w:t>
      </w:r>
      <w:r w:rsidRPr="00494EB0">
        <w:lastRenderedPageBreak/>
        <w:t>satisfy the background check requirement, including any change to information that must be disclosed.</w:t>
      </w:r>
      <w:r>
        <w:t xml:space="preserve"> </w:t>
      </w:r>
    </w:p>
    <w:p w14:paraId="5305745E" w14:textId="77777777" w:rsidR="00FC1C5F" w:rsidRDefault="00727E32">
      <w:pPr>
        <w:pStyle w:val="H3"/>
      </w:pPr>
      <w:bookmarkStart w:id="374" w:name="_Toc184623016"/>
      <w:r>
        <w:t>16.8.2</w:t>
      </w:r>
      <w:r>
        <w:tab/>
        <w:t>CRR Account Holder Application Process</w:t>
      </w:r>
      <w:bookmarkEnd w:id="368"/>
      <w:bookmarkEnd w:id="369"/>
      <w:bookmarkEnd w:id="370"/>
      <w:bookmarkEnd w:id="371"/>
      <w:bookmarkEnd w:id="372"/>
      <w:bookmarkEnd w:id="373"/>
      <w:bookmarkEnd w:id="374"/>
      <w:r>
        <w:t xml:space="preserve">  </w:t>
      </w:r>
    </w:p>
    <w:p w14:paraId="134E0E98" w14:textId="4CA91440" w:rsidR="00FC1C5F" w:rsidRDefault="00853D39" w:rsidP="009F10FE">
      <w:pPr>
        <w:pStyle w:val="BodyText"/>
        <w:ind w:left="720" w:hanging="720"/>
      </w:pPr>
      <w:bookmarkStart w:id="375" w:name="_Hlk90904250"/>
      <w:r>
        <w:t>(1)</w:t>
      </w:r>
      <w:r>
        <w:tab/>
      </w:r>
      <w:r w:rsidR="00400902">
        <w:t>To register as a CRR Account Holder, an applicant must submit to ERCOT a completed Section 23, Form A, Congestion Revenue Right (CRR) Account Holder Application for Registration, and any applicable fee.  ERCOT shall post on the ERCOT website the form in which CRR Account Holder applications must be submitted, all materials that must be provided with the CRR Account Holder application and the fee schedule, if any, applicable to CRR Account Holder applications.  The CRR Account Holder application shall be attested to by a duly authorized officer or agent of the applicant.  The CRR Account Holder applicant shall promptly notify ERCOT of any material changes affecting a pending application using the appropriate form posted on the ERCOT website.  The application must be submitted at least 60 days before the first day of participation in the CRR Auction process or purchase of CRRs.</w:t>
      </w:r>
    </w:p>
    <w:p w14:paraId="3492ABE5" w14:textId="77777777" w:rsidR="00FC1C5F" w:rsidRPr="00D63F95" w:rsidRDefault="00727E32" w:rsidP="00FE610C">
      <w:pPr>
        <w:pStyle w:val="H4"/>
        <w:rPr>
          <w:b/>
        </w:rPr>
      </w:pPr>
      <w:bookmarkStart w:id="376" w:name="_Toc390438954"/>
      <w:bookmarkStart w:id="377" w:name="_Toc405897651"/>
      <w:bookmarkStart w:id="378" w:name="_Toc415055755"/>
      <w:bookmarkStart w:id="379" w:name="_Toc415055881"/>
      <w:bookmarkStart w:id="380" w:name="_Toc415055980"/>
      <w:bookmarkStart w:id="381" w:name="_Toc415056081"/>
      <w:bookmarkStart w:id="382" w:name="_Toc184623017"/>
      <w:bookmarkEnd w:id="375"/>
      <w:r w:rsidRPr="00D63F95">
        <w:rPr>
          <w:b/>
        </w:rPr>
        <w:t>16.8.2.1</w:t>
      </w:r>
      <w:r w:rsidRPr="00D63F95">
        <w:rPr>
          <w:b/>
        </w:rPr>
        <w:tab/>
        <w:t>Notice of Receipt of CRR Account Holder Application</w:t>
      </w:r>
      <w:bookmarkEnd w:id="376"/>
      <w:bookmarkEnd w:id="377"/>
      <w:bookmarkEnd w:id="378"/>
      <w:bookmarkEnd w:id="379"/>
      <w:bookmarkEnd w:id="380"/>
      <w:bookmarkEnd w:id="381"/>
      <w:bookmarkEnd w:id="382"/>
    </w:p>
    <w:p w14:paraId="79D93F63" w14:textId="77777777" w:rsidR="00FC1C5F" w:rsidRDefault="00853D39" w:rsidP="009F10FE">
      <w:pPr>
        <w:pStyle w:val="BodyText"/>
        <w:ind w:left="720" w:hanging="720"/>
      </w:pPr>
      <w:r>
        <w:t>(1)</w:t>
      </w:r>
      <w:r>
        <w:tab/>
      </w:r>
      <w:r w:rsidR="00727E32">
        <w:t>Within three Business Days after receiving a CRR Account Holder application, ERCOT shall issue to the applicant a written confirmation that ERCOT has received the CRR Account Holder application.  ERCOT shall return without review any CRR Account Holder application that does not include the proper application fee.  The remainder of this Section does not apply to any CRR Account Holder application returned for failure to include the proper application fee.</w:t>
      </w:r>
    </w:p>
    <w:p w14:paraId="1E61B8F2" w14:textId="68D9C8E8" w:rsidR="00FC1C5F" w:rsidRPr="00D63F95" w:rsidRDefault="00727E32">
      <w:pPr>
        <w:pStyle w:val="H4"/>
        <w:rPr>
          <w:b/>
        </w:rPr>
      </w:pPr>
      <w:bookmarkStart w:id="383" w:name="_Toc390438955"/>
      <w:bookmarkStart w:id="384" w:name="_Toc405897652"/>
      <w:bookmarkStart w:id="385" w:name="_Toc415055756"/>
      <w:bookmarkStart w:id="386" w:name="_Toc415055882"/>
      <w:bookmarkStart w:id="387" w:name="_Toc415055981"/>
      <w:bookmarkStart w:id="388" w:name="_Toc415056082"/>
      <w:bookmarkStart w:id="389" w:name="_Toc184623018"/>
      <w:bookmarkStart w:id="390" w:name="_Hlk90904258"/>
      <w:r w:rsidRPr="00D63F95">
        <w:rPr>
          <w:b/>
        </w:rPr>
        <w:t>16.8.2.2</w:t>
      </w:r>
      <w:r w:rsidRPr="00D63F95">
        <w:rPr>
          <w:b/>
        </w:rPr>
        <w:tab/>
        <w:t xml:space="preserve">Incomplete </w:t>
      </w:r>
      <w:r w:rsidR="00400902">
        <w:rPr>
          <w:b/>
        </w:rPr>
        <w:t xml:space="preserve">CRR Account Holder </w:t>
      </w:r>
      <w:r w:rsidRPr="00D63F95">
        <w:rPr>
          <w:b/>
        </w:rPr>
        <w:t>Applications</w:t>
      </w:r>
      <w:bookmarkEnd w:id="383"/>
      <w:bookmarkEnd w:id="384"/>
      <w:bookmarkEnd w:id="385"/>
      <w:bookmarkEnd w:id="386"/>
      <w:bookmarkEnd w:id="387"/>
      <w:bookmarkEnd w:id="388"/>
      <w:bookmarkEnd w:id="389"/>
      <w:r w:rsidRPr="00D63F95">
        <w:rPr>
          <w:b/>
        </w:rPr>
        <w:t xml:space="preserve">  </w:t>
      </w:r>
    </w:p>
    <w:p w14:paraId="26D77B5A" w14:textId="06BA3665" w:rsidR="00CF5E19" w:rsidRDefault="00CF5E19" w:rsidP="00CF5E19">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r w:rsidR="0028005C" w:rsidRPr="00494EB0">
        <w:rPr>
          <w:szCs w:val="24"/>
        </w:rPr>
        <w:t xml:space="preserve">, </w:t>
      </w:r>
      <w:r w:rsidR="0028005C" w:rsidRPr="00494EB0">
        <w:t>including information necessary to complete any needed background checks</w:t>
      </w:r>
      <w:r>
        <w:t>.</w:t>
      </w:r>
    </w:p>
    <w:p w14:paraId="33A3FD98" w14:textId="77777777" w:rsidR="00CF5E19" w:rsidRDefault="00CF5E19" w:rsidP="00CF5E19">
      <w:pPr>
        <w:pStyle w:val="BodyTextNumbered"/>
      </w:pPr>
      <w:r>
        <w:t>(2)</w:t>
      </w:r>
      <w:r>
        <w:tab/>
        <w:t>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w:t>
      </w:r>
    </w:p>
    <w:p w14:paraId="35447827" w14:textId="77777777" w:rsidR="00CF5E19" w:rsidRDefault="00CF5E19" w:rsidP="00CF5E19">
      <w:pPr>
        <w:pStyle w:val="BodyTextNumbered"/>
      </w:pPr>
      <w:r>
        <w:t>(3)</w:t>
      </w:r>
      <w:r>
        <w:tab/>
        <w:t>If the applicant does not respond to the incompletion notice within the time allotted, ERCOT shall reject the application and shall notify the applicant using the procedures below.</w:t>
      </w:r>
    </w:p>
    <w:p w14:paraId="5F4B80D5" w14:textId="2E51B1DE" w:rsidR="00FC1C5F" w:rsidRDefault="00CF5E19">
      <w:pPr>
        <w:pStyle w:val="BodyTextNumbered"/>
      </w:pPr>
      <w:r>
        <w:lastRenderedPageBreak/>
        <w:t>(4)</w:t>
      </w:r>
      <w:r>
        <w:tab/>
        <w:t>ERCOT will notify the applicant of the date on which the application is deemed complete</w:t>
      </w:r>
      <w:r w:rsidR="00A01AC4">
        <w:t>.</w:t>
      </w:r>
    </w:p>
    <w:p w14:paraId="6E9A41B2" w14:textId="77777777" w:rsidR="00FC1C5F" w:rsidRPr="00D63F95" w:rsidRDefault="00727E32" w:rsidP="00FE610C">
      <w:pPr>
        <w:pStyle w:val="H4"/>
        <w:rPr>
          <w:b/>
        </w:rPr>
      </w:pPr>
      <w:bookmarkStart w:id="391" w:name="_Toc390438956"/>
      <w:bookmarkStart w:id="392" w:name="_Toc405897653"/>
      <w:bookmarkStart w:id="393" w:name="_Toc415055757"/>
      <w:bookmarkStart w:id="394" w:name="_Toc415055883"/>
      <w:bookmarkStart w:id="395" w:name="_Toc415055982"/>
      <w:bookmarkStart w:id="396" w:name="_Toc415056083"/>
      <w:bookmarkStart w:id="397" w:name="_Toc184623019"/>
      <w:bookmarkEnd w:id="390"/>
      <w:r w:rsidRPr="00D63F95">
        <w:rPr>
          <w:b/>
        </w:rPr>
        <w:t>16.8.2.3</w:t>
      </w:r>
      <w:r w:rsidRPr="00D63F95">
        <w:rPr>
          <w:b/>
        </w:rPr>
        <w:tab/>
        <w:t>ERCOT Approval or Rejection of CRR Account Holder Application</w:t>
      </w:r>
      <w:bookmarkEnd w:id="391"/>
      <w:bookmarkEnd w:id="392"/>
      <w:bookmarkEnd w:id="393"/>
      <w:bookmarkEnd w:id="394"/>
      <w:bookmarkEnd w:id="395"/>
      <w:bookmarkEnd w:id="396"/>
      <w:bookmarkEnd w:id="397"/>
    </w:p>
    <w:p w14:paraId="2ED72D18" w14:textId="6A2A95C2" w:rsidR="00FC1C5F" w:rsidRDefault="00727E32">
      <w:pPr>
        <w:pStyle w:val="BodyTextNumbered"/>
      </w:pPr>
      <w:bookmarkStart w:id="398" w:name="_Hlk90904265"/>
      <w:r>
        <w:t>(1)</w:t>
      </w:r>
      <w:r>
        <w:tab/>
      </w:r>
      <w:r w:rsidR="00CF5E19">
        <w:t>ERCOT will approve or reject a CRR Account Holder application within 60 days after the application has been deemed complete as provided for in Section 16.8.2.2, Incomplete CRR Account Holder Applications, unless ERCOT determines that additional time is needed to complete its review of the application.  ERCOT will notify the applicant when additional time is needed to complete its review and will provide a date by which ERCOT expects to complete its review.  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p>
    <w:bookmarkEnd w:id="398"/>
    <w:p w14:paraId="0FE9CD0F" w14:textId="21C34E6F" w:rsidR="00FC1C5F" w:rsidRDefault="00727E32" w:rsidP="00FE610C">
      <w:pPr>
        <w:pStyle w:val="BodyTextNumbered"/>
      </w:pPr>
      <w:r>
        <w:t>(2)</w:t>
      </w:r>
      <w:r>
        <w:tab/>
        <w:t>If ERCOT rejects a CRR Account Holder application, ERCOT shall send the applicant a rejection letter explaining the grounds upon which ERCOT rejected the CRR Account Holder application.  Appropriate grounds for rejecting a CRR Account Holder application include the following:</w:t>
      </w:r>
    </w:p>
    <w:p w14:paraId="176C7C0A" w14:textId="77777777" w:rsidR="00FC1C5F" w:rsidRDefault="00727E32">
      <w:pPr>
        <w:pStyle w:val="List"/>
      </w:pPr>
      <w:r>
        <w:t>(a)</w:t>
      </w:r>
      <w:r>
        <w:tab/>
        <w:t>Required information is not provided to ERCOT in the allotted time;</w:t>
      </w:r>
    </w:p>
    <w:p w14:paraId="37DF38F7" w14:textId="77777777" w:rsidR="00FC1C5F" w:rsidRDefault="00727E32">
      <w:pPr>
        <w:pStyle w:val="List"/>
      </w:pPr>
      <w:r>
        <w:t>(b)</w:t>
      </w:r>
      <w:r>
        <w:tab/>
        <w:t>Noncompliance with technical requirements; and</w:t>
      </w:r>
    </w:p>
    <w:p w14:paraId="09993174" w14:textId="77777777" w:rsidR="00FC1C5F" w:rsidRDefault="00727E32">
      <w:pPr>
        <w:pStyle w:val="List"/>
      </w:pPr>
      <w:r>
        <w:t>(c)</w:t>
      </w:r>
      <w:r>
        <w:tab/>
        <w:t>Noncompliance with other specific eligibility requirements in this Section or in any other Protocols.</w:t>
      </w:r>
    </w:p>
    <w:p w14:paraId="550ADAD3" w14:textId="77777777" w:rsidR="00FC1C5F" w:rsidRDefault="00727E32">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  The applicant may submit a new CRR Account Holder application and fee at any time, and ERCOT shall process the new CRR Account Holder application under this Section.</w:t>
      </w:r>
    </w:p>
    <w:p w14:paraId="1C79A686" w14:textId="4FA68EB1" w:rsidR="00FC1C5F" w:rsidRDefault="00727E32">
      <w:pPr>
        <w:pStyle w:val="BodyTextNumbered"/>
      </w:pPr>
      <w:bookmarkStart w:id="399" w:name="_Hlk90904274"/>
      <w:r>
        <w:t>(4)</w:t>
      </w:r>
      <w:r>
        <w:tab/>
      </w:r>
      <w:r w:rsidR="00CF5E19">
        <w:t>If ERCOT approves the CRR Account Holder application, ERCOT shall send the applicant a CRR Account Holder Agreement and any other required Agreements relating to use of the ERCOT network, software, and systems for the applicant’s signature.</w:t>
      </w:r>
      <w:r w:rsidR="00CF5E19" w:rsidDel="00CF5E19">
        <w:t xml:space="preserve"> </w:t>
      </w:r>
    </w:p>
    <w:p w14:paraId="1C93EAA1" w14:textId="719CD18A" w:rsidR="00CF5E19" w:rsidRDefault="00CF5E19">
      <w:pPr>
        <w:pStyle w:val="BodyTextNumbered"/>
      </w:pPr>
      <w:r>
        <w:t>(5)</w:t>
      </w:r>
      <w:r>
        <w:tab/>
        <w:t xml:space="preserve">If ERCOT fails to approve or deny the CRR Account Holder application within 60 days after the application is deemed complete, and fails to notify the applicant that additional time is needed to complete its review, </w:t>
      </w:r>
      <w:r w:rsidRPr="00DD0220">
        <w:t>the CRR Account Holder may seek relief using the dispute resolution procedures set forth in Section 20.</w:t>
      </w:r>
    </w:p>
    <w:p w14:paraId="01F61C4E" w14:textId="77777777" w:rsidR="00FC1C5F" w:rsidRDefault="00727E32" w:rsidP="00FE610C">
      <w:pPr>
        <w:pStyle w:val="H3"/>
      </w:pPr>
      <w:bookmarkStart w:id="400" w:name="_Toc390438957"/>
      <w:bookmarkStart w:id="401" w:name="_Toc405897654"/>
      <w:bookmarkStart w:id="402" w:name="_Toc415055758"/>
      <w:bookmarkStart w:id="403" w:name="_Toc415055884"/>
      <w:bookmarkStart w:id="404" w:name="_Toc415055983"/>
      <w:bookmarkStart w:id="405" w:name="_Toc415056084"/>
      <w:bookmarkStart w:id="406" w:name="_Toc184623020"/>
      <w:bookmarkEnd w:id="399"/>
      <w:r>
        <w:lastRenderedPageBreak/>
        <w:t>16.8.3</w:t>
      </w:r>
      <w:r>
        <w:tab/>
        <w:t>Remaining Steps for CRR Account Holder Registration</w:t>
      </w:r>
      <w:bookmarkEnd w:id="400"/>
      <w:bookmarkEnd w:id="401"/>
      <w:bookmarkEnd w:id="402"/>
      <w:bookmarkEnd w:id="403"/>
      <w:bookmarkEnd w:id="404"/>
      <w:bookmarkEnd w:id="405"/>
      <w:bookmarkEnd w:id="406"/>
    </w:p>
    <w:p w14:paraId="59A88399" w14:textId="77777777" w:rsidR="00FC1C5F" w:rsidRDefault="00853D39" w:rsidP="009F10FE">
      <w:pPr>
        <w:pStyle w:val="ListIntroduction"/>
        <w:ind w:left="720" w:hanging="720"/>
      </w:pPr>
      <w:r>
        <w:rPr>
          <w:lang w:val="en-US"/>
        </w:rPr>
        <w:t>(1)</w:t>
      </w:r>
      <w:r>
        <w:rPr>
          <w:lang w:val="en-US"/>
        </w:rPr>
        <w:tab/>
      </w:r>
      <w:r w:rsidR="00727E32">
        <w:t>After a CRR Account Holder application is deemed approved under Section 16.8.2.3, ERCOT Approval or Rejection of CRR Account Holder Application, the applicant shall coordinate or perform the following:</w:t>
      </w:r>
    </w:p>
    <w:p w14:paraId="30CD6551" w14:textId="77777777" w:rsidR="00FC1C5F" w:rsidRDefault="00727E32">
      <w:pPr>
        <w:pStyle w:val="List"/>
      </w:pPr>
      <w:r>
        <w:t>(a)</w:t>
      </w:r>
      <w:r>
        <w:tab/>
        <w:t>Return the signed CRR Account Holder Agreement and other related agreements to ERCOT; and</w:t>
      </w:r>
    </w:p>
    <w:p w14:paraId="52B4B203" w14:textId="77777777" w:rsidR="00FC1C5F" w:rsidRDefault="00727E32">
      <w:pPr>
        <w:pStyle w:val="List"/>
      </w:pPr>
      <w:r>
        <w:t>(b)</w:t>
      </w:r>
      <w:r>
        <w:tab/>
        <w:t>Demonstrate compliance with security and financial requirements.</w:t>
      </w:r>
    </w:p>
    <w:p w14:paraId="791DF1E8" w14:textId="77777777" w:rsidR="00FC1C5F" w:rsidRDefault="00727E32">
      <w:pPr>
        <w:pStyle w:val="Heading4"/>
        <w:numPr>
          <w:ilvl w:val="0"/>
          <w:numId w:val="0"/>
        </w:numPr>
        <w:tabs>
          <w:tab w:val="left" w:pos="1620"/>
        </w:tabs>
      </w:pPr>
      <w:bookmarkStart w:id="407" w:name="_Toc390438958"/>
      <w:bookmarkStart w:id="408" w:name="_Toc405897655"/>
      <w:bookmarkStart w:id="409" w:name="_Toc415055759"/>
      <w:bookmarkStart w:id="410" w:name="_Toc415055885"/>
      <w:bookmarkStart w:id="411" w:name="_Toc415055984"/>
      <w:bookmarkStart w:id="412" w:name="_Toc415056085"/>
      <w:bookmarkStart w:id="413" w:name="_Toc184623021"/>
      <w:r>
        <w:t>16.8.3.1</w:t>
      </w:r>
      <w:r>
        <w:tab/>
        <w:t>Maintaining and Updating CRR Account Holder Information</w:t>
      </w:r>
      <w:bookmarkEnd w:id="407"/>
      <w:bookmarkEnd w:id="408"/>
      <w:bookmarkEnd w:id="409"/>
      <w:bookmarkEnd w:id="410"/>
      <w:bookmarkEnd w:id="411"/>
      <w:bookmarkEnd w:id="412"/>
      <w:bookmarkEnd w:id="413"/>
      <w:r>
        <w:t xml:space="preserve"> </w:t>
      </w:r>
    </w:p>
    <w:p w14:paraId="0CD642CD" w14:textId="77777777" w:rsidR="00FC1C5F" w:rsidRDefault="00853D39" w:rsidP="009F10FE">
      <w:pPr>
        <w:pStyle w:val="ListIntroduction"/>
        <w:ind w:left="720" w:hanging="720"/>
      </w:pPr>
      <w:r>
        <w:rPr>
          <w:lang w:val="en-US"/>
        </w:rPr>
        <w:t>(1)</w:t>
      </w:r>
      <w:r>
        <w:rPr>
          <w:lang w:val="en-US"/>
        </w:rPr>
        <w:tab/>
      </w:r>
      <w:r w:rsidR="00727E32">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12CD6D25" w14:textId="42D27DBC" w:rsidR="00FC1C5F" w:rsidRDefault="00727E32">
      <w:pPr>
        <w:pStyle w:val="List"/>
      </w:pPr>
      <w:r>
        <w:t>(a)</w:t>
      </w:r>
      <w:r>
        <w:tab/>
        <w:t>The CRR Account Holder’s addresses;</w:t>
      </w:r>
    </w:p>
    <w:p w14:paraId="202E6792" w14:textId="2F481073" w:rsidR="00CF5E19" w:rsidRDefault="00CF5E19">
      <w:pPr>
        <w:pStyle w:val="List"/>
      </w:pPr>
      <w:bookmarkStart w:id="414" w:name="_Hlk90904282"/>
      <w:r>
        <w:t>(b)</w:t>
      </w:r>
      <w:r>
        <w:tab/>
        <w:t>A list of Principals;</w:t>
      </w:r>
    </w:p>
    <w:bookmarkEnd w:id="414"/>
    <w:p w14:paraId="6DE0E088" w14:textId="06DC9870" w:rsidR="00FC1C5F" w:rsidRDefault="00727E32" w:rsidP="00FE610C">
      <w:pPr>
        <w:pStyle w:val="List"/>
      </w:pPr>
      <w:r>
        <w:t>(</w:t>
      </w:r>
      <w:r w:rsidR="00CF5E19">
        <w:t>c</w:t>
      </w:r>
      <w:r>
        <w:t>)</w:t>
      </w:r>
      <w:r>
        <w:tab/>
        <w:t>A list of Affiliates; and</w:t>
      </w:r>
    </w:p>
    <w:p w14:paraId="6712B52B" w14:textId="31EA8564" w:rsidR="00FC1C5F" w:rsidRDefault="00727E32">
      <w:pPr>
        <w:pStyle w:val="List"/>
      </w:pPr>
      <w:r>
        <w:t>(</w:t>
      </w:r>
      <w:r w:rsidR="00CF5E19">
        <w:t>d</w:t>
      </w:r>
      <w:r>
        <w:t>)</w:t>
      </w:r>
      <w:r>
        <w:tab/>
        <w:t>Designation of the CRR Account Holder’s officers, directors, Authorized Representatives, Credit Contacts, and User Security Administrator</w:t>
      </w:r>
      <w:r w:rsidR="00963894">
        <w:t xml:space="preserve"> (USA)</w:t>
      </w:r>
      <w:r>
        <w:t xml:space="preserve"> (all per the CRR Account Holder application) including the telephone and e-mail addresses for those persons. </w:t>
      </w:r>
    </w:p>
    <w:p w14:paraId="53BD24E3" w14:textId="77777777" w:rsidR="00FC1C5F" w:rsidRDefault="00727E32">
      <w:pPr>
        <w:pStyle w:val="H2"/>
      </w:pPr>
      <w:bookmarkStart w:id="415" w:name="_Toc390438959"/>
      <w:bookmarkStart w:id="416" w:name="_Toc405897656"/>
      <w:bookmarkStart w:id="417" w:name="_Toc415055760"/>
      <w:bookmarkStart w:id="418" w:name="_Toc415055886"/>
      <w:bookmarkStart w:id="419" w:name="_Toc415055985"/>
      <w:bookmarkStart w:id="420" w:name="_Toc415056086"/>
      <w:bookmarkStart w:id="421" w:name="_Toc184623022"/>
      <w:bookmarkStart w:id="422" w:name="_Toc71369199"/>
      <w:bookmarkStart w:id="423" w:name="_Toc71539414"/>
      <w:r>
        <w:t>16.9</w:t>
      </w:r>
      <w:r>
        <w:tab/>
        <w:t>Resources Providing Reliability Must-Run Service</w:t>
      </w:r>
      <w:bookmarkEnd w:id="415"/>
      <w:bookmarkEnd w:id="416"/>
      <w:bookmarkEnd w:id="417"/>
      <w:bookmarkEnd w:id="418"/>
      <w:bookmarkEnd w:id="419"/>
      <w:bookmarkEnd w:id="420"/>
      <w:bookmarkEnd w:id="421"/>
    </w:p>
    <w:p w14:paraId="1A3CF262" w14:textId="77777777" w:rsidR="00FC1C5F" w:rsidRDefault="00853D39" w:rsidP="009F10FE">
      <w:pPr>
        <w:pStyle w:val="BodyText"/>
        <w:ind w:left="720" w:hanging="720"/>
      </w:pPr>
      <w:r>
        <w:t>(1)</w:t>
      </w:r>
      <w:r>
        <w:tab/>
      </w:r>
      <w:r w:rsidR="00727E32">
        <w:t xml:space="preserve">Any Entity providing Reliability Must-Run (RMR) Service must comply with all the requirements to become a Resource Entity under this Section and must sign an RMR Agreement (Section 22, Attachment B, Standard Form Reliability Must-Run Agreement).  </w:t>
      </w:r>
    </w:p>
    <w:p w14:paraId="2F2B4BE1" w14:textId="77777777" w:rsidR="00FC1C5F" w:rsidRDefault="00727E32">
      <w:pPr>
        <w:pStyle w:val="H2"/>
      </w:pPr>
      <w:bookmarkStart w:id="424" w:name="_Toc390438960"/>
      <w:bookmarkStart w:id="425" w:name="_Toc405897657"/>
      <w:bookmarkStart w:id="426" w:name="_Toc415055761"/>
      <w:bookmarkStart w:id="427" w:name="_Toc415055887"/>
      <w:bookmarkStart w:id="428" w:name="_Toc415055986"/>
      <w:bookmarkStart w:id="429" w:name="_Toc415056087"/>
      <w:bookmarkStart w:id="430" w:name="_Toc184623023"/>
      <w:r>
        <w:t>16.10</w:t>
      </w:r>
      <w:r>
        <w:tab/>
        <w:t>Resources Providing Black Start Service</w:t>
      </w:r>
      <w:bookmarkEnd w:id="424"/>
      <w:bookmarkEnd w:id="425"/>
      <w:bookmarkEnd w:id="426"/>
      <w:bookmarkEnd w:id="427"/>
      <w:bookmarkEnd w:id="428"/>
      <w:bookmarkEnd w:id="429"/>
      <w:bookmarkEnd w:id="430"/>
    </w:p>
    <w:p w14:paraId="2B0ACC02" w14:textId="393134C0" w:rsidR="00FC1C5F" w:rsidRDefault="00853D39" w:rsidP="009F10FE">
      <w:pPr>
        <w:pStyle w:val="BodyText"/>
        <w:ind w:left="720" w:hanging="720"/>
      </w:pPr>
      <w:r>
        <w:t>(1)</w:t>
      </w:r>
      <w:r>
        <w:tab/>
      </w:r>
      <w:r w:rsidR="00727E32">
        <w:t xml:space="preserve">Any Entity providing Black Start Service must comply with all the requirements to become a Resource Entity under this Section and must sign a </w:t>
      </w:r>
      <w:r w:rsidR="00081A43">
        <w:t xml:space="preserve">Standard Form </w:t>
      </w:r>
      <w:r w:rsidR="00727E32">
        <w:t xml:space="preserve">Black Start Agreement (Section 22, Attachment D, Standard Form Black Start Agreement). </w:t>
      </w:r>
    </w:p>
    <w:p w14:paraId="58413753" w14:textId="77777777" w:rsidR="00AA6D6D" w:rsidRPr="0002450E" w:rsidRDefault="00AA6D6D" w:rsidP="00AA6D6D">
      <w:pPr>
        <w:pStyle w:val="H2"/>
        <w:spacing w:before="120"/>
        <w:ind w:left="907" w:hanging="907"/>
      </w:pPr>
      <w:bookmarkStart w:id="431" w:name="_Toc390438961"/>
      <w:bookmarkStart w:id="432" w:name="_Toc405897658"/>
      <w:bookmarkStart w:id="433" w:name="_Toc415055762"/>
      <w:bookmarkStart w:id="434" w:name="_Toc415055888"/>
      <w:bookmarkStart w:id="435" w:name="_Toc415055987"/>
      <w:bookmarkStart w:id="436" w:name="_Toc415056088"/>
      <w:bookmarkStart w:id="437" w:name="_Toc184623024"/>
      <w:bookmarkStart w:id="438" w:name="_Toc69636432"/>
      <w:bookmarkStart w:id="439" w:name="_Toc71369201"/>
      <w:bookmarkStart w:id="440" w:name="_Toc71539416"/>
      <w:bookmarkEnd w:id="422"/>
      <w:bookmarkEnd w:id="423"/>
      <w:r w:rsidRPr="0002450E">
        <w:lastRenderedPageBreak/>
        <w:t>16.11</w:t>
      </w:r>
      <w:r w:rsidRPr="0002450E">
        <w:tab/>
        <w:t>Financial Security for Counter-Parties</w:t>
      </w:r>
      <w:bookmarkEnd w:id="431"/>
      <w:bookmarkEnd w:id="432"/>
      <w:bookmarkEnd w:id="433"/>
      <w:bookmarkEnd w:id="434"/>
      <w:bookmarkEnd w:id="435"/>
      <w:bookmarkEnd w:id="436"/>
      <w:bookmarkEnd w:id="437"/>
    </w:p>
    <w:p w14:paraId="58F459BF" w14:textId="77777777" w:rsidR="00AA6D6D" w:rsidRPr="0002450E" w:rsidRDefault="00AA6D6D" w:rsidP="00AA6D6D">
      <w:pPr>
        <w:pStyle w:val="Instructions"/>
        <w:ind w:left="720" w:hanging="720"/>
        <w:rPr>
          <w:b w:val="0"/>
          <w:i w:val="0"/>
          <w:iCs/>
        </w:rPr>
      </w:pPr>
      <w:r w:rsidRPr="0002450E">
        <w:rPr>
          <w:b w:val="0"/>
          <w:i w:val="0"/>
          <w:iCs/>
        </w:rPr>
        <w:t>(1)</w:t>
      </w:r>
      <w:r w:rsidRPr="0002450E">
        <w:rPr>
          <w:b w:val="0"/>
          <w:i w:val="0"/>
          <w:iCs/>
        </w:rPr>
        <w:tab/>
        <w:t>The term “Financial Security” in this Section means the collateral amount posted with ERCOT in any of the forms listed in Section 16.11.3, Alternative Means of Satisfying ERCOT Creditworthiness Requirements.</w:t>
      </w:r>
    </w:p>
    <w:p w14:paraId="02BA70DC" w14:textId="2C24EE86" w:rsidR="00573F3C" w:rsidRDefault="00AA6D6D" w:rsidP="00FB1643">
      <w:pPr>
        <w:pStyle w:val="BodyText"/>
        <w:ind w:left="720" w:hanging="720"/>
      </w:pPr>
      <w:r w:rsidRPr="00BF5B1E">
        <w:t>(</w:t>
      </w:r>
      <w:r w:rsidR="005C04D0">
        <w:t>2</w:t>
      </w:r>
      <w:r w:rsidRPr="00BF5B1E">
        <w:t>)</w:t>
      </w:r>
      <w:r w:rsidRPr="00BF5B1E">
        <w:tab/>
      </w:r>
      <w:r w:rsidR="005C04D0" w:rsidRPr="003B38E5">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r w:rsidRPr="00BF5B1E">
        <w:t>.</w:t>
      </w:r>
      <w:r w:rsidR="00727E32" w:rsidRPr="00AA6D6D">
        <w:t xml:space="preserve"> </w:t>
      </w:r>
    </w:p>
    <w:p w14:paraId="37A4E36E" w14:textId="5C3E2BFB" w:rsidR="00B55C27" w:rsidRDefault="00B55C27" w:rsidP="00FB1643">
      <w:pPr>
        <w:pStyle w:val="BodyText"/>
        <w:ind w:left="720" w:hanging="720"/>
      </w:pPr>
      <w:r w:rsidRPr="00723BC4">
        <w:t>(</w:t>
      </w:r>
      <w:r>
        <w:t>3</w:t>
      </w:r>
      <w:r w:rsidRPr="00723BC4">
        <w:t>)</w:t>
      </w:r>
      <w:r w:rsidRPr="00723BC4">
        <w:tab/>
        <w:t>The term “Ultimate Parent” in this Section is defined as the most distant parent that prepares consolidated financial statements within the hierarchical ownership structure.</w:t>
      </w:r>
    </w:p>
    <w:p w14:paraId="41260FD6" w14:textId="77777777" w:rsidR="00F56ABB" w:rsidRDefault="00727E32" w:rsidP="00D9080F">
      <w:pPr>
        <w:pStyle w:val="H3"/>
      </w:pPr>
      <w:bookmarkStart w:id="441" w:name="_Toc390438962"/>
      <w:bookmarkStart w:id="442" w:name="_Toc405897659"/>
      <w:bookmarkStart w:id="443" w:name="_Toc415055763"/>
      <w:bookmarkStart w:id="444" w:name="_Toc415055889"/>
      <w:bookmarkStart w:id="445" w:name="_Toc415055988"/>
      <w:bookmarkStart w:id="446" w:name="_Toc415056089"/>
      <w:bookmarkStart w:id="447" w:name="_Toc184623025"/>
      <w:r>
        <w:t>16.11.1</w:t>
      </w:r>
      <w:r>
        <w:tab/>
        <w:t>ERCOT Creditworthiness Requirements for Counter-Parties</w:t>
      </w:r>
      <w:bookmarkEnd w:id="441"/>
      <w:bookmarkEnd w:id="442"/>
      <w:bookmarkEnd w:id="443"/>
      <w:bookmarkEnd w:id="444"/>
      <w:bookmarkEnd w:id="445"/>
      <w:bookmarkEnd w:id="446"/>
      <w:bookmarkEnd w:id="447"/>
      <w:r>
        <w:t xml:space="preserve"> </w:t>
      </w:r>
    </w:p>
    <w:p w14:paraId="4C1A178F" w14:textId="345BAD2A" w:rsidR="00FE57D4" w:rsidRDefault="00853D39" w:rsidP="00FE57D4">
      <w:pPr>
        <w:spacing w:after="240"/>
        <w:ind w:left="720" w:hanging="720"/>
      </w:pPr>
      <w:r>
        <w:t>(1)</w:t>
      </w:r>
      <w:r>
        <w:tab/>
      </w:r>
      <w:r w:rsidR="005C04D0" w:rsidRPr="00593C45">
        <w:t>Each Counter-Party shall meet ERCOT’s creditworthiness standards as provided in this Section.  A Counter-Party must, at all times, maintain its Financial Security at or above the amount of its Total Potential Exposure (TPE).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w:t>
      </w:r>
    </w:p>
    <w:p w14:paraId="75A626FD" w14:textId="3F93FD28" w:rsidR="00FE57D4" w:rsidRDefault="00FE57D4" w:rsidP="00FB1643">
      <w:pPr>
        <w:spacing w:after="240"/>
        <w:ind w:left="720" w:hanging="720"/>
      </w:pPr>
      <w:r>
        <w:t>(2)</w:t>
      </w:r>
      <w:r>
        <w:tab/>
      </w:r>
      <w:r w:rsidR="006004A9">
        <w:t>Notwithstanding the provisions in paragraph (1) above, ERCOT may draw on Financial Security if necessary to pay short-pays of Securitization Default Charge Invoices or Securitization Uplift Charge Initial Invoices if the respective escrow deposits are insufficient to cover the short-pays</w:t>
      </w:r>
      <w:r>
        <w:t>.</w:t>
      </w:r>
    </w:p>
    <w:p w14:paraId="4BE95412" w14:textId="16C328C0" w:rsidR="0028005C" w:rsidRPr="0028005C" w:rsidRDefault="0028005C" w:rsidP="0028005C">
      <w:pPr>
        <w:pStyle w:val="Heading4"/>
        <w:numPr>
          <w:ilvl w:val="0"/>
          <w:numId w:val="0"/>
        </w:numPr>
        <w:tabs>
          <w:tab w:val="left" w:pos="1620"/>
        </w:tabs>
      </w:pPr>
      <w:bookmarkStart w:id="448" w:name="_Toc184623026"/>
      <w:bookmarkStart w:id="449" w:name="_Toc390438963"/>
      <w:bookmarkStart w:id="450" w:name="_Toc405897660"/>
      <w:bookmarkStart w:id="451" w:name="_Toc415055764"/>
      <w:bookmarkStart w:id="452" w:name="_Toc415055890"/>
      <w:bookmarkStart w:id="453" w:name="_Toc415055989"/>
      <w:bookmarkStart w:id="454" w:name="_Toc415056090"/>
      <w:r w:rsidRPr="0028005C">
        <w:t>16.11.1.</w:t>
      </w:r>
      <w:r w:rsidR="00A34A95">
        <w:t>1</w:t>
      </w:r>
      <w:r w:rsidRPr="0028005C">
        <w:tab/>
        <w:t>Review of Counter-Party Eligibility</w:t>
      </w:r>
      <w:bookmarkEnd w:id="448"/>
    </w:p>
    <w:p w14:paraId="514B1446" w14:textId="77777777" w:rsidR="0028005C" w:rsidRPr="002972C6" w:rsidRDefault="0028005C" w:rsidP="0028005C">
      <w:pPr>
        <w:pStyle w:val="BodyTextNumbered"/>
      </w:pPr>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 Registration and Qualification of Market Participants</w:t>
      </w:r>
      <w:r w:rsidRPr="00662B41">
        <w:t>.</w:t>
      </w:r>
      <w:r>
        <w:t xml:space="preserve">  </w:t>
      </w:r>
    </w:p>
    <w:p w14:paraId="4855A42F" w14:textId="77777777" w:rsidR="0028005C" w:rsidRDefault="0028005C" w:rsidP="0028005C">
      <w:pPr>
        <w:spacing w:after="240"/>
        <w:ind w:left="720" w:hanging="720"/>
      </w:pPr>
      <w:r>
        <w:t>(2)</w:t>
      </w:r>
      <w:r>
        <w:tab/>
      </w:r>
      <w:r w:rsidRPr="00880612">
        <w:t xml:space="preserve">ERCOT’s review under this Section may be triggered by notice of a change provided by the Counter-Party to ERCOT, information that ERCOT receives or discovers through other means, </w:t>
      </w:r>
      <w:r w:rsidRPr="00373358">
        <w:t>or ERCOT’s periodic review of Principals of Counter-Parties</w:t>
      </w:r>
      <w:r w:rsidRPr="00880612">
        <w:t>.</w:t>
      </w:r>
      <w:r>
        <w:t xml:space="preserve">  </w:t>
      </w:r>
    </w:p>
    <w:p w14:paraId="1888885A" w14:textId="20BC1E89" w:rsidR="0028005C" w:rsidRDefault="0028005C" w:rsidP="0028005C">
      <w:pPr>
        <w:pStyle w:val="BodyTextNumbered"/>
        <w:rPr>
          <w:szCs w:val="24"/>
        </w:rPr>
      </w:pPr>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Section 16.2.1.1, QSE Background Check Process</w:t>
      </w:r>
      <w:r w:rsidR="00164C18">
        <w:rPr>
          <w:szCs w:val="24"/>
        </w:rPr>
        <w:t>,</w:t>
      </w:r>
      <w:r w:rsidRPr="00E36B49">
        <w:rPr>
          <w:szCs w:val="24"/>
        </w:rPr>
        <w:t xml:space="preserve"> </w:t>
      </w:r>
      <w:r w:rsidRPr="00C42190">
        <w:rPr>
          <w:szCs w:val="24"/>
        </w:rPr>
        <w:lastRenderedPageBreak/>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w:t>
      </w:r>
      <w:r w:rsidR="00A00163">
        <w:rPr>
          <w:szCs w:val="24"/>
        </w:rPr>
        <w:t xml:space="preserve"> </w:t>
      </w:r>
      <w:r w:rsidRPr="00716AD0">
        <w:rPr>
          <w:szCs w:val="24"/>
        </w:rPr>
        <w:t xml:space="preserve">A Counter-Party’s failure to pay a background check fee by the deadline set by ERCOT constitutes a </w:t>
      </w:r>
      <w:r w:rsidR="002C653A">
        <w:rPr>
          <w:szCs w:val="24"/>
        </w:rPr>
        <w:t>“</w:t>
      </w:r>
      <w:r w:rsidRPr="00716AD0">
        <w:rPr>
          <w:szCs w:val="24"/>
        </w:rPr>
        <w:t>Payment Breach</w:t>
      </w:r>
      <w:r w:rsidR="002C653A">
        <w:rPr>
          <w:szCs w:val="24"/>
        </w:rPr>
        <w:t>”</w:t>
      </w:r>
      <w:r w:rsidRPr="00716AD0">
        <w:rPr>
          <w:szCs w:val="24"/>
        </w:rPr>
        <w:t xml:space="preserve"> pursuant to </w:t>
      </w:r>
      <w:r w:rsidRPr="00FD0BA0">
        <w:rPr>
          <w:szCs w:val="24"/>
        </w:rPr>
        <w:t>Section 16.11.</w:t>
      </w:r>
      <w:r w:rsidR="008E4318">
        <w:rPr>
          <w:szCs w:val="24"/>
        </w:rPr>
        <w:t>6</w:t>
      </w:r>
      <w:r w:rsidRPr="00FD0BA0">
        <w:rPr>
          <w:szCs w:val="24"/>
        </w:rPr>
        <w:t>, Payment</w:t>
      </w:r>
      <w:r w:rsidRPr="00154470">
        <w:rPr>
          <w:szCs w:val="24"/>
        </w:rPr>
        <w:t xml:space="preserve"> Breach and Late Payments by Market Participants</w:t>
      </w:r>
      <w:r w:rsidRPr="00716AD0">
        <w:rPr>
          <w:szCs w:val="24"/>
        </w:rPr>
        <w:t>.</w:t>
      </w:r>
      <w:r>
        <w:rPr>
          <w:szCs w:val="24"/>
        </w:rPr>
        <w:t xml:space="preserve"> </w:t>
      </w:r>
    </w:p>
    <w:p w14:paraId="48E3A00A" w14:textId="77777777" w:rsidR="0028005C" w:rsidRDefault="0028005C" w:rsidP="0028005C">
      <w:pPr>
        <w:pStyle w:val="BodyTextNumbered"/>
        <w:rPr>
          <w:b/>
          <w:i/>
        </w:rPr>
      </w:pPr>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p>
    <w:p w14:paraId="5F7F7413" w14:textId="6E23B120" w:rsidR="0028005C" w:rsidRPr="0028005C" w:rsidRDefault="0028005C" w:rsidP="0028005C">
      <w:pPr>
        <w:keepNext/>
        <w:tabs>
          <w:tab w:val="left" w:pos="1620"/>
        </w:tabs>
        <w:spacing w:before="240" w:after="240"/>
        <w:ind w:left="1627" w:hanging="1627"/>
        <w:outlineLvl w:val="4"/>
        <w:rPr>
          <w:b/>
          <w:bCs/>
          <w:i/>
          <w:iCs/>
          <w:szCs w:val="26"/>
        </w:rPr>
      </w:pPr>
      <w:bookmarkStart w:id="455" w:name="_Toc184623027"/>
      <w:r w:rsidRPr="0028005C">
        <w:rPr>
          <w:b/>
          <w:bCs/>
          <w:i/>
          <w:iCs/>
          <w:szCs w:val="26"/>
        </w:rPr>
        <w:t>16.11.1.</w:t>
      </w:r>
      <w:r w:rsidR="00A34A95">
        <w:rPr>
          <w:b/>
          <w:bCs/>
          <w:i/>
          <w:iCs/>
          <w:szCs w:val="26"/>
        </w:rPr>
        <w:t>1</w:t>
      </w:r>
      <w:r w:rsidRPr="0028005C">
        <w:rPr>
          <w:b/>
          <w:bCs/>
          <w:i/>
          <w:iCs/>
          <w:szCs w:val="26"/>
        </w:rPr>
        <w:t>.1</w:t>
      </w:r>
      <w:r w:rsidRPr="0028005C">
        <w:rPr>
          <w:b/>
          <w:bCs/>
          <w:i/>
          <w:iCs/>
          <w:szCs w:val="26"/>
        </w:rPr>
        <w:tab/>
        <w:t>Failure to Maintain Eligibility</w:t>
      </w:r>
      <w:bookmarkEnd w:id="455"/>
    </w:p>
    <w:p w14:paraId="3794F1F1" w14:textId="42D6EB17" w:rsidR="0028005C" w:rsidRDefault="0028005C" w:rsidP="0028005C">
      <w:pPr>
        <w:pStyle w:val="BodyTextNumbered"/>
      </w:pPr>
      <w:r>
        <w:t>(1)</w:t>
      </w:r>
      <w:r>
        <w:tab/>
        <w:t xml:space="preserve">If ERCOT’s review of a Counter-Party pursuant to Section </w:t>
      </w:r>
      <w:r w:rsidRPr="00E36B49">
        <w:t xml:space="preserve">16.2.1.1, QSE Background Check Process, </w:t>
      </w:r>
      <w:r>
        <w:t xml:space="preserve">or </w:t>
      </w:r>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w:t>
      </w:r>
      <w:r w:rsidR="00BA61CA" w:rsidRPr="00BA61CA">
        <w:t>Registration and Qualification of Market Participants</w:t>
      </w:r>
      <w:r w:rsidR="00BA61CA">
        <w:t>,</w:t>
      </w:r>
      <w:r w:rsidR="00BA61CA" w:rsidRPr="00BA61CA">
        <w:t xml:space="preserve"> </w:t>
      </w:r>
      <w:r>
        <w:t>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 (Section 22, Attachment A).  ERCOT will provide the Counter-Party with specific information concerning what is required to cure the material breach. </w:t>
      </w:r>
    </w:p>
    <w:p w14:paraId="681279BF" w14:textId="77777777" w:rsidR="0028005C" w:rsidRDefault="0028005C" w:rsidP="0028005C">
      <w:pPr>
        <w:pStyle w:val="BodyTextNumbered"/>
        <w:rPr>
          <w:szCs w:val="24"/>
        </w:rPr>
      </w:pPr>
      <w:r>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Section (8)(A)(2) of the Standard 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p>
    <w:p w14:paraId="14B31E2B" w14:textId="020B21E4" w:rsidR="00FC1C5F" w:rsidRDefault="00727E32" w:rsidP="001D3EB6">
      <w:pPr>
        <w:pStyle w:val="H3"/>
      </w:pPr>
      <w:bookmarkStart w:id="456" w:name="_Toc184623028"/>
      <w:r>
        <w:t>16.11.2</w:t>
      </w:r>
      <w:r>
        <w:tab/>
      </w:r>
      <w:r w:rsidR="005C04D0">
        <w:t>[RESERVED]</w:t>
      </w:r>
      <w:bookmarkEnd w:id="449"/>
      <w:bookmarkEnd w:id="450"/>
      <w:bookmarkEnd w:id="451"/>
      <w:bookmarkEnd w:id="452"/>
      <w:bookmarkEnd w:id="453"/>
      <w:bookmarkEnd w:id="454"/>
      <w:bookmarkEnd w:id="456"/>
    </w:p>
    <w:p w14:paraId="065D1685" w14:textId="77777777" w:rsidR="00FC1C5F" w:rsidRDefault="00727E32" w:rsidP="00FB1643">
      <w:pPr>
        <w:pStyle w:val="H3"/>
        <w:ind w:left="0" w:firstLine="0"/>
      </w:pPr>
      <w:bookmarkStart w:id="457" w:name="_Toc390438964"/>
      <w:bookmarkStart w:id="458" w:name="_Toc405897661"/>
      <w:bookmarkStart w:id="459" w:name="_Toc415055765"/>
      <w:bookmarkStart w:id="460" w:name="_Toc415055891"/>
      <w:bookmarkStart w:id="461" w:name="_Toc415055990"/>
      <w:bookmarkStart w:id="462" w:name="_Toc415056091"/>
      <w:bookmarkStart w:id="463" w:name="_Toc184623029"/>
      <w:r>
        <w:t>16.11.3</w:t>
      </w:r>
      <w:r>
        <w:tab/>
        <w:t>Alternative Means of Satisfying ERCOT Creditworthiness Requirements</w:t>
      </w:r>
      <w:bookmarkEnd w:id="457"/>
      <w:bookmarkEnd w:id="458"/>
      <w:bookmarkEnd w:id="459"/>
      <w:bookmarkEnd w:id="460"/>
      <w:bookmarkEnd w:id="461"/>
      <w:bookmarkEnd w:id="462"/>
      <w:bookmarkEnd w:id="463"/>
    </w:p>
    <w:p w14:paraId="3B24A6D8" w14:textId="77777777" w:rsidR="005C04D0" w:rsidRPr="00CC731E" w:rsidRDefault="005C04D0" w:rsidP="005C04D0">
      <w:pPr>
        <w:pStyle w:val="List"/>
        <w:ind w:left="702" w:hanging="702"/>
      </w:pPr>
      <w:r w:rsidRPr="00CC731E">
        <w:t>(1)</w:t>
      </w:r>
      <w:r w:rsidRPr="00CC731E">
        <w:tab/>
      </w:r>
      <w:r>
        <w:t>A</w:t>
      </w:r>
      <w:r w:rsidRPr="00CC731E">
        <w:t xml:space="preserve"> Counter-Party required to provide Financial Security under these Protocols may do so through one or more of the following means:</w:t>
      </w:r>
    </w:p>
    <w:p w14:paraId="08218184" w14:textId="77777777" w:rsidR="005C04D0" w:rsidRPr="00CC731E" w:rsidRDefault="005C04D0" w:rsidP="005C04D0">
      <w:pPr>
        <w:pStyle w:val="List"/>
      </w:pPr>
      <w:r w:rsidRPr="00CC731E">
        <w:t>(</w:t>
      </w:r>
      <w:r>
        <w:t>a</w:t>
      </w:r>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08725EA7" w14:textId="77777777" w:rsidR="005C04D0" w:rsidRDefault="005C04D0" w:rsidP="005C04D0">
      <w:pPr>
        <w:pStyle w:val="List"/>
        <w:numPr>
          <w:ilvl w:val="0"/>
          <w:numId w:val="23"/>
        </w:numPr>
      </w:pPr>
      <w:r w:rsidRPr="00CC731E">
        <w:t>The letter of credit must be given using the ERCOT Board-approved standard letter of credit form.</w:t>
      </w:r>
    </w:p>
    <w:p w14:paraId="26A5DAE7" w14:textId="77777777" w:rsidR="005C04D0" w:rsidRPr="00CC731E" w:rsidRDefault="005C04D0" w:rsidP="005C04D0">
      <w:pPr>
        <w:pStyle w:val="List"/>
        <w:numPr>
          <w:ilvl w:val="0"/>
          <w:numId w:val="23"/>
        </w:numPr>
      </w:pPr>
      <w:r>
        <w:lastRenderedPageBreak/>
        <w:t>All letters of credit must be drawn on a U.S. domestic bank or a U.S. domestic office of a foreign bank.</w:t>
      </w:r>
    </w:p>
    <w:p w14:paraId="43CB862B" w14:textId="41A51405" w:rsidR="005C04D0" w:rsidRDefault="005C04D0" w:rsidP="005C04D0">
      <w:pPr>
        <w:pStyle w:val="List"/>
        <w:ind w:left="2160"/>
      </w:pPr>
      <w:r w:rsidRPr="00CC731E">
        <w:t>(ii</w:t>
      </w:r>
      <w:r>
        <w:t>i</w:t>
      </w:r>
      <w:r w:rsidRPr="00CC731E">
        <w:t>)</w:t>
      </w:r>
      <w:r w:rsidRPr="00CC731E">
        <w:tab/>
      </w:r>
      <w:r w:rsidR="00876957" w:rsidRPr="00B20198">
        <w:t xml:space="preserve">Letters of credit must be issued by a bank or other financial institution that is acceptable to ERCOT, with a minimum rating of A- with S&amp;P </w:t>
      </w:r>
      <w:r w:rsidR="00876957">
        <w:t>and</w:t>
      </w:r>
      <w:r w:rsidR="00876957" w:rsidRPr="00B20198">
        <w:t xml:space="preserve"> Fitch </w:t>
      </w:r>
      <w:r w:rsidR="00876957">
        <w:t>and</w:t>
      </w:r>
      <w:r w:rsidR="00876957" w:rsidRPr="00B20198">
        <w:t xml:space="preserve"> A3 with Moody’s.</w:t>
      </w:r>
      <w:r w:rsidR="00876957">
        <w:t xml:space="preserve">  No letters of credit will be accepted from banks which are rated below A-/A3 by one or more rating agencies.  If there are split ratings amongst rating agencies, ERCOT will use the lowest of </w:t>
      </w:r>
      <w:r w:rsidR="00876957" w:rsidRPr="00E57FBD">
        <w:t xml:space="preserve">different ratings </w:t>
      </w:r>
      <w:r w:rsidR="00876957" w:rsidRPr="000E72B5">
        <w:t>within</w:t>
      </w:r>
      <w:r w:rsidR="00876957" w:rsidRPr="00CF23D4">
        <w:t xml:space="preserve"> </w:t>
      </w:r>
      <w:r w:rsidR="00876957" w:rsidRPr="00E57FBD">
        <w:t xml:space="preserve">the same rating agency </w:t>
      </w:r>
      <w:r w:rsidR="00876957" w:rsidRPr="000E72B5">
        <w:t>and</w:t>
      </w:r>
      <w:r w:rsidR="00876957" w:rsidRPr="00CF23D4">
        <w:t xml:space="preserve"> </w:t>
      </w:r>
      <w:r w:rsidR="00876957" w:rsidRPr="00E57FBD">
        <w:t xml:space="preserve">amongst </w:t>
      </w:r>
      <w:r w:rsidR="00876957">
        <w:t xml:space="preserve">different </w:t>
      </w:r>
      <w:r w:rsidR="00876957" w:rsidRPr="00E57FBD">
        <w:t>rating agencies</w:t>
      </w:r>
      <w:r w:rsidR="00876957">
        <w:t>.  The r</w:t>
      </w:r>
      <w:r w:rsidR="00876957" w:rsidRPr="00E57FBD">
        <w:t xml:space="preserve">atings </w:t>
      </w:r>
      <w:r w:rsidR="00876957">
        <w:t xml:space="preserve">are defined </w:t>
      </w:r>
      <w:r w:rsidR="00876957" w:rsidRPr="00E57FBD">
        <w:t xml:space="preserve">as follows (if available): Long term issuer rating, </w:t>
      </w:r>
      <w:r w:rsidR="00876957">
        <w:t>Long</w:t>
      </w:r>
      <w:r w:rsidR="00876957" w:rsidRPr="00E57FBD">
        <w:t xml:space="preserve"> term </w:t>
      </w:r>
      <w:r w:rsidR="00876957">
        <w:t>S</w:t>
      </w:r>
      <w:r w:rsidR="00876957" w:rsidRPr="00E57FBD">
        <w:t xml:space="preserve">enior </w:t>
      </w:r>
      <w:r w:rsidR="00876957">
        <w:t>U</w:t>
      </w:r>
      <w:r w:rsidR="00876957" w:rsidRPr="00E57FBD">
        <w:t xml:space="preserve">nsecured </w:t>
      </w:r>
      <w:r w:rsidR="00876957">
        <w:t xml:space="preserve">rating </w:t>
      </w:r>
      <w:r w:rsidR="00876957" w:rsidRPr="00E57FBD">
        <w:t xml:space="preserve">or Long Term Counterparty Risk Assessment (for Moody’s). </w:t>
      </w:r>
      <w:r w:rsidR="00876957">
        <w:t xml:space="preserve"> For U.S. offices of foreign banks, </w:t>
      </w:r>
      <w:r w:rsidR="00876957" w:rsidRPr="00E57FBD">
        <w:t>U</w:t>
      </w:r>
      <w:r w:rsidR="00876957">
        <w:t>.</w:t>
      </w:r>
      <w:r w:rsidR="00876957" w:rsidRPr="00E57FBD">
        <w:t>S</w:t>
      </w:r>
      <w:r w:rsidR="00876957">
        <w:t>.</w:t>
      </w:r>
      <w:r w:rsidR="00876957" w:rsidRPr="00E57FBD">
        <w:t xml:space="preserve"> </w:t>
      </w:r>
      <w:r w:rsidR="00876957">
        <w:t>b</w:t>
      </w:r>
      <w:r w:rsidR="00876957" w:rsidRPr="00E57FBD">
        <w:t>ranch/office</w:t>
      </w:r>
      <w:r w:rsidR="00876957">
        <w:t xml:space="preserve"> must h</w:t>
      </w:r>
      <w:r w:rsidR="00876957" w:rsidRPr="00E57FBD">
        <w:t>ave an acceptable rating on its own by at least one of the rating agencies.</w:t>
      </w:r>
    </w:p>
    <w:p w14:paraId="71E6E693" w14:textId="6113F4F9" w:rsidR="005C04D0" w:rsidRPr="00CC731E" w:rsidRDefault="005C04D0" w:rsidP="00650C66">
      <w:pPr>
        <w:pStyle w:val="List"/>
        <w:ind w:left="2160"/>
      </w:pPr>
      <w:r w:rsidRPr="00CC731E">
        <w:t>(i</w:t>
      </w:r>
      <w:r>
        <w:t>v</w:t>
      </w:r>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5C04D0" w:rsidRPr="00CC731E" w14:paraId="67BD178C" w14:textId="77777777" w:rsidTr="00A3430F">
        <w:trPr>
          <w:tblHeader/>
        </w:trPr>
        <w:tc>
          <w:tcPr>
            <w:tcW w:w="2970" w:type="dxa"/>
            <w:gridSpan w:val="2"/>
            <w:shd w:val="clear" w:color="auto" w:fill="BFBFBF"/>
            <w:vAlign w:val="center"/>
          </w:tcPr>
          <w:p w14:paraId="42289621" w14:textId="77777777" w:rsidR="005C04D0" w:rsidRPr="00CC731E" w:rsidRDefault="005C04D0" w:rsidP="00A3430F">
            <w:pPr>
              <w:pStyle w:val="List"/>
              <w:ind w:left="0" w:firstLine="0"/>
              <w:jc w:val="center"/>
              <w:rPr>
                <w:sz w:val="20"/>
              </w:rPr>
            </w:pPr>
            <w:r w:rsidRPr="00CC731E">
              <w:rPr>
                <w:sz w:val="20"/>
              </w:rPr>
              <w:t>If the issuing entity has</w:t>
            </w:r>
          </w:p>
        </w:tc>
        <w:tc>
          <w:tcPr>
            <w:tcW w:w="2335" w:type="dxa"/>
            <w:shd w:val="clear" w:color="auto" w:fill="BFBFBF"/>
            <w:vAlign w:val="center"/>
          </w:tcPr>
          <w:p w14:paraId="2A144C3A" w14:textId="77777777" w:rsidR="005C04D0" w:rsidRPr="00CC731E" w:rsidRDefault="005C04D0" w:rsidP="00A3430F">
            <w:pPr>
              <w:pStyle w:val="List"/>
              <w:ind w:left="0" w:firstLine="0"/>
              <w:jc w:val="center"/>
              <w:rPr>
                <w:sz w:val="20"/>
              </w:rPr>
            </w:pPr>
            <w:r w:rsidRPr="00CC731E">
              <w:rPr>
                <w:sz w:val="20"/>
              </w:rPr>
              <w:t>Then</w:t>
            </w:r>
          </w:p>
        </w:tc>
      </w:tr>
      <w:tr w:rsidR="005C04D0" w:rsidRPr="00CC731E" w14:paraId="7D33CC95" w14:textId="77777777" w:rsidTr="00A3430F">
        <w:trPr>
          <w:tblHeader/>
        </w:trPr>
        <w:tc>
          <w:tcPr>
            <w:tcW w:w="2970" w:type="dxa"/>
            <w:gridSpan w:val="2"/>
            <w:shd w:val="clear" w:color="auto" w:fill="BFBFBF"/>
            <w:vAlign w:val="center"/>
          </w:tcPr>
          <w:p w14:paraId="5C3D44D4" w14:textId="77777777" w:rsidR="005C04D0" w:rsidRPr="00CC731E" w:rsidRDefault="005C04D0" w:rsidP="00A3430F">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3586533B" w14:textId="77777777" w:rsidR="005C04D0" w:rsidRPr="00CC731E" w:rsidRDefault="005C04D0" w:rsidP="00A3430F">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5C04D0" w:rsidRPr="00CC731E" w14:paraId="41F5A037" w14:textId="77777777" w:rsidTr="00A3430F">
        <w:tc>
          <w:tcPr>
            <w:tcW w:w="1530" w:type="dxa"/>
            <w:shd w:val="clear" w:color="auto" w:fill="BFBFBF"/>
            <w:vAlign w:val="center"/>
          </w:tcPr>
          <w:p w14:paraId="473C5B47" w14:textId="77777777" w:rsidR="005C04D0" w:rsidRPr="00CC731E" w:rsidRDefault="005C04D0" w:rsidP="00A3430F">
            <w:pPr>
              <w:pStyle w:val="List"/>
              <w:ind w:left="0" w:firstLine="0"/>
              <w:jc w:val="center"/>
              <w:rPr>
                <w:sz w:val="20"/>
              </w:rPr>
            </w:pPr>
            <w:r w:rsidRPr="00CC731E">
              <w:rPr>
                <w:sz w:val="20"/>
              </w:rPr>
              <w:t>S&amp;P or Fitch</w:t>
            </w:r>
          </w:p>
        </w:tc>
        <w:tc>
          <w:tcPr>
            <w:tcW w:w="1440" w:type="dxa"/>
            <w:shd w:val="clear" w:color="auto" w:fill="BFBFBF"/>
            <w:vAlign w:val="center"/>
          </w:tcPr>
          <w:p w14:paraId="7186830A" w14:textId="77777777" w:rsidR="005C04D0" w:rsidRPr="00CC731E" w:rsidRDefault="005C04D0" w:rsidP="00A3430F">
            <w:pPr>
              <w:pStyle w:val="List"/>
              <w:ind w:left="0" w:firstLine="0"/>
              <w:jc w:val="center"/>
              <w:rPr>
                <w:sz w:val="20"/>
              </w:rPr>
            </w:pPr>
            <w:r w:rsidRPr="00CC731E">
              <w:rPr>
                <w:sz w:val="20"/>
              </w:rPr>
              <w:t>Moody’s</w:t>
            </w:r>
          </w:p>
        </w:tc>
        <w:tc>
          <w:tcPr>
            <w:tcW w:w="2335" w:type="dxa"/>
            <w:vMerge/>
            <w:shd w:val="clear" w:color="auto" w:fill="auto"/>
            <w:vAlign w:val="center"/>
          </w:tcPr>
          <w:p w14:paraId="505E0514" w14:textId="77777777" w:rsidR="005C04D0" w:rsidRPr="00CC731E" w:rsidRDefault="005C04D0" w:rsidP="00A3430F">
            <w:pPr>
              <w:pStyle w:val="List"/>
              <w:ind w:left="0" w:firstLine="0"/>
              <w:jc w:val="center"/>
              <w:rPr>
                <w:sz w:val="20"/>
              </w:rPr>
            </w:pPr>
          </w:p>
        </w:tc>
      </w:tr>
      <w:tr w:rsidR="005C04D0" w:rsidRPr="00CC731E" w14:paraId="3F45FF09" w14:textId="77777777" w:rsidTr="00A3430F">
        <w:tc>
          <w:tcPr>
            <w:tcW w:w="1530" w:type="dxa"/>
            <w:shd w:val="clear" w:color="auto" w:fill="auto"/>
            <w:vAlign w:val="center"/>
          </w:tcPr>
          <w:p w14:paraId="0710308E" w14:textId="77777777" w:rsidR="005C04D0" w:rsidRPr="00CC731E" w:rsidRDefault="005C04D0" w:rsidP="00A3430F">
            <w:pPr>
              <w:pStyle w:val="List"/>
              <w:ind w:left="0" w:firstLine="0"/>
              <w:jc w:val="center"/>
              <w:rPr>
                <w:sz w:val="20"/>
              </w:rPr>
            </w:pPr>
            <w:r w:rsidRPr="00CC731E">
              <w:rPr>
                <w:sz w:val="20"/>
              </w:rPr>
              <w:t>AAA</w:t>
            </w:r>
          </w:p>
        </w:tc>
        <w:tc>
          <w:tcPr>
            <w:tcW w:w="1440" w:type="dxa"/>
            <w:shd w:val="clear" w:color="auto" w:fill="auto"/>
            <w:vAlign w:val="center"/>
          </w:tcPr>
          <w:p w14:paraId="13237182" w14:textId="77777777" w:rsidR="005C04D0" w:rsidRPr="00CC731E" w:rsidRDefault="005C04D0" w:rsidP="00A3430F">
            <w:pPr>
              <w:pStyle w:val="List"/>
              <w:ind w:left="0" w:firstLine="0"/>
              <w:jc w:val="center"/>
              <w:rPr>
                <w:sz w:val="20"/>
              </w:rPr>
            </w:pPr>
            <w:r w:rsidRPr="00CC731E">
              <w:rPr>
                <w:sz w:val="20"/>
              </w:rPr>
              <w:t>Aaa</w:t>
            </w:r>
          </w:p>
        </w:tc>
        <w:tc>
          <w:tcPr>
            <w:tcW w:w="2335" w:type="dxa"/>
            <w:shd w:val="clear" w:color="auto" w:fill="auto"/>
            <w:vAlign w:val="center"/>
          </w:tcPr>
          <w:p w14:paraId="51C64B5D" w14:textId="52C3DDB8" w:rsidR="005C04D0" w:rsidRPr="00CC731E" w:rsidRDefault="00D06677" w:rsidP="00A3430F">
            <w:pPr>
              <w:pStyle w:val="List"/>
              <w:ind w:left="0" w:firstLine="0"/>
              <w:jc w:val="center"/>
              <w:rPr>
                <w:sz w:val="20"/>
              </w:rPr>
            </w:pPr>
            <w:r>
              <w:rPr>
                <w:sz w:val="20"/>
              </w:rPr>
              <w:t>2.00</w:t>
            </w:r>
            <w:r w:rsidR="005C04D0" w:rsidRPr="00CC731E">
              <w:rPr>
                <w:sz w:val="20"/>
              </w:rPr>
              <w:t>%</w:t>
            </w:r>
          </w:p>
        </w:tc>
      </w:tr>
      <w:tr w:rsidR="005C04D0" w:rsidRPr="00CC731E" w14:paraId="0990E9F7" w14:textId="77777777" w:rsidTr="00A3430F">
        <w:tc>
          <w:tcPr>
            <w:tcW w:w="1530" w:type="dxa"/>
            <w:shd w:val="clear" w:color="auto" w:fill="auto"/>
            <w:vAlign w:val="center"/>
          </w:tcPr>
          <w:p w14:paraId="7B55C459"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245A807F" w14:textId="77777777" w:rsidR="005C04D0" w:rsidRPr="00CC731E" w:rsidRDefault="005C04D0" w:rsidP="00A3430F">
            <w:pPr>
              <w:pStyle w:val="List"/>
              <w:ind w:left="0" w:firstLine="0"/>
              <w:jc w:val="center"/>
              <w:rPr>
                <w:sz w:val="20"/>
              </w:rPr>
            </w:pPr>
            <w:r w:rsidRPr="00CC731E">
              <w:rPr>
                <w:sz w:val="20"/>
              </w:rPr>
              <w:t>Aa1</w:t>
            </w:r>
          </w:p>
        </w:tc>
        <w:tc>
          <w:tcPr>
            <w:tcW w:w="2335" w:type="dxa"/>
            <w:shd w:val="clear" w:color="auto" w:fill="auto"/>
            <w:vAlign w:val="center"/>
          </w:tcPr>
          <w:p w14:paraId="3F004CD9" w14:textId="0709F530" w:rsidR="005C04D0" w:rsidRPr="00CC731E" w:rsidRDefault="00D06677" w:rsidP="00A3430F">
            <w:pPr>
              <w:pStyle w:val="List"/>
              <w:ind w:left="0" w:firstLine="0"/>
              <w:jc w:val="center"/>
              <w:rPr>
                <w:sz w:val="20"/>
              </w:rPr>
            </w:pPr>
            <w:r>
              <w:rPr>
                <w:sz w:val="20"/>
              </w:rPr>
              <w:t>1.90</w:t>
            </w:r>
            <w:r w:rsidR="005C04D0" w:rsidRPr="00CC731E">
              <w:rPr>
                <w:sz w:val="20"/>
              </w:rPr>
              <w:t>%</w:t>
            </w:r>
          </w:p>
        </w:tc>
      </w:tr>
      <w:tr w:rsidR="005C04D0" w:rsidRPr="00CC731E" w14:paraId="49F08DD5" w14:textId="77777777" w:rsidTr="00A3430F">
        <w:tc>
          <w:tcPr>
            <w:tcW w:w="1530" w:type="dxa"/>
            <w:shd w:val="clear" w:color="auto" w:fill="auto"/>
            <w:vAlign w:val="center"/>
          </w:tcPr>
          <w:p w14:paraId="176C6700"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34B81C4E" w14:textId="77777777" w:rsidR="005C04D0" w:rsidRPr="00CC731E" w:rsidRDefault="005C04D0" w:rsidP="00A3430F">
            <w:pPr>
              <w:pStyle w:val="List"/>
              <w:ind w:left="0" w:firstLine="0"/>
              <w:jc w:val="center"/>
              <w:rPr>
                <w:sz w:val="20"/>
              </w:rPr>
            </w:pPr>
            <w:r w:rsidRPr="00CC731E">
              <w:rPr>
                <w:sz w:val="20"/>
              </w:rPr>
              <w:t>Aa2</w:t>
            </w:r>
          </w:p>
        </w:tc>
        <w:tc>
          <w:tcPr>
            <w:tcW w:w="2335" w:type="dxa"/>
            <w:shd w:val="clear" w:color="auto" w:fill="auto"/>
            <w:vAlign w:val="center"/>
          </w:tcPr>
          <w:p w14:paraId="1622A3BF" w14:textId="7D3F8852" w:rsidR="005C04D0" w:rsidRPr="00CC731E" w:rsidRDefault="00D06677" w:rsidP="00A3430F">
            <w:pPr>
              <w:pStyle w:val="List"/>
              <w:ind w:left="0" w:firstLine="0"/>
              <w:jc w:val="center"/>
              <w:rPr>
                <w:sz w:val="20"/>
              </w:rPr>
            </w:pPr>
            <w:r>
              <w:rPr>
                <w:sz w:val="20"/>
              </w:rPr>
              <w:t>1.80</w:t>
            </w:r>
            <w:r w:rsidR="005C04D0" w:rsidRPr="00CC731E">
              <w:rPr>
                <w:sz w:val="20"/>
              </w:rPr>
              <w:t>%</w:t>
            </w:r>
          </w:p>
        </w:tc>
      </w:tr>
      <w:tr w:rsidR="005C04D0" w:rsidRPr="00CC731E" w14:paraId="06995DC2" w14:textId="77777777" w:rsidTr="00A3430F">
        <w:tc>
          <w:tcPr>
            <w:tcW w:w="1530" w:type="dxa"/>
            <w:shd w:val="clear" w:color="auto" w:fill="auto"/>
            <w:vAlign w:val="center"/>
          </w:tcPr>
          <w:p w14:paraId="2C7E0E1B"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7AEFE098" w14:textId="77777777" w:rsidR="005C04D0" w:rsidRPr="00CC731E" w:rsidRDefault="005C04D0" w:rsidP="00A3430F">
            <w:pPr>
              <w:pStyle w:val="List"/>
              <w:ind w:left="0" w:firstLine="0"/>
              <w:jc w:val="center"/>
              <w:rPr>
                <w:sz w:val="20"/>
              </w:rPr>
            </w:pPr>
            <w:r w:rsidRPr="00CC731E">
              <w:rPr>
                <w:sz w:val="20"/>
              </w:rPr>
              <w:t>Aa3</w:t>
            </w:r>
          </w:p>
        </w:tc>
        <w:tc>
          <w:tcPr>
            <w:tcW w:w="2335" w:type="dxa"/>
            <w:shd w:val="clear" w:color="auto" w:fill="auto"/>
            <w:vAlign w:val="center"/>
          </w:tcPr>
          <w:p w14:paraId="5F882FA9" w14:textId="076F4F7C" w:rsidR="005C04D0" w:rsidRPr="00CC731E" w:rsidRDefault="00D06677" w:rsidP="00A3430F">
            <w:pPr>
              <w:pStyle w:val="List"/>
              <w:ind w:left="0" w:firstLine="0"/>
              <w:jc w:val="center"/>
              <w:rPr>
                <w:sz w:val="20"/>
              </w:rPr>
            </w:pPr>
            <w:r>
              <w:rPr>
                <w:sz w:val="20"/>
              </w:rPr>
              <w:t>1.70</w:t>
            </w:r>
            <w:r w:rsidR="005C04D0" w:rsidRPr="00CC731E">
              <w:rPr>
                <w:sz w:val="20"/>
              </w:rPr>
              <w:t>%</w:t>
            </w:r>
          </w:p>
        </w:tc>
      </w:tr>
      <w:tr w:rsidR="005C04D0" w:rsidRPr="00CC731E" w14:paraId="25555B38" w14:textId="77777777" w:rsidTr="00A3430F">
        <w:tc>
          <w:tcPr>
            <w:tcW w:w="1530" w:type="dxa"/>
            <w:shd w:val="clear" w:color="auto" w:fill="auto"/>
            <w:vAlign w:val="center"/>
          </w:tcPr>
          <w:p w14:paraId="44AE9C84"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79B740E7" w14:textId="77777777" w:rsidR="005C04D0" w:rsidRPr="00CC731E" w:rsidRDefault="005C04D0" w:rsidP="00A3430F">
            <w:pPr>
              <w:pStyle w:val="List"/>
              <w:ind w:left="0" w:firstLine="0"/>
              <w:jc w:val="center"/>
              <w:rPr>
                <w:sz w:val="20"/>
              </w:rPr>
            </w:pPr>
            <w:r w:rsidRPr="00CC731E">
              <w:rPr>
                <w:sz w:val="20"/>
              </w:rPr>
              <w:t>A1</w:t>
            </w:r>
          </w:p>
        </w:tc>
        <w:tc>
          <w:tcPr>
            <w:tcW w:w="2335" w:type="dxa"/>
            <w:shd w:val="clear" w:color="auto" w:fill="auto"/>
            <w:vAlign w:val="center"/>
          </w:tcPr>
          <w:p w14:paraId="0641CCAA" w14:textId="2BF0CEE5" w:rsidR="005C04D0" w:rsidRPr="00CC731E" w:rsidRDefault="00D06677" w:rsidP="00A3430F">
            <w:pPr>
              <w:pStyle w:val="List"/>
              <w:ind w:left="0" w:firstLine="0"/>
              <w:jc w:val="center"/>
              <w:rPr>
                <w:sz w:val="20"/>
              </w:rPr>
            </w:pPr>
            <w:r>
              <w:rPr>
                <w:sz w:val="20"/>
              </w:rPr>
              <w:t>1.60</w:t>
            </w:r>
            <w:r w:rsidR="005C04D0" w:rsidRPr="00CC731E">
              <w:rPr>
                <w:sz w:val="20"/>
              </w:rPr>
              <w:t>%</w:t>
            </w:r>
          </w:p>
        </w:tc>
      </w:tr>
      <w:tr w:rsidR="005C04D0" w:rsidRPr="00CC731E" w14:paraId="07B6253F" w14:textId="77777777" w:rsidTr="00A3430F">
        <w:tc>
          <w:tcPr>
            <w:tcW w:w="1530" w:type="dxa"/>
            <w:shd w:val="clear" w:color="auto" w:fill="auto"/>
            <w:vAlign w:val="center"/>
          </w:tcPr>
          <w:p w14:paraId="5699356E"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4EA39EBE" w14:textId="77777777" w:rsidR="005C04D0" w:rsidRPr="00CC731E" w:rsidRDefault="005C04D0" w:rsidP="00A3430F">
            <w:pPr>
              <w:pStyle w:val="List"/>
              <w:ind w:left="0" w:firstLine="0"/>
              <w:jc w:val="center"/>
              <w:rPr>
                <w:sz w:val="20"/>
              </w:rPr>
            </w:pPr>
            <w:r w:rsidRPr="00CC731E">
              <w:rPr>
                <w:sz w:val="20"/>
              </w:rPr>
              <w:t>A2</w:t>
            </w:r>
          </w:p>
        </w:tc>
        <w:tc>
          <w:tcPr>
            <w:tcW w:w="2335" w:type="dxa"/>
            <w:shd w:val="clear" w:color="auto" w:fill="auto"/>
            <w:vAlign w:val="center"/>
          </w:tcPr>
          <w:p w14:paraId="760DBA6F" w14:textId="11A9E464" w:rsidR="005C04D0" w:rsidRPr="00CC731E" w:rsidRDefault="00D06677" w:rsidP="00A3430F">
            <w:pPr>
              <w:pStyle w:val="List"/>
              <w:ind w:left="0" w:firstLine="0"/>
              <w:jc w:val="center"/>
              <w:rPr>
                <w:sz w:val="20"/>
              </w:rPr>
            </w:pPr>
            <w:r>
              <w:rPr>
                <w:sz w:val="20"/>
              </w:rPr>
              <w:t>1.50</w:t>
            </w:r>
            <w:r w:rsidR="005C04D0" w:rsidRPr="00CC731E">
              <w:rPr>
                <w:sz w:val="20"/>
              </w:rPr>
              <w:t>%</w:t>
            </w:r>
          </w:p>
        </w:tc>
      </w:tr>
      <w:tr w:rsidR="005C04D0" w:rsidRPr="00CC731E" w14:paraId="72BDF294" w14:textId="77777777" w:rsidTr="00A3430F">
        <w:tc>
          <w:tcPr>
            <w:tcW w:w="1530" w:type="dxa"/>
            <w:shd w:val="clear" w:color="auto" w:fill="auto"/>
            <w:vAlign w:val="center"/>
          </w:tcPr>
          <w:p w14:paraId="71BF8B2B"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5C4AF40B" w14:textId="77777777" w:rsidR="005C04D0" w:rsidRPr="00CC731E" w:rsidRDefault="005C04D0" w:rsidP="00A3430F">
            <w:pPr>
              <w:pStyle w:val="List"/>
              <w:ind w:left="0" w:firstLine="0"/>
              <w:jc w:val="center"/>
              <w:rPr>
                <w:sz w:val="20"/>
              </w:rPr>
            </w:pPr>
            <w:r w:rsidRPr="00CC731E">
              <w:rPr>
                <w:sz w:val="20"/>
              </w:rPr>
              <w:t>A3</w:t>
            </w:r>
          </w:p>
        </w:tc>
        <w:tc>
          <w:tcPr>
            <w:tcW w:w="2335" w:type="dxa"/>
            <w:shd w:val="clear" w:color="auto" w:fill="auto"/>
            <w:vAlign w:val="center"/>
          </w:tcPr>
          <w:p w14:paraId="42813AEA" w14:textId="158E2E63" w:rsidR="005C04D0" w:rsidRPr="00CC731E" w:rsidRDefault="00D06677" w:rsidP="00A3430F">
            <w:pPr>
              <w:pStyle w:val="List"/>
              <w:ind w:left="0" w:firstLine="0"/>
              <w:jc w:val="center"/>
              <w:rPr>
                <w:sz w:val="20"/>
              </w:rPr>
            </w:pPr>
            <w:r>
              <w:rPr>
                <w:sz w:val="20"/>
              </w:rPr>
              <w:t>1.40</w:t>
            </w:r>
            <w:r w:rsidR="005C04D0" w:rsidRPr="00CC731E">
              <w:rPr>
                <w:sz w:val="20"/>
              </w:rPr>
              <w:t>%</w:t>
            </w:r>
          </w:p>
        </w:tc>
      </w:tr>
      <w:tr w:rsidR="005C04D0" w:rsidRPr="00CC731E" w14:paraId="00011312" w14:textId="77777777" w:rsidTr="00A3430F">
        <w:tc>
          <w:tcPr>
            <w:tcW w:w="1530" w:type="dxa"/>
            <w:shd w:val="clear" w:color="auto" w:fill="auto"/>
            <w:vAlign w:val="center"/>
          </w:tcPr>
          <w:p w14:paraId="7C101438" w14:textId="77777777" w:rsidR="005C04D0" w:rsidRPr="00CC731E" w:rsidRDefault="005C04D0" w:rsidP="00A3430F">
            <w:pPr>
              <w:pStyle w:val="List"/>
              <w:ind w:left="0" w:firstLine="0"/>
              <w:jc w:val="center"/>
              <w:rPr>
                <w:sz w:val="20"/>
              </w:rPr>
            </w:pPr>
            <w:r w:rsidRPr="00CC731E">
              <w:rPr>
                <w:sz w:val="20"/>
              </w:rPr>
              <w:t>Below A-</w:t>
            </w:r>
          </w:p>
        </w:tc>
        <w:tc>
          <w:tcPr>
            <w:tcW w:w="1440" w:type="dxa"/>
            <w:shd w:val="clear" w:color="auto" w:fill="auto"/>
            <w:vAlign w:val="center"/>
          </w:tcPr>
          <w:p w14:paraId="0FE49D4F" w14:textId="77777777" w:rsidR="005C04D0" w:rsidRPr="00CC731E" w:rsidRDefault="005C04D0" w:rsidP="00A3430F">
            <w:pPr>
              <w:pStyle w:val="List"/>
              <w:ind w:left="0" w:firstLine="0"/>
              <w:jc w:val="center"/>
              <w:rPr>
                <w:sz w:val="20"/>
              </w:rPr>
            </w:pPr>
            <w:r w:rsidRPr="00CC731E">
              <w:rPr>
                <w:sz w:val="20"/>
              </w:rPr>
              <w:t>Below A3</w:t>
            </w:r>
          </w:p>
        </w:tc>
        <w:tc>
          <w:tcPr>
            <w:tcW w:w="2335" w:type="dxa"/>
            <w:shd w:val="clear" w:color="auto" w:fill="auto"/>
            <w:vAlign w:val="center"/>
          </w:tcPr>
          <w:p w14:paraId="5073A801" w14:textId="77777777" w:rsidR="005C04D0" w:rsidRPr="00CC731E" w:rsidRDefault="005C04D0" w:rsidP="00A3430F">
            <w:pPr>
              <w:pStyle w:val="List"/>
              <w:ind w:left="0" w:firstLine="0"/>
              <w:jc w:val="center"/>
              <w:rPr>
                <w:sz w:val="20"/>
              </w:rPr>
            </w:pPr>
            <w:r w:rsidRPr="00CC731E">
              <w:rPr>
                <w:sz w:val="20"/>
              </w:rPr>
              <w:t>Not accepted</w:t>
            </w:r>
          </w:p>
        </w:tc>
      </w:tr>
    </w:tbl>
    <w:p w14:paraId="444551CF" w14:textId="1F6A6281" w:rsidR="005C04D0" w:rsidRPr="00CC731E" w:rsidRDefault="005C04D0" w:rsidP="005C04D0">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32605BDA" w14:textId="77777777" w:rsidR="005C04D0" w:rsidRPr="00CC731E" w:rsidRDefault="005C04D0" w:rsidP="005C04D0">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w:t>
      </w:r>
      <w:r w:rsidRPr="00CC731E">
        <w:lastRenderedPageBreak/>
        <w:t xml:space="preserve">Market Participants may inquire of ERCOT about intra-day changes to the amount of posted </w:t>
      </w:r>
      <w:r>
        <w:t>letters of credit</w:t>
      </w:r>
      <w:r w:rsidRPr="00CC731E">
        <w:t>.</w:t>
      </w:r>
    </w:p>
    <w:p w14:paraId="35B07FE1" w14:textId="77777777" w:rsidR="005C04D0" w:rsidRPr="00CC731E" w:rsidRDefault="005C04D0" w:rsidP="005C04D0">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4F26B1BB" w14:textId="77777777" w:rsidR="005C04D0" w:rsidRPr="00CC731E" w:rsidRDefault="005C04D0" w:rsidP="005C04D0">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1A7D285B" w14:textId="77777777" w:rsidR="005C04D0" w:rsidRPr="00CC731E" w:rsidRDefault="005C04D0" w:rsidP="005C04D0">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4E81E13B" w14:textId="77777777" w:rsidR="005C04D0" w:rsidRDefault="005C04D0" w:rsidP="005C04D0">
      <w:pPr>
        <w:pStyle w:val="List"/>
        <w:ind w:left="2880"/>
      </w:pPr>
      <w:r w:rsidRPr="00CC731E">
        <w:t>(</w:t>
      </w:r>
      <w:r>
        <w:t>F</w:t>
      </w:r>
      <w:r w:rsidRPr="00CC731E">
        <w:t>)</w:t>
      </w:r>
      <w:r w:rsidRPr="00CC731E">
        <w:tab/>
        <w:t xml:space="preserve">ERCOT in its sole discretion may authorize exceptions to these limits. </w:t>
      </w:r>
      <w:r>
        <w:t xml:space="preserve"> </w:t>
      </w:r>
    </w:p>
    <w:p w14:paraId="67AA7AC9" w14:textId="77777777" w:rsidR="005C04D0" w:rsidRPr="00CC731E" w:rsidRDefault="005C04D0" w:rsidP="005C04D0">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15CF8368" w14:textId="6F350AC5" w:rsidR="00876957" w:rsidRPr="00B20198" w:rsidRDefault="00876957" w:rsidP="00876957">
      <w:pPr>
        <w:spacing w:after="240"/>
        <w:ind w:left="1440" w:hanging="720"/>
      </w:pPr>
      <w:r w:rsidRPr="00B20198">
        <w:t>(b)</w:t>
      </w:r>
      <w:r w:rsidRPr="00B20198">
        <w:tab/>
        <w:t xml:space="preserve">The Counter-Party may give a surety bond naming ERCOT as the beneficiary.  </w:t>
      </w:r>
    </w:p>
    <w:p w14:paraId="54F0DE9C" w14:textId="77777777" w:rsidR="00876957" w:rsidRPr="00B20198" w:rsidRDefault="00876957" w:rsidP="00876957">
      <w:pPr>
        <w:spacing w:after="240"/>
        <w:ind w:left="2160" w:hanging="720"/>
      </w:pPr>
      <w:r w:rsidRPr="00B20198">
        <w:t>(i)</w:t>
      </w:r>
      <w:r w:rsidRPr="00B20198">
        <w:tab/>
        <w:t>The surety bond must be signed by a surety acceptable to ERCOT, in its sole discretion and must be in the form of ERCOT’s standard surety bond form approved by the ERCOT Board.  No modifications to the form are permitted.</w:t>
      </w:r>
    </w:p>
    <w:p w14:paraId="3798D87F" w14:textId="77777777" w:rsidR="00876957" w:rsidRPr="00B20198" w:rsidRDefault="00876957" w:rsidP="00876957">
      <w:pPr>
        <w:spacing w:after="240"/>
        <w:ind w:left="2160" w:hanging="720"/>
      </w:pPr>
      <w:r w:rsidRPr="00B20198">
        <w:t>(ii)</w:t>
      </w:r>
      <w:r w:rsidRPr="00B20198">
        <w:tab/>
        <w:t xml:space="preserve">The surety bond must be issued by an insurance company with a minimum rating of A- with S&amp;P </w:t>
      </w:r>
      <w:r>
        <w:t>and</w:t>
      </w:r>
      <w:r w:rsidRPr="00B20198">
        <w:t xml:space="preserve"> Fitch </w:t>
      </w:r>
      <w:r>
        <w:t>and</w:t>
      </w:r>
      <w:r w:rsidRPr="00B20198">
        <w:t xml:space="preserve"> A3 with Moody’s</w:t>
      </w:r>
      <w:r>
        <w:t>, if available</w:t>
      </w:r>
      <w:r w:rsidRPr="00B20198">
        <w:t xml:space="preserve">. </w:t>
      </w:r>
      <w:r>
        <w:t xml:space="preserve"> No surety bonds will be accepted from insurance companies, which are rated below A-/A3 by one or more rating agencies.  If there are split ratings amongst rating agencies, ERCOT will use the lowest of </w:t>
      </w:r>
      <w:r w:rsidRPr="00E57FBD">
        <w:t xml:space="preserve">different ratings </w:t>
      </w:r>
      <w:r w:rsidRPr="000E72B5">
        <w:t>within</w:t>
      </w:r>
      <w:r w:rsidRPr="00E57FBD">
        <w:t xml:space="preserve"> the same rating agency </w:t>
      </w:r>
      <w:r w:rsidRPr="000E72B5">
        <w:t>and</w:t>
      </w:r>
      <w:r w:rsidRPr="00E57FBD">
        <w:t xml:space="preserve"> amongst </w:t>
      </w:r>
      <w:r>
        <w:t xml:space="preserve">different </w:t>
      </w:r>
      <w:r w:rsidRPr="00E57FBD">
        <w:t>rating agencies</w:t>
      </w:r>
      <w:r>
        <w:t>.</w:t>
      </w:r>
    </w:p>
    <w:p w14:paraId="7DB64119" w14:textId="77777777" w:rsidR="00876957" w:rsidRDefault="00876957" w:rsidP="00876957">
      <w:pPr>
        <w:pStyle w:val="List"/>
        <w:ind w:left="2160"/>
      </w:pPr>
      <w:r w:rsidRPr="00B20198">
        <w:t>(iii)</w:t>
      </w:r>
      <w:r w:rsidRPr="00B20198">
        <w:tab/>
        <w:t xml:space="preserve">Surety bonds are subject to a limit of $10 million per Counter-Party per insurer and an overall limit of $100 million per insurer for all ERCOT Counter-Parties. </w:t>
      </w:r>
      <w:r>
        <w:t xml:space="preserve"> This overall limit is aggregated for the entire corporate family in case of multiple insurance companies belonging to the same corporate family.</w:t>
      </w:r>
    </w:p>
    <w:p w14:paraId="6854DBEF" w14:textId="53EC486D" w:rsidR="00876957" w:rsidRPr="00CC731E" w:rsidRDefault="00876957" w:rsidP="00876957">
      <w:pPr>
        <w:pStyle w:val="List"/>
        <w:ind w:left="2160"/>
      </w:pPr>
      <w:r>
        <w:t>(iv)</w:t>
      </w:r>
      <w:r>
        <w:tab/>
      </w:r>
      <w:r w:rsidRPr="00CC731E">
        <w:t xml:space="preserve">The surety bond must be issued by an insurance company with a minimum </w:t>
      </w:r>
      <w:r>
        <w:t>financial size category of XII as determined by AM Best.</w:t>
      </w:r>
    </w:p>
    <w:p w14:paraId="7369192F" w14:textId="2F852136" w:rsidR="005C04D0" w:rsidRDefault="005C04D0" w:rsidP="00650C66">
      <w:pPr>
        <w:spacing w:after="240"/>
        <w:ind w:left="1440" w:hanging="720"/>
      </w:pPr>
      <w:r w:rsidRPr="00AF4A46">
        <w:lastRenderedPageBreak/>
        <w:t>(</w:t>
      </w:r>
      <w:r>
        <w:t>c</w:t>
      </w:r>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w:t>
      </w:r>
      <w:r w:rsidR="001D1905">
        <w:t>shall</w:t>
      </w:r>
      <w:r w:rsidR="001D1905" w:rsidRPr="001D1905">
        <w:t xml:space="preserve"> </w:t>
      </w:r>
      <w:r w:rsidR="001D1905" w:rsidRPr="002A0C70">
        <w:t>be invested pursuant to the ERCOT Investment Corporate Standard and all</w:t>
      </w:r>
      <w:r w:rsidRPr="00AF4A46">
        <w:t xml:space="preserve"> interest </w:t>
      </w:r>
      <w:r w:rsidR="001D1905" w:rsidRPr="002A0C70">
        <w:t xml:space="preserve">received on Cash Collateral will be </w:t>
      </w:r>
      <w:r w:rsidRPr="00AF4A46">
        <w:t>payable directly to the Counter-Party</w:t>
      </w:r>
      <w:r w:rsidR="001D1905">
        <w:t>;</w:t>
      </w:r>
      <w:r w:rsidR="001D1905" w:rsidRPr="001D1905">
        <w:t xml:space="preserve"> </w:t>
      </w:r>
      <w:r w:rsidR="001D1905" w:rsidRPr="002A0C70">
        <w:t>provided, however</w:t>
      </w:r>
      <w:r w:rsidRPr="00AF4A46">
        <w:t xml:space="preserve">, </w:t>
      </w:r>
      <w:r w:rsidR="001D1905">
        <w:t>that</w:t>
      </w:r>
      <w:r w:rsidRPr="00AF4A46">
        <w:t xml:space="preserve"> any such arrangements may not restrict ERCOT’s immediate access to the cash.  </w:t>
      </w:r>
    </w:p>
    <w:p w14:paraId="21F806E1" w14:textId="32A194DA" w:rsidR="005C04D0" w:rsidRDefault="005C04D0" w:rsidP="005C04D0">
      <w:pPr>
        <w:spacing w:after="240"/>
        <w:ind w:left="2160" w:hanging="720"/>
      </w:pPr>
      <w:r>
        <w:t>(i)</w:t>
      </w:r>
      <w:r>
        <w:tab/>
        <w:t xml:space="preserve">Interest on Cash Collateral will be calculated </w:t>
      </w:r>
      <w:r w:rsidR="001D1905" w:rsidRPr="002A0C70">
        <w:t xml:space="preserve">on a monthly basis, </w:t>
      </w:r>
      <w:r>
        <w:t xml:space="preserve">based on </w:t>
      </w:r>
      <w:r w:rsidR="001D1905" w:rsidRPr="002A0C70">
        <w:t>average daily balances of the</w:t>
      </w:r>
      <w:r w:rsidR="001D1905">
        <w:t xml:space="preserve"> </w:t>
      </w:r>
      <w:r>
        <w:t>Counter-Party Cash Collateral.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69B4203F" w14:textId="5F899C0E" w:rsidR="005C04D0" w:rsidRDefault="005C04D0" w:rsidP="00FE4B56">
      <w:pPr>
        <w:pStyle w:val="List"/>
        <w:ind w:left="2160"/>
      </w:pPr>
      <w:r>
        <w:t>(ii)</w:t>
      </w:r>
      <w:r>
        <w:tab/>
      </w:r>
      <w:r w:rsidR="001D1905" w:rsidRPr="002A0C70">
        <w:t>On or before the 15th Bank Business Day of each month</w:t>
      </w:r>
      <w:r w:rsidRPr="00AF4A46">
        <w:t>, ERCOT will</w:t>
      </w:r>
      <w:r w:rsidR="001D1905" w:rsidRPr="002A0C70" w:rsidDel="00B71774">
        <w:t xml:space="preserve"> </w:t>
      </w:r>
      <w:r w:rsidR="001D1905" w:rsidRPr="002A0C70">
        <w:t>credit each Counter-Party’s Cash Collateral account for the amount of interest calculated for Cash Collateral held by ERCOT for the prior month</w:t>
      </w:r>
      <w:r w:rsidR="001D1905">
        <w:t>.</w:t>
      </w:r>
    </w:p>
    <w:p w14:paraId="59EA7BE2" w14:textId="0DEFACAF" w:rsidR="00B87B1F" w:rsidRDefault="00B87B1F" w:rsidP="00FE4B56">
      <w:pPr>
        <w:pStyle w:val="List"/>
        <w:ind w:left="2160"/>
      </w:pPr>
      <w:r>
        <w:t xml:space="preserve">(iii)      </w:t>
      </w:r>
      <w:r w:rsidRPr="002A0C70">
        <w:t>In addition, ERCOT will provide a report containing details on how the interest amount was calculated for that month, which shall include, at a minimum, the daily principal amount of the Cash Collateral held from the Counter-Party and the imputed yield.</w:t>
      </w:r>
    </w:p>
    <w:p w14:paraId="147657AA" w14:textId="56303BEF" w:rsidR="002D6ABD" w:rsidRDefault="005C04D0" w:rsidP="000C1414">
      <w:pPr>
        <w:spacing w:after="240"/>
        <w:ind w:left="2160" w:hanging="720"/>
      </w:pPr>
      <w:r>
        <w:t>(i</w:t>
      </w:r>
      <w:r w:rsidR="00B87B1F">
        <w:t>v</w:t>
      </w:r>
      <w:r>
        <w:t>)</w:t>
      </w:r>
      <w:r>
        <w:tab/>
      </w:r>
      <w:r w:rsidRPr="00AF4A46">
        <w:t>ERCOT has a</w:t>
      </w:r>
      <w:r w:rsidR="001D1905">
        <w:t xml:space="preserve"> first priority</w:t>
      </w:r>
      <w:r w:rsidRPr="00AF4A46">
        <w:t xml:space="preserve">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7FD6B095" w14:textId="77777777" w:rsidR="00FC1C5F" w:rsidRDefault="00727E32" w:rsidP="00FE4B56">
      <w:pPr>
        <w:pStyle w:val="H3"/>
      </w:pPr>
      <w:bookmarkStart w:id="464" w:name="_Toc390438965"/>
      <w:bookmarkStart w:id="465" w:name="_Toc405897662"/>
      <w:bookmarkStart w:id="466" w:name="_Toc415055766"/>
      <w:bookmarkStart w:id="467" w:name="_Toc415055892"/>
      <w:bookmarkStart w:id="468" w:name="_Toc415055991"/>
      <w:bookmarkStart w:id="469" w:name="_Toc415056092"/>
      <w:bookmarkStart w:id="470" w:name="_Toc184623030"/>
      <w:r>
        <w:t>16.11.4</w:t>
      </w:r>
      <w:r>
        <w:tab/>
        <w:t>Determination and Monitoring of Counter-Party Credit Exposure</w:t>
      </w:r>
      <w:bookmarkEnd w:id="464"/>
      <w:bookmarkEnd w:id="465"/>
      <w:bookmarkEnd w:id="466"/>
      <w:bookmarkEnd w:id="467"/>
      <w:bookmarkEnd w:id="468"/>
      <w:bookmarkEnd w:id="469"/>
      <w:bookmarkEnd w:id="470"/>
    </w:p>
    <w:p w14:paraId="6A413844" w14:textId="77777777" w:rsidR="00856F40" w:rsidRPr="0002450E" w:rsidRDefault="00856F40" w:rsidP="00856F40">
      <w:pPr>
        <w:pStyle w:val="H4"/>
        <w:spacing w:before="120"/>
        <w:ind w:left="1267" w:hanging="1267"/>
        <w:rPr>
          <w:b/>
          <w:bCs/>
        </w:rPr>
      </w:pPr>
      <w:bookmarkStart w:id="471" w:name="_Toc390438966"/>
      <w:bookmarkStart w:id="472" w:name="_Toc405897663"/>
      <w:bookmarkStart w:id="473" w:name="_Toc415055767"/>
      <w:bookmarkStart w:id="474" w:name="_Toc415055893"/>
      <w:bookmarkStart w:id="475" w:name="_Toc415055992"/>
      <w:bookmarkStart w:id="476" w:name="_Toc415056093"/>
      <w:bookmarkStart w:id="477" w:name="_Toc184623031"/>
      <w:r w:rsidRPr="0002450E">
        <w:rPr>
          <w:b/>
          <w:bCs/>
        </w:rPr>
        <w:t>16.11.4.1</w:t>
      </w:r>
      <w:r w:rsidRPr="0002450E">
        <w:rPr>
          <w:b/>
          <w:bCs/>
        </w:rPr>
        <w:tab/>
        <w:t>Determination of Total Potential Exposure for a Counter-Party</w:t>
      </w:r>
      <w:bookmarkEnd w:id="471"/>
      <w:bookmarkEnd w:id="472"/>
      <w:bookmarkEnd w:id="473"/>
      <w:bookmarkEnd w:id="474"/>
      <w:bookmarkEnd w:id="475"/>
      <w:bookmarkEnd w:id="476"/>
      <w:bookmarkEnd w:id="477"/>
    </w:p>
    <w:p w14:paraId="2812848F" w14:textId="77777777" w:rsidR="005C04D0" w:rsidRDefault="005C04D0" w:rsidP="005C04D0">
      <w:pPr>
        <w:pStyle w:val="BodyTextNumbered"/>
      </w:pPr>
      <w:r>
        <w:t>(1)</w:t>
      </w:r>
      <w:r>
        <w:tab/>
        <w:t>A Counter-Party’s TPE is the sum of its “Total Potential Exposure Any” (TPEA) and TPES:</w:t>
      </w:r>
    </w:p>
    <w:p w14:paraId="69743CAF" w14:textId="77777777" w:rsidR="005C04D0" w:rsidRDefault="005C04D0" w:rsidP="005C04D0">
      <w:pPr>
        <w:pStyle w:val="BodyTextNumbered"/>
        <w:ind w:left="1440"/>
      </w:pPr>
      <w:r>
        <w:t>(a)</w:t>
      </w:r>
      <w:r>
        <w:tab/>
        <w:t>TPEA is the positive net exposure of the Counter-Party not included in TPES.</w:t>
      </w:r>
    </w:p>
    <w:p w14:paraId="6A58A4CF" w14:textId="77777777" w:rsidR="005C04D0" w:rsidRDefault="005C04D0" w:rsidP="005C04D0">
      <w:pPr>
        <w:pStyle w:val="BodyTextNumbered"/>
        <w:ind w:left="1440"/>
      </w:pPr>
      <w:r>
        <w:t>(b)</w:t>
      </w:r>
      <w:r>
        <w:tab/>
        <w:t>TPES is the positive net exposure of the Counter-Party for Future Credit Exposure (FCE) and the Independent Amount (IA).</w:t>
      </w:r>
    </w:p>
    <w:p w14:paraId="2AAC7917" w14:textId="2DEB56A4" w:rsidR="002D0D49" w:rsidRDefault="002D0D49" w:rsidP="00FB1643">
      <w:pPr>
        <w:pStyle w:val="BodyTextNumbered"/>
      </w:pPr>
      <w:r>
        <w:t>(2)</w:t>
      </w:r>
      <w:r>
        <w:tab/>
        <w:t>For all Counter-Parties:</w:t>
      </w:r>
    </w:p>
    <w:p w14:paraId="35AE3E7F" w14:textId="77777777" w:rsidR="002D0D49" w:rsidRDefault="002D0D49" w:rsidP="002D0D49">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78A0717D" w14:textId="77777777" w:rsidR="002D0D49" w:rsidRDefault="002D0D49" w:rsidP="002D0D49">
      <w:pPr>
        <w:pStyle w:val="BodyTextNumbered"/>
        <w:ind w:left="1440"/>
      </w:pPr>
      <w:r>
        <w:lastRenderedPageBreak/>
        <w:t>TPES</w:t>
      </w:r>
      <w:r>
        <w:tab/>
        <w:t>=</w:t>
      </w:r>
      <w:r>
        <w:tab/>
        <w:t xml:space="preserve">Max [0, FCE </w:t>
      </w:r>
      <w:r w:rsidRPr="00D77426">
        <w:rPr>
          <w:i/>
          <w:vertAlign w:val="subscript"/>
        </w:rPr>
        <w:t>a</w:t>
      </w:r>
      <w:r>
        <w:t>] + IA</w:t>
      </w:r>
    </w:p>
    <w:p w14:paraId="3E2EC311" w14:textId="77777777" w:rsidR="002D0D49" w:rsidRDefault="002D0D49" w:rsidP="002D0D49">
      <w:pPr>
        <w:pStyle w:val="BodyText"/>
        <w:spacing w:after="0"/>
      </w:pPr>
      <w:r>
        <w:rPr>
          <w:iCs w:val="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2D0D49" w14:paraId="6A2B50C5" w14:textId="77777777" w:rsidTr="009F2C2F">
        <w:trPr>
          <w:trHeight w:val="351"/>
          <w:tblHeader/>
        </w:trPr>
        <w:tc>
          <w:tcPr>
            <w:tcW w:w="1652" w:type="dxa"/>
          </w:tcPr>
          <w:p w14:paraId="22FE4A5B" w14:textId="77777777" w:rsidR="002D0D49" w:rsidRDefault="002D0D49" w:rsidP="0031595F">
            <w:pPr>
              <w:pStyle w:val="TableHead"/>
            </w:pPr>
            <w:r>
              <w:t>Variable</w:t>
            </w:r>
          </w:p>
        </w:tc>
        <w:tc>
          <w:tcPr>
            <w:tcW w:w="986" w:type="dxa"/>
          </w:tcPr>
          <w:p w14:paraId="10773D1C" w14:textId="77777777" w:rsidR="002D0D49" w:rsidRDefault="002D0D49" w:rsidP="0031595F">
            <w:pPr>
              <w:pStyle w:val="TableHead"/>
            </w:pPr>
            <w:r>
              <w:t>Unit</w:t>
            </w:r>
          </w:p>
        </w:tc>
        <w:tc>
          <w:tcPr>
            <w:tcW w:w="6694" w:type="dxa"/>
          </w:tcPr>
          <w:p w14:paraId="4970098D" w14:textId="77777777" w:rsidR="002D0D49" w:rsidRDefault="002D0D49" w:rsidP="0031595F">
            <w:pPr>
              <w:pStyle w:val="TableHead"/>
            </w:pPr>
            <w:r>
              <w:t>Description</w:t>
            </w:r>
          </w:p>
        </w:tc>
      </w:tr>
      <w:tr w:rsidR="002D0D49" w14:paraId="0485A70D" w14:textId="77777777" w:rsidTr="009F2C2F">
        <w:trPr>
          <w:trHeight w:val="519"/>
        </w:trPr>
        <w:tc>
          <w:tcPr>
            <w:tcW w:w="1652" w:type="dxa"/>
          </w:tcPr>
          <w:p w14:paraId="1AC67AA6" w14:textId="77777777" w:rsidR="002D0D49" w:rsidRPr="00FF36D0" w:rsidRDefault="002D0D49" w:rsidP="0031595F">
            <w:pPr>
              <w:pStyle w:val="TableBody"/>
            </w:pPr>
            <w:r w:rsidRPr="00FF36D0">
              <w:t xml:space="preserve">EAL </w:t>
            </w:r>
            <w:r w:rsidRPr="00FF36D0">
              <w:rPr>
                <w:i/>
                <w:vertAlign w:val="subscript"/>
              </w:rPr>
              <w:t>q</w:t>
            </w:r>
          </w:p>
        </w:tc>
        <w:tc>
          <w:tcPr>
            <w:tcW w:w="986" w:type="dxa"/>
          </w:tcPr>
          <w:p w14:paraId="4B5BE70E" w14:textId="77777777" w:rsidR="002D0D49" w:rsidRPr="00906156" w:rsidRDefault="002D0D49" w:rsidP="0031595F">
            <w:pPr>
              <w:pStyle w:val="TableBody"/>
            </w:pPr>
            <w:r w:rsidRPr="00906156">
              <w:t>$</w:t>
            </w:r>
          </w:p>
        </w:tc>
        <w:tc>
          <w:tcPr>
            <w:tcW w:w="6694" w:type="dxa"/>
          </w:tcPr>
          <w:p w14:paraId="1FBBD922" w14:textId="77777777" w:rsidR="002D0D49" w:rsidRPr="00484E48" w:rsidRDefault="002D0D49" w:rsidP="0031595F">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2D0D49" w14:paraId="1FC7BB7B" w14:textId="77777777" w:rsidTr="009F2C2F">
        <w:trPr>
          <w:trHeight w:val="519"/>
        </w:trPr>
        <w:tc>
          <w:tcPr>
            <w:tcW w:w="1652" w:type="dxa"/>
          </w:tcPr>
          <w:p w14:paraId="16664BF5" w14:textId="77777777" w:rsidR="002D0D49" w:rsidRDefault="002D0D49" w:rsidP="0031595F">
            <w:pPr>
              <w:pStyle w:val="TableBody"/>
            </w:pPr>
            <w:r>
              <w:t xml:space="preserve">EAL </w:t>
            </w:r>
            <w:r w:rsidRPr="00D857C2">
              <w:rPr>
                <w:i/>
                <w:vertAlign w:val="subscript"/>
              </w:rPr>
              <w:t>t</w:t>
            </w:r>
          </w:p>
        </w:tc>
        <w:tc>
          <w:tcPr>
            <w:tcW w:w="986" w:type="dxa"/>
          </w:tcPr>
          <w:p w14:paraId="6D7CAC40" w14:textId="77777777" w:rsidR="002D0D49" w:rsidRDefault="002D0D49" w:rsidP="0031595F">
            <w:pPr>
              <w:pStyle w:val="TableBody"/>
            </w:pPr>
            <w:r>
              <w:t>$</w:t>
            </w:r>
          </w:p>
        </w:tc>
        <w:tc>
          <w:tcPr>
            <w:tcW w:w="6694" w:type="dxa"/>
          </w:tcPr>
          <w:p w14:paraId="62E90092" w14:textId="77777777" w:rsidR="002D0D49" w:rsidRPr="00B67540" w:rsidRDefault="002D0D49" w:rsidP="0031595F">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2D0D49" w14:paraId="083B2258" w14:textId="77777777" w:rsidTr="009F2C2F">
        <w:trPr>
          <w:trHeight w:val="519"/>
        </w:trPr>
        <w:tc>
          <w:tcPr>
            <w:tcW w:w="1652" w:type="dxa"/>
          </w:tcPr>
          <w:p w14:paraId="4C701A60" w14:textId="77777777" w:rsidR="002D0D49" w:rsidRDefault="002D0D49" w:rsidP="0031595F">
            <w:pPr>
              <w:pStyle w:val="TableBody"/>
            </w:pPr>
            <w:r>
              <w:t xml:space="preserve">EAL </w:t>
            </w:r>
            <w:r w:rsidRPr="00D77426">
              <w:rPr>
                <w:i/>
                <w:vertAlign w:val="subscript"/>
              </w:rPr>
              <w:t>a</w:t>
            </w:r>
          </w:p>
        </w:tc>
        <w:tc>
          <w:tcPr>
            <w:tcW w:w="986" w:type="dxa"/>
          </w:tcPr>
          <w:p w14:paraId="03B0B3AA" w14:textId="77777777" w:rsidR="002D0D49" w:rsidRDefault="002D0D49" w:rsidP="0031595F">
            <w:pPr>
              <w:pStyle w:val="TableBody"/>
            </w:pPr>
            <w:r>
              <w:t>$</w:t>
            </w:r>
          </w:p>
        </w:tc>
        <w:tc>
          <w:tcPr>
            <w:tcW w:w="6694" w:type="dxa"/>
          </w:tcPr>
          <w:p w14:paraId="2CE92B9E" w14:textId="77777777" w:rsidR="002D0D49" w:rsidRPr="00B67540" w:rsidRDefault="002D0D49" w:rsidP="0031595F">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2D0D49" w14:paraId="6A75524F" w14:textId="77777777" w:rsidTr="009F2C2F">
        <w:trPr>
          <w:trHeight w:val="519"/>
        </w:trPr>
        <w:tc>
          <w:tcPr>
            <w:tcW w:w="1652" w:type="dxa"/>
          </w:tcPr>
          <w:p w14:paraId="5FA14A8E" w14:textId="77777777" w:rsidR="002D0D49" w:rsidRDefault="002D0D49" w:rsidP="0031595F">
            <w:pPr>
              <w:pStyle w:val="TableBody"/>
            </w:pPr>
            <w:r w:rsidRPr="005D51CF">
              <w:t>PUL</w:t>
            </w:r>
          </w:p>
        </w:tc>
        <w:tc>
          <w:tcPr>
            <w:tcW w:w="986" w:type="dxa"/>
          </w:tcPr>
          <w:p w14:paraId="49B61974" w14:textId="77777777" w:rsidR="002D0D49" w:rsidRDefault="002D0D49" w:rsidP="0031595F">
            <w:pPr>
              <w:pStyle w:val="TableBody"/>
            </w:pPr>
            <w:r w:rsidRPr="005D51CF">
              <w:t>$</w:t>
            </w:r>
          </w:p>
        </w:tc>
        <w:tc>
          <w:tcPr>
            <w:tcW w:w="6694" w:type="dxa"/>
          </w:tcPr>
          <w:p w14:paraId="69FB583F" w14:textId="20752A12" w:rsidR="002D0D49" w:rsidRPr="00B67540" w:rsidRDefault="002D0D49" w:rsidP="0031595F">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rsidR="0088125F">
              <w:t>the lesser of: (</w:t>
            </w:r>
            <w:r w:rsidR="003A5AEB">
              <w:t>i</w:t>
            </w:r>
            <w:r w:rsidR="0088125F">
              <w:t xml:space="preserve">) </w:t>
            </w:r>
            <w:r w:rsidR="0088125F" w:rsidRPr="00413D4A">
              <w:t>25%</w:t>
            </w:r>
            <w:r w:rsidR="0088125F">
              <w:t xml:space="preserve"> </w:t>
            </w:r>
            <w:r w:rsidR="0088125F" w:rsidRPr="007C65AD">
              <w:t>of amounts expected to be uplifted beyond one year of the date of the calculation</w:t>
            </w:r>
            <w:r w:rsidR="0088125F">
              <w:t>; or (</w:t>
            </w:r>
            <w:r w:rsidR="003A5AEB">
              <w:t>ii</w:t>
            </w:r>
            <w:r w:rsidR="0088125F">
              <w:t>)</w:t>
            </w:r>
            <w:r w:rsidR="0088125F" w:rsidRPr="007C65AD">
              <w:t xml:space="preserve"> </w:t>
            </w:r>
            <w:r w:rsidR="0088125F">
              <w:t>five</w:t>
            </w:r>
            <w:r w:rsidR="0088125F" w:rsidRPr="007C65AD">
              <w:t xml:space="preserve"> years’ worth of uplift charges</w:t>
            </w:r>
            <w:r w:rsidRPr="005D51CF">
              <w:t xml:space="preserve">. </w:t>
            </w:r>
          </w:p>
        </w:tc>
      </w:tr>
      <w:tr w:rsidR="002D0D49" w14:paraId="3ED79B4E" w14:textId="77777777" w:rsidTr="009F2C2F">
        <w:trPr>
          <w:trHeight w:val="519"/>
        </w:trPr>
        <w:tc>
          <w:tcPr>
            <w:tcW w:w="1652" w:type="dxa"/>
          </w:tcPr>
          <w:p w14:paraId="31E39058" w14:textId="77777777" w:rsidR="002D0D49" w:rsidRDefault="002D0D49" w:rsidP="0031595F">
            <w:pPr>
              <w:pStyle w:val="TableBody"/>
            </w:pPr>
            <w:r>
              <w:t xml:space="preserve">FCE </w:t>
            </w:r>
            <w:r w:rsidRPr="00D77426">
              <w:rPr>
                <w:i/>
                <w:vertAlign w:val="subscript"/>
              </w:rPr>
              <w:t>a</w:t>
            </w:r>
          </w:p>
        </w:tc>
        <w:tc>
          <w:tcPr>
            <w:tcW w:w="986" w:type="dxa"/>
          </w:tcPr>
          <w:p w14:paraId="02254C2D" w14:textId="77777777" w:rsidR="002D0D49" w:rsidRDefault="002D0D49" w:rsidP="0031595F">
            <w:pPr>
              <w:pStyle w:val="TableBody"/>
            </w:pPr>
            <w:r>
              <w:t>$</w:t>
            </w:r>
          </w:p>
        </w:tc>
        <w:tc>
          <w:tcPr>
            <w:tcW w:w="6694" w:type="dxa"/>
          </w:tcPr>
          <w:p w14:paraId="6BE80368" w14:textId="77777777" w:rsidR="002D0D49" w:rsidRPr="00B67540" w:rsidRDefault="002D0D49" w:rsidP="0031595F">
            <w:pPr>
              <w:pStyle w:val="TableBody"/>
              <w:rPr>
                <w:i/>
              </w:rPr>
            </w:pPr>
            <w:r>
              <w:rPr>
                <w:i/>
              </w:rPr>
              <w:t>Future Credit Exposure for all CRR Account Holders</w:t>
            </w:r>
            <w:r>
              <w:t>—FCE for all CRR Account Holders represented by the Counter-Party.</w:t>
            </w:r>
          </w:p>
        </w:tc>
      </w:tr>
      <w:tr w:rsidR="002D0D49" w14:paraId="0845AF43" w14:textId="77777777" w:rsidTr="009F2C2F">
        <w:trPr>
          <w:trHeight w:val="519"/>
        </w:trPr>
        <w:tc>
          <w:tcPr>
            <w:tcW w:w="1652" w:type="dxa"/>
          </w:tcPr>
          <w:p w14:paraId="706DC6BD" w14:textId="77777777" w:rsidR="002D0D49" w:rsidRDefault="002D0D49" w:rsidP="0031595F">
            <w:pPr>
              <w:pStyle w:val="TableBody"/>
            </w:pPr>
            <w:r>
              <w:t>MCE</w:t>
            </w:r>
          </w:p>
        </w:tc>
        <w:tc>
          <w:tcPr>
            <w:tcW w:w="986" w:type="dxa"/>
          </w:tcPr>
          <w:p w14:paraId="3E6E44D6" w14:textId="77777777" w:rsidR="002D0D49" w:rsidRDefault="002D0D49" w:rsidP="0031595F">
            <w:pPr>
              <w:pStyle w:val="TableBody"/>
            </w:pPr>
            <w:r>
              <w:t>$</w:t>
            </w:r>
          </w:p>
        </w:tc>
        <w:tc>
          <w:tcPr>
            <w:tcW w:w="6694" w:type="dxa"/>
          </w:tcPr>
          <w:p w14:paraId="2753891B" w14:textId="77777777" w:rsidR="002D0D49" w:rsidRPr="00BE4766" w:rsidRDefault="002D0D49" w:rsidP="0031595F">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ABF8F99" w14:textId="77777777" w:rsidR="002D0D49" w:rsidRPr="00BE4766" w:rsidRDefault="002D0D49" w:rsidP="0031595F">
            <w:pPr>
              <w:pStyle w:val="TableBody"/>
            </w:pPr>
          </w:p>
          <w:p w14:paraId="31F4C2AA" w14:textId="087CEC9C" w:rsidR="002D0D49" w:rsidRPr="00FF36D0" w:rsidRDefault="002D0D49" w:rsidP="0031595F">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15DCC4AF" w14:textId="390ABB9C"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17227A5" w14:textId="201AE3E8"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2367B604" w14:textId="77777777" w:rsidR="002D0D49" w:rsidRPr="00BE4766" w:rsidRDefault="002D0D49" w:rsidP="0031595F">
            <w:pPr>
              <w:pStyle w:val="TableBody"/>
              <w:ind w:left="1643" w:hanging="1373"/>
            </w:pPr>
            <w:r w:rsidRPr="00FF36D0">
              <w:t xml:space="preserve">                      MAF * IMCE]</w:t>
            </w:r>
          </w:p>
          <w:p w14:paraId="5CBE7F75" w14:textId="77777777" w:rsidR="002D0D49" w:rsidRPr="00142152" w:rsidRDefault="002D0D49" w:rsidP="0031595F">
            <w:pPr>
              <w:pStyle w:val="TableBody"/>
              <w:ind w:left="1643" w:hanging="1373"/>
            </w:pPr>
          </w:p>
          <w:p w14:paraId="132C9AB3" w14:textId="42A6059C" w:rsidR="002D0D49" w:rsidRPr="00142152" w:rsidRDefault="002D0D49" w:rsidP="0031595F">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C3AB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4pt" o:ole="">
                  <v:imagedata r:id="rId17" o:title=""/>
                </v:shape>
                <o:OLEObject Type="Embed" ProgID="Equation.3" ShapeID="_x0000_i1025" DrawAspect="Content" ObjectID="_1796452316" r:id="rId18"/>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00122AC9">
              <w:t xml:space="preserve"> </w:t>
            </w:r>
            <w:r>
              <w:t xml:space="preserve">  </w:t>
            </w:r>
            <w:r w:rsidRPr="00BE4766">
              <w:rPr>
                <w:b/>
                <w:position w:val="-20"/>
              </w:rPr>
              <w:object w:dxaOrig="225" w:dyaOrig="420" w14:anchorId="047E37C8">
                <v:shape id="_x0000_i1026" type="#_x0000_t75" style="width:12pt;height:24pt" o:ole="">
                  <v:imagedata r:id="rId17" o:title=""/>
                </v:shape>
                <o:OLEObject Type="Embed" ProgID="Equation.3" ShapeID="_x0000_i1026" DrawAspect="Content" ObjectID="_1796452317" r:id="rId19"/>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31378DC9" w14:textId="77777777" w:rsidR="002D0D49" w:rsidRPr="00142152" w:rsidRDefault="002D0D49" w:rsidP="0031595F">
            <w:pPr>
              <w:pStyle w:val="TableBody"/>
              <w:ind w:left="293"/>
              <w:rPr>
                <w:b/>
              </w:rPr>
            </w:pPr>
          </w:p>
          <w:p w14:paraId="3B4719CF" w14:textId="77777777" w:rsidR="002D0D49" w:rsidRPr="00142152" w:rsidRDefault="002D0D49" w:rsidP="0031595F">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31B5E01C" w14:textId="77777777" w:rsidR="002D0D49" w:rsidRDefault="002D0D49" w:rsidP="0031595F">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296357B5" w14:textId="77777777" w:rsidR="002D0D49" w:rsidRDefault="002D0D49" w:rsidP="0031595F">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632883CF" w14:textId="77777777" w:rsidR="002D0D49" w:rsidRPr="00BE4766" w:rsidRDefault="002D0D49" w:rsidP="0031595F">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45579DD" w14:textId="1778F64D" w:rsidR="002D0D49" w:rsidRPr="007B39E8" w:rsidRDefault="002D0D49" w:rsidP="0031595F">
            <w:pPr>
              <w:pStyle w:val="TableBody"/>
              <w:tabs>
                <w:tab w:val="right" w:pos="9360"/>
              </w:tabs>
              <w:ind w:left="1733" w:hanging="1440"/>
            </w:pPr>
            <w:r w:rsidRPr="00A549C5">
              <w:rPr>
                <w:iCs w:val="0"/>
              </w:rPr>
              <w:lastRenderedPageBreak/>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w:t>
            </w:r>
            <w:r w:rsidR="00081A43">
              <w:rPr>
                <w:iCs w:val="0"/>
              </w:rPr>
              <w:t>the Technical Advisory Committee (</w:t>
            </w:r>
            <w:r>
              <w:rPr>
                <w:iCs w:val="0"/>
              </w:rPr>
              <w:t>TAC</w:t>
            </w:r>
            <w:r w:rsidR="00081A43">
              <w:rPr>
                <w:iCs w:val="0"/>
              </w:rPr>
              <w:t>)</w:t>
            </w:r>
            <w:r>
              <w:rPr>
                <w:iCs w:val="0"/>
              </w:rPr>
              <w:t xml:space="preserve"> and the ERCOT Finance and Audit (F&amp;A) Committee, and approved by the ERCOT Board.  Such revisions shall be implemented on the 45th calendar day following ERCOT Board approval unless otherwise directed by the ERCOT Board.</w:t>
            </w:r>
          </w:p>
          <w:p w14:paraId="7E30C8B5" w14:textId="531B089A" w:rsidR="002D0D49" w:rsidRDefault="002D0D49" w:rsidP="0031595F">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090B527" w14:textId="77777777" w:rsidR="002D0D49" w:rsidRPr="00BE4766" w:rsidRDefault="002D0D49" w:rsidP="0031595F">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A825423" w14:textId="77777777" w:rsidR="002D0D49" w:rsidRPr="00BE4766" w:rsidRDefault="002D0D49" w:rsidP="0031595F">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34E29AAF" w14:textId="4F25D1D0" w:rsidR="002D0D49" w:rsidRPr="00BE4766" w:rsidRDefault="002D0D49" w:rsidP="0031595F">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7454E87D" w14:textId="77777777" w:rsidR="002D0D49" w:rsidRPr="00921C84" w:rsidRDefault="002D0D49" w:rsidP="0031595F">
            <w:pPr>
              <w:pStyle w:val="TableBody"/>
              <w:tabs>
                <w:tab w:val="right" w:pos="9360"/>
              </w:tabs>
              <w:ind w:left="1733" w:hanging="1440"/>
              <w:rPr>
                <w:i/>
              </w:rPr>
            </w:pPr>
            <w:r>
              <w:rPr>
                <w:i/>
              </w:rPr>
              <w:t>BTCF</w:t>
            </w:r>
            <w:r>
              <w:t xml:space="preserve"> =                </w:t>
            </w:r>
            <w:r>
              <w:rPr>
                <w:i/>
              </w:rPr>
              <w:t>Bilateral Trades Credit Factor</w:t>
            </w:r>
          </w:p>
          <w:p w14:paraId="7867F719" w14:textId="77777777" w:rsidR="002D0D49" w:rsidRPr="00BE4766" w:rsidRDefault="002D0D49" w:rsidP="0031595F">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77F654E" w14:textId="77777777" w:rsidR="002D0D49" w:rsidRPr="00BE4766" w:rsidRDefault="002D0D49" w:rsidP="0031595F">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5E3879" w14:textId="78EEF88B" w:rsidR="002D0D49" w:rsidRPr="00BE4766" w:rsidRDefault="002D0D49" w:rsidP="0031595F">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2A983AD" w14:textId="77777777" w:rsidR="002D0D49" w:rsidRPr="00BE4766" w:rsidRDefault="002D0D49" w:rsidP="0031595F">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C2D584A" w14:textId="77777777" w:rsidR="002D0D49" w:rsidRPr="00B3490C" w:rsidRDefault="002D0D49" w:rsidP="0031595F">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2A103EC" w14:textId="77777777" w:rsidR="002D0D49" w:rsidRPr="00BE4766" w:rsidRDefault="002D0D49" w:rsidP="0031595F">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62043F0" w14:textId="77777777" w:rsidR="002D0D49" w:rsidRPr="00BE4766" w:rsidRDefault="002D0D49" w:rsidP="0031595F">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EDB0171" w14:textId="02C1E07D" w:rsidR="002D0D49" w:rsidRPr="00BE4766" w:rsidRDefault="002D0D49" w:rsidP="0031595F">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2D308D1" w14:textId="77777777" w:rsidR="002D0D49" w:rsidRPr="00BE4766" w:rsidRDefault="002D0D49" w:rsidP="0031595F">
            <w:pPr>
              <w:pStyle w:val="TableBody"/>
              <w:ind w:left="1733" w:hanging="1440"/>
            </w:pPr>
            <w:r w:rsidRPr="00900F8C">
              <w:rPr>
                <w:i/>
              </w:rPr>
              <w:t>c</w:t>
            </w:r>
            <w:r w:rsidRPr="00BE4766">
              <w:t xml:space="preserve"> = </w:t>
            </w:r>
            <w:r w:rsidRPr="00BE4766">
              <w:tab/>
              <w:t xml:space="preserve">Bilateral Counter-Party </w:t>
            </w:r>
          </w:p>
          <w:p w14:paraId="05061FAF" w14:textId="77777777" w:rsidR="002D0D49" w:rsidRDefault="002D0D49" w:rsidP="0031595F">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56FA2350" w14:textId="77777777" w:rsidR="002D0D49" w:rsidRPr="00BE4766" w:rsidRDefault="002D0D49" w:rsidP="0031595F">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5298A61" w14:textId="77777777" w:rsidR="002D0D49" w:rsidRPr="00BE4766" w:rsidRDefault="002D0D49" w:rsidP="0031595F">
            <w:pPr>
              <w:pStyle w:val="TableBody"/>
              <w:ind w:left="1733" w:hanging="1440"/>
            </w:pPr>
            <w:r w:rsidRPr="00900F8C">
              <w:rPr>
                <w:i/>
              </w:rPr>
              <w:t>i</w:t>
            </w:r>
            <w:r w:rsidRPr="00BE4766">
              <w:t xml:space="preserve"> = </w:t>
            </w:r>
            <w:r w:rsidRPr="00BE4766">
              <w:tab/>
              <w:t>Settlement Interval</w:t>
            </w:r>
          </w:p>
          <w:p w14:paraId="35AE8EAB" w14:textId="77777777" w:rsidR="002D0D49" w:rsidRPr="00BE4766" w:rsidRDefault="002D0D49" w:rsidP="0031595F">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04A41163" w14:textId="77777777" w:rsidR="002D0D49" w:rsidRDefault="002D0D49" w:rsidP="0031595F">
            <w:pPr>
              <w:pStyle w:val="TableBody"/>
              <w:ind w:left="1733" w:hanging="1440"/>
              <w:rPr>
                <w:i/>
              </w:rPr>
            </w:pPr>
            <w:r w:rsidRPr="00FF36D0">
              <w:rPr>
                <w:i/>
              </w:rPr>
              <w:t>nm =</w:t>
            </w:r>
            <w:r w:rsidRPr="00FF36D0">
              <w:rPr>
                <w:i/>
              </w:rPr>
              <w:tab/>
            </w:r>
            <w:r w:rsidRPr="00FF36D0">
              <w:t>Notional Multiplier</w:t>
            </w:r>
          </w:p>
          <w:p w14:paraId="253BBF95" w14:textId="77777777" w:rsidR="002D0D49" w:rsidRPr="00BE4766" w:rsidRDefault="002D0D49" w:rsidP="0031595F">
            <w:pPr>
              <w:pStyle w:val="TableBody"/>
              <w:ind w:left="1733" w:hanging="1440"/>
            </w:pPr>
            <w:r w:rsidRPr="00900F8C">
              <w:rPr>
                <w:i/>
              </w:rPr>
              <w:t>o</w:t>
            </w:r>
            <w:r>
              <w:rPr>
                <w:i/>
              </w:rPr>
              <w:t>d</w:t>
            </w:r>
            <w:r w:rsidRPr="00BE4766">
              <w:t xml:space="preserve"> = </w:t>
            </w:r>
            <w:r w:rsidRPr="00BE4766">
              <w:tab/>
            </w:r>
            <w:r>
              <w:t>Operating Day</w:t>
            </w:r>
          </w:p>
          <w:p w14:paraId="00318EF3" w14:textId="77777777" w:rsidR="002D0D49" w:rsidRDefault="002D0D49" w:rsidP="0031595F">
            <w:pPr>
              <w:pStyle w:val="TableBody"/>
              <w:ind w:left="1733" w:hanging="1440"/>
              <w:rPr>
                <w:highlight w:val="yellow"/>
              </w:rPr>
            </w:pPr>
            <w:r>
              <w:rPr>
                <w:i/>
              </w:rPr>
              <w:lastRenderedPageBreak/>
              <w:t>p</w:t>
            </w:r>
            <w:r w:rsidRPr="00BE4766">
              <w:t xml:space="preserve"> = </w:t>
            </w:r>
            <w:r w:rsidRPr="00BE4766">
              <w:tab/>
              <w:t>A Settlement Point</w:t>
            </w:r>
          </w:p>
        </w:tc>
      </w:tr>
      <w:tr w:rsidR="004033D4" w14:paraId="18D4E8C6" w14:textId="77777777" w:rsidTr="00CD51A8">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4033D4" w14:paraId="310B4C93" w14:textId="77777777" w:rsidTr="005A32AC">
              <w:tc>
                <w:tcPr>
                  <w:tcW w:w="9134" w:type="dxa"/>
                  <w:shd w:val="pct12" w:color="auto" w:fill="auto"/>
                </w:tcPr>
                <w:p w14:paraId="16785432" w14:textId="33862A7B" w:rsidR="004033D4" w:rsidRPr="0002450E" w:rsidRDefault="004033D4" w:rsidP="004033D4">
                  <w:pPr>
                    <w:pStyle w:val="Instructions"/>
                    <w:spacing w:before="120"/>
                    <w:rPr>
                      <w:iCs/>
                    </w:rPr>
                  </w:pPr>
                  <w:r>
                    <w:lastRenderedPageBreak/>
                    <w:t>[NPRR1013</w:t>
                  </w:r>
                  <w:r w:rsidR="00461E7A">
                    <w:t xml:space="preserve"> and NPRR1188</w:t>
                  </w:r>
                  <w:r w:rsidRPr="0002450E">
                    <w:t xml:space="preserve">:  Replace </w:t>
                  </w:r>
                  <w:r w:rsidR="00461E7A">
                    <w:t xml:space="preserve">applicable portions of </w:t>
                  </w:r>
                  <w:r>
                    <w:t>the variable “MCE”</w:t>
                  </w:r>
                  <w:r w:rsidRPr="0002450E">
                    <w:t xml:space="preserve"> above with the following upon system implementation</w:t>
                  </w:r>
                  <w:r>
                    <w:t xml:space="preserve"> of the Real-Time Co-Optimization (RTC) project</w:t>
                  </w:r>
                  <w:r w:rsidR="00461E7A">
                    <w:t xml:space="preserve"> for NPRR1013; or upon system implementation for NPRR1188</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4033D4" w:rsidRPr="00367720" w14:paraId="459CC079" w14:textId="77777777" w:rsidTr="004033D4">
                    <w:trPr>
                      <w:trHeight w:val="91"/>
                    </w:trPr>
                    <w:tc>
                      <w:tcPr>
                        <w:tcW w:w="1619" w:type="dxa"/>
                      </w:tcPr>
                      <w:p w14:paraId="2142B352" w14:textId="5D7B2653" w:rsidR="004033D4" w:rsidRPr="00906156" w:rsidRDefault="004033D4" w:rsidP="004033D4">
                        <w:pPr>
                          <w:pStyle w:val="TableBody"/>
                        </w:pPr>
                        <w:r w:rsidRPr="009F4E0B">
                          <w:t>MCE</w:t>
                        </w:r>
                      </w:p>
                    </w:tc>
                    <w:tc>
                      <w:tcPr>
                        <w:tcW w:w="880" w:type="dxa"/>
                      </w:tcPr>
                      <w:p w14:paraId="16E60A43" w14:textId="600570C9" w:rsidR="004033D4" w:rsidRPr="004F59D3" w:rsidRDefault="004033D4" w:rsidP="004033D4">
                        <w:pPr>
                          <w:pStyle w:val="TableBody"/>
                        </w:pPr>
                        <w:r w:rsidRPr="009F4E0B">
                          <w:t>$</w:t>
                        </w:r>
                      </w:p>
                    </w:tc>
                    <w:tc>
                      <w:tcPr>
                        <w:tcW w:w="6504" w:type="dxa"/>
                      </w:tcPr>
                      <w:p w14:paraId="3C84A7D3" w14:textId="77777777" w:rsidR="004033D4" w:rsidRPr="009F4E0B" w:rsidRDefault="004033D4" w:rsidP="004033D4">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48270D03" w14:textId="77777777" w:rsidR="004033D4" w:rsidRPr="009F4E0B" w:rsidRDefault="004033D4" w:rsidP="004033D4">
                        <w:pPr>
                          <w:spacing w:after="60"/>
                          <w:rPr>
                            <w:iCs/>
                            <w:sz w:val="20"/>
                          </w:rPr>
                        </w:pPr>
                      </w:p>
                      <w:p w14:paraId="1D2B113F" w14:textId="77777777" w:rsidR="004033D4" w:rsidRPr="009F4E0B" w:rsidRDefault="004033D4" w:rsidP="004033D4">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1841599B" w14:textId="77777777" w:rsidR="004033D4" w:rsidRPr="009F4E0B" w:rsidRDefault="004033D4" w:rsidP="004033D4">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1E17603C" w14:textId="77777777" w:rsidR="004033D4" w:rsidRPr="009F4E0B" w:rsidRDefault="004033D4" w:rsidP="004033D4">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01D397DF" w14:textId="77777777" w:rsidR="004033D4" w:rsidRPr="009F4E0B" w:rsidRDefault="004033D4" w:rsidP="004033D4">
                        <w:pPr>
                          <w:spacing w:after="60"/>
                          <w:ind w:left="1643" w:hanging="1373"/>
                          <w:rPr>
                            <w:iCs/>
                            <w:sz w:val="20"/>
                          </w:rPr>
                        </w:pPr>
                        <w:r w:rsidRPr="009F4E0B">
                          <w:rPr>
                            <w:iCs/>
                            <w:sz w:val="20"/>
                          </w:rPr>
                          <w:t xml:space="preserve">                      MAF * IMCE]</w:t>
                        </w:r>
                      </w:p>
                      <w:p w14:paraId="2D75F0B9" w14:textId="77777777" w:rsidR="004033D4" w:rsidRPr="009F4E0B" w:rsidRDefault="004033D4" w:rsidP="004033D4">
                        <w:pPr>
                          <w:spacing w:after="60"/>
                          <w:ind w:left="1643" w:hanging="1373"/>
                          <w:rPr>
                            <w:iCs/>
                            <w:sz w:val="20"/>
                          </w:rPr>
                        </w:pPr>
                      </w:p>
                      <w:p w14:paraId="20A0B138" w14:textId="77777777" w:rsidR="004033D4" w:rsidRPr="009F4E0B" w:rsidRDefault="004033D4" w:rsidP="004033D4">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335FA0E3">
                            <v:shape id="_x0000_i1027" type="#_x0000_t75" style="width:6pt;height:24pt" o:ole="">
                              <v:imagedata r:id="rId17" o:title=""/>
                            </v:shape>
                            <o:OLEObject Type="Embed" ProgID="Equation.3" ShapeID="_x0000_i1027" DrawAspect="Content" ObjectID="_1796452318" r:id="rId20"/>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6ABEBDE">
                            <v:shape id="_x0000_i1028" type="#_x0000_t75" style="width:6pt;height:24pt" o:ole="">
                              <v:imagedata r:id="rId17" o:title=""/>
                            </v:shape>
                            <o:OLEObject Type="Embed" ProgID="Equation.3" ShapeID="_x0000_i1028" DrawAspect="Content" ObjectID="_1796452319" r:id="rId21"/>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4FBB6AD0" w14:textId="77777777" w:rsidR="004033D4" w:rsidRPr="009F4E0B" w:rsidRDefault="004033D4" w:rsidP="004033D4">
                        <w:pPr>
                          <w:spacing w:after="60"/>
                          <w:ind w:left="293"/>
                          <w:rPr>
                            <w:b/>
                            <w:iCs/>
                            <w:sz w:val="20"/>
                          </w:rPr>
                        </w:pPr>
                      </w:p>
                      <w:p w14:paraId="63FD939D" w14:textId="77777777" w:rsidR="004033D4" w:rsidRDefault="004033D4" w:rsidP="004033D4">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1214D703" w14:textId="77777777" w:rsidR="004033D4" w:rsidRDefault="004033D4" w:rsidP="004033D4">
                        <w:pPr>
                          <w:spacing w:after="60"/>
                          <w:ind w:left="1402" w:hanging="1170"/>
                          <w:rPr>
                            <w:iCs/>
                            <w:color w:val="000000"/>
                            <w:sz w:val="20"/>
                          </w:rPr>
                        </w:pPr>
                      </w:p>
                      <w:p w14:paraId="448953EC" w14:textId="77777777" w:rsidR="004033D4" w:rsidRPr="009F4E0B" w:rsidRDefault="004033D4" w:rsidP="004033D4">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636569A9" w14:textId="77777777" w:rsidR="004033D4" w:rsidRPr="009F4E0B" w:rsidRDefault="004033D4" w:rsidP="004033D4">
                        <w:pPr>
                          <w:keepNext/>
                          <w:tabs>
                            <w:tab w:val="left" w:pos="1728"/>
                            <w:tab w:val="center" w:pos="4536"/>
                            <w:tab w:val="right" w:pos="9360"/>
                          </w:tabs>
                          <w:spacing w:before="240" w:after="60"/>
                          <w:ind w:left="1733" w:hanging="1440"/>
                          <w:outlineLvl w:val="6"/>
                          <w:rPr>
                            <w:sz w:val="20"/>
                          </w:rPr>
                        </w:pPr>
                        <w:r w:rsidRPr="009F4E0B">
                          <w:rPr>
                            <w:sz w:val="20"/>
                          </w:rPr>
                          <w:t>Where:</w:t>
                        </w:r>
                      </w:p>
                      <w:p w14:paraId="44936BEF" w14:textId="5533AE40" w:rsidR="004033D4" w:rsidRPr="009F4E0B" w:rsidRDefault="004033D4" w:rsidP="004033D4">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w:t>
                        </w:r>
                        <w:r w:rsidR="00461E7A">
                          <w:rPr>
                            <w:i/>
                            <w:iCs/>
                            <w:sz w:val="20"/>
                          </w:rPr>
                          <w:t xml:space="preserve"> Net</w:t>
                        </w:r>
                        <w:r w:rsidRPr="009F4E0B">
                          <w:rPr>
                            <w:i/>
                            <w:iCs/>
                            <w:sz w:val="20"/>
                          </w:rPr>
                          <w:t xml:space="preserve"> Metered Generation at all Resource Nodes</w:t>
                        </w:r>
                        <w:r w:rsidR="00461E7A" w:rsidRPr="00812ECB">
                          <w:rPr>
                            <w:i/>
                            <w:iCs/>
                            <w:sz w:val="20"/>
                          </w:rPr>
                          <w:t>,</w:t>
                        </w:r>
                        <w:r w:rsidR="00461E7A" w:rsidRPr="00812ECB">
                          <w:rPr>
                            <w:iCs/>
                            <w:sz w:val="20"/>
                          </w:rPr>
                          <w:t xml:space="preserve"> </w:t>
                        </w:r>
                        <w:r w:rsidR="00461E7A" w:rsidRPr="00812ECB">
                          <w:rPr>
                            <w:i/>
                            <w:iCs/>
                            <w:sz w:val="20"/>
                          </w:rPr>
                          <w:t>including Wholesale Storage Load</w:t>
                        </w:r>
                        <w:r w:rsidR="000174CD">
                          <w:rPr>
                            <w:i/>
                            <w:iCs/>
                            <w:sz w:val="20"/>
                          </w:rPr>
                          <w:t xml:space="preserve"> (WSL)</w:t>
                        </w:r>
                        <w:r w:rsidR="00461E7A" w:rsidRPr="00812ECB">
                          <w:rPr>
                            <w:i/>
                            <w:iCs/>
                            <w:sz w:val="20"/>
                          </w:rPr>
                          <w:t xml:space="preserve"> and Controllable Load Resources (CLRs) that are not Aggregate Load Resources (ALRs)</w:t>
                        </w:r>
                        <w:r w:rsidR="000174CD">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66A08D1C" w14:textId="44E02618" w:rsidR="004033D4" w:rsidRPr="009F4E0B" w:rsidRDefault="004033D4" w:rsidP="004033D4">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00461E7A" w:rsidRPr="00812ECB">
                          <w:rPr>
                            <w:i/>
                            <w:iCs/>
                            <w:sz w:val="20"/>
                          </w:rPr>
                          <w:t>,</w:t>
                        </w:r>
                        <w:r w:rsidR="00461E7A" w:rsidRPr="00812ECB">
                          <w:rPr>
                            <w:iCs/>
                            <w:sz w:val="20"/>
                          </w:rPr>
                          <w:t xml:space="preserve"> </w:t>
                        </w:r>
                        <w:r w:rsidR="00461E7A" w:rsidRPr="00812ECB">
                          <w:rPr>
                            <w:i/>
                            <w:iCs/>
                            <w:sz w:val="20"/>
                          </w:rPr>
                          <w:t>excluding CLR Load of CLRs that are not ALRs</w:t>
                        </w:r>
                        <w:r w:rsidR="000174CD">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8524A7B" w14:textId="62822F50" w:rsidR="004033D4" w:rsidRPr="009F4E0B" w:rsidRDefault="004033D4" w:rsidP="004033D4">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sidR="00081A43">
                          <w:rPr>
                            <w:sz w:val="20"/>
                          </w:rPr>
                          <w:t xml:space="preserve"> the</w:t>
                        </w:r>
                        <w:r w:rsidR="00081A43" w:rsidRPr="009F4E0B">
                          <w:rPr>
                            <w:sz w:val="20"/>
                          </w:rPr>
                          <w:t xml:space="preserve"> </w:t>
                        </w:r>
                        <w:r w:rsidR="00081A43">
                          <w:rPr>
                            <w:sz w:val="20"/>
                          </w:rPr>
                          <w:t>Technical Advisory Committee (</w:t>
                        </w:r>
                        <w:r w:rsidR="00081A43" w:rsidRPr="009F4E0B">
                          <w:rPr>
                            <w:sz w:val="20"/>
                          </w:rPr>
                          <w:t>TAC</w:t>
                        </w:r>
                        <w:r w:rsidR="00081A43">
                          <w:rPr>
                            <w:sz w:val="20"/>
                          </w:rPr>
                          <w:t>)</w:t>
                        </w:r>
                        <w:r w:rsidR="00081A43" w:rsidRPr="009F4E0B">
                          <w:rPr>
                            <w:sz w:val="20"/>
                          </w:rPr>
                          <w:t xml:space="preserve"> </w:t>
                        </w:r>
                        <w:r w:rsidRPr="009F4E0B">
                          <w:rPr>
                            <w:sz w:val="20"/>
                          </w:rPr>
                          <w:t xml:space="preserve">and the ERCOT Finance and Audit (F&amp;A) Committee, and approved by the ERCOT Board.  </w:t>
                        </w:r>
                        <w:r w:rsidRPr="009F4E0B">
                          <w:rPr>
                            <w:sz w:val="20"/>
                          </w:rPr>
                          <w:lastRenderedPageBreak/>
                          <w:t>Such revisions shall be implemented on the 45th calendar day following ERCOT Board approval unless otherwise directed by the ERCOT Board.</w:t>
                        </w:r>
                      </w:p>
                      <w:p w14:paraId="48002C52" w14:textId="6672C9B2" w:rsidR="004033D4" w:rsidRPr="009F4E0B" w:rsidRDefault="004033D4" w:rsidP="004033D4">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49B1253F" w14:textId="77777777" w:rsidR="004033D4" w:rsidRPr="009F4E0B" w:rsidRDefault="004033D4" w:rsidP="004033D4">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BEECB76" w14:textId="77777777" w:rsidR="004033D4" w:rsidRPr="009F4E0B" w:rsidRDefault="004033D4" w:rsidP="004033D4">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03004516" w14:textId="51C6B9E6" w:rsidR="004033D4" w:rsidRDefault="004033D4" w:rsidP="004033D4">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C6720F4" w14:textId="1CAA0CFC" w:rsidR="004033D4" w:rsidRPr="009F4E0B" w:rsidRDefault="004033D4" w:rsidP="004033D4">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00461E7A">
                          <w:rPr>
                            <w:i/>
                            <w:iCs/>
                            <w:sz w:val="20"/>
                          </w:rPr>
                          <w:t>A</w:t>
                        </w:r>
                        <w:r w:rsidRPr="009F4E0B">
                          <w:rPr>
                            <w:i/>
                            <w:iCs/>
                            <w:sz w:val="20"/>
                          </w:rPr>
                          <w:t>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5B6800D1" w14:textId="092F69D5" w:rsidR="004033D4" w:rsidRDefault="004033D4" w:rsidP="004033D4">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3FF42A0B" w14:textId="5BC4C227" w:rsidR="004033D4" w:rsidRPr="009F4E0B" w:rsidRDefault="004033D4" w:rsidP="004033D4">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14FDB2DA" w14:textId="77777777" w:rsidR="004033D4" w:rsidRPr="009F4E0B" w:rsidRDefault="004033D4" w:rsidP="004033D4">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63C31A47" w14:textId="77777777" w:rsidR="004033D4" w:rsidRDefault="004033D4" w:rsidP="004033D4">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6548C3A" w14:textId="0F60AA49" w:rsidR="004033D4" w:rsidRPr="009F4E0B" w:rsidRDefault="004033D4" w:rsidP="004033D4">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 xml:space="preserve">Net DAM </w:t>
                        </w:r>
                        <w:r w:rsidR="00461E7A">
                          <w:rPr>
                            <w:i/>
                            <w:iCs/>
                            <w:sz w:val="20"/>
                          </w:rPr>
                          <w:t>A</w:t>
                        </w:r>
                        <w:r w:rsidRPr="009F4E0B">
                          <w:rPr>
                            <w:i/>
                            <w:iCs/>
                            <w:sz w:val="20"/>
                          </w:rPr>
                          <w:t>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494669C" w14:textId="08C5789F" w:rsidR="004033D4" w:rsidRPr="009F4E0B" w:rsidRDefault="004033D4" w:rsidP="004033D4">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C314AD6" w14:textId="16B5B5C0" w:rsidR="004033D4" w:rsidRPr="009F4E0B" w:rsidRDefault="004033D4" w:rsidP="004033D4">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 xml:space="preserve">DAM Energy Only Bids </w:t>
                        </w:r>
                        <w:r w:rsidR="00461E7A" w:rsidRPr="00812ECB">
                          <w:rPr>
                            <w:i/>
                            <w:iCs/>
                            <w:sz w:val="20"/>
                          </w:rPr>
                          <w:t>and Energy Bid Curves</w:t>
                        </w:r>
                        <w:r w:rsidR="00461E7A" w:rsidRPr="009F4E0B">
                          <w:rPr>
                            <w:i/>
                            <w:iCs/>
                            <w:sz w:val="20"/>
                          </w:rPr>
                          <w:t xml:space="preserve"> </w:t>
                        </w:r>
                        <w:r w:rsidRPr="009F4E0B">
                          <w:rPr>
                            <w:i/>
                            <w:iCs/>
                            <w:sz w:val="20"/>
                          </w:rPr>
                          <w:t>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A10B740" w14:textId="77777777" w:rsidR="004033D4" w:rsidRPr="009F4E0B" w:rsidRDefault="004033D4" w:rsidP="004033D4">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E530556" w14:textId="77777777" w:rsidR="004033D4" w:rsidRPr="009F4E0B" w:rsidRDefault="004033D4" w:rsidP="004033D4">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200B473" w14:textId="77777777" w:rsidR="004033D4" w:rsidRPr="009F4E0B" w:rsidRDefault="004033D4" w:rsidP="004033D4">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0174B29" w14:textId="4DD0887E" w:rsidR="004033D4" w:rsidRPr="009F4E0B" w:rsidRDefault="004033D4" w:rsidP="004033D4">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8AB4441" w14:textId="77777777" w:rsidR="004033D4" w:rsidRPr="009F4E0B" w:rsidRDefault="004033D4" w:rsidP="004033D4">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6D6652CB" w14:textId="77777777" w:rsidR="004033D4" w:rsidRPr="009F4E0B" w:rsidRDefault="004033D4" w:rsidP="004033D4">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09832624" w14:textId="77777777" w:rsidR="004033D4" w:rsidRPr="009F4E0B" w:rsidRDefault="004033D4" w:rsidP="004033D4">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075AF83E" w14:textId="77777777" w:rsidR="004033D4" w:rsidRPr="009F4E0B" w:rsidRDefault="004033D4" w:rsidP="004033D4">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47F208BD" w14:textId="77777777" w:rsidR="004033D4" w:rsidRPr="009F4E0B" w:rsidRDefault="004033D4" w:rsidP="004033D4">
                        <w:pPr>
                          <w:spacing w:after="60"/>
                          <w:ind w:left="1733" w:hanging="1440"/>
                          <w:rPr>
                            <w:iCs/>
                            <w:sz w:val="20"/>
                          </w:rPr>
                        </w:pPr>
                        <w:r w:rsidRPr="009F4E0B">
                          <w:rPr>
                            <w:i/>
                            <w:iCs/>
                            <w:sz w:val="20"/>
                          </w:rPr>
                          <w:lastRenderedPageBreak/>
                          <w:t>n</w:t>
                        </w:r>
                        <w:r w:rsidRPr="009F4E0B">
                          <w:rPr>
                            <w:iCs/>
                            <w:sz w:val="20"/>
                          </w:rPr>
                          <w:t xml:space="preserve"> = </w:t>
                        </w:r>
                        <w:r w:rsidRPr="009F4E0B">
                          <w:rPr>
                            <w:iCs/>
                            <w:sz w:val="20"/>
                          </w:rPr>
                          <w:tab/>
                          <w:t>Days used for averaging</w:t>
                        </w:r>
                      </w:p>
                      <w:p w14:paraId="2B460690" w14:textId="77777777" w:rsidR="004033D4" w:rsidRPr="009F4E0B" w:rsidRDefault="004033D4" w:rsidP="004033D4">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38769C3A" w14:textId="77777777" w:rsidR="004033D4" w:rsidRPr="009F4E0B" w:rsidRDefault="004033D4" w:rsidP="004033D4">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7A9873BB" w14:textId="395435B6" w:rsidR="004033D4" w:rsidRPr="00367720" w:rsidRDefault="004033D4" w:rsidP="004033D4">
                        <w:pPr>
                          <w:pStyle w:val="TableBody"/>
                          <w:ind w:left="1762" w:hanging="1440"/>
                          <w:rPr>
                            <w:i/>
                          </w:rPr>
                        </w:pPr>
                        <w:r w:rsidRPr="009F4E0B">
                          <w:rPr>
                            <w:i/>
                          </w:rPr>
                          <w:t>p</w:t>
                        </w:r>
                        <w:r w:rsidRPr="009F4E0B">
                          <w:t xml:space="preserve"> = </w:t>
                        </w:r>
                        <w:r w:rsidRPr="009F4E0B">
                          <w:tab/>
                          <w:t>A Settlement Point</w:t>
                        </w:r>
                      </w:p>
                    </w:tc>
                  </w:tr>
                </w:tbl>
                <w:p w14:paraId="2990BF65" w14:textId="77777777" w:rsidR="004033D4" w:rsidRPr="00B35DA1" w:rsidRDefault="004033D4" w:rsidP="004033D4">
                  <w:pPr>
                    <w:pStyle w:val="TableBody"/>
                    <w:ind w:left="1710"/>
                  </w:pPr>
                </w:p>
              </w:tc>
            </w:tr>
          </w:tbl>
          <w:p w14:paraId="1960276B" w14:textId="77777777" w:rsidR="004033D4" w:rsidRPr="004F59D3" w:rsidRDefault="004033D4" w:rsidP="0031595F">
            <w:pPr>
              <w:pStyle w:val="TableBody"/>
              <w:rPr>
                <w:i/>
              </w:rPr>
            </w:pPr>
          </w:p>
        </w:tc>
      </w:tr>
      <w:tr w:rsidR="002D0D49" w14:paraId="7494BB88" w14:textId="77777777" w:rsidTr="009F2C2F">
        <w:trPr>
          <w:trHeight w:val="91"/>
        </w:trPr>
        <w:tc>
          <w:tcPr>
            <w:tcW w:w="1652" w:type="dxa"/>
          </w:tcPr>
          <w:p w14:paraId="74614C8B" w14:textId="77777777" w:rsidR="002D0D49" w:rsidRPr="00906156" w:rsidRDefault="002D0D49" w:rsidP="0031595F">
            <w:pPr>
              <w:pStyle w:val="TableBody"/>
            </w:pPr>
            <w:r w:rsidRPr="00906156">
              <w:lastRenderedPageBreak/>
              <w:t>IMCE</w:t>
            </w:r>
          </w:p>
        </w:tc>
        <w:tc>
          <w:tcPr>
            <w:tcW w:w="986" w:type="dxa"/>
          </w:tcPr>
          <w:p w14:paraId="53C26958" w14:textId="77777777" w:rsidR="002D0D49" w:rsidRPr="004F59D3" w:rsidRDefault="002D0D49" w:rsidP="0031595F">
            <w:pPr>
              <w:pStyle w:val="TableBody"/>
            </w:pPr>
            <w:r w:rsidRPr="004F59D3">
              <w:t>$</w:t>
            </w:r>
          </w:p>
        </w:tc>
        <w:tc>
          <w:tcPr>
            <w:tcW w:w="6694" w:type="dxa"/>
          </w:tcPr>
          <w:p w14:paraId="6450456F" w14:textId="77777777" w:rsidR="002D0D49" w:rsidRPr="004F59D3" w:rsidRDefault="002D0D49" w:rsidP="0031595F">
            <w:pPr>
              <w:pStyle w:val="TableBody"/>
            </w:pPr>
            <w:r w:rsidRPr="004F59D3">
              <w:rPr>
                <w:i/>
              </w:rPr>
              <w:t xml:space="preserve">Initial Minimum Current Exposure </w:t>
            </w:r>
          </w:p>
          <w:p w14:paraId="7684A5D0" w14:textId="77777777" w:rsidR="002D0D49" w:rsidRPr="00484E48" w:rsidRDefault="002D0D49" w:rsidP="0031595F">
            <w:pPr>
              <w:pStyle w:val="TableBody"/>
            </w:pPr>
          </w:p>
          <w:p w14:paraId="59DA0B61" w14:textId="734586B2" w:rsidR="002D0D49" w:rsidRPr="00367720" w:rsidRDefault="002D0D49" w:rsidP="0031595F">
            <w:pPr>
              <w:pStyle w:val="TableBody"/>
              <w:ind w:left="1757" w:hanging="1440"/>
            </w:pPr>
            <w:r w:rsidRPr="00484E48">
              <w:t xml:space="preserve">IMCE =   </w:t>
            </w:r>
            <w:r w:rsidRPr="00484E48">
              <w:tab/>
              <w:t>TOA * (</w:t>
            </w:r>
            <w:r w:rsidR="00E67BE0">
              <w:t>SW</w:t>
            </w:r>
            <w:r w:rsidRPr="00484E48">
              <w:t xml:space="preserve">CAP * </w:t>
            </w:r>
            <w:r w:rsidRPr="00367720">
              <w:rPr>
                <w:i/>
              </w:rPr>
              <w:t>nm</w:t>
            </w:r>
            <w:r w:rsidRPr="00367720">
              <w:t xml:space="preserve"> * </w:t>
            </w:r>
            <w:r w:rsidRPr="00367720">
              <w:rPr>
                <w:i/>
              </w:rPr>
              <w:t>cif%</w:t>
            </w:r>
            <w:r w:rsidRPr="00367720">
              <w:t>)</w:t>
            </w:r>
          </w:p>
          <w:p w14:paraId="1901C950" w14:textId="1429B239" w:rsidR="002D0D49" w:rsidRPr="00367720" w:rsidRDefault="002D0D49" w:rsidP="009F2C2F">
            <w:pPr>
              <w:pStyle w:val="TableBody"/>
              <w:rPr>
                <w:i/>
              </w:rPr>
            </w:pPr>
            <w:r w:rsidRPr="00367720">
              <w:t xml:space="preserve"> </w:t>
            </w:r>
          </w:p>
        </w:tc>
      </w:tr>
      <w:tr w:rsidR="002D0D49" w14:paraId="77D72BA9" w14:textId="77777777" w:rsidTr="009F2C2F">
        <w:trPr>
          <w:trHeight w:val="91"/>
        </w:trPr>
        <w:tc>
          <w:tcPr>
            <w:tcW w:w="1652" w:type="dxa"/>
          </w:tcPr>
          <w:p w14:paraId="08EB3676" w14:textId="77777777" w:rsidR="002D0D49" w:rsidRPr="00906156" w:rsidRDefault="002D0D49" w:rsidP="0031595F">
            <w:pPr>
              <w:pStyle w:val="TableBody"/>
            </w:pPr>
            <w:r w:rsidRPr="00906156">
              <w:t>TOA</w:t>
            </w:r>
          </w:p>
        </w:tc>
        <w:tc>
          <w:tcPr>
            <w:tcW w:w="986" w:type="dxa"/>
          </w:tcPr>
          <w:p w14:paraId="42950FA1" w14:textId="77777777" w:rsidR="002D0D49" w:rsidRPr="004F59D3" w:rsidRDefault="002D0D49" w:rsidP="0031595F">
            <w:pPr>
              <w:pStyle w:val="TableBody"/>
            </w:pPr>
            <w:r w:rsidRPr="004F59D3">
              <w:t>None</w:t>
            </w:r>
          </w:p>
        </w:tc>
        <w:tc>
          <w:tcPr>
            <w:tcW w:w="6694" w:type="dxa"/>
          </w:tcPr>
          <w:p w14:paraId="6B856741" w14:textId="77777777" w:rsidR="002D0D49" w:rsidRPr="00367720" w:rsidRDefault="002D0D49" w:rsidP="0031595F">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2D0D49" w14:paraId="107B6A72" w14:textId="77777777" w:rsidTr="009F2C2F">
        <w:trPr>
          <w:trHeight w:val="91"/>
        </w:trPr>
        <w:tc>
          <w:tcPr>
            <w:tcW w:w="1652" w:type="dxa"/>
          </w:tcPr>
          <w:p w14:paraId="14B2E6C3" w14:textId="77777777" w:rsidR="002D0D49" w:rsidRPr="00906156" w:rsidRDefault="002D0D49" w:rsidP="0031595F">
            <w:pPr>
              <w:pStyle w:val="TableBody"/>
              <w:rPr>
                <w:i/>
              </w:rPr>
            </w:pPr>
            <w:r w:rsidRPr="00906156">
              <w:rPr>
                <w:i/>
              </w:rPr>
              <w:t>q</w:t>
            </w:r>
          </w:p>
        </w:tc>
        <w:tc>
          <w:tcPr>
            <w:tcW w:w="986" w:type="dxa"/>
          </w:tcPr>
          <w:p w14:paraId="2E4B7DC4" w14:textId="1EA6EDF4" w:rsidR="002D0D49" w:rsidRPr="004F59D3" w:rsidRDefault="002D0D49" w:rsidP="0031595F">
            <w:pPr>
              <w:pStyle w:val="TableBody"/>
            </w:pPr>
            <w:r w:rsidRPr="004F59D3">
              <w:t>None</w:t>
            </w:r>
          </w:p>
        </w:tc>
        <w:tc>
          <w:tcPr>
            <w:tcW w:w="6694" w:type="dxa"/>
          </w:tcPr>
          <w:p w14:paraId="21248127" w14:textId="77777777" w:rsidR="002D0D49" w:rsidRPr="004F59D3" w:rsidRDefault="002D0D49" w:rsidP="0031595F">
            <w:pPr>
              <w:pStyle w:val="TableBody"/>
            </w:pPr>
            <w:r w:rsidRPr="004F59D3">
              <w:t>QSEs represented by Counter-Party.</w:t>
            </w:r>
          </w:p>
        </w:tc>
      </w:tr>
      <w:tr w:rsidR="002D0D49" w14:paraId="3A635143" w14:textId="77777777" w:rsidTr="009F2C2F">
        <w:trPr>
          <w:trHeight w:val="91"/>
        </w:trPr>
        <w:tc>
          <w:tcPr>
            <w:tcW w:w="1652" w:type="dxa"/>
          </w:tcPr>
          <w:p w14:paraId="69AF5082" w14:textId="77777777" w:rsidR="002D0D49" w:rsidRPr="00906156" w:rsidRDefault="002D0D49" w:rsidP="0031595F">
            <w:pPr>
              <w:pStyle w:val="TableBody"/>
              <w:rPr>
                <w:i/>
              </w:rPr>
            </w:pPr>
            <w:r w:rsidRPr="00906156">
              <w:rPr>
                <w:i/>
              </w:rPr>
              <w:t>a</w:t>
            </w:r>
          </w:p>
        </w:tc>
        <w:tc>
          <w:tcPr>
            <w:tcW w:w="986" w:type="dxa"/>
          </w:tcPr>
          <w:p w14:paraId="05B074CE" w14:textId="05037ACB" w:rsidR="002D0D49" w:rsidRPr="004F59D3" w:rsidRDefault="002D0D49" w:rsidP="0031595F">
            <w:pPr>
              <w:pStyle w:val="TableBody"/>
            </w:pPr>
            <w:r w:rsidRPr="004F59D3">
              <w:t>None</w:t>
            </w:r>
          </w:p>
        </w:tc>
        <w:tc>
          <w:tcPr>
            <w:tcW w:w="6694" w:type="dxa"/>
          </w:tcPr>
          <w:p w14:paraId="5D7DB3B0" w14:textId="77777777" w:rsidR="002D0D49" w:rsidRPr="004F59D3" w:rsidRDefault="002D0D49" w:rsidP="0031595F">
            <w:pPr>
              <w:pStyle w:val="TableBody"/>
            </w:pPr>
            <w:r w:rsidRPr="004F59D3">
              <w:t>CRR Account Holders represented by Counter-Party.</w:t>
            </w:r>
          </w:p>
        </w:tc>
      </w:tr>
      <w:tr w:rsidR="002D0D49" w14:paraId="11055758" w14:textId="77777777" w:rsidTr="009F2C2F">
        <w:trPr>
          <w:trHeight w:val="91"/>
        </w:trPr>
        <w:tc>
          <w:tcPr>
            <w:tcW w:w="1652" w:type="dxa"/>
          </w:tcPr>
          <w:p w14:paraId="0F314784" w14:textId="77777777" w:rsidR="002D0D49" w:rsidRPr="00951B55" w:rsidRDefault="002D0D49" w:rsidP="0031595F">
            <w:pPr>
              <w:pStyle w:val="TableBody"/>
            </w:pPr>
            <w:r>
              <w:t>IA</w:t>
            </w:r>
          </w:p>
        </w:tc>
        <w:tc>
          <w:tcPr>
            <w:tcW w:w="986" w:type="dxa"/>
          </w:tcPr>
          <w:p w14:paraId="70915410" w14:textId="77777777" w:rsidR="002D0D49" w:rsidRDefault="002D0D49" w:rsidP="0031595F">
            <w:pPr>
              <w:pStyle w:val="TableBody"/>
            </w:pPr>
            <w:r>
              <w:t>$</w:t>
            </w:r>
          </w:p>
        </w:tc>
        <w:tc>
          <w:tcPr>
            <w:tcW w:w="6694" w:type="dxa"/>
          </w:tcPr>
          <w:p w14:paraId="1252E419" w14:textId="77777777" w:rsidR="002D0D49" w:rsidRPr="00947170" w:rsidRDefault="002D0D49" w:rsidP="0031595F">
            <w:pPr>
              <w:pStyle w:val="TableBody"/>
            </w:pPr>
            <w:r w:rsidRPr="00CE545D">
              <w:rPr>
                <w:i/>
              </w:rPr>
              <w:t>Independent Amount</w:t>
            </w:r>
            <w:r>
              <w:t>—</w:t>
            </w:r>
            <w:r w:rsidRPr="00CE545D">
              <w:t>The amount required to be posted as defined in Section 16.16.1, Counter-Party Criteria.</w:t>
            </w:r>
          </w:p>
        </w:tc>
      </w:tr>
      <w:tr w:rsidR="002D0D49" w14:paraId="7322E519" w14:textId="77777777" w:rsidTr="009F2C2F">
        <w:trPr>
          <w:trHeight w:val="91"/>
        </w:trPr>
        <w:tc>
          <w:tcPr>
            <w:tcW w:w="1652" w:type="dxa"/>
          </w:tcPr>
          <w:p w14:paraId="14F490A8" w14:textId="77777777" w:rsidR="002D0D49" w:rsidRDefault="002D0D49" w:rsidP="0031595F">
            <w:pPr>
              <w:pStyle w:val="TableBody"/>
            </w:pPr>
            <w:r>
              <w:t>RFAF</w:t>
            </w:r>
          </w:p>
        </w:tc>
        <w:tc>
          <w:tcPr>
            <w:tcW w:w="986" w:type="dxa"/>
          </w:tcPr>
          <w:p w14:paraId="055E2DAA" w14:textId="77777777" w:rsidR="002D0D49" w:rsidRDefault="002D0D49" w:rsidP="0031595F">
            <w:pPr>
              <w:pStyle w:val="TableBody"/>
            </w:pPr>
            <w:r>
              <w:t>None</w:t>
            </w:r>
          </w:p>
        </w:tc>
        <w:tc>
          <w:tcPr>
            <w:tcW w:w="6694" w:type="dxa"/>
          </w:tcPr>
          <w:p w14:paraId="090A81D1" w14:textId="77777777" w:rsidR="002D0D49" w:rsidRPr="00CE545D" w:rsidRDefault="002D0D49" w:rsidP="0031595F">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CBBD670" w14:textId="77777777" w:rsidR="002D0D49" w:rsidRDefault="002D0D49" w:rsidP="002D0D49">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2D0D49" w:rsidRPr="00BE4766" w14:paraId="50ECFB23" w14:textId="77777777" w:rsidTr="002D0D49">
        <w:trPr>
          <w:trHeight w:val="351"/>
          <w:tblHeader/>
        </w:trPr>
        <w:tc>
          <w:tcPr>
            <w:tcW w:w="1448" w:type="dxa"/>
          </w:tcPr>
          <w:p w14:paraId="6D1E3EF5" w14:textId="77777777" w:rsidR="002D0D49" w:rsidRPr="00BE4766" w:rsidRDefault="002D0D49" w:rsidP="0031595F">
            <w:pPr>
              <w:pStyle w:val="TableHead"/>
            </w:pPr>
            <w:r>
              <w:t>Parameter</w:t>
            </w:r>
          </w:p>
        </w:tc>
        <w:tc>
          <w:tcPr>
            <w:tcW w:w="1702" w:type="dxa"/>
          </w:tcPr>
          <w:p w14:paraId="3C6226A7" w14:textId="77777777" w:rsidR="002D0D49" w:rsidRPr="00BE4766" w:rsidRDefault="002D0D49" w:rsidP="0031595F">
            <w:pPr>
              <w:pStyle w:val="TableHead"/>
            </w:pPr>
            <w:r w:rsidRPr="00BE4766">
              <w:t>Unit</w:t>
            </w:r>
          </w:p>
        </w:tc>
        <w:tc>
          <w:tcPr>
            <w:tcW w:w="6120" w:type="dxa"/>
          </w:tcPr>
          <w:p w14:paraId="1C71B301" w14:textId="77777777" w:rsidR="002D0D49" w:rsidRPr="00BE4766" w:rsidRDefault="002D0D49" w:rsidP="0031595F">
            <w:pPr>
              <w:pStyle w:val="TableHead"/>
            </w:pPr>
            <w:r>
              <w:t>Current Value*</w:t>
            </w:r>
          </w:p>
        </w:tc>
      </w:tr>
      <w:tr w:rsidR="002D0D49" w:rsidRPr="00BE4766" w14:paraId="4515A9BE" w14:textId="77777777" w:rsidTr="002D0D49">
        <w:trPr>
          <w:trHeight w:val="519"/>
        </w:trPr>
        <w:tc>
          <w:tcPr>
            <w:tcW w:w="1448" w:type="dxa"/>
          </w:tcPr>
          <w:p w14:paraId="2E6B5C63" w14:textId="77777777" w:rsidR="002D0D49" w:rsidRPr="004F59D3" w:rsidRDefault="002D0D49" w:rsidP="0031595F">
            <w:pPr>
              <w:pStyle w:val="TableBody"/>
              <w:rPr>
                <w:i/>
              </w:rPr>
            </w:pPr>
            <w:r w:rsidRPr="004F59D3">
              <w:rPr>
                <w:i/>
              </w:rPr>
              <w:t>nm</w:t>
            </w:r>
          </w:p>
        </w:tc>
        <w:tc>
          <w:tcPr>
            <w:tcW w:w="1702" w:type="dxa"/>
          </w:tcPr>
          <w:p w14:paraId="67C4004E" w14:textId="77777777" w:rsidR="002D0D49" w:rsidRPr="004F59D3" w:rsidRDefault="002D0D49" w:rsidP="0031595F">
            <w:pPr>
              <w:pStyle w:val="TableBody"/>
            </w:pPr>
            <w:r w:rsidRPr="004F59D3">
              <w:t>None</w:t>
            </w:r>
          </w:p>
        </w:tc>
        <w:tc>
          <w:tcPr>
            <w:tcW w:w="6120" w:type="dxa"/>
          </w:tcPr>
          <w:p w14:paraId="654C8EF8" w14:textId="77777777" w:rsidR="002D0D49" w:rsidRPr="00484E48" w:rsidRDefault="002D0D49" w:rsidP="0031595F">
            <w:pPr>
              <w:pStyle w:val="TableBody"/>
            </w:pPr>
            <w:r w:rsidRPr="00484E48">
              <w:t>50</w:t>
            </w:r>
          </w:p>
        </w:tc>
      </w:tr>
      <w:tr w:rsidR="002D0D49" w:rsidRPr="00BE4766" w14:paraId="4BD7A6C0" w14:textId="77777777" w:rsidTr="002D0D49">
        <w:trPr>
          <w:trHeight w:val="519"/>
        </w:trPr>
        <w:tc>
          <w:tcPr>
            <w:tcW w:w="1448" w:type="dxa"/>
          </w:tcPr>
          <w:p w14:paraId="6B1DBC35" w14:textId="77777777" w:rsidR="002D0D49" w:rsidRPr="004F59D3" w:rsidRDefault="002D0D49" w:rsidP="0031595F">
            <w:pPr>
              <w:pStyle w:val="TableBody"/>
              <w:rPr>
                <w:i/>
              </w:rPr>
            </w:pPr>
            <w:r w:rsidRPr="004F59D3">
              <w:rPr>
                <w:i/>
              </w:rPr>
              <w:t>cif</w:t>
            </w:r>
          </w:p>
        </w:tc>
        <w:tc>
          <w:tcPr>
            <w:tcW w:w="1702" w:type="dxa"/>
          </w:tcPr>
          <w:p w14:paraId="6ECA2374" w14:textId="77777777" w:rsidR="002D0D49" w:rsidRPr="004F59D3" w:rsidRDefault="002D0D49" w:rsidP="0031595F">
            <w:pPr>
              <w:pStyle w:val="TableBody"/>
            </w:pPr>
            <w:r w:rsidRPr="004F59D3">
              <w:t>Percentage</w:t>
            </w:r>
          </w:p>
        </w:tc>
        <w:tc>
          <w:tcPr>
            <w:tcW w:w="6120" w:type="dxa"/>
          </w:tcPr>
          <w:p w14:paraId="5BBF100D" w14:textId="77777777" w:rsidR="002D0D49" w:rsidRPr="00484E48" w:rsidRDefault="002D0D49" w:rsidP="0031595F">
            <w:pPr>
              <w:pStyle w:val="TableBody"/>
            </w:pPr>
            <w:r w:rsidRPr="00484E48">
              <w:t>9%</w:t>
            </w:r>
          </w:p>
        </w:tc>
      </w:tr>
      <w:tr w:rsidR="002D0D49" w:rsidRPr="00BE4766" w14:paraId="2ACB7A72" w14:textId="77777777" w:rsidTr="002D0D49">
        <w:trPr>
          <w:trHeight w:val="519"/>
        </w:trPr>
        <w:tc>
          <w:tcPr>
            <w:tcW w:w="1448" w:type="dxa"/>
          </w:tcPr>
          <w:p w14:paraId="2B250066" w14:textId="77777777" w:rsidR="002D0D49" w:rsidRPr="008F4340" w:rsidRDefault="002D0D49" w:rsidP="0031595F">
            <w:pPr>
              <w:pStyle w:val="TableBody"/>
              <w:rPr>
                <w:i/>
              </w:rPr>
            </w:pPr>
            <w:r w:rsidRPr="008F4340">
              <w:rPr>
                <w:i/>
                <w:lang w:val="fr-FR"/>
              </w:rPr>
              <w:t>NUCADJ</w:t>
            </w:r>
          </w:p>
        </w:tc>
        <w:tc>
          <w:tcPr>
            <w:tcW w:w="1702" w:type="dxa"/>
          </w:tcPr>
          <w:p w14:paraId="458D0B11" w14:textId="77777777" w:rsidR="002D0D49" w:rsidRDefault="002D0D49" w:rsidP="0031595F">
            <w:pPr>
              <w:pStyle w:val="TableBody"/>
            </w:pPr>
            <w:r>
              <w:t>Percentage</w:t>
            </w:r>
          </w:p>
        </w:tc>
        <w:tc>
          <w:tcPr>
            <w:tcW w:w="6120" w:type="dxa"/>
          </w:tcPr>
          <w:p w14:paraId="4EEE65FD" w14:textId="77777777" w:rsidR="002D0D49" w:rsidRDefault="002D0D49" w:rsidP="0031595F">
            <w:pPr>
              <w:pStyle w:val="TableBody"/>
            </w:pPr>
            <w:r>
              <w:t>Minimum value of 20%.</w:t>
            </w:r>
          </w:p>
        </w:tc>
      </w:tr>
      <w:tr w:rsidR="002D0D49" w:rsidRPr="00BE4766" w14:paraId="5C27CF7D" w14:textId="77777777" w:rsidTr="002D0D49">
        <w:trPr>
          <w:trHeight w:val="519"/>
        </w:trPr>
        <w:tc>
          <w:tcPr>
            <w:tcW w:w="1448" w:type="dxa"/>
          </w:tcPr>
          <w:p w14:paraId="5B253197" w14:textId="77777777" w:rsidR="002D0D49" w:rsidRDefault="002D0D49" w:rsidP="0031595F">
            <w:pPr>
              <w:pStyle w:val="TableBody"/>
              <w:rPr>
                <w:i/>
              </w:rPr>
            </w:pPr>
            <w:r>
              <w:rPr>
                <w:i/>
              </w:rPr>
              <w:t>T1</w:t>
            </w:r>
          </w:p>
        </w:tc>
        <w:tc>
          <w:tcPr>
            <w:tcW w:w="1702" w:type="dxa"/>
          </w:tcPr>
          <w:p w14:paraId="3CEC6751" w14:textId="77777777" w:rsidR="002D0D49" w:rsidRDefault="002D0D49" w:rsidP="0031595F">
            <w:pPr>
              <w:pStyle w:val="TableBody"/>
            </w:pPr>
            <w:r>
              <w:t>Days</w:t>
            </w:r>
          </w:p>
        </w:tc>
        <w:tc>
          <w:tcPr>
            <w:tcW w:w="6120" w:type="dxa"/>
          </w:tcPr>
          <w:p w14:paraId="544452C2" w14:textId="77777777" w:rsidR="002D0D49" w:rsidRDefault="002D0D49" w:rsidP="0031595F">
            <w:pPr>
              <w:pStyle w:val="TableBody"/>
            </w:pPr>
            <w:r>
              <w:t>2</w:t>
            </w:r>
          </w:p>
        </w:tc>
      </w:tr>
      <w:tr w:rsidR="002D0D49" w:rsidRPr="00BE4766" w14:paraId="14D849AF" w14:textId="77777777" w:rsidTr="002D0D49">
        <w:trPr>
          <w:trHeight w:val="519"/>
        </w:trPr>
        <w:tc>
          <w:tcPr>
            <w:tcW w:w="1448" w:type="dxa"/>
          </w:tcPr>
          <w:p w14:paraId="7E4FE7A4" w14:textId="77777777" w:rsidR="002D0D49" w:rsidRDefault="002D0D49" w:rsidP="0031595F">
            <w:pPr>
              <w:pStyle w:val="TableBody"/>
              <w:rPr>
                <w:i/>
              </w:rPr>
            </w:pPr>
            <w:r>
              <w:rPr>
                <w:i/>
              </w:rPr>
              <w:t>T2</w:t>
            </w:r>
          </w:p>
        </w:tc>
        <w:tc>
          <w:tcPr>
            <w:tcW w:w="1702" w:type="dxa"/>
          </w:tcPr>
          <w:p w14:paraId="5A767ABC" w14:textId="77777777" w:rsidR="002D0D49" w:rsidRDefault="002D0D49" w:rsidP="0031595F">
            <w:pPr>
              <w:pStyle w:val="TableBody"/>
            </w:pPr>
            <w:r>
              <w:t>Days</w:t>
            </w:r>
          </w:p>
        </w:tc>
        <w:tc>
          <w:tcPr>
            <w:tcW w:w="6120" w:type="dxa"/>
          </w:tcPr>
          <w:p w14:paraId="0E4F5764" w14:textId="77777777" w:rsidR="002D0D49" w:rsidRDefault="002D0D49" w:rsidP="0031595F">
            <w:pPr>
              <w:pStyle w:val="TableBody"/>
              <w:rPr>
                <w:i/>
              </w:rPr>
            </w:pPr>
            <w:r>
              <w:t>5</w:t>
            </w:r>
          </w:p>
        </w:tc>
      </w:tr>
      <w:tr w:rsidR="002D0D49" w:rsidRPr="00BE4766" w14:paraId="5855A457" w14:textId="77777777" w:rsidTr="002D0D49">
        <w:trPr>
          <w:trHeight w:val="519"/>
        </w:trPr>
        <w:tc>
          <w:tcPr>
            <w:tcW w:w="1448" w:type="dxa"/>
          </w:tcPr>
          <w:p w14:paraId="488F7473" w14:textId="77777777" w:rsidR="002D0D49" w:rsidRDefault="002D0D49" w:rsidP="0031595F">
            <w:pPr>
              <w:pStyle w:val="TableBody"/>
              <w:rPr>
                <w:i/>
              </w:rPr>
            </w:pPr>
            <w:r>
              <w:rPr>
                <w:i/>
              </w:rPr>
              <w:t>T3</w:t>
            </w:r>
          </w:p>
        </w:tc>
        <w:tc>
          <w:tcPr>
            <w:tcW w:w="1702" w:type="dxa"/>
          </w:tcPr>
          <w:p w14:paraId="42732A42" w14:textId="77777777" w:rsidR="002D0D49" w:rsidRDefault="002D0D49" w:rsidP="0031595F">
            <w:pPr>
              <w:pStyle w:val="TableBody"/>
            </w:pPr>
            <w:r w:rsidRPr="00AD0E0C">
              <w:t>Days</w:t>
            </w:r>
          </w:p>
        </w:tc>
        <w:tc>
          <w:tcPr>
            <w:tcW w:w="6120" w:type="dxa"/>
          </w:tcPr>
          <w:p w14:paraId="5728EE95" w14:textId="77777777" w:rsidR="002D0D49" w:rsidRDefault="002D0D49" w:rsidP="0031595F">
            <w:pPr>
              <w:pStyle w:val="TableBody"/>
              <w:rPr>
                <w:i/>
              </w:rPr>
            </w:pPr>
            <w:r>
              <w:t>5</w:t>
            </w:r>
          </w:p>
        </w:tc>
      </w:tr>
      <w:tr w:rsidR="002D0D49" w:rsidRPr="00BE4766" w14:paraId="0F5C2904" w14:textId="77777777" w:rsidTr="002D0D49">
        <w:trPr>
          <w:trHeight w:val="519"/>
        </w:trPr>
        <w:tc>
          <w:tcPr>
            <w:tcW w:w="1448" w:type="dxa"/>
          </w:tcPr>
          <w:p w14:paraId="688E921E" w14:textId="77777777" w:rsidR="002D0D49" w:rsidRDefault="002D0D49" w:rsidP="0031595F">
            <w:pPr>
              <w:pStyle w:val="TableBody"/>
              <w:rPr>
                <w:i/>
              </w:rPr>
            </w:pPr>
            <w:r>
              <w:rPr>
                <w:i/>
              </w:rPr>
              <w:t>T4</w:t>
            </w:r>
          </w:p>
        </w:tc>
        <w:tc>
          <w:tcPr>
            <w:tcW w:w="1702" w:type="dxa"/>
          </w:tcPr>
          <w:p w14:paraId="4088740C" w14:textId="77777777" w:rsidR="002D0D49" w:rsidRDefault="002D0D49" w:rsidP="0031595F">
            <w:pPr>
              <w:pStyle w:val="TableBody"/>
            </w:pPr>
            <w:r w:rsidRPr="00AD0E0C">
              <w:t>Days</w:t>
            </w:r>
          </w:p>
        </w:tc>
        <w:tc>
          <w:tcPr>
            <w:tcW w:w="6120" w:type="dxa"/>
          </w:tcPr>
          <w:p w14:paraId="4DD8C075" w14:textId="77777777" w:rsidR="002D0D49" w:rsidRDefault="002D0D49" w:rsidP="0031595F">
            <w:pPr>
              <w:pStyle w:val="TableBody"/>
            </w:pPr>
            <w:r>
              <w:t>1</w:t>
            </w:r>
          </w:p>
        </w:tc>
      </w:tr>
      <w:tr w:rsidR="002D0D49" w:rsidRPr="00BE4766" w14:paraId="4148A062" w14:textId="77777777" w:rsidTr="002D0D49">
        <w:trPr>
          <w:trHeight w:val="519"/>
        </w:trPr>
        <w:tc>
          <w:tcPr>
            <w:tcW w:w="1448" w:type="dxa"/>
          </w:tcPr>
          <w:p w14:paraId="5D9E3021" w14:textId="77777777" w:rsidR="002D0D49" w:rsidRDefault="002D0D49" w:rsidP="0031595F">
            <w:pPr>
              <w:pStyle w:val="TableBody"/>
              <w:rPr>
                <w:i/>
              </w:rPr>
            </w:pPr>
            <w:r>
              <w:rPr>
                <w:i/>
              </w:rPr>
              <w:t>T5</w:t>
            </w:r>
          </w:p>
        </w:tc>
        <w:tc>
          <w:tcPr>
            <w:tcW w:w="1702" w:type="dxa"/>
          </w:tcPr>
          <w:p w14:paraId="18A94C3D" w14:textId="77777777" w:rsidR="002D0D49" w:rsidRDefault="002D0D49" w:rsidP="0031595F">
            <w:pPr>
              <w:pStyle w:val="TableBody"/>
            </w:pPr>
            <w:r w:rsidRPr="00AD0E0C">
              <w:t>Days</w:t>
            </w:r>
          </w:p>
        </w:tc>
        <w:tc>
          <w:tcPr>
            <w:tcW w:w="6120" w:type="dxa"/>
          </w:tcPr>
          <w:p w14:paraId="31DE895E" w14:textId="77777777" w:rsidR="002D0D49" w:rsidRDefault="002D0D49" w:rsidP="0031595F">
            <w:pPr>
              <w:pStyle w:val="TableBody"/>
              <w:rPr>
                <w:i/>
              </w:rPr>
            </w:pPr>
            <w:r>
              <w:t>For a Counter-Party that represents Load this value is equal to 5, otherwise this value is equal to 2.</w:t>
            </w:r>
          </w:p>
        </w:tc>
      </w:tr>
      <w:tr w:rsidR="002D0D49" w:rsidRPr="00BE4766" w14:paraId="64DA81C6" w14:textId="77777777" w:rsidTr="002D0D49">
        <w:trPr>
          <w:trHeight w:val="519"/>
        </w:trPr>
        <w:tc>
          <w:tcPr>
            <w:tcW w:w="1448" w:type="dxa"/>
          </w:tcPr>
          <w:p w14:paraId="1A3DA326" w14:textId="77777777" w:rsidR="002D0D49" w:rsidRPr="008F4340" w:rsidRDefault="002D0D49" w:rsidP="0031595F">
            <w:pPr>
              <w:pStyle w:val="TableBody"/>
              <w:rPr>
                <w:i/>
              </w:rPr>
            </w:pPr>
            <w:r w:rsidRPr="008F4340">
              <w:rPr>
                <w:i/>
              </w:rPr>
              <w:t>BTCF</w:t>
            </w:r>
          </w:p>
        </w:tc>
        <w:tc>
          <w:tcPr>
            <w:tcW w:w="1702" w:type="dxa"/>
          </w:tcPr>
          <w:p w14:paraId="49A8B096" w14:textId="77777777" w:rsidR="002D0D49" w:rsidRDefault="002D0D49" w:rsidP="0031595F">
            <w:pPr>
              <w:pStyle w:val="TableBody"/>
            </w:pPr>
            <w:r>
              <w:t>Percentage</w:t>
            </w:r>
          </w:p>
        </w:tc>
        <w:tc>
          <w:tcPr>
            <w:tcW w:w="6120" w:type="dxa"/>
          </w:tcPr>
          <w:p w14:paraId="678B44C7" w14:textId="77777777" w:rsidR="002D0D49" w:rsidRDefault="002D0D49" w:rsidP="0031595F">
            <w:pPr>
              <w:pStyle w:val="TableBody"/>
            </w:pPr>
            <w:r>
              <w:t>80%</w:t>
            </w:r>
          </w:p>
        </w:tc>
      </w:tr>
      <w:tr w:rsidR="002D0D49" w:rsidRPr="00BE4766" w14:paraId="38A43523" w14:textId="77777777" w:rsidTr="002D0D49">
        <w:trPr>
          <w:trHeight w:val="519"/>
        </w:trPr>
        <w:tc>
          <w:tcPr>
            <w:tcW w:w="1448" w:type="dxa"/>
          </w:tcPr>
          <w:p w14:paraId="2DB16FF5" w14:textId="77777777" w:rsidR="002D0D49" w:rsidRPr="008F4340" w:rsidRDefault="002D0D49" w:rsidP="0031595F">
            <w:pPr>
              <w:pStyle w:val="TableBody"/>
              <w:rPr>
                <w:i/>
              </w:rPr>
            </w:pPr>
            <w:r>
              <w:rPr>
                <w:i/>
              </w:rPr>
              <w:t>n</w:t>
            </w:r>
          </w:p>
        </w:tc>
        <w:tc>
          <w:tcPr>
            <w:tcW w:w="1702" w:type="dxa"/>
          </w:tcPr>
          <w:p w14:paraId="0B20DA7B" w14:textId="77777777" w:rsidR="002D0D49" w:rsidRDefault="002D0D49" w:rsidP="0031595F">
            <w:pPr>
              <w:pStyle w:val="TableBody"/>
            </w:pPr>
            <w:r>
              <w:t>Days</w:t>
            </w:r>
          </w:p>
        </w:tc>
        <w:tc>
          <w:tcPr>
            <w:tcW w:w="6120" w:type="dxa"/>
          </w:tcPr>
          <w:p w14:paraId="066A574F" w14:textId="77777777" w:rsidR="002D0D49" w:rsidRDefault="002D0D49" w:rsidP="0031595F">
            <w:pPr>
              <w:pStyle w:val="TableBody"/>
            </w:pPr>
            <w:r>
              <w:t>14</w:t>
            </w:r>
          </w:p>
        </w:tc>
      </w:tr>
      <w:tr w:rsidR="002D0D49" w:rsidRPr="00BE4766" w14:paraId="5C5110EA" w14:textId="77777777" w:rsidTr="002D0D49">
        <w:trPr>
          <w:trHeight w:val="519"/>
        </w:trPr>
        <w:tc>
          <w:tcPr>
            <w:tcW w:w="9270" w:type="dxa"/>
            <w:gridSpan w:val="3"/>
          </w:tcPr>
          <w:p w14:paraId="0E97457A" w14:textId="77777777" w:rsidR="002D0D49" w:rsidRDefault="002D0D49"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2D02D8AB" w14:textId="77777777" w:rsidR="00856F40" w:rsidRDefault="00856F40" w:rsidP="00E45FD4">
      <w:pPr>
        <w:pStyle w:val="BodyTextNumbered"/>
        <w:spacing w:before="240"/>
      </w:pPr>
      <w:r>
        <w:lastRenderedPageBreak/>
        <w:t>(3)</w:t>
      </w:r>
      <w: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613EF508" w14:textId="77777777" w:rsidR="00856F40" w:rsidRDefault="00856F40" w:rsidP="00C9406C">
      <w:pPr>
        <w:pStyle w:val="H4"/>
        <w:keepNext w:val="0"/>
        <w:spacing w:before="0"/>
        <w:ind w:left="720" w:hanging="720"/>
        <w:outlineLvl w:val="9"/>
        <w:rPr>
          <w:b/>
        </w:rPr>
      </w:pPr>
      <w:bookmarkStart w:id="478" w:name="_Toc344279648"/>
      <w:bookmarkStart w:id="479" w:name="_Toc344279748"/>
      <w:bookmarkStart w:id="480" w:name="_Toc349821800"/>
      <w:r w:rsidRPr="00D77FC8">
        <w:rPr>
          <w:iCs/>
        </w:rPr>
        <w:t>(4)</w:t>
      </w:r>
      <w:r w:rsidRPr="00D77FC8">
        <w:rPr>
          <w:iCs/>
        </w:rPr>
        <w:tab/>
        <w:t>ERCOT shall monitor and calculate each Counter-Party’s TPEA and TPES daily.</w:t>
      </w:r>
      <w:bookmarkEnd w:id="478"/>
      <w:bookmarkEnd w:id="479"/>
      <w:bookmarkEnd w:id="480"/>
    </w:p>
    <w:p w14:paraId="474B16BD" w14:textId="77777777" w:rsidR="00F56ABB" w:rsidRPr="00D63F95" w:rsidRDefault="00727E32" w:rsidP="00866318">
      <w:pPr>
        <w:pStyle w:val="H4"/>
        <w:keepNext w:val="0"/>
        <w:ind w:left="1267" w:hanging="1267"/>
        <w:rPr>
          <w:b/>
        </w:rPr>
      </w:pPr>
      <w:bookmarkStart w:id="481" w:name="_Toc390438967"/>
      <w:bookmarkStart w:id="482" w:name="_Toc405897664"/>
      <w:bookmarkStart w:id="483" w:name="_Toc415055768"/>
      <w:bookmarkStart w:id="484" w:name="_Toc415055894"/>
      <w:bookmarkStart w:id="485" w:name="_Toc415055993"/>
      <w:bookmarkStart w:id="486" w:name="_Toc415056094"/>
      <w:bookmarkStart w:id="487" w:name="_Toc184623032"/>
      <w:r w:rsidRPr="004F59D3">
        <w:rPr>
          <w:b/>
        </w:rPr>
        <w:t>16.11.4.2</w:t>
      </w:r>
      <w:r w:rsidRPr="00D63F95">
        <w:rPr>
          <w:b/>
        </w:rPr>
        <w:tab/>
        <w:t>Determination of Counter-Party Initial Estimated Liability</w:t>
      </w:r>
      <w:bookmarkEnd w:id="481"/>
      <w:bookmarkEnd w:id="482"/>
      <w:bookmarkEnd w:id="483"/>
      <w:bookmarkEnd w:id="484"/>
      <w:bookmarkEnd w:id="485"/>
      <w:bookmarkEnd w:id="486"/>
      <w:bookmarkEnd w:id="487"/>
    </w:p>
    <w:p w14:paraId="26B41A8B" w14:textId="77777777" w:rsidR="00FC1C5F" w:rsidRDefault="00727E32">
      <w:pPr>
        <w:pStyle w:val="List"/>
        <w:ind w:left="720"/>
      </w:pPr>
      <w:r>
        <w:t>(1)</w:t>
      </w:r>
      <w:r>
        <w:tab/>
      </w:r>
      <w:r w:rsidR="002D0D49">
        <w:t xml:space="preserve">For each Counter-Party, </w:t>
      </w:r>
      <w:r w:rsidR="002D0D49" w:rsidRPr="004F59D3">
        <w:t>except those Counter-Parties that are only CRR Account Holders,</w:t>
      </w:r>
      <w:r w:rsidR="002D0D49">
        <w:t xml:space="preserve"> ERCOT shall determine </w:t>
      </w:r>
      <w:r w:rsidR="0058051D">
        <w:t xml:space="preserve">an Initial Estimated Liability (IEL) </w:t>
      </w:r>
      <w:r w:rsidR="002D0D49">
        <w:t>for purposes of Section 16.11.3, Alternative Means of Satisfying ERCOT Creditworthiness Requirements.</w:t>
      </w:r>
    </w:p>
    <w:p w14:paraId="666AFDB7" w14:textId="77777777" w:rsidR="000370C5" w:rsidRDefault="000370C5" w:rsidP="000370C5">
      <w:pPr>
        <w:pStyle w:val="List"/>
        <w:ind w:left="720"/>
      </w:pPr>
      <w:r>
        <w:t>(2)</w:t>
      </w:r>
      <w:r>
        <w:tab/>
        <w:t xml:space="preserve">For a Counter-Party that </w:t>
      </w:r>
      <w:r w:rsidR="00023149">
        <w:t>has all its</w:t>
      </w:r>
      <w:r>
        <w:t xml:space="preserve"> QSE</w:t>
      </w:r>
      <w:r w:rsidR="00023149">
        <w:t>s</w:t>
      </w:r>
      <w:r>
        <w:t xml:space="preserve"> representing only LSEs, ERCOT shall calculate the IEL using the following formula: </w:t>
      </w:r>
    </w:p>
    <w:p w14:paraId="319450AA" w14:textId="77777777" w:rsidR="000370C5" w:rsidRDefault="000370C5" w:rsidP="000370C5">
      <w:pPr>
        <w:pStyle w:val="List"/>
        <w:rPr>
          <w:b/>
          <w:lang w:val="es-ES"/>
        </w:rPr>
      </w:pPr>
      <w:r>
        <w:rPr>
          <w:b/>
          <w:lang w:val="es-ES"/>
        </w:rPr>
        <w:t xml:space="preserve">IEL = DEL </w:t>
      </w:r>
      <w:r w:rsidRPr="00753977">
        <w:rPr>
          <w:b/>
          <w:lang w:val="es-ES"/>
        </w:rPr>
        <w:t>*</w:t>
      </w:r>
      <w:r>
        <w:rPr>
          <w:b/>
          <w:lang w:val="es-ES"/>
        </w:rPr>
        <w:t xml:space="preserve"> Max [0.2, RTEFL] </w:t>
      </w:r>
      <w:r w:rsidRPr="00753977">
        <w:rPr>
          <w:b/>
          <w:lang w:val="es-ES"/>
        </w:rPr>
        <w:t>*</w:t>
      </w:r>
      <w:r>
        <w:rPr>
          <w:b/>
          <w:lang w:val="es-ES"/>
        </w:rPr>
        <w:t xml:space="preserve"> RTAEP </w:t>
      </w:r>
      <w:r w:rsidRPr="00753977">
        <w:rPr>
          <w:b/>
          <w:lang w:val="es-ES"/>
        </w:rPr>
        <w:t>*</w:t>
      </w:r>
      <w:r>
        <w:rPr>
          <w:b/>
          <w:lang w:val="es-ES"/>
        </w:rPr>
        <w:t xml:space="preserve"> (M1 + M2)</w:t>
      </w:r>
    </w:p>
    <w:p w14:paraId="21E754EA"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0370C5" w14:paraId="6BCA4948" w14:textId="77777777" w:rsidTr="000370C5">
        <w:tc>
          <w:tcPr>
            <w:tcW w:w="1574" w:type="dxa"/>
          </w:tcPr>
          <w:p w14:paraId="42B14F9A" w14:textId="77777777" w:rsidR="000370C5" w:rsidRDefault="000370C5" w:rsidP="000370C5">
            <w:pPr>
              <w:pStyle w:val="TableHead"/>
            </w:pPr>
            <w:r>
              <w:t>Variable</w:t>
            </w:r>
          </w:p>
        </w:tc>
        <w:tc>
          <w:tcPr>
            <w:tcW w:w="694" w:type="dxa"/>
          </w:tcPr>
          <w:p w14:paraId="2747A26F" w14:textId="77777777" w:rsidR="000370C5" w:rsidRDefault="000370C5" w:rsidP="000370C5">
            <w:pPr>
              <w:pStyle w:val="TableHead"/>
              <w:jc w:val="center"/>
            </w:pPr>
            <w:r>
              <w:t>Unit</w:t>
            </w:r>
          </w:p>
        </w:tc>
        <w:tc>
          <w:tcPr>
            <w:tcW w:w="6588" w:type="dxa"/>
          </w:tcPr>
          <w:p w14:paraId="022F4DDA" w14:textId="77777777" w:rsidR="000370C5" w:rsidRDefault="000370C5" w:rsidP="000370C5">
            <w:pPr>
              <w:pStyle w:val="TableHead"/>
            </w:pPr>
            <w:r>
              <w:t>Description</w:t>
            </w:r>
          </w:p>
        </w:tc>
      </w:tr>
      <w:tr w:rsidR="000370C5" w14:paraId="2961F599" w14:textId="77777777" w:rsidTr="000370C5">
        <w:tc>
          <w:tcPr>
            <w:tcW w:w="1574" w:type="dxa"/>
          </w:tcPr>
          <w:p w14:paraId="4A6A4BFD" w14:textId="77777777" w:rsidR="000370C5" w:rsidRDefault="000370C5" w:rsidP="000370C5">
            <w:pPr>
              <w:pStyle w:val="TableBody"/>
            </w:pPr>
            <w:r>
              <w:t>IEL</w:t>
            </w:r>
          </w:p>
        </w:tc>
        <w:tc>
          <w:tcPr>
            <w:tcW w:w="694" w:type="dxa"/>
          </w:tcPr>
          <w:p w14:paraId="6AF20AFD" w14:textId="77777777" w:rsidR="000370C5" w:rsidRDefault="000370C5" w:rsidP="000370C5">
            <w:pPr>
              <w:pStyle w:val="TableBody"/>
            </w:pPr>
            <w:r>
              <w:t>$</w:t>
            </w:r>
          </w:p>
        </w:tc>
        <w:tc>
          <w:tcPr>
            <w:tcW w:w="6588" w:type="dxa"/>
          </w:tcPr>
          <w:p w14:paraId="629C8332" w14:textId="77777777" w:rsidR="000370C5" w:rsidRDefault="000370C5" w:rsidP="000370C5">
            <w:pPr>
              <w:pStyle w:val="TableBody"/>
            </w:pPr>
            <w:r w:rsidRPr="00B67540">
              <w:rPr>
                <w:i/>
              </w:rPr>
              <w:t>Initial Estimated Liability</w:t>
            </w:r>
            <w:r w:rsidRPr="00B67540">
              <w:rPr>
                <w:color w:val="000000"/>
              </w:rPr>
              <w:sym w:font="Symbol" w:char="F0BE"/>
            </w:r>
            <w:r>
              <w:t>The Counter-Party’s</w:t>
            </w:r>
            <w:r w:rsidR="00C3054D" w:rsidRPr="00C3054D">
              <w:t xml:space="preserve"> Initial Estimated Liability</w:t>
            </w:r>
            <w:r>
              <w:t>.</w:t>
            </w:r>
          </w:p>
        </w:tc>
      </w:tr>
      <w:tr w:rsidR="000370C5" w14:paraId="105BDDFD" w14:textId="77777777" w:rsidTr="000370C5">
        <w:tc>
          <w:tcPr>
            <w:tcW w:w="1574" w:type="dxa"/>
          </w:tcPr>
          <w:p w14:paraId="2E17BFA8" w14:textId="77777777" w:rsidR="000370C5" w:rsidRDefault="000370C5" w:rsidP="000370C5">
            <w:pPr>
              <w:pStyle w:val="TableBody"/>
            </w:pPr>
            <w:smartTag w:uri="urn:schemas-microsoft-com:office:smarttags" w:element="place">
              <w:smartTag w:uri="urn:schemas-microsoft-com:office:smarttags" w:element="State">
                <w:r>
                  <w:t>DEL</w:t>
                </w:r>
              </w:smartTag>
            </w:smartTag>
          </w:p>
        </w:tc>
        <w:tc>
          <w:tcPr>
            <w:tcW w:w="694" w:type="dxa"/>
          </w:tcPr>
          <w:p w14:paraId="60205809" w14:textId="77777777" w:rsidR="000370C5" w:rsidRDefault="000370C5" w:rsidP="000370C5">
            <w:pPr>
              <w:pStyle w:val="TableBody"/>
            </w:pPr>
            <w:r>
              <w:t>MWh</w:t>
            </w:r>
          </w:p>
        </w:tc>
        <w:tc>
          <w:tcPr>
            <w:tcW w:w="6588" w:type="dxa"/>
          </w:tcPr>
          <w:p w14:paraId="53DE4076" w14:textId="77777777" w:rsidR="000370C5" w:rsidRDefault="000370C5" w:rsidP="000370C5">
            <w:pPr>
              <w:pStyle w:val="TableBody"/>
            </w:pPr>
            <w:r w:rsidRPr="00B67540">
              <w:rPr>
                <w:i/>
              </w:rPr>
              <w:t>Daily Estimated Load</w:t>
            </w:r>
            <w:r w:rsidRPr="00B67540">
              <w:rPr>
                <w:color w:val="000000"/>
              </w:rPr>
              <w:sym w:font="Symbol" w:char="F0BE"/>
            </w:r>
            <w:r>
              <w:t xml:space="preserve">The Counter-Party’s estimated average daily Load as determined by ERCOT based on information provided by the Counter-Party. </w:t>
            </w:r>
          </w:p>
        </w:tc>
      </w:tr>
      <w:tr w:rsidR="000370C5" w14:paraId="2C92EA43" w14:textId="77777777" w:rsidTr="000370C5">
        <w:tc>
          <w:tcPr>
            <w:tcW w:w="1574" w:type="dxa"/>
          </w:tcPr>
          <w:p w14:paraId="2F5FF4B3" w14:textId="77777777" w:rsidR="000370C5" w:rsidRDefault="000370C5" w:rsidP="000370C5">
            <w:pPr>
              <w:pStyle w:val="TableBody"/>
            </w:pPr>
            <w:r>
              <w:t>RTEFL</w:t>
            </w:r>
          </w:p>
        </w:tc>
        <w:tc>
          <w:tcPr>
            <w:tcW w:w="694" w:type="dxa"/>
          </w:tcPr>
          <w:p w14:paraId="0F3B3CF0" w14:textId="77777777" w:rsidR="000370C5" w:rsidRDefault="000370C5" w:rsidP="000370C5">
            <w:pPr>
              <w:pStyle w:val="TableBody"/>
            </w:pPr>
            <w:r>
              <w:t>none</w:t>
            </w:r>
          </w:p>
        </w:tc>
        <w:tc>
          <w:tcPr>
            <w:tcW w:w="6588" w:type="dxa"/>
          </w:tcPr>
          <w:p w14:paraId="6E9D88B8" w14:textId="77777777" w:rsidR="000370C5" w:rsidRDefault="000370C5" w:rsidP="00E12AFD">
            <w:pPr>
              <w:pStyle w:val="TableBody"/>
            </w:pPr>
            <w:r w:rsidRPr="00B67540">
              <w:rPr>
                <w:i/>
              </w:rPr>
              <w:t>Real-Time Energy Factor for Load</w:t>
            </w:r>
            <w:r w:rsidRPr="00B67540">
              <w:rPr>
                <w:color w:val="000000"/>
              </w:rPr>
              <w:sym w:font="Symbol" w:char="F0BE"/>
            </w:r>
            <w:r>
              <w:t>The ratio of the Counter-Party’s estimated energy pur</w:t>
            </w:r>
            <w:r w:rsidR="00E12AFD">
              <w:t xml:space="preserve">chases in the </w:t>
            </w:r>
            <w:r>
              <w:t>RTM as determined by ERCOT based on information provided by the Counter-Party, to the Counter-Party’s Daily Estimated Load.</w:t>
            </w:r>
          </w:p>
        </w:tc>
      </w:tr>
      <w:tr w:rsidR="000370C5" w14:paraId="6564F50A" w14:textId="77777777" w:rsidTr="000370C5">
        <w:tc>
          <w:tcPr>
            <w:tcW w:w="1574" w:type="dxa"/>
          </w:tcPr>
          <w:p w14:paraId="1B31EA14" w14:textId="77777777" w:rsidR="000370C5" w:rsidRPr="00B67540" w:rsidRDefault="000370C5" w:rsidP="000370C5">
            <w:pPr>
              <w:pStyle w:val="TableBody"/>
              <w:rPr>
                <w:color w:val="000000"/>
              </w:rPr>
            </w:pPr>
            <w:r w:rsidRPr="00B67540">
              <w:rPr>
                <w:color w:val="000000"/>
              </w:rPr>
              <w:t>RTAEP</w:t>
            </w:r>
          </w:p>
        </w:tc>
        <w:tc>
          <w:tcPr>
            <w:tcW w:w="694" w:type="dxa"/>
          </w:tcPr>
          <w:p w14:paraId="64EDBDA8" w14:textId="77777777" w:rsidR="000370C5" w:rsidRDefault="000370C5" w:rsidP="000370C5">
            <w:pPr>
              <w:pStyle w:val="TableBody"/>
            </w:pPr>
            <w:r>
              <w:t>$/MWh</w:t>
            </w:r>
          </w:p>
        </w:tc>
        <w:tc>
          <w:tcPr>
            <w:tcW w:w="6588" w:type="dxa"/>
          </w:tcPr>
          <w:p w14:paraId="0F91BF4F" w14:textId="77777777" w:rsidR="000370C5" w:rsidRPr="00B67540" w:rsidRDefault="000370C5" w:rsidP="000370C5">
            <w:pPr>
              <w:pStyle w:val="TableBody"/>
              <w:rPr>
                <w:color w:val="000000"/>
              </w:rPr>
            </w:pPr>
            <w:r w:rsidRPr="00B67540">
              <w:rPr>
                <w:i/>
              </w:rPr>
              <w:t>Real-Time Average Energy Price</w:t>
            </w:r>
            <w:r w:rsidRPr="00B67540">
              <w:rPr>
                <w:color w:val="000000"/>
              </w:rPr>
              <w:sym w:font="Symbol" w:char="F0BE"/>
            </w:r>
            <w:r w:rsidRPr="00B67540">
              <w:rPr>
                <w:color w:val="000000"/>
              </w:rPr>
              <w:t xml:space="preserve">Average Settlement Point Price for the “ERCOT 345” as defined in Section 3.5.2.5, ERCOT Hub Average 345 kV Hub (ERCOT 345), based upon the previous seven days’ average Real-Time Settlement Point Prices. </w:t>
            </w:r>
          </w:p>
        </w:tc>
      </w:tr>
    </w:tbl>
    <w:p w14:paraId="6D197B70" w14:textId="77777777" w:rsidR="000370C5" w:rsidRDefault="000370C5" w:rsidP="000370C5">
      <w:pPr>
        <w:pStyle w:val="List"/>
        <w:spacing w:before="240"/>
        <w:ind w:left="720"/>
      </w:pPr>
      <w:r>
        <w:t>(3)</w:t>
      </w:r>
      <w:r>
        <w:tab/>
        <w:t xml:space="preserve">For a Counter-Party that </w:t>
      </w:r>
      <w:r w:rsidR="00023149">
        <w:t>has all its</w:t>
      </w:r>
      <w:r>
        <w:t xml:space="preserve"> QSE</w:t>
      </w:r>
      <w:r w:rsidR="00023149">
        <w:t>s</w:t>
      </w:r>
      <w:r>
        <w:t xml:space="preserve"> representing only Resources, ERCOT shall calculate the IEL using the following formula: </w:t>
      </w:r>
    </w:p>
    <w:p w14:paraId="05A16CBB" w14:textId="77777777" w:rsidR="000370C5" w:rsidRDefault="000370C5" w:rsidP="000370C5">
      <w:pPr>
        <w:pStyle w:val="List"/>
        <w:rPr>
          <w:lang w:val="es-ES"/>
        </w:rPr>
      </w:pPr>
      <w:r w:rsidRPr="00753977">
        <w:rPr>
          <w:b/>
          <w:lang w:val="es-ES"/>
        </w:rPr>
        <w:t>IEL</w:t>
      </w:r>
      <w:r w:rsidRPr="00753977">
        <w:rPr>
          <w:b/>
          <w:lang w:val="es-ES"/>
        </w:rPr>
        <w:tab/>
        <w:t>=</w:t>
      </w:r>
      <w:r w:rsidRPr="00753977">
        <w:rPr>
          <w:b/>
          <w:lang w:val="es-ES"/>
        </w:rPr>
        <w:tab/>
        <w:t>DEG * Max [0.2, RTEFG] * RTAEP * (M1 + M2)</w:t>
      </w:r>
    </w:p>
    <w:p w14:paraId="1CD4EAEC"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729820C2" w14:textId="77777777" w:rsidTr="000370C5">
        <w:trPr>
          <w:tblHeader/>
        </w:trPr>
        <w:tc>
          <w:tcPr>
            <w:tcW w:w="1574" w:type="dxa"/>
          </w:tcPr>
          <w:p w14:paraId="2F4520EC" w14:textId="77777777" w:rsidR="000370C5" w:rsidRPr="00B67540" w:rsidRDefault="000370C5" w:rsidP="000370C5">
            <w:pPr>
              <w:pStyle w:val="TableHead"/>
              <w:rPr>
                <w:color w:val="000000"/>
              </w:rPr>
            </w:pPr>
            <w:r w:rsidRPr="00B67540">
              <w:rPr>
                <w:color w:val="000000"/>
              </w:rPr>
              <w:t>Variable</w:t>
            </w:r>
          </w:p>
        </w:tc>
        <w:tc>
          <w:tcPr>
            <w:tcW w:w="874" w:type="dxa"/>
          </w:tcPr>
          <w:p w14:paraId="0A0CD8A0" w14:textId="77777777" w:rsidR="000370C5" w:rsidRPr="00B67540" w:rsidRDefault="000370C5" w:rsidP="000370C5">
            <w:pPr>
              <w:pStyle w:val="TableHead"/>
              <w:jc w:val="center"/>
              <w:rPr>
                <w:color w:val="000000"/>
              </w:rPr>
            </w:pPr>
            <w:r w:rsidRPr="00B67540">
              <w:rPr>
                <w:color w:val="000000"/>
              </w:rPr>
              <w:t>Unit</w:t>
            </w:r>
          </w:p>
        </w:tc>
        <w:tc>
          <w:tcPr>
            <w:tcW w:w="6408" w:type="dxa"/>
          </w:tcPr>
          <w:p w14:paraId="29DF3244" w14:textId="77777777" w:rsidR="000370C5" w:rsidRPr="00B67540" w:rsidRDefault="000370C5" w:rsidP="000370C5">
            <w:pPr>
              <w:pStyle w:val="TableHead"/>
              <w:rPr>
                <w:color w:val="000000"/>
              </w:rPr>
            </w:pPr>
            <w:r w:rsidRPr="00B67540">
              <w:rPr>
                <w:color w:val="000000"/>
              </w:rPr>
              <w:t>Description</w:t>
            </w:r>
          </w:p>
        </w:tc>
      </w:tr>
      <w:tr w:rsidR="000370C5" w14:paraId="5149DB8B" w14:textId="77777777" w:rsidTr="000370C5">
        <w:tc>
          <w:tcPr>
            <w:tcW w:w="1574" w:type="dxa"/>
          </w:tcPr>
          <w:p w14:paraId="512DAC4F" w14:textId="77777777" w:rsidR="000370C5" w:rsidRPr="00B67540" w:rsidRDefault="000370C5" w:rsidP="000370C5">
            <w:pPr>
              <w:pStyle w:val="TableBody"/>
              <w:rPr>
                <w:color w:val="000000"/>
              </w:rPr>
            </w:pPr>
            <w:r w:rsidRPr="00B67540">
              <w:rPr>
                <w:color w:val="000000"/>
              </w:rPr>
              <w:t>IEL</w:t>
            </w:r>
          </w:p>
        </w:tc>
        <w:tc>
          <w:tcPr>
            <w:tcW w:w="874" w:type="dxa"/>
          </w:tcPr>
          <w:p w14:paraId="60383A06" w14:textId="77777777" w:rsidR="000370C5" w:rsidRPr="00B67540" w:rsidRDefault="000370C5" w:rsidP="000370C5">
            <w:pPr>
              <w:pStyle w:val="TableBody"/>
              <w:rPr>
                <w:color w:val="000000"/>
              </w:rPr>
            </w:pPr>
            <w:r w:rsidRPr="00B67540">
              <w:rPr>
                <w:color w:val="000000"/>
              </w:rPr>
              <w:t>$</w:t>
            </w:r>
          </w:p>
        </w:tc>
        <w:tc>
          <w:tcPr>
            <w:tcW w:w="6408" w:type="dxa"/>
          </w:tcPr>
          <w:p w14:paraId="6816E486" w14:textId="77777777" w:rsidR="000370C5" w:rsidRPr="00B67540" w:rsidRDefault="000370C5" w:rsidP="000370C5">
            <w:pPr>
              <w:pStyle w:val="TableBody"/>
              <w:rPr>
                <w:color w:val="000000"/>
              </w:rPr>
            </w:pPr>
            <w:r w:rsidRPr="00B67540">
              <w:rPr>
                <w:i/>
                <w:color w:val="000000"/>
              </w:rPr>
              <w:t>Initial Estimated Liability</w:t>
            </w:r>
            <w:r w:rsidRPr="00B67540">
              <w:rPr>
                <w:color w:val="000000"/>
              </w:rPr>
              <w:sym w:font="Symbol" w:char="F0BE"/>
            </w:r>
            <w:r w:rsidRPr="00B67540">
              <w:rPr>
                <w:color w:val="000000"/>
              </w:rPr>
              <w:t>The Counter-Party’s Initial Estimated Liability.</w:t>
            </w:r>
          </w:p>
        </w:tc>
      </w:tr>
      <w:tr w:rsidR="000370C5" w14:paraId="5BC89D86" w14:textId="77777777" w:rsidTr="000370C5">
        <w:tc>
          <w:tcPr>
            <w:tcW w:w="1574" w:type="dxa"/>
          </w:tcPr>
          <w:p w14:paraId="19784ECC" w14:textId="77777777" w:rsidR="000370C5" w:rsidRPr="00B67540" w:rsidRDefault="000370C5" w:rsidP="000370C5">
            <w:pPr>
              <w:pStyle w:val="TableBody"/>
              <w:rPr>
                <w:color w:val="000000"/>
              </w:rPr>
            </w:pPr>
            <w:r w:rsidRPr="00B67540">
              <w:rPr>
                <w:color w:val="000000"/>
              </w:rPr>
              <w:lastRenderedPageBreak/>
              <w:t>DEG</w:t>
            </w:r>
          </w:p>
        </w:tc>
        <w:tc>
          <w:tcPr>
            <w:tcW w:w="874" w:type="dxa"/>
          </w:tcPr>
          <w:p w14:paraId="37739FC8" w14:textId="77777777" w:rsidR="000370C5" w:rsidRPr="00B67540" w:rsidRDefault="000370C5" w:rsidP="000370C5">
            <w:pPr>
              <w:pStyle w:val="TableBody"/>
              <w:rPr>
                <w:i/>
                <w:color w:val="000000"/>
              </w:rPr>
            </w:pPr>
            <w:r w:rsidRPr="00B67540">
              <w:rPr>
                <w:color w:val="000000"/>
              </w:rPr>
              <w:t>MWh</w:t>
            </w:r>
          </w:p>
        </w:tc>
        <w:tc>
          <w:tcPr>
            <w:tcW w:w="6408" w:type="dxa"/>
          </w:tcPr>
          <w:p w14:paraId="69C593EB" w14:textId="77777777" w:rsidR="000370C5" w:rsidRPr="00B67540" w:rsidRDefault="000370C5" w:rsidP="000370C5">
            <w:pPr>
              <w:pStyle w:val="TableBody"/>
              <w:rPr>
                <w:color w:val="000000"/>
              </w:rPr>
            </w:pPr>
            <w:r w:rsidRPr="00B67540">
              <w:rPr>
                <w:i/>
                <w:color w:val="000000"/>
              </w:rPr>
              <w:t>Daily Estimated Generation</w:t>
            </w:r>
            <w:r w:rsidRPr="00B67540">
              <w:rPr>
                <w:color w:val="000000"/>
              </w:rPr>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0370C5" w14:paraId="4DFF228B" w14:textId="77777777" w:rsidTr="000370C5">
        <w:tc>
          <w:tcPr>
            <w:tcW w:w="1574" w:type="dxa"/>
          </w:tcPr>
          <w:p w14:paraId="3A5000E3" w14:textId="77777777" w:rsidR="000370C5" w:rsidRPr="00B67540" w:rsidRDefault="000370C5" w:rsidP="000370C5">
            <w:pPr>
              <w:pStyle w:val="TableBody"/>
              <w:rPr>
                <w:color w:val="000000"/>
              </w:rPr>
            </w:pPr>
            <w:r w:rsidRPr="00B67540">
              <w:rPr>
                <w:color w:val="000000"/>
              </w:rPr>
              <w:t>RTEFG</w:t>
            </w:r>
          </w:p>
        </w:tc>
        <w:tc>
          <w:tcPr>
            <w:tcW w:w="874" w:type="dxa"/>
          </w:tcPr>
          <w:p w14:paraId="2A3ECAD3" w14:textId="77777777" w:rsidR="000370C5" w:rsidRPr="00B67540" w:rsidRDefault="000370C5" w:rsidP="000370C5">
            <w:pPr>
              <w:pStyle w:val="TableBody"/>
              <w:rPr>
                <w:color w:val="000000"/>
              </w:rPr>
            </w:pPr>
            <w:r w:rsidRPr="00B67540">
              <w:rPr>
                <w:color w:val="000000"/>
              </w:rPr>
              <w:t>none</w:t>
            </w:r>
          </w:p>
        </w:tc>
        <w:tc>
          <w:tcPr>
            <w:tcW w:w="6408" w:type="dxa"/>
          </w:tcPr>
          <w:p w14:paraId="45F7C9A2" w14:textId="77777777" w:rsidR="000370C5" w:rsidRPr="00B67540" w:rsidRDefault="000370C5" w:rsidP="009B0BEE">
            <w:pPr>
              <w:pStyle w:val="TableBody"/>
              <w:rPr>
                <w:color w:val="000000"/>
              </w:rPr>
            </w:pPr>
            <w:r w:rsidRPr="00B67540">
              <w:rPr>
                <w:i/>
                <w:color w:val="000000"/>
              </w:rPr>
              <w:t>Real-Time Energy Factor for Generation</w:t>
            </w:r>
            <w:r w:rsidRPr="00B67540">
              <w:rPr>
                <w:color w:val="000000"/>
              </w:rPr>
              <w:sym w:font="Symbol" w:char="F0BE"/>
            </w:r>
            <w:r>
              <w:t xml:space="preserve">The ratio of the Counter-Party’s </w:t>
            </w:r>
            <w:r w:rsidR="009B0BEE">
              <w:t xml:space="preserve">QSE to QSE </w:t>
            </w:r>
            <w:r>
              <w:t>estimated energy sales as determined by ERCOT based on information provided by the Counter-Party, to the Counter-Party’s Daily Estimated Generation.</w:t>
            </w:r>
          </w:p>
        </w:tc>
      </w:tr>
      <w:tr w:rsidR="000370C5" w14:paraId="0608F5DC" w14:textId="77777777" w:rsidTr="000370C5">
        <w:tc>
          <w:tcPr>
            <w:tcW w:w="1574" w:type="dxa"/>
          </w:tcPr>
          <w:p w14:paraId="4FDD0E67" w14:textId="77777777" w:rsidR="000370C5" w:rsidRPr="00B67540" w:rsidRDefault="000370C5" w:rsidP="000370C5">
            <w:pPr>
              <w:pStyle w:val="TableBody"/>
              <w:rPr>
                <w:color w:val="000000"/>
              </w:rPr>
            </w:pPr>
            <w:r w:rsidRPr="00B67540">
              <w:rPr>
                <w:color w:val="000000"/>
              </w:rPr>
              <w:t>RTAEP</w:t>
            </w:r>
          </w:p>
        </w:tc>
        <w:tc>
          <w:tcPr>
            <w:tcW w:w="874" w:type="dxa"/>
          </w:tcPr>
          <w:p w14:paraId="6E7E7270" w14:textId="77777777" w:rsidR="000370C5" w:rsidRPr="00B67540" w:rsidRDefault="000370C5" w:rsidP="000370C5">
            <w:pPr>
              <w:pStyle w:val="TableBody"/>
              <w:rPr>
                <w:color w:val="000000"/>
              </w:rPr>
            </w:pPr>
            <w:r w:rsidRPr="00B67540">
              <w:rPr>
                <w:color w:val="000000"/>
              </w:rPr>
              <w:t>$/MWh</w:t>
            </w:r>
          </w:p>
        </w:tc>
        <w:tc>
          <w:tcPr>
            <w:tcW w:w="6408" w:type="dxa"/>
          </w:tcPr>
          <w:p w14:paraId="03F9178C" w14:textId="77777777" w:rsidR="000370C5" w:rsidRPr="00B67540" w:rsidRDefault="000370C5" w:rsidP="000370C5">
            <w:pPr>
              <w:pStyle w:val="TableBody"/>
              <w:rPr>
                <w:color w:val="000000"/>
              </w:rPr>
            </w:pPr>
            <w:r w:rsidRPr="00B67540">
              <w:rPr>
                <w:i/>
                <w:color w:val="000000"/>
              </w:rPr>
              <w:t>Real-Time Average Energy Price</w:t>
            </w:r>
            <w:r w:rsidRPr="00B67540">
              <w:rPr>
                <w:color w:val="000000"/>
              </w:rPr>
              <w:sym w:font="Symbol" w:char="F0BE"/>
            </w:r>
            <w:r w:rsidRPr="00B67540">
              <w:rPr>
                <w:color w:val="000000"/>
              </w:rPr>
              <w:t>Average Settlement Point Price for the “ERCOT 345” as defined in Section 3.5.2.5 based upon the previous seven days average Real-Time Settlement Point Prices.</w:t>
            </w:r>
          </w:p>
        </w:tc>
      </w:tr>
    </w:tbl>
    <w:p w14:paraId="20CC9B8A" w14:textId="77777777" w:rsidR="000370C5" w:rsidRDefault="000370C5" w:rsidP="000370C5">
      <w:pPr>
        <w:pStyle w:val="List"/>
        <w:spacing w:before="240"/>
        <w:ind w:left="720"/>
      </w:pPr>
      <w:r>
        <w:t>(4)</w:t>
      </w:r>
      <w:r>
        <w:tab/>
        <w:t xml:space="preserve">For a Counter-Party that </w:t>
      </w:r>
      <w:r w:rsidR="00023149">
        <w:t>has</w:t>
      </w:r>
      <w:r>
        <w:t xml:space="preserve"> QSE</w:t>
      </w:r>
      <w:r w:rsidR="00023149">
        <w:t>s</w:t>
      </w:r>
      <w:r>
        <w:t xml:space="preserve"> representing both LSE and Resources, ERCOT shall calculate the Counter-Party’s IEL using the following formula:</w:t>
      </w:r>
    </w:p>
    <w:p w14:paraId="6477D3D3" w14:textId="77777777" w:rsidR="000370C5" w:rsidRDefault="000370C5" w:rsidP="000370C5">
      <w:pPr>
        <w:pStyle w:val="BodyText"/>
        <w:tabs>
          <w:tab w:val="left" w:pos="1440"/>
        </w:tabs>
        <w:ind w:left="2160" w:hanging="1440"/>
      </w:pPr>
      <w:r w:rsidRPr="00753977">
        <w:rPr>
          <w:b/>
        </w:rPr>
        <w:t>IEL</w:t>
      </w:r>
      <w:r w:rsidRPr="00753977">
        <w:rPr>
          <w:b/>
        </w:rPr>
        <w:tab/>
        <w:t>=</w:t>
      </w:r>
      <w:r w:rsidRPr="00753977">
        <w:rPr>
          <w:b/>
        </w:rPr>
        <w:tab/>
        <w:t xml:space="preserve">DEL * Max [0.1, RTEFL] * RTAEP </w:t>
      </w:r>
      <w:r w:rsidRPr="00753977">
        <w:t>*</w:t>
      </w:r>
      <w:r w:rsidRPr="00753977">
        <w:rPr>
          <w:b/>
        </w:rPr>
        <w:t xml:space="preserve"> (M1 + M2) + DEG * Max [0.1, RTEFG] * RTAEP * (M1 + M2)</w:t>
      </w:r>
    </w:p>
    <w:p w14:paraId="6406258F" w14:textId="77777777" w:rsidR="000370C5" w:rsidRDefault="000370C5" w:rsidP="000370C5">
      <w:pPr>
        <w:pStyle w:val="BodyTextIndent"/>
        <w:spacing w:after="0"/>
        <w:ind w:left="0"/>
        <w:rPr>
          <w:iCs w:val="0"/>
        </w:rPr>
      </w:pPr>
      <w:r>
        <w:rPr>
          <w:iCs w:val="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57A3DB74" w14:textId="77777777" w:rsidTr="000370C5">
        <w:trPr>
          <w:cantSplit/>
          <w:tblHeader/>
        </w:trPr>
        <w:tc>
          <w:tcPr>
            <w:tcW w:w="1574" w:type="dxa"/>
          </w:tcPr>
          <w:p w14:paraId="5ADBCBF8" w14:textId="77777777" w:rsidR="000370C5" w:rsidRDefault="000370C5" w:rsidP="000370C5">
            <w:pPr>
              <w:pStyle w:val="TableHead"/>
            </w:pPr>
            <w:r>
              <w:t>Variable</w:t>
            </w:r>
          </w:p>
        </w:tc>
        <w:tc>
          <w:tcPr>
            <w:tcW w:w="874" w:type="dxa"/>
          </w:tcPr>
          <w:p w14:paraId="3D2CCDF3" w14:textId="77777777" w:rsidR="000370C5" w:rsidRDefault="000370C5" w:rsidP="000370C5">
            <w:pPr>
              <w:pStyle w:val="TableHead"/>
            </w:pPr>
            <w:r>
              <w:t>Unit</w:t>
            </w:r>
          </w:p>
        </w:tc>
        <w:tc>
          <w:tcPr>
            <w:tcW w:w="6408" w:type="dxa"/>
          </w:tcPr>
          <w:p w14:paraId="7AE5A97B" w14:textId="77777777" w:rsidR="000370C5" w:rsidRDefault="000370C5" w:rsidP="000370C5">
            <w:pPr>
              <w:pStyle w:val="TableHead"/>
            </w:pPr>
            <w:r>
              <w:t>Description</w:t>
            </w:r>
          </w:p>
        </w:tc>
      </w:tr>
      <w:tr w:rsidR="000370C5" w14:paraId="6AA9984A" w14:textId="77777777" w:rsidTr="000370C5">
        <w:trPr>
          <w:cantSplit/>
          <w:tblHeader/>
        </w:trPr>
        <w:tc>
          <w:tcPr>
            <w:tcW w:w="1574" w:type="dxa"/>
          </w:tcPr>
          <w:p w14:paraId="4426D013" w14:textId="77777777" w:rsidR="000370C5" w:rsidRDefault="000370C5" w:rsidP="000370C5">
            <w:pPr>
              <w:pStyle w:val="TableBody"/>
            </w:pPr>
            <w:r>
              <w:t>IEL</w:t>
            </w:r>
          </w:p>
        </w:tc>
        <w:tc>
          <w:tcPr>
            <w:tcW w:w="874" w:type="dxa"/>
          </w:tcPr>
          <w:p w14:paraId="20094810" w14:textId="77777777" w:rsidR="000370C5" w:rsidRDefault="000370C5" w:rsidP="000370C5">
            <w:pPr>
              <w:pStyle w:val="TableBody"/>
            </w:pPr>
            <w:r>
              <w:t>$</w:t>
            </w:r>
          </w:p>
        </w:tc>
        <w:tc>
          <w:tcPr>
            <w:tcW w:w="6408" w:type="dxa"/>
          </w:tcPr>
          <w:p w14:paraId="1F1E5B84" w14:textId="77777777" w:rsidR="000370C5" w:rsidRDefault="000370C5" w:rsidP="000370C5">
            <w:pPr>
              <w:pStyle w:val="TableBody"/>
            </w:pPr>
            <w:r w:rsidRPr="00B67540">
              <w:rPr>
                <w:i/>
              </w:rPr>
              <w:t>Initial Estimated Liability</w:t>
            </w:r>
            <w:r w:rsidRPr="00B67540">
              <w:sym w:font="Symbol" w:char="F0BE"/>
            </w:r>
            <w:r>
              <w:t>The Counter-Party’s Initial Estimated Liability.</w:t>
            </w:r>
          </w:p>
        </w:tc>
      </w:tr>
      <w:tr w:rsidR="000370C5" w14:paraId="0A6C37C5" w14:textId="77777777" w:rsidTr="000370C5">
        <w:trPr>
          <w:cantSplit/>
          <w:trHeight w:val="89"/>
          <w:tblHeader/>
        </w:trPr>
        <w:tc>
          <w:tcPr>
            <w:tcW w:w="1574" w:type="dxa"/>
          </w:tcPr>
          <w:p w14:paraId="074437B6" w14:textId="77777777" w:rsidR="000370C5" w:rsidRDefault="000370C5" w:rsidP="000370C5">
            <w:pPr>
              <w:pStyle w:val="TableBody"/>
            </w:pPr>
            <w:smartTag w:uri="urn:schemas-microsoft-com:office:smarttags" w:element="place">
              <w:smartTag w:uri="urn:schemas-microsoft-com:office:smarttags" w:element="State">
                <w:r>
                  <w:t>DEL</w:t>
                </w:r>
              </w:smartTag>
            </w:smartTag>
          </w:p>
        </w:tc>
        <w:tc>
          <w:tcPr>
            <w:tcW w:w="874" w:type="dxa"/>
          </w:tcPr>
          <w:p w14:paraId="5F19F903" w14:textId="77777777" w:rsidR="000370C5" w:rsidRDefault="000370C5" w:rsidP="000370C5">
            <w:pPr>
              <w:pStyle w:val="TableBody"/>
            </w:pPr>
            <w:r>
              <w:t>MWh</w:t>
            </w:r>
          </w:p>
        </w:tc>
        <w:tc>
          <w:tcPr>
            <w:tcW w:w="6408" w:type="dxa"/>
          </w:tcPr>
          <w:p w14:paraId="0272D544" w14:textId="77777777" w:rsidR="000370C5" w:rsidRDefault="000370C5" w:rsidP="000370C5">
            <w:pPr>
              <w:pStyle w:val="TableBody"/>
            </w:pPr>
            <w:r w:rsidRPr="00B67540">
              <w:rPr>
                <w:i/>
              </w:rPr>
              <w:t>Daily Estimated Load</w:t>
            </w:r>
            <w:r w:rsidRPr="00B67540">
              <w:sym w:font="Symbol" w:char="F0BE"/>
            </w:r>
            <w:r>
              <w:t>The Counter-Party’s estimated average daily Load as determined by ERCOT based on information provided by the Counter-Party.</w:t>
            </w:r>
          </w:p>
        </w:tc>
      </w:tr>
      <w:tr w:rsidR="000370C5" w14:paraId="4D81AF51" w14:textId="77777777" w:rsidTr="000370C5">
        <w:trPr>
          <w:cantSplit/>
          <w:tblHeader/>
        </w:trPr>
        <w:tc>
          <w:tcPr>
            <w:tcW w:w="1574" w:type="dxa"/>
          </w:tcPr>
          <w:p w14:paraId="74A43E88" w14:textId="77777777" w:rsidR="000370C5" w:rsidRDefault="000370C5" w:rsidP="000370C5">
            <w:pPr>
              <w:pStyle w:val="TableBody"/>
            </w:pPr>
            <w:r>
              <w:t>DEG</w:t>
            </w:r>
          </w:p>
        </w:tc>
        <w:tc>
          <w:tcPr>
            <w:tcW w:w="874" w:type="dxa"/>
          </w:tcPr>
          <w:p w14:paraId="5BFFE08E" w14:textId="77777777" w:rsidR="000370C5" w:rsidRDefault="000370C5" w:rsidP="000370C5">
            <w:pPr>
              <w:pStyle w:val="TableBody"/>
            </w:pPr>
            <w:r>
              <w:t>MWh</w:t>
            </w:r>
          </w:p>
        </w:tc>
        <w:tc>
          <w:tcPr>
            <w:tcW w:w="6408" w:type="dxa"/>
          </w:tcPr>
          <w:p w14:paraId="02568D91" w14:textId="77777777" w:rsidR="000370C5" w:rsidRDefault="000370C5" w:rsidP="000370C5">
            <w:pPr>
              <w:pStyle w:val="TableBody"/>
            </w:pPr>
            <w:r w:rsidRPr="00B67540">
              <w:rPr>
                <w:i/>
              </w:rPr>
              <w:t>Daily Estimated Generation</w:t>
            </w:r>
            <w:r w:rsidRPr="00B67540">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0370C5" w14:paraId="42BB3D32" w14:textId="77777777" w:rsidTr="000370C5">
        <w:trPr>
          <w:cantSplit/>
          <w:tblHeader/>
        </w:trPr>
        <w:tc>
          <w:tcPr>
            <w:tcW w:w="1574" w:type="dxa"/>
          </w:tcPr>
          <w:p w14:paraId="032FA6C0" w14:textId="77777777" w:rsidR="000370C5" w:rsidRDefault="000370C5" w:rsidP="000370C5">
            <w:pPr>
              <w:pStyle w:val="TableBody"/>
            </w:pPr>
            <w:r>
              <w:t>RTEFL</w:t>
            </w:r>
          </w:p>
        </w:tc>
        <w:tc>
          <w:tcPr>
            <w:tcW w:w="874" w:type="dxa"/>
          </w:tcPr>
          <w:p w14:paraId="561CC294" w14:textId="77777777" w:rsidR="000370C5" w:rsidRDefault="000370C5" w:rsidP="000370C5">
            <w:pPr>
              <w:pStyle w:val="TableBody"/>
            </w:pPr>
            <w:r>
              <w:t>none</w:t>
            </w:r>
          </w:p>
        </w:tc>
        <w:tc>
          <w:tcPr>
            <w:tcW w:w="6408" w:type="dxa"/>
          </w:tcPr>
          <w:p w14:paraId="286195C4" w14:textId="77777777" w:rsidR="000370C5" w:rsidRDefault="000370C5" w:rsidP="000370C5">
            <w:pPr>
              <w:pStyle w:val="TableBody"/>
            </w:pPr>
            <w:r w:rsidRPr="00B67540">
              <w:rPr>
                <w:i/>
              </w:rPr>
              <w:t>Real-Time Energy Factor for Load</w:t>
            </w:r>
            <w:r w:rsidRPr="00B67540">
              <w:sym w:font="Symbol" w:char="F0BE"/>
            </w:r>
            <w:r>
              <w:t>The ratio of the Counter-Party’s estimated energy purchases in the RTM as determined by ERCOT based on information provided by the Counter-Party, to the Counter-Party’s Daily Estimated Load.</w:t>
            </w:r>
          </w:p>
        </w:tc>
      </w:tr>
      <w:tr w:rsidR="000370C5" w14:paraId="537F599D" w14:textId="77777777" w:rsidTr="000370C5">
        <w:trPr>
          <w:cantSplit/>
          <w:tblHeader/>
        </w:trPr>
        <w:tc>
          <w:tcPr>
            <w:tcW w:w="1574" w:type="dxa"/>
          </w:tcPr>
          <w:p w14:paraId="24277B76" w14:textId="77777777" w:rsidR="000370C5" w:rsidRDefault="000370C5" w:rsidP="000370C5">
            <w:pPr>
              <w:pStyle w:val="TableBody"/>
            </w:pPr>
            <w:r>
              <w:t>RTAEP</w:t>
            </w:r>
          </w:p>
        </w:tc>
        <w:tc>
          <w:tcPr>
            <w:tcW w:w="874" w:type="dxa"/>
          </w:tcPr>
          <w:p w14:paraId="19B81E9C" w14:textId="77777777" w:rsidR="000370C5" w:rsidRDefault="000370C5" w:rsidP="000370C5">
            <w:pPr>
              <w:pStyle w:val="TableBody"/>
            </w:pPr>
            <w:r>
              <w:t>$/MWh</w:t>
            </w:r>
          </w:p>
        </w:tc>
        <w:tc>
          <w:tcPr>
            <w:tcW w:w="6408" w:type="dxa"/>
          </w:tcPr>
          <w:p w14:paraId="477AF7C0" w14:textId="77777777" w:rsidR="000370C5" w:rsidRDefault="000370C5" w:rsidP="000370C5">
            <w:pPr>
              <w:pStyle w:val="TableBody"/>
            </w:pPr>
            <w:r w:rsidRPr="00B67540">
              <w:rPr>
                <w:i/>
              </w:rPr>
              <w:t>Real-Time Average Energy Price</w:t>
            </w:r>
            <w:r w:rsidRPr="00B67540">
              <w:sym w:font="Symbol" w:char="F0BE"/>
            </w:r>
            <w:r w:rsidRPr="00B67540">
              <w:rPr>
                <w:color w:val="000000"/>
              </w:rPr>
              <w:t>Average Settlement Point Price for the “ERCOT 345” as defined in Section 3.5.2.5 based upon the previous seven days’ average Real-Time Settlement Point Prices.</w:t>
            </w:r>
          </w:p>
        </w:tc>
      </w:tr>
      <w:tr w:rsidR="000370C5" w14:paraId="78F5152D" w14:textId="77777777" w:rsidTr="000370C5">
        <w:tblPrEx>
          <w:tblLook w:val="01E0" w:firstRow="1" w:lastRow="1" w:firstColumn="1" w:lastColumn="1" w:noHBand="0" w:noVBand="0"/>
        </w:tblPrEx>
        <w:trPr>
          <w:cantSplit/>
          <w:tblHeader/>
        </w:trPr>
        <w:tc>
          <w:tcPr>
            <w:tcW w:w="1574" w:type="dxa"/>
          </w:tcPr>
          <w:p w14:paraId="579DC635" w14:textId="77777777" w:rsidR="000370C5" w:rsidRDefault="000370C5" w:rsidP="000370C5">
            <w:pPr>
              <w:pStyle w:val="TableBody"/>
            </w:pPr>
            <w:r>
              <w:t>RTEFG</w:t>
            </w:r>
          </w:p>
        </w:tc>
        <w:tc>
          <w:tcPr>
            <w:tcW w:w="874" w:type="dxa"/>
          </w:tcPr>
          <w:p w14:paraId="5AC9C7DA" w14:textId="77777777" w:rsidR="000370C5" w:rsidRDefault="000370C5" w:rsidP="000370C5">
            <w:pPr>
              <w:pStyle w:val="TableBody"/>
            </w:pPr>
            <w:r>
              <w:t>none</w:t>
            </w:r>
          </w:p>
        </w:tc>
        <w:tc>
          <w:tcPr>
            <w:tcW w:w="6408" w:type="dxa"/>
          </w:tcPr>
          <w:p w14:paraId="0A04E5EB" w14:textId="77777777" w:rsidR="000370C5" w:rsidRPr="00B67540" w:rsidRDefault="000370C5" w:rsidP="009B0BEE">
            <w:pPr>
              <w:pStyle w:val="TableBody"/>
              <w:rPr>
                <w:i/>
              </w:rPr>
            </w:pPr>
            <w:r w:rsidRPr="00B67540">
              <w:rPr>
                <w:i/>
              </w:rPr>
              <w:t>Real-Time Energy Factor for Generation</w:t>
            </w:r>
            <w:r>
              <w:t xml:space="preserve">—The ratio of the Counter-Party’s </w:t>
            </w:r>
            <w:r w:rsidR="009B0BEE">
              <w:t xml:space="preserve">QSE to QSE </w:t>
            </w:r>
            <w:r>
              <w:t>estimated energy sales as determined by ERCOT, based on information provided by the Counter-Party, to the Counter-Party’s Daily Estimated Generation.</w:t>
            </w:r>
          </w:p>
        </w:tc>
      </w:tr>
    </w:tbl>
    <w:p w14:paraId="6D3A5103" w14:textId="77777777" w:rsidR="009B0BEE" w:rsidRDefault="00727E32" w:rsidP="004A233E">
      <w:pPr>
        <w:pStyle w:val="List"/>
        <w:spacing w:before="240"/>
        <w:ind w:left="720"/>
      </w:pPr>
      <w:r>
        <w:t>(5)</w:t>
      </w:r>
      <w:r>
        <w:tab/>
      </w:r>
      <w:r w:rsidR="009B0BEE">
        <w:t xml:space="preserve">For a Counter-Party that has all its QSEs representing neither Load nor generation, and that is not representing a CRR Account Holder, the IEL is equal to IMCE as defined in paragraph (2) of Section 16.11.4.1, </w:t>
      </w:r>
      <w:r w:rsidR="009B0BEE" w:rsidRPr="004526B8">
        <w:t>Determination of Total Potential Exposure for a Counter-Party</w:t>
      </w:r>
      <w:r w:rsidR="009B0BEE">
        <w:t>.</w:t>
      </w:r>
    </w:p>
    <w:p w14:paraId="7142CF0E" w14:textId="77777777" w:rsidR="00082575" w:rsidRDefault="009B0BEE" w:rsidP="009B0BEE">
      <w:pPr>
        <w:spacing w:after="240"/>
      </w:pPr>
      <w:r>
        <w:t>(6)</w:t>
      </w:r>
      <w:r>
        <w:tab/>
      </w:r>
      <w:r w:rsidR="00727E32">
        <w:t>For a Counter-Party that is only a CRR Account Holder and is not a QSE, the IEL is zero.</w:t>
      </w:r>
    </w:p>
    <w:p w14:paraId="2B0E4CBD" w14:textId="77777777" w:rsidR="00AF167A" w:rsidRPr="0002450E" w:rsidRDefault="00AF167A" w:rsidP="00AF167A">
      <w:pPr>
        <w:pStyle w:val="H4"/>
        <w:rPr>
          <w:b/>
          <w:bCs/>
        </w:rPr>
      </w:pPr>
      <w:bookmarkStart w:id="488" w:name="_Toc390438968"/>
      <w:bookmarkStart w:id="489" w:name="_Toc405897665"/>
      <w:bookmarkStart w:id="490" w:name="_Toc415055769"/>
      <w:bookmarkStart w:id="491" w:name="_Toc415055895"/>
      <w:bookmarkStart w:id="492" w:name="_Toc415055994"/>
      <w:bookmarkStart w:id="493" w:name="_Toc415056095"/>
      <w:bookmarkStart w:id="494" w:name="_Toc184623033"/>
      <w:r w:rsidRPr="0002450E">
        <w:rPr>
          <w:b/>
          <w:bCs/>
        </w:rPr>
        <w:lastRenderedPageBreak/>
        <w:t>16.11.4.3</w:t>
      </w:r>
      <w:r w:rsidRPr="0002450E">
        <w:rPr>
          <w:b/>
          <w:bCs/>
        </w:rPr>
        <w:tab/>
        <w:t>Determination of Counter-Party Estimated Aggregate Liability</w:t>
      </w:r>
      <w:bookmarkEnd w:id="488"/>
      <w:bookmarkEnd w:id="489"/>
      <w:bookmarkEnd w:id="490"/>
      <w:bookmarkEnd w:id="491"/>
      <w:bookmarkEnd w:id="492"/>
      <w:bookmarkEnd w:id="493"/>
      <w:bookmarkEnd w:id="494"/>
    </w:p>
    <w:p w14:paraId="5EA2C3DA" w14:textId="77777777" w:rsidR="00DF0271" w:rsidRDefault="00DF0271" w:rsidP="00DF0271">
      <w:pPr>
        <w:pStyle w:val="List"/>
        <w:ind w:left="720"/>
      </w:pPr>
      <w:r>
        <w:t>(1)</w:t>
      </w:r>
      <w:r>
        <w:tab/>
        <w:t xml:space="preserve">After a Counter-Party commences activity in ERCOT markets, ERCOT shall monitor and calculate the Counter-Party’s EAL based on the formulas below.  </w:t>
      </w:r>
    </w:p>
    <w:p w14:paraId="25407031" w14:textId="5A963065" w:rsidR="00DF0271" w:rsidRPr="00183BC3" w:rsidRDefault="00DF0271" w:rsidP="00DF0271">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341CD427" w14:textId="4ECB82B5" w:rsidR="00DF0271" w:rsidRDefault="00DF0271" w:rsidP="00DF0271">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5103B987" w14:textId="77777777" w:rsidR="00DF0271" w:rsidRDefault="00DF0271" w:rsidP="00DF0271">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16F15653" w14:textId="77777777" w:rsidR="00DF0271" w:rsidRPr="00C42795" w:rsidRDefault="00DF0271" w:rsidP="00DF0271">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3895F4E" w14:textId="77777777" w:rsidR="00DF0271" w:rsidRDefault="00DF0271" w:rsidP="00DF0271">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DF0271" w:rsidRPr="003D0DC1" w14:paraId="58EAB5C6" w14:textId="77777777" w:rsidTr="0031595F">
        <w:trPr>
          <w:trHeight w:val="351"/>
          <w:tblHeader/>
        </w:trPr>
        <w:tc>
          <w:tcPr>
            <w:tcW w:w="1503" w:type="dxa"/>
          </w:tcPr>
          <w:p w14:paraId="081A132C" w14:textId="77777777" w:rsidR="00DF0271" w:rsidRPr="00BE4766" w:rsidRDefault="00DF0271" w:rsidP="0031595F">
            <w:pPr>
              <w:pStyle w:val="TableHead"/>
            </w:pPr>
            <w:r w:rsidRPr="00BE4766">
              <w:t>Variable</w:t>
            </w:r>
          </w:p>
        </w:tc>
        <w:tc>
          <w:tcPr>
            <w:tcW w:w="886" w:type="dxa"/>
          </w:tcPr>
          <w:p w14:paraId="6B5E3EAC" w14:textId="77777777" w:rsidR="00DF0271" w:rsidRPr="00BE4766" w:rsidRDefault="00DF0271" w:rsidP="0031595F">
            <w:pPr>
              <w:pStyle w:val="TableHead"/>
            </w:pPr>
            <w:r w:rsidRPr="00BE4766">
              <w:t>Unit</w:t>
            </w:r>
          </w:p>
        </w:tc>
        <w:tc>
          <w:tcPr>
            <w:tcW w:w="6701" w:type="dxa"/>
          </w:tcPr>
          <w:p w14:paraId="19973576" w14:textId="77777777" w:rsidR="00DF0271" w:rsidRPr="00BE4766" w:rsidRDefault="00DF0271" w:rsidP="0031595F">
            <w:pPr>
              <w:pStyle w:val="TableHead"/>
            </w:pPr>
            <w:r w:rsidRPr="00BE4766">
              <w:t>Description</w:t>
            </w:r>
          </w:p>
        </w:tc>
      </w:tr>
      <w:tr w:rsidR="00DF0271" w:rsidRPr="003D0DC1" w14:paraId="552B0677" w14:textId="77777777" w:rsidTr="0031595F">
        <w:trPr>
          <w:trHeight w:val="519"/>
        </w:trPr>
        <w:tc>
          <w:tcPr>
            <w:tcW w:w="1503" w:type="dxa"/>
          </w:tcPr>
          <w:p w14:paraId="3F4C58D4" w14:textId="77777777" w:rsidR="00DF0271" w:rsidRPr="00BE4766" w:rsidRDefault="00DF0271" w:rsidP="0031595F">
            <w:pPr>
              <w:pStyle w:val="TableBody"/>
            </w:pPr>
            <w:r w:rsidRPr="00BE4766">
              <w:t>EAL</w:t>
            </w:r>
            <w:r w:rsidRPr="00277384">
              <w:rPr>
                <w:b/>
                <w:i/>
                <w:vertAlign w:val="subscript"/>
              </w:rPr>
              <w:t xml:space="preserve"> </w:t>
            </w:r>
            <w:r w:rsidRPr="00D36347">
              <w:rPr>
                <w:i/>
                <w:vertAlign w:val="subscript"/>
              </w:rPr>
              <w:t>q</w:t>
            </w:r>
          </w:p>
        </w:tc>
        <w:tc>
          <w:tcPr>
            <w:tcW w:w="886" w:type="dxa"/>
          </w:tcPr>
          <w:p w14:paraId="6EF88611" w14:textId="77777777" w:rsidR="00DF0271" w:rsidRPr="00BE4766" w:rsidRDefault="00DF0271" w:rsidP="0031595F">
            <w:pPr>
              <w:pStyle w:val="TableBody"/>
            </w:pPr>
            <w:r w:rsidRPr="00BE4766">
              <w:t>$</w:t>
            </w:r>
          </w:p>
        </w:tc>
        <w:tc>
          <w:tcPr>
            <w:tcW w:w="6701" w:type="dxa"/>
          </w:tcPr>
          <w:p w14:paraId="4F3C3E33" w14:textId="77777777" w:rsidR="00DF0271" w:rsidRPr="00BE4766" w:rsidRDefault="00DF0271" w:rsidP="0031595F">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DF0271" w:rsidRPr="003D0DC1" w14:paraId="3B8F1FA5" w14:textId="77777777" w:rsidTr="0031595F">
        <w:trPr>
          <w:trHeight w:val="519"/>
        </w:trPr>
        <w:tc>
          <w:tcPr>
            <w:tcW w:w="1503" w:type="dxa"/>
          </w:tcPr>
          <w:p w14:paraId="6EA3D832" w14:textId="77777777" w:rsidR="00DF0271" w:rsidRPr="004F59D3" w:rsidRDefault="00DF0271" w:rsidP="0031595F">
            <w:pPr>
              <w:pStyle w:val="TableBody"/>
            </w:pPr>
            <w:r w:rsidRPr="004F59D3">
              <w:t xml:space="preserve">EAL </w:t>
            </w:r>
            <w:r w:rsidRPr="004F59D3">
              <w:rPr>
                <w:i/>
                <w:vertAlign w:val="subscript"/>
              </w:rPr>
              <w:t>t</w:t>
            </w:r>
          </w:p>
        </w:tc>
        <w:tc>
          <w:tcPr>
            <w:tcW w:w="886" w:type="dxa"/>
          </w:tcPr>
          <w:p w14:paraId="1EA9F59F" w14:textId="77777777" w:rsidR="00DF0271" w:rsidRPr="00484E48" w:rsidRDefault="00DF0271" w:rsidP="0031595F">
            <w:pPr>
              <w:pStyle w:val="TableBody"/>
            </w:pPr>
            <w:r w:rsidRPr="00484E48">
              <w:t>$</w:t>
            </w:r>
          </w:p>
        </w:tc>
        <w:tc>
          <w:tcPr>
            <w:tcW w:w="6701" w:type="dxa"/>
          </w:tcPr>
          <w:p w14:paraId="7940872F" w14:textId="77777777" w:rsidR="00DF0271" w:rsidRPr="00367720" w:rsidRDefault="00DF0271" w:rsidP="0031595F">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DF0271" w:rsidRPr="003D0DC1" w14:paraId="230AF888" w14:textId="77777777" w:rsidTr="0031595F">
        <w:trPr>
          <w:trHeight w:val="519"/>
        </w:trPr>
        <w:tc>
          <w:tcPr>
            <w:tcW w:w="1503" w:type="dxa"/>
          </w:tcPr>
          <w:p w14:paraId="7CBDC34C" w14:textId="77777777" w:rsidR="00DF0271" w:rsidRPr="00484E48" w:rsidRDefault="00DF0271" w:rsidP="0031595F">
            <w:pPr>
              <w:pStyle w:val="TableBody"/>
            </w:pPr>
            <w:r w:rsidRPr="004F59D3">
              <w:t>EAL</w:t>
            </w:r>
            <w:r w:rsidRPr="004F59D3">
              <w:rPr>
                <w:b/>
                <w:i/>
                <w:vertAlign w:val="subscript"/>
              </w:rPr>
              <w:t xml:space="preserve"> </w:t>
            </w:r>
            <w:r w:rsidRPr="004F59D3">
              <w:rPr>
                <w:i/>
                <w:vertAlign w:val="subscript"/>
              </w:rPr>
              <w:t>a</w:t>
            </w:r>
          </w:p>
        </w:tc>
        <w:tc>
          <w:tcPr>
            <w:tcW w:w="886" w:type="dxa"/>
          </w:tcPr>
          <w:p w14:paraId="16FA29F5" w14:textId="77777777" w:rsidR="00DF0271" w:rsidRPr="00484E48" w:rsidRDefault="00DF0271" w:rsidP="0031595F">
            <w:pPr>
              <w:pStyle w:val="TableBody"/>
            </w:pPr>
            <w:r w:rsidRPr="00484E48">
              <w:t>$</w:t>
            </w:r>
          </w:p>
        </w:tc>
        <w:tc>
          <w:tcPr>
            <w:tcW w:w="6701" w:type="dxa"/>
          </w:tcPr>
          <w:p w14:paraId="16284C7C" w14:textId="77777777" w:rsidR="00DF0271" w:rsidRPr="00367720" w:rsidRDefault="00DF0271" w:rsidP="0031595F">
            <w:pPr>
              <w:pStyle w:val="TableBody"/>
              <w:rPr>
                <w:i/>
              </w:rPr>
            </w:pPr>
            <w:r w:rsidRPr="00367720">
              <w:rPr>
                <w:i/>
              </w:rPr>
              <w:t>Estimated Aggregate Liability for all the CRR Account Holders</w:t>
            </w:r>
            <w:r w:rsidRPr="00367720">
              <w:t xml:space="preserve"> represented by the Counter-Party.</w:t>
            </w:r>
          </w:p>
        </w:tc>
      </w:tr>
      <w:tr w:rsidR="00DF0271" w:rsidRPr="003D0DC1" w14:paraId="6BAB699E" w14:textId="77777777" w:rsidTr="0031595F">
        <w:trPr>
          <w:trHeight w:val="91"/>
        </w:trPr>
        <w:tc>
          <w:tcPr>
            <w:tcW w:w="1503" w:type="dxa"/>
          </w:tcPr>
          <w:p w14:paraId="76ED37D2" w14:textId="77777777" w:rsidR="00DF0271" w:rsidRPr="00BE4766" w:rsidRDefault="00DF0271" w:rsidP="0031595F">
            <w:pPr>
              <w:pStyle w:val="TableBody"/>
            </w:pPr>
            <w:r w:rsidRPr="00BE4766">
              <w:t>IEL</w:t>
            </w:r>
          </w:p>
        </w:tc>
        <w:tc>
          <w:tcPr>
            <w:tcW w:w="886" w:type="dxa"/>
          </w:tcPr>
          <w:p w14:paraId="058358E5" w14:textId="77777777" w:rsidR="00DF0271" w:rsidRPr="00BE4766" w:rsidRDefault="00DF0271" w:rsidP="0031595F">
            <w:pPr>
              <w:pStyle w:val="TableBody"/>
            </w:pPr>
            <w:r w:rsidRPr="00BE4766">
              <w:t>$</w:t>
            </w:r>
          </w:p>
        </w:tc>
        <w:tc>
          <w:tcPr>
            <w:tcW w:w="6701" w:type="dxa"/>
          </w:tcPr>
          <w:p w14:paraId="1AF6085C" w14:textId="77777777" w:rsidR="00DF0271" w:rsidRPr="00BE4766" w:rsidRDefault="00DF0271" w:rsidP="0031595F">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DF0271" w:rsidRPr="003D0DC1" w14:paraId="2C75A29C" w14:textId="77777777" w:rsidTr="0031595F">
        <w:trPr>
          <w:trHeight w:val="91"/>
        </w:trPr>
        <w:tc>
          <w:tcPr>
            <w:tcW w:w="1503" w:type="dxa"/>
          </w:tcPr>
          <w:p w14:paraId="29FFB515" w14:textId="77777777" w:rsidR="00DF0271" w:rsidRPr="00BE4766" w:rsidRDefault="00DF0271" w:rsidP="0031595F">
            <w:pPr>
              <w:pStyle w:val="TableBody"/>
              <w:rPr>
                <w:i/>
              </w:rPr>
            </w:pPr>
            <w:r>
              <w:rPr>
                <w:i/>
              </w:rPr>
              <w:t>q</w:t>
            </w:r>
          </w:p>
        </w:tc>
        <w:tc>
          <w:tcPr>
            <w:tcW w:w="886" w:type="dxa"/>
          </w:tcPr>
          <w:p w14:paraId="51D2A2A5" w14:textId="77777777" w:rsidR="00DF0271" w:rsidRPr="00BE4766" w:rsidRDefault="00DF0271" w:rsidP="0031595F">
            <w:pPr>
              <w:pStyle w:val="TableBody"/>
            </w:pPr>
          </w:p>
        </w:tc>
        <w:tc>
          <w:tcPr>
            <w:tcW w:w="6701" w:type="dxa"/>
          </w:tcPr>
          <w:p w14:paraId="18B680BD" w14:textId="77777777" w:rsidR="00DF0271" w:rsidRPr="00BE4766" w:rsidRDefault="00DF0271" w:rsidP="0031595F">
            <w:pPr>
              <w:pStyle w:val="TableBody"/>
            </w:pPr>
            <w:r w:rsidRPr="00BE4766">
              <w:t>QSE</w:t>
            </w:r>
            <w:r>
              <w:t>s</w:t>
            </w:r>
            <w:r w:rsidRPr="00BE4766">
              <w:t xml:space="preserve"> represented by Counter-Party.</w:t>
            </w:r>
          </w:p>
        </w:tc>
      </w:tr>
      <w:tr w:rsidR="00DF0271" w:rsidRPr="003D0DC1" w14:paraId="29DE967E" w14:textId="77777777" w:rsidTr="0031595F">
        <w:trPr>
          <w:trHeight w:val="91"/>
        </w:trPr>
        <w:tc>
          <w:tcPr>
            <w:tcW w:w="1503" w:type="dxa"/>
          </w:tcPr>
          <w:p w14:paraId="37EC0D3E" w14:textId="77777777" w:rsidR="00DF0271" w:rsidRDefault="00DF0271" w:rsidP="0031595F">
            <w:pPr>
              <w:pStyle w:val="TableBody"/>
              <w:rPr>
                <w:i/>
              </w:rPr>
            </w:pPr>
            <w:r>
              <w:rPr>
                <w:i/>
              </w:rPr>
              <w:t>t</w:t>
            </w:r>
          </w:p>
        </w:tc>
        <w:tc>
          <w:tcPr>
            <w:tcW w:w="886" w:type="dxa"/>
          </w:tcPr>
          <w:p w14:paraId="75C4E3CE" w14:textId="77777777" w:rsidR="00DF0271" w:rsidRPr="00BE4766" w:rsidRDefault="00DF0271" w:rsidP="0031595F">
            <w:pPr>
              <w:pStyle w:val="TableBody"/>
            </w:pPr>
          </w:p>
        </w:tc>
        <w:tc>
          <w:tcPr>
            <w:tcW w:w="6701" w:type="dxa"/>
          </w:tcPr>
          <w:p w14:paraId="1D643F56" w14:textId="058F9B4C" w:rsidR="00DF0271" w:rsidRPr="00BE4766" w:rsidRDefault="00DF0271" w:rsidP="0031595F">
            <w:pPr>
              <w:pStyle w:val="TableBody"/>
            </w:pPr>
            <w:r w:rsidRPr="00545E0B">
              <w:t>QSEs represented by a Counter-Party if none of the QSEs represented by the Counter-Party represent either Load or generation</w:t>
            </w:r>
            <w:r w:rsidR="002C3748">
              <w:t>.</w:t>
            </w:r>
          </w:p>
        </w:tc>
      </w:tr>
      <w:tr w:rsidR="00DF0271" w:rsidRPr="003D0DC1" w14:paraId="1631C39D" w14:textId="77777777" w:rsidTr="0031595F">
        <w:trPr>
          <w:trHeight w:val="91"/>
        </w:trPr>
        <w:tc>
          <w:tcPr>
            <w:tcW w:w="1503" w:type="dxa"/>
          </w:tcPr>
          <w:p w14:paraId="5B4027DA" w14:textId="77777777" w:rsidR="00DF0271" w:rsidRPr="00BE4766" w:rsidRDefault="00DF0271" w:rsidP="0031595F">
            <w:pPr>
              <w:pStyle w:val="TableBody"/>
              <w:rPr>
                <w:i/>
              </w:rPr>
            </w:pPr>
            <w:r>
              <w:rPr>
                <w:i/>
              </w:rPr>
              <w:t>a</w:t>
            </w:r>
          </w:p>
        </w:tc>
        <w:tc>
          <w:tcPr>
            <w:tcW w:w="886" w:type="dxa"/>
          </w:tcPr>
          <w:p w14:paraId="4745CC5B" w14:textId="77777777" w:rsidR="00DF0271" w:rsidRPr="00BE4766" w:rsidRDefault="00DF0271" w:rsidP="0031595F">
            <w:pPr>
              <w:pStyle w:val="TableBody"/>
            </w:pPr>
          </w:p>
        </w:tc>
        <w:tc>
          <w:tcPr>
            <w:tcW w:w="6701" w:type="dxa"/>
          </w:tcPr>
          <w:p w14:paraId="5BBDAA0E" w14:textId="77777777" w:rsidR="00DF0271" w:rsidRPr="00BE4766" w:rsidRDefault="00DF0271" w:rsidP="0031595F">
            <w:pPr>
              <w:pStyle w:val="TableBody"/>
            </w:pPr>
            <w:r w:rsidRPr="00BE4766">
              <w:t>CRR Account Holder</w:t>
            </w:r>
            <w:r>
              <w:t>s</w:t>
            </w:r>
            <w:r w:rsidRPr="00BE4766">
              <w:t xml:space="preserve"> represented by Counter-Party.</w:t>
            </w:r>
          </w:p>
        </w:tc>
      </w:tr>
      <w:tr w:rsidR="00DF0271" w:rsidRPr="003D0DC1" w14:paraId="1DF94383" w14:textId="77777777" w:rsidTr="0031595F">
        <w:trPr>
          <w:trHeight w:val="593"/>
        </w:trPr>
        <w:tc>
          <w:tcPr>
            <w:tcW w:w="1503" w:type="dxa"/>
          </w:tcPr>
          <w:p w14:paraId="0E2A206D" w14:textId="77777777" w:rsidR="00DF0271" w:rsidRPr="00BE4766" w:rsidRDefault="00DF0271" w:rsidP="0031595F">
            <w:pPr>
              <w:pStyle w:val="TableBody"/>
            </w:pPr>
            <w:r w:rsidRPr="00BE4766">
              <w:t>RTLE</w:t>
            </w:r>
          </w:p>
        </w:tc>
        <w:tc>
          <w:tcPr>
            <w:tcW w:w="886" w:type="dxa"/>
          </w:tcPr>
          <w:p w14:paraId="012AA688" w14:textId="77777777" w:rsidR="00DF0271" w:rsidRPr="00BE4766" w:rsidRDefault="00DF0271" w:rsidP="0031595F">
            <w:pPr>
              <w:pStyle w:val="TableBody"/>
            </w:pPr>
            <w:r w:rsidRPr="00BE4766">
              <w:t>$</w:t>
            </w:r>
          </w:p>
        </w:tc>
        <w:tc>
          <w:tcPr>
            <w:tcW w:w="6701" w:type="dxa"/>
          </w:tcPr>
          <w:p w14:paraId="5C4353F8" w14:textId="71455659" w:rsidR="00DF0271" w:rsidRPr="00BE4766" w:rsidRDefault="00941CD9" w:rsidP="0031595F">
            <w:pPr>
              <w:pStyle w:val="TableBody"/>
            </w:pPr>
            <w:r w:rsidRPr="00BE4766">
              <w:rPr>
                <w:i/>
              </w:rPr>
              <w:t>Real</w:t>
            </w:r>
            <w:r>
              <w:rPr>
                <w:i/>
              </w:rPr>
              <w:t>-</w:t>
            </w:r>
            <w:r w:rsidR="00DF0271" w:rsidRPr="00BE4766">
              <w:rPr>
                <w:i/>
              </w:rPr>
              <w:t>Time Liability Extrapolated</w:t>
            </w:r>
            <w:r w:rsidR="00DF0271" w:rsidRPr="00BE4766">
              <w:t>—M1 multiplied by the sum of the net amount</w:t>
            </w:r>
            <w:r w:rsidR="00DF0271">
              <w:t>, with zero substituted for missing values,</w:t>
            </w:r>
            <w:r w:rsidR="00DF0271" w:rsidRPr="00BE4766">
              <w:t xml:space="preserve"> due to</w:t>
            </w:r>
            <w:r w:rsidR="00DF0271">
              <w:t xml:space="preserve"> or from</w:t>
            </w:r>
            <w:r w:rsidR="00DF0271" w:rsidRPr="00BE4766">
              <w:t xml:space="preserve"> ERCOT by the Counter-Party</w:t>
            </w:r>
            <w:r w:rsidR="00DF0271">
              <w:t xml:space="preserve"> in the 14 most recent Operating Days for which</w:t>
            </w:r>
            <w:r w:rsidR="00DF0271" w:rsidRPr="00BE4766">
              <w:t xml:space="preserve"> </w:t>
            </w:r>
            <w:r w:rsidR="00DF0271">
              <w:t>RTM</w:t>
            </w:r>
            <w:r w:rsidR="00DF0271" w:rsidRPr="00BE4766">
              <w:t xml:space="preserve"> Initial Statements </w:t>
            </w:r>
            <w:r w:rsidR="00DF0271">
              <w:t xml:space="preserve">are produced for Counter-Parties according to the ERCOT Settlement Calendar </w:t>
            </w:r>
            <w:r w:rsidR="00DF0271" w:rsidRPr="00BE4766">
              <w:t>divided by 14.</w:t>
            </w:r>
          </w:p>
        </w:tc>
      </w:tr>
      <w:tr w:rsidR="00DF0271" w:rsidRPr="003D0DC1" w14:paraId="0D1C249E" w14:textId="77777777" w:rsidTr="0031595F">
        <w:trPr>
          <w:trHeight w:val="350"/>
        </w:trPr>
        <w:tc>
          <w:tcPr>
            <w:tcW w:w="1503" w:type="dxa"/>
          </w:tcPr>
          <w:p w14:paraId="7E9FC58A" w14:textId="77777777" w:rsidR="00DF0271" w:rsidRPr="00BE4766" w:rsidRDefault="00DF0271" w:rsidP="0031595F">
            <w:pPr>
              <w:pStyle w:val="TableBody"/>
            </w:pPr>
            <w:r w:rsidRPr="00BE4766">
              <w:t>URTA</w:t>
            </w:r>
          </w:p>
        </w:tc>
        <w:tc>
          <w:tcPr>
            <w:tcW w:w="886" w:type="dxa"/>
          </w:tcPr>
          <w:p w14:paraId="526A2DE0" w14:textId="77777777" w:rsidR="00DF0271" w:rsidRPr="00BE4766" w:rsidRDefault="00DF0271" w:rsidP="0031595F">
            <w:pPr>
              <w:pStyle w:val="TableBody"/>
            </w:pPr>
            <w:r w:rsidRPr="00BE4766">
              <w:t>$</w:t>
            </w:r>
          </w:p>
        </w:tc>
        <w:tc>
          <w:tcPr>
            <w:tcW w:w="6701" w:type="dxa"/>
          </w:tcPr>
          <w:p w14:paraId="4E6ED632" w14:textId="77777777" w:rsidR="00DF0271" w:rsidRPr="00BE4766" w:rsidRDefault="00DF0271" w:rsidP="0031595F">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DF0271" w:rsidRPr="003D0DC1" w14:paraId="0640B979" w14:textId="77777777" w:rsidTr="0031595F">
        <w:trPr>
          <w:trHeight w:val="350"/>
        </w:trPr>
        <w:tc>
          <w:tcPr>
            <w:tcW w:w="1503" w:type="dxa"/>
          </w:tcPr>
          <w:p w14:paraId="0BB57CD2" w14:textId="77777777" w:rsidR="00DF0271" w:rsidRPr="00BE4766" w:rsidRDefault="00DF0271" w:rsidP="0031595F">
            <w:pPr>
              <w:pStyle w:val="TableBody"/>
            </w:pPr>
            <w:r w:rsidRPr="00BE4766">
              <w:lastRenderedPageBreak/>
              <w:t>RTL</w:t>
            </w:r>
          </w:p>
        </w:tc>
        <w:tc>
          <w:tcPr>
            <w:tcW w:w="886" w:type="dxa"/>
          </w:tcPr>
          <w:p w14:paraId="4C823956" w14:textId="77777777" w:rsidR="00DF0271" w:rsidRPr="00BE4766" w:rsidRDefault="00DF0271" w:rsidP="0031595F">
            <w:pPr>
              <w:pStyle w:val="TableBody"/>
            </w:pPr>
            <w:r w:rsidRPr="00BE4766">
              <w:t>$</w:t>
            </w:r>
          </w:p>
        </w:tc>
        <w:tc>
          <w:tcPr>
            <w:tcW w:w="6701" w:type="dxa"/>
          </w:tcPr>
          <w:p w14:paraId="3ADE8929" w14:textId="77777777" w:rsidR="00DF0271" w:rsidRPr="00BE4766" w:rsidRDefault="00DF0271" w:rsidP="0031595F">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DF0271" w:rsidRPr="003D0DC1" w14:paraId="6D710D5D" w14:textId="77777777" w:rsidTr="0031595F">
        <w:trPr>
          <w:trHeight w:val="350"/>
        </w:trPr>
        <w:tc>
          <w:tcPr>
            <w:tcW w:w="1503" w:type="dxa"/>
          </w:tcPr>
          <w:p w14:paraId="7C1806AF" w14:textId="77777777" w:rsidR="00DF0271" w:rsidRPr="00BE4766" w:rsidRDefault="00DF0271" w:rsidP="0031595F">
            <w:pPr>
              <w:pStyle w:val="TableBody"/>
            </w:pPr>
            <w:r w:rsidRPr="00BE4766">
              <w:t>RTLCNS</w:t>
            </w:r>
          </w:p>
        </w:tc>
        <w:tc>
          <w:tcPr>
            <w:tcW w:w="886" w:type="dxa"/>
          </w:tcPr>
          <w:p w14:paraId="40C55C76" w14:textId="77777777" w:rsidR="00DF0271" w:rsidRPr="00BE4766" w:rsidRDefault="00DF0271" w:rsidP="0031595F">
            <w:pPr>
              <w:pStyle w:val="TableBody"/>
            </w:pPr>
            <w:r w:rsidRPr="00BE4766">
              <w:t>$</w:t>
            </w:r>
          </w:p>
        </w:tc>
        <w:tc>
          <w:tcPr>
            <w:tcW w:w="6701" w:type="dxa"/>
          </w:tcPr>
          <w:p w14:paraId="6E79027E" w14:textId="0C0E86D3" w:rsidR="00DF0271" w:rsidRPr="005548A2" w:rsidRDefault="00941CD9" w:rsidP="0031595F">
            <w:pPr>
              <w:pStyle w:val="TableBody"/>
              <w:rPr>
                <w:i/>
              </w:rPr>
            </w:pPr>
            <w:r w:rsidRPr="005548A2">
              <w:rPr>
                <w:i/>
              </w:rPr>
              <w:t>Real</w:t>
            </w:r>
            <w:r>
              <w:rPr>
                <w:i/>
              </w:rPr>
              <w:t>-</w:t>
            </w:r>
            <w:r w:rsidR="00DF0271" w:rsidRPr="005548A2">
              <w:rPr>
                <w:i/>
              </w:rPr>
              <w:t>Time Liability Completed and Not Settled</w:t>
            </w:r>
            <w:r w:rsidR="00DF0271" w:rsidRPr="005548A2">
              <w:t xml:space="preserve">—For each Operating Day that is completed but not settled, ERCOT shall calculate RTL adjusted up by </w:t>
            </w:r>
            <w:r w:rsidR="00DF0271" w:rsidRPr="005548A2">
              <w:rPr>
                <w:i/>
              </w:rPr>
              <w:t xml:space="preserve">rtlcu% </w:t>
            </w:r>
            <w:r w:rsidR="00DF0271" w:rsidRPr="005548A2">
              <w:t xml:space="preserve">if there is a net amount due to ERCOT or adjusted down by </w:t>
            </w:r>
            <w:r w:rsidR="00DF0271" w:rsidRPr="005548A2">
              <w:rPr>
                <w:i/>
              </w:rPr>
              <w:t>rtlcd%</w:t>
            </w:r>
            <w:r w:rsidR="00DF0271" w:rsidRPr="005548A2">
              <w:t xml:space="preserve"> if there is a net amount due to the QSE. </w:t>
            </w:r>
          </w:p>
          <w:p w14:paraId="33617DA2" w14:textId="77777777" w:rsidR="00DF0271" w:rsidRPr="005548A2" w:rsidRDefault="00DF0271" w:rsidP="0031595F">
            <w:pPr>
              <w:rPr>
                <w:sz w:val="20"/>
              </w:rPr>
            </w:pPr>
          </w:p>
          <w:p w14:paraId="3E1D6C05" w14:textId="77777777" w:rsidR="00DF0271" w:rsidRDefault="00DF0271" w:rsidP="0031595F">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09C5D030" w14:textId="77777777" w:rsidR="00DF0271" w:rsidRPr="005548A2" w:rsidRDefault="00DF0271" w:rsidP="0031595F">
            <w:pPr>
              <w:ind w:left="720"/>
              <w:rPr>
                <w:sz w:val="20"/>
              </w:rPr>
            </w:pPr>
          </w:p>
          <w:p w14:paraId="04D08926" w14:textId="77777777" w:rsidR="00DF0271" w:rsidRPr="005548A2" w:rsidRDefault="00DF0271" w:rsidP="0031595F">
            <w:pPr>
              <w:tabs>
                <w:tab w:val="right" w:pos="9360"/>
              </w:tabs>
              <w:spacing w:after="60"/>
              <w:rPr>
                <w:iCs/>
                <w:sz w:val="20"/>
              </w:rPr>
            </w:pPr>
            <w:r w:rsidRPr="005548A2">
              <w:rPr>
                <w:iCs/>
                <w:sz w:val="20"/>
              </w:rPr>
              <w:t>Where:</w:t>
            </w:r>
          </w:p>
          <w:p w14:paraId="4F2A23C3" w14:textId="77777777" w:rsidR="00DF0271" w:rsidRPr="005548A2" w:rsidRDefault="00DF0271" w:rsidP="0031595F">
            <w:pPr>
              <w:tabs>
                <w:tab w:val="right" w:pos="9360"/>
              </w:tabs>
              <w:rPr>
                <w:iCs/>
                <w:sz w:val="20"/>
              </w:rPr>
            </w:pPr>
          </w:p>
          <w:p w14:paraId="1EAAC915" w14:textId="77777777" w:rsidR="00DF0271" w:rsidRPr="005548A2" w:rsidRDefault="00DF0271" w:rsidP="0031595F">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18F0EAEC" w14:textId="77777777" w:rsidR="00DF0271" w:rsidRPr="005548A2" w:rsidRDefault="00DF0271" w:rsidP="0031595F">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DF0271" w:rsidRPr="003D0DC1" w14:paraId="04DCE2DB" w14:textId="77777777" w:rsidTr="0031595F">
        <w:trPr>
          <w:trHeight w:val="350"/>
        </w:trPr>
        <w:tc>
          <w:tcPr>
            <w:tcW w:w="1503" w:type="dxa"/>
          </w:tcPr>
          <w:p w14:paraId="251A9A61" w14:textId="77777777" w:rsidR="00DF0271" w:rsidRPr="00BE4766" w:rsidRDefault="00DF0271" w:rsidP="0031595F">
            <w:pPr>
              <w:pStyle w:val="TableBody"/>
              <w:tabs>
                <w:tab w:val="right" w:pos="9360"/>
              </w:tabs>
              <w:rPr>
                <w:noProof/>
              </w:rPr>
            </w:pPr>
            <w:r w:rsidRPr="00BE4766">
              <w:t>RTLF</w:t>
            </w:r>
          </w:p>
        </w:tc>
        <w:tc>
          <w:tcPr>
            <w:tcW w:w="886" w:type="dxa"/>
          </w:tcPr>
          <w:p w14:paraId="08A13CCE" w14:textId="77777777" w:rsidR="00DF0271" w:rsidRPr="00BE4766" w:rsidRDefault="00DF0271" w:rsidP="0031595F">
            <w:pPr>
              <w:pStyle w:val="TableBody"/>
              <w:tabs>
                <w:tab w:val="right" w:pos="9360"/>
              </w:tabs>
              <w:rPr>
                <w:noProof/>
              </w:rPr>
            </w:pPr>
            <w:r w:rsidRPr="00BE4766">
              <w:t>$</w:t>
            </w:r>
          </w:p>
        </w:tc>
        <w:tc>
          <w:tcPr>
            <w:tcW w:w="6701" w:type="dxa"/>
          </w:tcPr>
          <w:p w14:paraId="2CA65BD7" w14:textId="2457151C" w:rsidR="00DF0271" w:rsidRPr="005548A2" w:rsidRDefault="00DF0271" w:rsidP="0031595F">
            <w:pPr>
              <w:rPr>
                <w:sz w:val="20"/>
              </w:rPr>
            </w:pPr>
            <w:r w:rsidRPr="005548A2">
              <w:rPr>
                <w:i/>
                <w:sz w:val="20"/>
              </w:rPr>
              <w:t>Real-Time Liability Forward</w:t>
            </w:r>
            <w:r w:rsidRPr="005548A2">
              <w:rPr>
                <w:sz w:val="20"/>
              </w:rPr>
              <w:t xml:space="preserve">—rtlfp% of the sum of estimated RTL from the most recent seven Operating Days.   </w:t>
            </w:r>
          </w:p>
          <w:p w14:paraId="051E1902" w14:textId="77777777" w:rsidR="00DF0271" w:rsidRPr="005548A2" w:rsidRDefault="00DF0271" w:rsidP="0031595F">
            <w:pPr>
              <w:jc w:val="both"/>
              <w:rPr>
                <w:sz w:val="20"/>
              </w:rPr>
            </w:pPr>
          </w:p>
          <w:p w14:paraId="6EB2034B" w14:textId="77777777" w:rsidR="00DF0271" w:rsidRPr="005548A2" w:rsidRDefault="00DF0271" w:rsidP="0031595F">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3E353C79" w14:textId="77777777" w:rsidR="00DF0271" w:rsidRPr="005548A2" w:rsidRDefault="00DF0271" w:rsidP="0031595F">
            <w:pPr>
              <w:tabs>
                <w:tab w:val="right" w:pos="9360"/>
              </w:tabs>
              <w:spacing w:after="60"/>
              <w:rPr>
                <w:iCs/>
                <w:sz w:val="20"/>
              </w:rPr>
            </w:pPr>
            <w:r w:rsidRPr="005548A2">
              <w:rPr>
                <w:iCs/>
                <w:sz w:val="20"/>
              </w:rPr>
              <w:t>Where:</w:t>
            </w:r>
          </w:p>
          <w:p w14:paraId="1B5DBAE9" w14:textId="77777777" w:rsidR="00DF0271" w:rsidRPr="005548A2" w:rsidRDefault="00DF0271" w:rsidP="0031595F">
            <w:pPr>
              <w:tabs>
                <w:tab w:val="right" w:pos="9360"/>
              </w:tabs>
              <w:rPr>
                <w:iCs/>
                <w:sz w:val="20"/>
              </w:rPr>
            </w:pPr>
          </w:p>
          <w:p w14:paraId="75D84506" w14:textId="77777777" w:rsidR="00DF0271" w:rsidRPr="005548A2" w:rsidRDefault="00DF0271" w:rsidP="0031595F">
            <w:pPr>
              <w:ind w:left="1913" w:hanging="1440"/>
              <w:rPr>
                <w:i/>
                <w:sz w:val="20"/>
              </w:rPr>
            </w:pPr>
            <w:r w:rsidRPr="005548A2">
              <w:rPr>
                <w:i/>
                <w:sz w:val="20"/>
              </w:rPr>
              <w:t>rtlfp =</w:t>
            </w:r>
            <w:r w:rsidRPr="005548A2">
              <w:rPr>
                <w:i/>
                <w:sz w:val="20"/>
              </w:rPr>
              <w:tab/>
            </w:r>
            <w:r w:rsidRPr="005548A2">
              <w:rPr>
                <w:sz w:val="20"/>
              </w:rPr>
              <w:t>Real-Time Liability Forward</w:t>
            </w:r>
          </w:p>
        </w:tc>
      </w:tr>
      <w:tr w:rsidR="00DF0271" w:rsidRPr="003D0DC1" w14:paraId="14F896A3" w14:textId="77777777" w:rsidTr="0031595F">
        <w:trPr>
          <w:trHeight w:val="350"/>
        </w:trPr>
        <w:tc>
          <w:tcPr>
            <w:tcW w:w="1503" w:type="dxa"/>
          </w:tcPr>
          <w:p w14:paraId="28F79FC9" w14:textId="77777777" w:rsidR="00DF0271" w:rsidRPr="00BE4766" w:rsidRDefault="00DF0271" w:rsidP="0031595F">
            <w:pPr>
              <w:pStyle w:val="TableBody"/>
              <w:tabs>
                <w:tab w:val="right" w:pos="9360"/>
              </w:tabs>
              <w:rPr>
                <w:noProof/>
              </w:rPr>
            </w:pPr>
            <w:r w:rsidRPr="00BE4766">
              <w:t>OUT</w:t>
            </w:r>
            <w:r>
              <w:t xml:space="preserve"> </w:t>
            </w:r>
            <w:r w:rsidRPr="002C3748">
              <w:rPr>
                <w:i/>
                <w:iCs w:val="0"/>
                <w:vertAlign w:val="subscript"/>
              </w:rPr>
              <w:t>q</w:t>
            </w:r>
          </w:p>
        </w:tc>
        <w:tc>
          <w:tcPr>
            <w:tcW w:w="886" w:type="dxa"/>
          </w:tcPr>
          <w:p w14:paraId="3EB9ACA6" w14:textId="77777777" w:rsidR="00DF0271" w:rsidRPr="00BE4766" w:rsidRDefault="00DF0271" w:rsidP="0031595F">
            <w:pPr>
              <w:pStyle w:val="TableBody"/>
              <w:tabs>
                <w:tab w:val="right" w:pos="9360"/>
              </w:tabs>
              <w:rPr>
                <w:noProof/>
              </w:rPr>
            </w:pPr>
            <w:r w:rsidRPr="00BE4766">
              <w:t>$</w:t>
            </w:r>
          </w:p>
        </w:tc>
        <w:tc>
          <w:tcPr>
            <w:tcW w:w="6701" w:type="dxa"/>
          </w:tcPr>
          <w:p w14:paraId="742132D8" w14:textId="77777777" w:rsidR="00DF0271" w:rsidRPr="00853D39" w:rsidRDefault="00DF0271" w:rsidP="0031595F">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38A880CE"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3622DE3" w14:textId="77777777" w:rsidR="00DF0271" w:rsidRDefault="00DF0271" w:rsidP="0031595F">
            <w:pPr>
              <w:pStyle w:val="TableBody"/>
              <w:tabs>
                <w:tab w:val="right" w:pos="9360"/>
              </w:tabs>
            </w:pPr>
          </w:p>
          <w:p w14:paraId="58872924" w14:textId="77777777" w:rsidR="00DF0271" w:rsidRDefault="00DF0271" w:rsidP="0031595F">
            <w:pPr>
              <w:pStyle w:val="TableBody"/>
              <w:tabs>
                <w:tab w:val="right" w:pos="9360"/>
              </w:tabs>
            </w:pPr>
            <w:r>
              <w:t>Where:</w:t>
            </w:r>
          </w:p>
          <w:p w14:paraId="54423573" w14:textId="77777777" w:rsidR="00DF0271" w:rsidRPr="00C21ED2" w:rsidRDefault="00DF0271" w:rsidP="0031595F">
            <w:pPr>
              <w:pStyle w:val="TableBody"/>
              <w:tabs>
                <w:tab w:val="right" w:pos="9360"/>
              </w:tabs>
              <w:spacing w:after="0"/>
            </w:pPr>
          </w:p>
          <w:p w14:paraId="0B0961C9" w14:textId="3BD19F73" w:rsidR="00DF0271" w:rsidRPr="00300257" w:rsidRDefault="00DF0271" w:rsidP="0031595F">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sidR="00002A11">
              <w:rPr>
                <w:sz w:val="20"/>
              </w:rPr>
              <w:t xml:space="preserve">, </w:t>
            </w:r>
            <w:r w:rsidR="00002A11" w:rsidRPr="00C31D74">
              <w:rPr>
                <w:sz w:val="20"/>
              </w:rPr>
              <w:t>Securitization Uplift Charge Reallocation Invoices</w:t>
            </w:r>
            <w:r w:rsidR="00002A11">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1F909CE" w14:textId="46A4BD05" w:rsidR="00DF0271" w:rsidRPr="005078C5" w:rsidRDefault="00DF0271" w:rsidP="0031595F">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Counter-Party </w:t>
            </w:r>
            <w:r w:rsidRPr="00AE7F00">
              <w:t xml:space="preserve">for all </w:t>
            </w:r>
            <w:r w:rsidRPr="00AE7F00">
              <w:lastRenderedPageBreak/>
              <w:t xml:space="preserve">Operating Days for which </w:t>
            </w:r>
            <w:r>
              <w:t xml:space="preserve">a </w:t>
            </w:r>
            <w:r w:rsidRPr="00AE7F00">
              <w:t xml:space="preserve">DAM Statement is not </w:t>
            </w:r>
            <w:r w:rsidRPr="00D43459">
              <w:t>generated.</w:t>
            </w:r>
          </w:p>
          <w:p w14:paraId="49F9D6A3" w14:textId="77777777" w:rsidR="00DF0271" w:rsidRDefault="00DF0271" w:rsidP="0031595F">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0AC0AE7" w14:textId="42799CFC" w:rsidR="00DF0271" w:rsidRPr="005548A2" w:rsidRDefault="00DF0271" w:rsidP="0031595F">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rsidR="00C5441E">
              <w:t xml:space="preserve"> </w:t>
            </w:r>
            <w:r w:rsidRPr="005548A2">
              <w:t>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w:t>
            </w:r>
            <w:r w:rsidR="002C3748">
              <w:t>U</w:t>
            </w:r>
            <w:r w:rsidRPr="005548A2">
              <w:t>p Statements were generated in the 21 most recent calendar days, divided by the number of Operating Days for which RTM True-</w:t>
            </w:r>
            <w:r w:rsidR="002C3748">
              <w:t>U</w:t>
            </w:r>
            <w:r w:rsidRPr="005548A2">
              <w:t xml:space="preserve">p Settlement Statements were generated for the Counter-Party in the 21 most recent calendar days.  </w:t>
            </w:r>
          </w:p>
          <w:p w14:paraId="332B08AD" w14:textId="39679267" w:rsidR="00DF0271" w:rsidRPr="00BE4766" w:rsidRDefault="00DF0271" w:rsidP="0058051D">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w:t>
            </w:r>
            <w:r w:rsidR="002C3748">
              <w:rPr>
                <w:sz w:val="20"/>
              </w:rPr>
              <w:t xml:space="preserve"> </w:t>
            </w:r>
            <w:r w:rsidRPr="005548A2">
              <w:rPr>
                <w:sz w:val="20"/>
              </w:rPr>
              <w:t xml:space="preserve">Estimate of the Counter-Party’s unpaid allocation of CRR Auction revenues that have already been collected but have not been paid out to all QSEs represented by the Counter-Party. </w:t>
            </w:r>
            <w:r w:rsidR="002C3748">
              <w:rPr>
                <w:sz w:val="20"/>
              </w:rPr>
              <w:t xml:space="preserve"> </w:t>
            </w:r>
            <w:r w:rsidRPr="005548A2">
              <w:rPr>
                <w:sz w:val="20"/>
              </w:rPr>
              <w:t>CRR Auction revenues that have been earned but not billed are distributed based on the following Load Ratio Shares (LRS</w:t>
            </w:r>
            <w:r w:rsidR="0058051D">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DF0271" w:rsidRPr="003D0DC1" w14:paraId="2BF5AEF0" w14:textId="77777777" w:rsidTr="0031595F">
        <w:trPr>
          <w:trHeight w:val="350"/>
        </w:trPr>
        <w:tc>
          <w:tcPr>
            <w:tcW w:w="1503" w:type="dxa"/>
          </w:tcPr>
          <w:p w14:paraId="1FB7B120" w14:textId="77777777" w:rsidR="00DF0271" w:rsidRPr="00BE4766" w:rsidRDefault="00DF0271" w:rsidP="0031595F">
            <w:pPr>
              <w:pStyle w:val="TableBody"/>
              <w:tabs>
                <w:tab w:val="right" w:pos="9360"/>
              </w:tabs>
            </w:pPr>
            <w:r w:rsidRPr="00545E0B">
              <w:lastRenderedPageBreak/>
              <w:t>DAL</w:t>
            </w:r>
          </w:p>
        </w:tc>
        <w:tc>
          <w:tcPr>
            <w:tcW w:w="886" w:type="dxa"/>
          </w:tcPr>
          <w:p w14:paraId="6512DE28" w14:textId="77777777" w:rsidR="00DF0271" w:rsidRPr="00BE4766" w:rsidRDefault="00DF0271" w:rsidP="0031595F">
            <w:pPr>
              <w:pStyle w:val="TableBody"/>
              <w:tabs>
                <w:tab w:val="right" w:pos="9360"/>
              </w:tabs>
            </w:pPr>
            <w:r w:rsidRPr="00545E0B">
              <w:t>$</w:t>
            </w:r>
          </w:p>
        </w:tc>
        <w:tc>
          <w:tcPr>
            <w:tcW w:w="6701" w:type="dxa"/>
          </w:tcPr>
          <w:p w14:paraId="1FE193F4" w14:textId="77777777" w:rsidR="00DF0271" w:rsidRPr="004F71C8" w:rsidRDefault="00DF0271" w:rsidP="0031595F">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DF0271" w:rsidRPr="003D0DC1" w14:paraId="55806A34" w14:textId="77777777" w:rsidTr="0031595F">
        <w:trPr>
          <w:trHeight w:val="350"/>
        </w:trPr>
        <w:tc>
          <w:tcPr>
            <w:tcW w:w="1503" w:type="dxa"/>
          </w:tcPr>
          <w:p w14:paraId="0B4508FA" w14:textId="77777777" w:rsidR="00DF0271" w:rsidRPr="0012579B" w:rsidRDefault="00DF0271" w:rsidP="0031595F">
            <w:pPr>
              <w:pStyle w:val="TableBody"/>
              <w:tabs>
                <w:tab w:val="right" w:pos="9360"/>
              </w:tabs>
            </w:pPr>
            <w:r w:rsidRPr="00BE4766">
              <w:t>OUT</w:t>
            </w:r>
            <w:r>
              <w:t xml:space="preserve"> </w:t>
            </w:r>
            <w:r>
              <w:rPr>
                <w:i/>
                <w:vertAlign w:val="subscript"/>
              </w:rPr>
              <w:t>t</w:t>
            </w:r>
          </w:p>
        </w:tc>
        <w:tc>
          <w:tcPr>
            <w:tcW w:w="886" w:type="dxa"/>
          </w:tcPr>
          <w:p w14:paraId="727625D9" w14:textId="77777777" w:rsidR="00DF0271" w:rsidRPr="0012579B" w:rsidRDefault="00DF0271" w:rsidP="0031595F">
            <w:pPr>
              <w:pStyle w:val="TableBody"/>
              <w:tabs>
                <w:tab w:val="right" w:pos="9360"/>
              </w:tabs>
            </w:pPr>
            <w:r w:rsidRPr="00BE4766">
              <w:t>$</w:t>
            </w:r>
          </w:p>
        </w:tc>
        <w:tc>
          <w:tcPr>
            <w:tcW w:w="6701" w:type="dxa"/>
          </w:tcPr>
          <w:p w14:paraId="3996FD87" w14:textId="77777777" w:rsidR="00DF0271" w:rsidRPr="0085021C" w:rsidRDefault="00DF0271" w:rsidP="0031595F">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7088FC15" w14:textId="77777777" w:rsidR="00DF0271" w:rsidRDefault="00DF0271" w:rsidP="0031595F">
            <w:pPr>
              <w:pStyle w:val="TableBody"/>
              <w:tabs>
                <w:tab w:val="right" w:pos="9360"/>
              </w:tabs>
            </w:pPr>
          </w:p>
          <w:p w14:paraId="523B9BE0" w14:textId="77777777" w:rsidR="00DF0271" w:rsidRPr="00142152" w:rsidRDefault="00DF0271" w:rsidP="0031595F">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3D7D018" w14:textId="77777777" w:rsidR="00DF0271" w:rsidRPr="00142152" w:rsidRDefault="00DF0271" w:rsidP="0031595F">
            <w:pPr>
              <w:pStyle w:val="TableBody"/>
              <w:tabs>
                <w:tab w:val="right" w:pos="9360"/>
              </w:tabs>
            </w:pPr>
          </w:p>
          <w:p w14:paraId="1956FBE4" w14:textId="77777777" w:rsidR="00DF0271" w:rsidRDefault="00DF0271" w:rsidP="0031595F">
            <w:pPr>
              <w:pStyle w:val="TableBody"/>
              <w:tabs>
                <w:tab w:val="right" w:pos="9360"/>
              </w:tabs>
            </w:pPr>
            <w:r>
              <w:t>Where:</w:t>
            </w:r>
          </w:p>
          <w:p w14:paraId="390A2522" w14:textId="77777777" w:rsidR="00DF0271" w:rsidRPr="00C21ED2" w:rsidRDefault="00DF0271" w:rsidP="0031595F">
            <w:pPr>
              <w:pStyle w:val="TableBody"/>
              <w:tabs>
                <w:tab w:val="right" w:pos="9360"/>
              </w:tabs>
              <w:spacing w:after="0"/>
            </w:pPr>
          </w:p>
          <w:p w14:paraId="553F51E2" w14:textId="77777777" w:rsidR="00DF0271" w:rsidRPr="00300257" w:rsidRDefault="00DF0271" w:rsidP="0031595F">
            <w:pPr>
              <w:spacing w:after="60"/>
              <w:ind w:left="1958" w:hanging="1440"/>
              <w:rPr>
                <w:sz w:val="20"/>
              </w:rPr>
            </w:pPr>
            <w:r w:rsidRPr="00300257">
              <w:rPr>
                <w:sz w:val="20"/>
              </w:rPr>
              <w:lastRenderedPageBreak/>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79351E58" w14:textId="556840AC" w:rsidR="00DF0271" w:rsidRPr="005078C5" w:rsidRDefault="00DF0271" w:rsidP="0031595F">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for all Operating Days for which DAM Statement is not </w:t>
            </w:r>
            <w:r w:rsidRPr="00D43459">
              <w:t>generated.</w:t>
            </w:r>
          </w:p>
          <w:p w14:paraId="05DA0E9B" w14:textId="77777777" w:rsidR="00DF0271" w:rsidRDefault="00DF0271" w:rsidP="0031595F">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96F14DF" w14:textId="5FA4B36B" w:rsidR="00DF0271" w:rsidRPr="0012579B" w:rsidRDefault="00DF0271" w:rsidP="0031595F">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w:t>
            </w:r>
            <w:r w:rsidR="002C3748">
              <w:t>U</w:t>
            </w:r>
            <w:r>
              <w:t>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w:t>
            </w:r>
            <w:r w:rsidR="002C3748">
              <w:t>U</w:t>
            </w:r>
            <w:r>
              <w:t>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DF0271" w:rsidRPr="003D0DC1" w14:paraId="5ECCD1E0" w14:textId="77777777" w:rsidTr="0031595F">
        <w:trPr>
          <w:trHeight w:val="350"/>
        </w:trPr>
        <w:tc>
          <w:tcPr>
            <w:tcW w:w="1503" w:type="dxa"/>
          </w:tcPr>
          <w:p w14:paraId="3A7739C3" w14:textId="77777777" w:rsidR="00DF0271" w:rsidRPr="004F71C8" w:rsidRDefault="00DF0271" w:rsidP="0031595F">
            <w:pPr>
              <w:pStyle w:val="TableBody"/>
              <w:tabs>
                <w:tab w:val="right" w:pos="9360"/>
              </w:tabs>
            </w:pPr>
            <w:r w:rsidRPr="00BE4766">
              <w:lastRenderedPageBreak/>
              <w:t>OUT</w:t>
            </w:r>
            <w:r>
              <w:t xml:space="preserve"> </w:t>
            </w:r>
            <w:r w:rsidRPr="00545E0B">
              <w:rPr>
                <w:i/>
                <w:vertAlign w:val="subscript"/>
              </w:rPr>
              <w:t>a</w:t>
            </w:r>
          </w:p>
        </w:tc>
        <w:tc>
          <w:tcPr>
            <w:tcW w:w="886" w:type="dxa"/>
          </w:tcPr>
          <w:p w14:paraId="0AEFC4C3" w14:textId="77777777" w:rsidR="00DF0271" w:rsidRPr="004F71C8" w:rsidRDefault="00DF0271" w:rsidP="0031595F">
            <w:pPr>
              <w:pStyle w:val="TableBody"/>
              <w:tabs>
                <w:tab w:val="right" w:pos="9360"/>
              </w:tabs>
            </w:pPr>
            <w:r w:rsidRPr="00BE4766">
              <w:t>$</w:t>
            </w:r>
          </w:p>
        </w:tc>
        <w:tc>
          <w:tcPr>
            <w:tcW w:w="6701" w:type="dxa"/>
          </w:tcPr>
          <w:p w14:paraId="2B5C14EE" w14:textId="77777777" w:rsidR="00DF0271" w:rsidRDefault="00DF0271" w:rsidP="0031595F">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069BA8C2" w14:textId="77777777" w:rsidR="00DF0271" w:rsidRDefault="00DF0271" w:rsidP="0031595F">
            <w:pPr>
              <w:pStyle w:val="TableBody"/>
              <w:tabs>
                <w:tab w:val="right" w:pos="9360"/>
              </w:tabs>
            </w:pPr>
          </w:p>
          <w:p w14:paraId="1CA5DA18"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21AC865D" w14:textId="77777777" w:rsidR="00DF0271" w:rsidRDefault="00DF0271" w:rsidP="0031595F">
            <w:pPr>
              <w:pStyle w:val="TableBody"/>
              <w:tabs>
                <w:tab w:val="right" w:pos="9360"/>
              </w:tabs>
            </w:pPr>
          </w:p>
          <w:p w14:paraId="72AB67BD" w14:textId="77777777" w:rsidR="00DF0271" w:rsidRPr="00C21ED2" w:rsidRDefault="00DF0271" w:rsidP="0031595F">
            <w:pPr>
              <w:pStyle w:val="TableBody"/>
              <w:tabs>
                <w:tab w:val="right" w:pos="9360"/>
              </w:tabs>
            </w:pPr>
            <w:r>
              <w:t>Where:</w:t>
            </w:r>
          </w:p>
          <w:p w14:paraId="34B7A237" w14:textId="77777777" w:rsidR="00DF0271" w:rsidRDefault="00DF0271" w:rsidP="0031595F">
            <w:pPr>
              <w:rPr>
                <w:sz w:val="20"/>
              </w:rPr>
            </w:pPr>
          </w:p>
          <w:p w14:paraId="03D6E8D5" w14:textId="77777777" w:rsidR="00DF0271" w:rsidRPr="00300257" w:rsidRDefault="00DF0271" w:rsidP="0031595F">
            <w:pPr>
              <w:spacing w:after="60"/>
              <w:ind w:left="1958" w:hanging="1526"/>
              <w:rPr>
                <w:sz w:val="20"/>
              </w:rPr>
            </w:pPr>
            <w:r w:rsidRPr="00300257">
              <w:rPr>
                <w:sz w:val="20"/>
              </w:rPr>
              <w:lastRenderedPageBreak/>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66AEE67A" w14:textId="0EE6DD63" w:rsidR="00DF0271" w:rsidRPr="004F71C8" w:rsidRDefault="00DF0271" w:rsidP="0031595F">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Counter-Party </w:t>
            </w:r>
            <w:r w:rsidRPr="005B1A72">
              <w:t xml:space="preserve">for all Operating Days for which DAM Statement is not </w:t>
            </w:r>
            <w:r w:rsidRPr="00D43459">
              <w:t>generated.</w:t>
            </w:r>
          </w:p>
        </w:tc>
      </w:tr>
      <w:tr w:rsidR="00DF0271" w:rsidRPr="007F29AF" w14:paraId="78AE132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9C6C5E" w14:textId="77777777" w:rsidR="00DF0271" w:rsidRPr="00BE4766" w:rsidRDefault="00DF0271" w:rsidP="0031595F">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75F644DC" w14:textId="77777777" w:rsidR="00DF0271" w:rsidRPr="00BE4766" w:rsidRDefault="00DF0271" w:rsidP="0031595F">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03BCAFBA" w14:textId="49C7E6AC" w:rsidR="00DF0271" w:rsidRPr="00BE4766" w:rsidRDefault="00DF0271" w:rsidP="0031595F">
            <w:pPr>
              <w:pStyle w:val="TableBody"/>
              <w:rPr>
                <w:i/>
              </w:rPr>
            </w:pPr>
            <w:r>
              <w:rPr>
                <w:i/>
              </w:rPr>
              <w:t>Incremental Load Exposure</w:t>
            </w:r>
            <w:r w:rsidR="00DE5100" w:rsidRPr="00BE4766">
              <w:t>—</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DF0271" w:rsidRPr="007F29AF" w14:paraId="7589054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9220C9F" w14:textId="77777777" w:rsidR="00DF0271" w:rsidRPr="00BE4766" w:rsidRDefault="00DF0271" w:rsidP="0031595F">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3A4B0C00" w14:textId="77777777" w:rsidR="00DF0271" w:rsidRPr="00BE4766" w:rsidRDefault="00DF0271" w:rsidP="0031595F">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6C18267A" w14:textId="77777777" w:rsidR="00DF0271" w:rsidRPr="00C42795" w:rsidRDefault="00DF0271" w:rsidP="0031595F">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DF0271" w:rsidRPr="007F29AF" w14:paraId="07A1E1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49CC22C" w14:textId="77777777" w:rsidR="00DF0271" w:rsidRPr="00BE4766" w:rsidRDefault="00DF0271" w:rsidP="0031595F">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2CD1E72E"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24CB7A1" w14:textId="77777777" w:rsidR="005C04D0" w:rsidRDefault="005C04D0" w:rsidP="005C04D0">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42D4470" w14:textId="77777777" w:rsidR="005C04D0" w:rsidRDefault="005C04D0" w:rsidP="005C04D0">
            <w:pPr>
              <w:pStyle w:val="TableBody"/>
              <w:ind w:left="1823" w:hanging="1440"/>
            </w:pPr>
          </w:p>
          <w:p w14:paraId="77A74D92" w14:textId="77777777" w:rsidR="005C04D0" w:rsidRDefault="005C04D0" w:rsidP="005C04D0">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6857CA2B" w14:textId="77777777" w:rsidR="005C04D0" w:rsidRDefault="005C04D0" w:rsidP="005C04D0">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0AF3BA0D" w14:textId="77777777" w:rsidR="005C04D0" w:rsidRDefault="005C04D0" w:rsidP="005C04D0">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433543D0" w14:textId="77777777" w:rsidR="005C04D0" w:rsidRDefault="005C04D0" w:rsidP="005C04D0">
            <w:pPr>
              <w:pStyle w:val="TableBody"/>
              <w:ind w:left="1823" w:hanging="1440"/>
            </w:pPr>
            <w:r>
              <w:lastRenderedPageBreak/>
              <w:t xml:space="preserve">Where: </w:t>
            </w:r>
            <w:r>
              <w:tab/>
            </w:r>
          </w:p>
          <w:p w14:paraId="6D775A27" w14:textId="77777777" w:rsidR="005C04D0" w:rsidRDefault="005C04D0" w:rsidP="005C04D0">
            <w:pPr>
              <w:pStyle w:val="TableBody"/>
              <w:ind w:left="1823" w:hanging="1440"/>
            </w:pPr>
            <w:r>
              <w:t xml:space="preserve">u = </w:t>
            </w:r>
            <w:r>
              <w:tab/>
              <w:t xml:space="preserve">(ESIn/r) Unscaled number of days to transition.  </w:t>
            </w:r>
          </w:p>
          <w:p w14:paraId="16CA70F9" w14:textId="77777777" w:rsidR="005C04D0" w:rsidRDefault="005C04D0" w:rsidP="005C04D0">
            <w:pPr>
              <w:pStyle w:val="TableBody"/>
              <w:ind w:left="1823" w:hanging="1440"/>
            </w:pPr>
            <w:r>
              <w:t>B =</w:t>
            </w:r>
            <w:r>
              <w:tab/>
            </w:r>
            <w:r w:rsidRPr="009648F5">
              <w:t>Benchmark value</w:t>
            </w:r>
            <w:r w:rsidRPr="00275EFD">
              <w:t>.</w:t>
            </w:r>
            <w:r>
              <w:t xml:space="preserve">  Used to establish a maximum M1 value</w:t>
            </w:r>
            <w:r w:rsidRPr="00DD32A5">
              <w:t>.</w:t>
            </w:r>
          </w:p>
          <w:p w14:paraId="6F5CBC06" w14:textId="77777777" w:rsidR="005C04D0" w:rsidRDefault="005C04D0" w:rsidP="005C04D0">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53A61B87" w14:textId="77777777" w:rsidR="005C04D0" w:rsidRDefault="005C04D0" w:rsidP="005C04D0">
            <w:pPr>
              <w:pStyle w:val="TableBody"/>
              <w:ind w:left="1823" w:hanging="1440"/>
            </w:pPr>
            <w:r>
              <w:t>r =</w:t>
            </w:r>
            <w:r>
              <w:tab/>
              <w:t>Assumed ESI ID daily transition rate.</w:t>
            </w:r>
          </w:p>
          <w:p w14:paraId="3183DE5F" w14:textId="77777777" w:rsidR="005C04D0" w:rsidRDefault="005C04D0" w:rsidP="005C04D0">
            <w:pPr>
              <w:pStyle w:val="TableBody"/>
              <w:ind w:left="1823" w:hanging="1440"/>
            </w:pPr>
            <w:r w:rsidRPr="00736A49">
              <w:t>DF =</w:t>
            </w:r>
            <w:r w:rsidRPr="00736A49">
              <w:tab/>
              <w:t>Discount Factor applied to M1b if the Counter-Party meets other creditworthiness standards that may be developed and approved by TAC and the ERCOT Board.</w:t>
            </w:r>
          </w:p>
          <w:p w14:paraId="6EF3521C" w14:textId="77FFEB7F" w:rsidR="00DF0271" w:rsidRPr="00BE4766" w:rsidRDefault="00DF0271" w:rsidP="0031595F">
            <w:pPr>
              <w:pStyle w:val="TableBody"/>
              <w:ind w:left="1829" w:hanging="1440"/>
              <w:rPr>
                <w:i/>
              </w:rPr>
            </w:pPr>
          </w:p>
        </w:tc>
      </w:tr>
      <w:tr w:rsidR="00DF0271" w:rsidRPr="007F29AF" w14:paraId="576387CB"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8428FE6" w14:textId="77777777" w:rsidR="00DF0271" w:rsidRPr="00BE4766" w:rsidRDefault="00DF0271" w:rsidP="0031595F">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5C9759E6"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560A33F" w14:textId="77777777" w:rsidR="00DF0271" w:rsidRPr="00BE4766" w:rsidRDefault="00DF0271" w:rsidP="0031595F">
            <w:pPr>
              <w:pStyle w:val="TableBody"/>
              <w:rPr>
                <w:i/>
              </w:rPr>
            </w:pPr>
            <w:r w:rsidRPr="00BE4766">
              <w:t>Multiplier for URTA.</w:t>
            </w:r>
          </w:p>
        </w:tc>
      </w:tr>
      <w:tr w:rsidR="00DF0271" w:rsidRPr="007F29AF" w14:paraId="1EE73271"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05D63C5" w14:textId="77777777" w:rsidR="00DF0271" w:rsidRDefault="00DF0271" w:rsidP="0031595F">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39C93B0F"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77EB74A7" w14:textId="77777777" w:rsidR="00DF0271" w:rsidRPr="00BE4766" w:rsidRDefault="00DF0271" w:rsidP="0031595F">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DF0271" w:rsidRPr="007F29AF" w14:paraId="2E2300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686D1A0" w14:textId="77777777" w:rsidR="00DF0271" w:rsidRDefault="00DF0271" w:rsidP="0031595F">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1D249FEC"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2117EE70" w14:textId="77777777" w:rsidR="00DF0271" w:rsidRPr="00BE4766" w:rsidRDefault="00DF0271" w:rsidP="0031595F">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DF0271" w:rsidRPr="007F29AF" w14:paraId="6EC68C40"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FC4CF02" w14:textId="77777777" w:rsidR="00DF0271" w:rsidRDefault="00DF0271" w:rsidP="0031595F">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0C4637A0"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CD0BBE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DF0271" w:rsidRPr="007F29AF" w14:paraId="3E5AFB54"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1FF5794" w14:textId="77777777" w:rsidR="00DF0271" w:rsidRDefault="00DF0271" w:rsidP="0031595F">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4BCFAAFF"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8DFD77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4368976A" w14:textId="77777777" w:rsidR="00DF0271" w:rsidRDefault="00DF0271" w:rsidP="00DF0271">
      <w:pPr>
        <w:pStyle w:val="Instructions"/>
        <w:spacing w:after="0"/>
        <w:rPr>
          <w:b w:val="0"/>
          <w:i w:val="0"/>
          <w:iCs/>
        </w:rPr>
      </w:pPr>
    </w:p>
    <w:p w14:paraId="1E858571" w14:textId="77777777" w:rsidR="00DF0271" w:rsidRDefault="00DF0271" w:rsidP="00DF0271">
      <w:pPr>
        <w:pStyle w:val="Instructions"/>
        <w:spacing w:after="0"/>
        <w:rPr>
          <w:b w:val="0"/>
          <w:i w:val="0"/>
          <w:iCs/>
        </w:rPr>
      </w:pPr>
      <w:r>
        <w:rPr>
          <w:b w:val="0"/>
          <w:i w:val="0"/>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DF0271" w:rsidRPr="00BE4766" w14:paraId="0AC09C2C" w14:textId="77777777" w:rsidTr="00504E97">
        <w:trPr>
          <w:trHeight w:val="351"/>
          <w:tblHeader/>
        </w:trPr>
        <w:tc>
          <w:tcPr>
            <w:tcW w:w="2153" w:type="dxa"/>
          </w:tcPr>
          <w:p w14:paraId="035D01EB" w14:textId="77777777" w:rsidR="00DF0271" w:rsidRPr="00BE4766" w:rsidRDefault="00DF0271" w:rsidP="0031595F">
            <w:pPr>
              <w:pStyle w:val="TableHead"/>
            </w:pPr>
            <w:r>
              <w:t>Parameter</w:t>
            </w:r>
          </w:p>
        </w:tc>
        <w:tc>
          <w:tcPr>
            <w:tcW w:w="2300" w:type="dxa"/>
          </w:tcPr>
          <w:p w14:paraId="221F3AE3" w14:textId="77777777" w:rsidR="00DF0271" w:rsidRPr="00BE4766" w:rsidRDefault="00DF0271" w:rsidP="0031595F">
            <w:pPr>
              <w:pStyle w:val="TableHead"/>
            </w:pPr>
            <w:r w:rsidRPr="00BE4766">
              <w:t>Unit</w:t>
            </w:r>
          </w:p>
        </w:tc>
        <w:tc>
          <w:tcPr>
            <w:tcW w:w="4637" w:type="dxa"/>
          </w:tcPr>
          <w:p w14:paraId="2322D7E1" w14:textId="77777777" w:rsidR="00DF0271" w:rsidRPr="00BE4766" w:rsidRDefault="00DF0271" w:rsidP="0031595F">
            <w:pPr>
              <w:pStyle w:val="TableHead"/>
            </w:pPr>
            <w:r>
              <w:t>Current Value*</w:t>
            </w:r>
          </w:p>
        </w:tc>
      </w:tr>
      <w:tr w:rsidR="00DF0271" w:rsidRPr="00BE4766" w14:paraId="7DF881B6" w14:textId="77777777" w:rsidTr="00504E97">
        <w:trPr>
          <w:trHeight w:val="519"/>
        </w:trPr>
        <w:tc>
          <w:tcPr>
            <w:tcW w:w="2153" w:type="dxa"/>
          </w:tcPr>
          <w:p w14:paraId="1A33F7C3" w14:textId="77777777" w:rsidR="00DF0271" w:rsidRDefault="00DF0271" w:rsidP="0031595F">
            <w:pPr>
              <w:pStyle w:val="TableBody"/>
              <w:rPr>
                <w:i/>
              </w:rPr>
            </w:pPr>
            <w:r>
              <w:rPr>
                <w:i/>
              </w:rPr>
              <w:t>rtlcu</w:t>
            </w:r>
          </w:p>
        </w:tc>
        <w:tc>
          <w:tcPr>
            <w:tcW w:w="2300" w:type="dxa"/>
          </w:tcPr>
          <w:p w14:paraId="56B4BB05" w14:textId="77777777" w:rsidR="00DF0271" w:rsidRDefault="00DF0271" w:rsidP="0031595F">
            <w:pPr>
              <w:pStyle w:val="TableBody"/>
            </w:pPr>
            <w:r>
              <w:t>Percentage</w:t>
            </w:r>
          </w:p>
        </w:tc>
        <w:tc>
          <w:tcPr>
            <w:tcW w:w="4637" w:type="dxa"/>
          </w:tcPr>
          <w:p w14:paraId="6E779E15" w14:textId="77777777" w:rsidR="00DF0271" w:rsidRPr="00083512" w:rsidRDefault="00DF0271" w:rsidP="0031595F">
            <w:pPr>
              <w:pStyle w:val="TableBody"/>
            </w:pPr>
            <w:r w:rsidRPr="00083512">
              <w:t>110%</w:t>
            </w:r>
          </w:p>
        </w:tc>
      </w:tr>
      <w:tr w:rsidR="00DF0271" w:rsidRPr="00BE4766" w14:paraId="451601AB" w14:textId="77777777" w:rsidTr="00504E97">
        <w:trPr>
          <w:trHeight w:val="519"/>
        </w:trPr>
        <w:tc>
          <w:tcPr>
            <w:tcW w:w="2153" w:type="dxa"/>
          </w:tcPr>
          <w:p w14:paraId="41952D83" w14:textId="77777777" w:rsidR="00DF0271" w:rsidRDefault="00DF0271" w:rsidP="0031595F">
            <w:pPr>
              <w:pStyle w:val="TableBody"/>
              <w:rPr>
                <w:i/>
              </w:rPr>
            </w:pPr>
            <w:r>
              <w:rPr>
                <w:i/>
              </w:rPr>
              <w:t>rtlcd</w:t>
            </w:r>
          </w:p>
        </w:tc>
        <w:tc>
          <w:tcPr>
            <w:tcW w:w="2300" w:type="dxa"/>
          </w:tcPr>
          <w:p w14:paraId="12FFC0F3" w14:textId="77777777" w:rsidR="00DF0271" w:rsidRDefault="00DF0271" w:rsidP="0031595F">
            <w:pPr>
              <w:pStyle w:val="TableBody"/>
            </w:pPr>
            <w:r>
              <w:t>Percentage</w:t>
            </w:r>
          </w:p>
        </w:tc>
        <w:tc>
          <w:tcPr>
            <w:tcW w:w="4637" w:type="dxa"/>
          </w:tcPr>
          <w:p w14:paraId="7899F341" w14:textId="77777777" w:rsidR="00DF0271" w:rsidRPr="00083512" w:rsidRDefault="00DF0271" w:rsidP="0031595F">
            <w:pPr>
              <w:pStyle w:val="TableBody"/>
            </w:pPr>
            <w:r w:rsidRPr="00083512">
              <w:t xml:space="preserve">90% </w:t>
            </w:r>
          </w:p>
        </w:tc>
      </w:tr>
      <w:tr w:rsidR="00DF0271" w:rsidRPr="00BE4766" w14:paraId="6AC74F1B" w14:textId="77777777" w:rsidTr="00504E97">
        <w:trPr>
          <w:trHeight w:val="519"/>
        </w:trPr>
        <w:tc>
          <w:tcPr>
            <w:tcW w:w="2153" w:type="dxa"/>
          </w:tcPr>
          <w:p w14:paraId="784ADD1A" w14:textId="77777777" w:rsidR="00DF0271" w:rsidRDefault="00DF0271" w:rsidP="0031595F">
            <w:pPr>
              <w:pStyle w:val="TableBody"/>
              <w:rPr>
                <w:i/>
              </w:rPr>
            </w:pPr>
            <w:r>
              <w:rPr>
                <w:i/>
              </w:rPr>
              <w:t>rtlfp</w:t>
            </w:r>
          </w:p>
        </w:tc>
        <w:tc>
          <w:tcPr>
            <w:tcW w:w="2300" w:type="dxa"/>
          </w:tcPr>
          <w:p w14:paraId="6B11226F" w14:textId="77777777" w:rsidR="00DF0271" w:rsidRDefault="00DF0271" w:rsidP="0031595F">
            <w:pPr>
              <w:pStyle w:val="TableBody"/>
            </w:pPr>
            <w:r>
              <w:t>Percentage</w:t>
            </w:r>
          </w:p>
        </w:tc>
        <w:tc>
          <w:tcPr>
            <w:tcW w:w="4637" w:type="dxa"/>
          </w:tcPr>
          <w:p w14:paraId="0B62DD0F" w14:textId="77777777" w:rsidR="00DF0271" w:rsidRPr="00083512" w:rsidRDefault="00DF0271" w:rsidP="0031595F">
            <w:pPr>
              <w:pStyle w:val="TableBody"/>
            </w:pPr>
            <w:r w:rsidRPr="00083512">
              <w:t>150%</w:t>
            </w:r>
            <w:r>
              <w:t xml:space="preserve"> </w:t>
            </w:r>
          </w:p>
        </w:tc>
      </w:tr>
      <w:tr w:rsidR="00DF0271" w:rsidRPr="00BE4766" w14:paraId="1F9FA84E" w14:textId="77777777" w:rsidTr="00504E97">
        <w:trPr>
          <w:trHeight w:val="519"/>
        </w:trPr>
        <w:tc>
          <w:tcPr>
            <w:tcW w:w="2153" w:type="dxa"/>
          </w:tcPr>
          <w:p w14:paraId="7B32A3A9" w14:textId="77777777" w:rsidR="00DF0271" w:rsidRPr="00F45C95" w:rsidRDefault="00DF0271" w:rsidP="0031595F">
            <w:pPr>
              <w:pStyle w:val="TableBody"/>
              <w:rPr>
                <w:i/>
              </w:rPr>
            </w:pPr>
            <w:r>
              <w:rPr>
                <w:i/>
              </w:rPr>
              <w:t>ufd</w:t>
            </w:r>
          </w:p>
        </w:tc>
        <w:tc>
          <w:tcPr>
            <w:tcW w:w="2300" w:type="dxa"/>
          </w:tcPr>
          <w:p w14:paraId="60BD771D" w14:textId="77777777" w:rsidR="00DF0271" w:rsidRDefault="00DF0271" w:rsidP="0031595F">
            <w:pPr>
              <w:pStyle w:val="TableBody"/>
            </w:pPr>
            <w:r>
              <w:t>Days</w:t>
            </w:r>
          </w:p>
        </w:tc>
        <w:tc>
          <w:tcPr>
            <w:tcW w:w="4637" w:type="dxa"/>
          </w:tcPr>
          <w:p w14:paraId="5F8F82F4" w14:textId="77777777" w:rsidR="00DF0271" w:rsidRDefault="00DF0271" w:rsidP="0031595F">
            <w:pPr>
              <w:pStyle w:val="TableBody"/>
            </w:pPr>
            <w:r>
              <w:t>55</w:t>
            </w:r>
          </w:p>
        </w:tc>
      </w:tr>
      <w:tr w:rsidR="00DF0271" w:rsidRPr="00BE4766" w14:paraId="53C1FBEF" w14:textId="77777777" w:rsidTr="00504E97">
        <w:trPr>
          <w:trHeight w:val="519"/>
        </w:trPr>
        <w:tc>
          <w:tcPr>
            <w:tcW w:w="2153" w:type="dxa"/>
          </w:tcPr>
          <w:p w14:paraId="4B086DC2" w14:textId="77777777" w:rsidR="00DF0271" w:rsidRPr="00F45C95" w:rsidRDefault="00DF0271" w:rsidP="0031595F">
            <w:pPr>
              <w:pStyle w:val="TableBody"/>
              <w:rPr>
                <w:i/>
              </w:rPr>
            </w:pPr>
            <w:r>
              <w:rPr>
                <w:i/>
              </w:rPr>
              <w:t>utd</w:t>
            </w:r>
          </w:p>
        </w:tc>
        <w:tc>
          <w:tcPr>
            <w:tcW w:w="2300" w:type="dxa"/>
          </w:tcPr>
          <w:p w14:paraId="1D6798E0" w14:textId="77777777" w:rsidR="00DF0271" w:rsidRDefault="00DF0271" w:rsidP="0031595F">
            <w:pPr>
              <w:pStyle w:val="TableBody"/>
            </w:pPr>
            <w:r>
              <w:t>Days</w:t>
            </w:r>
          </w:p>
        </w:tc>
        <w:tc>
          <w:tcPr>
            <w:tcW w:w="4637" w:type="dxa"/>
          </w:tcPr>
          <w:p w14:paraId="2A608458" w14:textId="77777777" w:rsidR="00DF0271" w:rsidRPr="005C0927" w:rsidRDefault="00DF0271" w:rsidP="0031595F">
            <w:pPr>
              <w:pStyle w:val="TableBody"/>
            </w:pPr>
            <w:r>
              <w:t>180</w:t>
            </w:r>
          </w:p>
        </w:tc>
      </w:tr>
      <w:tr w:rsidR="00DF0271" w:rsidRPr="00BE4766" w14:paraId="727DC58B" w14:textId="77777777" w:rsidTr="00504E97">
        <w:trPr>
          <w:trHeight w:val="519"/>
        </w:trPr>
        <w:tc>
          <w:tcPr>
            <w:tcW w:w="2153" w:type="dxa"/>
          </w:tcPr>
          <w:p w14:paraId="53EAE31A" w14:textId="76680EA3" w:rsidR="00DF0271" w:rsidRPr="00E41A69" w:rsidRDefault="00DF0271" w:rsidP="0031595F">
            <w:pPr>
              <w:pStyle w:val="TableBody"/>
              <w:rPr>
                <w:i/>
              </w:rPr>
            </w:pPr>
            <w:r w:rsidRPr="00E41A69">
              <w:rPr>
                <w:i/>
              </w:rPr>
              <w:t>M1</w:t>
            </w:r>
            <w:r w:rsidR="00575DA9">
              <w:rPr>
                <w:i/>
              </w:rPr>
              <w:t>d</w:t>
            </w:r>
          </w:p>
        </w:tc>
        <w:tc>
          <w:tcPr>
            <w:tcW w:w="2300" w:type="dxa"/>
          </w:tcPr>
          <w:p w14:paraId="75175022" w14:textId="77777777" w:rsidR="00DF0271" w:rsidRDefault="00DF0271" w:rsidP="0031595F">
            <w:pPr>
              <w:pStyle w:val="TableBody"/>
            </w:pPr>
            <w:r>
              <w:t>Days</w:t>
            </w:r>
          </w:p>
        </w:tc>
        <w:tc>
          <w:tcPr>
            <w:tcW w:w="4637" w:type="dxa"/>
          </w:tcPr>
          <w:p w14:paraId="1A6A1394" w14:textId="3EC6E101" w:rsidR="00DF0271" w:rsidRDefault="008E39D6" w:rsidP="0031595F">
            <w:pPr>
              <w:pStyle w:val="TableBody"/>
            </w:pPr>
            <w:r>
              <w:t>8</w:t>
            </w:r>
          </w:p>
        </w:tc>
      </w:tr>
      <w:tr w:rsidR="00DF0271" w:rsidRPr="00BE4766" w14:paraId="4B63D1F6" w14:textId="77777777" w:rsidTr="00504E97">
        <w:trPr>
          <w:trHeight w:val="519"/>
        </w:trPr>
        <w:tc>
          <w:tcPr>
            <w:tcW w:w="2153" w:type="dxa"/>
          </w:tcPr>
          <w:p w14:paraId="1EEADDD9" w14:textId="77777777" w:rsidR="00DF0271" w:rsidRDefault="00DF0271" w:rsidP="0031595F">
            <w:pPr>
              <w:pStyle w:val="TableBody"/>
              <w:rPr>
                <w:i/>
              </w:rPr>
            </w:pPr>
            <w:r>
              <w:rPr>
                <w:i/>
              </w:rPr>
              <w:t>B</w:t>
            </w:r>
          </w:p>
        </w:tc>
        <w:tc>
          <w:tcPr>
            <w:tcW w:w="2300" w:type="dxa"/>
          </w:tcPr>
          <w:p w14:paraId="334D7F36" w14:textId="77777777" w:rsidR="00DF0271" w:rsidRDefault="00DF0271" w:rsidP="0031595F">
            <w:pPr>
              <w:pStyle w:val="TableBody"/>
            </w:pPr>
            <w:r>
              <w:t>Days</w:t>
            </w:r>
          </w:p>
        </w:tc>
        <w:tc>
          <w:tcPr>
            <w:tcW w:w="4637" w:type="dxa"/>
          </w:tcPr>
          <w:p w14:paraId="3F1608FE" w14:textId="77777777" w:rsidR="00DF0271" w:rsidRPr="00D11FB5" w:rsidRDefault="00DF0271" w:rsidP="0031595F">
            <w:pPr>
              <w:pStyle w:val="TableBody"/>
            </w:pPr>
            <w:r w:rsidRPr="00D11FB5">
              <w:t>8</w:t>
            </w:r>
          </w:p>
        </w:tc>
      </w:tr>
      <w:tr w:rsidR="00DF0271" w:rsidRPr="00BE4766" w14:paraId="533AD4A2" w14:textId="77777777" w:rsidTr="00504E97">
        <w:trPr>
          <w:trHeight w:val="519"/>
        </w:trPr>
        <w:tc>
          <w:tcPr>
            <w:tcW w:w="2153" w:type="dxa"/>
          </w:tcPr>
          <w:p w14:paraId="4F7AB477" w14:textId="77777777" w:rsidR="00DF0271" w:rsidRDefault="00DF0271" w:rsidP="0031595F">
            <w:pPr>
              <w:pStyle w:val="TableBody"/>
              <w:rPr>
                <w:i/>
              </w:rPr>
            </w:pPr>
            <w:r>
              <w:rPr>
                <w:i/>
              </w:rPr>
              <w:lastRenderedPageBreak/>
              <w:t>r</w:t>
            </w:r>
          </w:p>
        </w:tc>
        <w:tc>
          <w:tcPr>
            <w:tcW w:w="2300" w:type="dxa"/>
          </w:tcPr>
          <w:p w14:paraId="316A1ADD" w14:textId="77777777" w:rsidR="00DF0271" w:rsidRDefault="00DF0271" w:rsidP="0031595F">
            <w:pPr>
              <w:pStyle w:val="TableBody"/>
            </w:pPr>
            <w:r>
              <w:t>none</w:t>
            </w:r>
          </w:p>
        </w:tc>
        <w:tc>
          <w:tcPr>
            <w:tcW w:w="4637" w:type="dxa"/>
          </w:tcPr>
          <w:p w14:paraId="4E955DC3" w14:textId="77777777" w:rsidR="00DF0271" w:rsidRPr="00D11FB5" w:rsidRDefault="00DF0271" w:rsidP="0031595F">
            <w:pPr>
              <w:pStyle w:val="TableBody"/>
            </w:pPr>
            <w:r>
              <w:t>100,000 per day</w:t>
            </w:r>
          </w:p>
        </w:tc>
      </w:tr>
      <w:tr w:rsidR="00DF0271" w:rsidRPr="00BE4766" w14:paraId="6F759537" w14:textId="77777777" w:rsidTr="00504E97">
        <w:trPr>
          <w:trHeight w:val="519"/>
        </w:trPr>
        <w:tc>
          <w:tcPr>
            <w:tcW w:w="2153" w:type="dxa"/>
          </w:tcPr>
          <w:p w14:paraId="12FC400B" w14:textId="77777777" w:rsidR="00DF0271" w:rsidRDefault="00DF0271" w:rsidP="0031595F">
            <w:pPr>
              <w:pStyle w:val="TableBody"/>
              <w:rPr>
                <w:i/>
              </w:rPr>
            </w:pPr>
            <w:r>
              <w:rPr>
                <w:i/>
              </w:rPr>
              <w:t>DF</w:t>
            </w:r>
          </w:p>
        </w:tc>
        <w:tc>
          <w:tcPr>
            <w:tcW w:w="2300" w:type="dxa"/>
          </w:tcPr>
          <w:p w14:paraId="72319CC4" w14:textId="77777777" w:rsidR="00DF0271" w:rsidRDefault="00DF0271" w:rsidP="0031595F">
            <w:pPr>
              <w:pStyle w:val="TableBody"/>
            </w:pPr>
            <w:r>
              <w:t>Percentage</w:t>
            </w:r>
          </w:p>
        </w:tc>
        <w:tc>
          <w:tcPr>
            <w:tcW w:w="4637" w:type="dxa"/>
          </w:tcPr>
          <w:p w14:paraId="745802F0" w14:textId="77777777" w:rsidR="00DF0271" w:rsidRDefault="00DF0271" w:rsidP="0031595F">
            <w:pPr>
              <w:pStyle w:val="TableBody"/>
            </w:pPr>
            <w:r>
              <w:t>0</w:t>
            </w:r>
          </w:p>
        </w:tc>
      </w:tr>
      <w:tr w:rsidR="00DF0271" w:rsidRPr="00BE4766" w14:paraId="6D9FC4B0" w14:textId="77777777" w:rsidTr="00504E97">
        <w:trPr>
          <w:trHeight w:val="519"/>
        </w:trPr>
        <w:tc>
          <w:tcPr>
            <w:tcW w:w="2153" w:type="dxa"/>
          </w:tcPr>
          <w:p w14:paraId="0CEA4BB4" w14:textId="77777777" w:rsidR="00DF0271" w:rsidRDefault="00DF0271" w:rsidP="0031595F">
            <w:pPr>
              <w:pStyle w:val="TableBody"/>
              <w:rPr>
                <w:i/>
              </w:rPr>
            </w:pPr>
            <w:r>
              <w:rPr>
                <w:i/>
              </w:rPr>
              <w:t>M2</w:t>
            </w:r>
          </w:p>
        </w:tc>
        <w:tc>
          <w:tcPr>
            <w:tcW w:w="2300" w:type="dxa"/>
          </w:tcPr>
          <w:p w14:paraId="13670173" w14:textId="77777777" w:rsidR="00DF0271" w:rsidRDefault="00DF0271" w:rsidP="0031595F">
            <w:pPr>
              <w:pStyle w:val="TableBody"/>
            </w:pPr>
            <w:r>
              <w:t>Days</w:t>
            </w:r>
          </w:p>
        </w:tc>
        <w:tc>
          <w:tcPr>
            <w:tcW w:w="4637" w:type="dxa"/>
          </w:tcPr>
          <w:p w14:paraId="71AF5012" w14:textId="77777777" w:rsidR="00DF0271" w:rsidRPr="00545E0B" w:rsidRDefault="00DF0271" w:rsidP="0031595F">
            <w:pPr>
              <w:pStyle w:val="TableBody"/>
            </w:pPr>
            <w:r w:rsidRPr="00545E0B">
              <w:t>9</w:t>
            </w:r>
          </w:p>
        </w:tc>
      </w:tr>
      <w:tr w:rsidR="00DF0271" w:rsidRPr="00BE4766" w14:paraId="0BC55781" w14:textId="77777777" w:rsidTr="00504E97">
        <w:trPr>
          <w:trHeight w:val="519"/>
        </w:trPr>
        <w:tc>
          <w:tcPr>
            <w:tcW w:w="2153" w:type="dxa"/>
          </w:tcPr>
          <w:p w14:paraId="25498169" w14:textId="77777777" w:rsidR="00DF0271" w:rsidRDefault="00DF0271" w:rsidP="0031595F">
            <w:pPr>
              <w:pStyle w:val="TableBody"/>
              <w:rPr>
                <w:i/>
              </w:rPr>
            </w:pPr>
            <w:r>
              <w:rPr>
                <w:i/>
              </w:rPr>
              <w:t>lrq</w:t>
            </w:r>
          </w:p>
        </w:tc>
        <w:tc>
          <w:tcPr>
            <w:tcW w:w="2300" w:type="dxa"/>
          </w:tcPr>
          <w:p w14:paraId="0FF65B29" w14:textId="77777777" w:rsidR="00DF0271" w:rsidRDefault="00DF0271" w:rsidP="0031595F">
            <w:pPr>
              <w:pStyle w:val="TableBody"/>
            </w:pPr>
            <w:r>
              <w:t>Days</w:t>
            </w:r>
          </w:p>
        </w:tc>
        <w:tc>
          <w:tcPr>
            <w:tcW w:w="4637" w:type="dxa"/>
          </w:tcPr>
          <w:p w14:paraId="7913E857" w14:textId="77777777" w:rsidR="00DF0271" w:rsidRPr="00545E0B" w:rsidRDefault="00DF0271" w:rsidP="0031595F">
            <w:pPr>
              <w:pStyle w:val="TableBody"/>
            </w:pPr>
            <w:r w:rsidRPr="007822E6">
              <w:t>40</w:t>
            </w:r>
          </w:p>
        </w:tc>
      </w:tr>
      <w:tr w:rsidR="00DF0271" w:rsidRPr="00BE4766" w14:paraId="24C2A1F1" w14:textId="77777777" w:rsidTr="00504E97">
        <w:trPr>
          <w:trHeight w:val="519"/>
        </w:trPr>
        <w:tc>
          <w:tcPr>
            <w:tcW w:w="2153" w:type="dxa"/>
          </w:tcPr>
          <w:p w14:paraId="2CBABA1E" w14:textId="77777777" w:rsidR="00DF0271" w:rsidRDefault="00DF0271" w:rsidP="0031595F">
            <w:pPr>
              <w:pStyle w:val="TableBody"/>
              <w:rPr>
                <w:i/>
              </w:rPr>
            </w:pPr>
            <w:r>
              <w:rPr>
                <w:i/>
              </w:rPr>
              <w:t>lrt</w:t>
            </w:r>
          </w:p>
        </w:tc>
        <w:tc>
          <w:tcPr>
            <w:tcW w:w="2300" w:type="dxa"/>
          </w:tcPr>
          <w:p w14:paraId="1282EAF7" w14:textId="77777777" w:rsidR="00DF0271" w:rsidRDefault="00DF0271" w:rsidP="0031595F">
            <w:pPr>
              <w:pStyle w:val="TableBody"/>
            </w:pPr>
            <w:r>
              <w:t>Days</w:t>
            </w:r>
          </w:p>
        </w:tc>
        <w:tc>
          <w:tcPr>
            <w:tcW w:w="4637" w:type="dxa"/>
          </w:tcPr>
          <w:p w14:paraId="437CC5F2" w14:textId="77777777" w:rsidR="00DF0271" w:rsidRPr="00545E0B" w:rsidRDefault="00DF0271" w:rsidP="0031595F">
            <w:pPr>
              <w:pStyle w:val="TableBody"/>
            </w:pPr>
            <w:r w:rsidRPr="007822E6">
              <w:t>20</w:t>
            </w:r>
          </w:p>
        </w:tc>
      </w:tr>
      <w:tr w:rsidR="00DF0271" w:rsidRPr="00BE4766" w14:paraId="6BAA841A" w14:textId="77777777" w:rsidTr="00504E97">
        <w:trPr>
          <w:trHeight w:val="519"/>
        </w:trPr>
        <w:tc>
          <w:tcPr>
            <w:tcW w:w="9090" w:type="dxa"/>
            <w:gridSpan w:val="3"/>
          </w:tcPr>
          <w:p w14:paraId="59CB69E6" w14:textId="77777777" w:rsidR="00DF0271" w:rsidRDefault="00DF0271"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79ADAB3" w14:textId="77777777" w:rsidR="00613851" w:rsidRPr="00613851" w:rsidRDefault="00613851" w:rsidP="009648F5">
      <w:pPr>
        <w:widowControl w:val="0"/>
        <w:tabs>
          <w:tab w:val="left" w:pos="1620"/>
        </w:tabs>
        <w:spacing w:before="480" w:after="240"/>
        <w:outlineLvl w:val="4"/>
        <w:rPr>
          <w:b/>
          <w:bCs/>
          <w:i/>
          <w:szCs w:val="26"/>
        </w:rPr>
      </w:pPr>
      <w:bookmarkStart w:id="495" w:name="_Toc419200621"/>
      <w:bookmarkStart w:id="496" w:name="_Toc405814007"/>
      <w:bookmarkStart w:id="497" w:name="_Toc309731025"/>
      <w:bookmarkStart w:id="498" w:name="_Toc184623034"/>
      <w:bookmarkStart w:id="499" w:name="_Toc390438969"/>
      <w:bookmarkStart w:id="500" w:name="_Toc405897667"/>
      <w:bookmarkStart w:id="501" w:name="_Toc415055771"/>
      <w:bookmarkStart w:id="502" w:name="_Toc415055897"/>
      <w:bookmarkStart w:id="503" w:name="_Toc415055996"/>
      <w:bookmarkStart w:id="504" w:name="_Toc415056097"/>
      <w:r w:rsidRPr="00613851">
        <w:rPr>
          <w:b/>
          <w:bCs/>
          <w:i/>
          <w:iCs/>
          <w:szCs w:val="26"/>
        </w:rPr>
        <w:t>16.11.4.3.1</w:t>
      </w:r>
      <w:r w:rsidRPr="00613851">
        <w:rPr>
          <w:b/>
          <w:bCs/>
          <w:i/>
          <w:iCs/>
          <w:szCs w:val="26"/>
        </w:rPr>
        <w:tab/>
        <w:t>Day-Ahead Liability Estimate</w:t>
      </w:r>
      <w:bookmarkEnd w:id="495"/>
      <w:bookmarkEnd w:id="496"/>
      <w:bookmarkEnd w:id="497"/>
      <w:bookmarkEnd w:id="498"/>
    </w:p>
    <w:p w14:paraId="5AC4C53D" w14:textId="77777777" w:rsidR="00613851" w:rsidRPr="00613851" w:rsidRDefault="00613851" w:rsidP="009648F5">
      <w:pPr>
        <w:widowControl w:val="0"/>
        <w:spacing w:after="240"/>
        <w:ind w:left="720" w:hanging="720"/>
        <w:rPr>
          <w:iCs/>
        </w:rPr>
      </w:pPr>
      <w:r w:rsidRPr="00613851">
        <w:rPr>
          <w:iCs/>
        </w:rPr>
        <w:t>(1)</w:t>
      </w:r>
      <w:r w:rsidRPr="00613851">
        <w:rPr>
          <w:iCs/>
        </w:rPr>
        <w:tab/>
        <w:t>ERCOT shall estimate Day-Ahead Liability (DAL) for an Operating Day as the sum of estimates for the following DAM Settlement charges and payments:</w:t>
      </w:r>
    </w:p>
    <w:p w14:paraId="49CFA88D" w14:textId="77777777" w:rsidR="00613851" w:rsidRPr="00613851" w:rsidRDefault="00613851" w:rsidP="009648F5">
      <w:pPr>
        <w:widowControl w:val="0"/>
        <w:spacing w:after="240"/>
        <w:ind w:left="1440" w:hanging="720"/>
        <w:rPr>
          <w:iCs/>
        </w:rPr>
      </w:pPr>
      <w:r w:rsidRPr="00613851">
        <w:rPr>
          <w:iCs/>
        </w:rPr>
        <w:t>(a)</w:t>
      </w:r>
      <w:r w:rsidRPr="00613851">
        <w:rPr>
          <w:iCs/>
        </w:rPr>
        <w:tab/>
        <w:t>Section 4.6.2.1, Day-Ahead Energy Payment;</w:t>
      </w:r>
    </w:p>
    <w:p w14:paraId="3E81F892" w14:textId="77777777" w:rsidR="00613851" w:rsidRPr="00613851" w:rsidRDefault="00613851" w:rsidP="009648F5">
      <w:pPr>
        <w:widowControl w:val="0"/>
        <w:spacing w:after="240"/>
        <w:ind w:left="1440" w:hanging="720"/>
        <w:rPr>
          <w:iCs/>
        </w:rPr>
      </w:pPr>
      <w:r w:rsidRPr="00613851">
        <w:rPr>
          <w:iCs/>
        </w:rPr>
        <w:t>(b)</w:t>
      </w:r>
      <w:r w:rsidRPr="00613851">
        <w:rPr>
          <w:iCs/>
        </w:rPr>
        <w:tab/>
        <w:t>Section 4.6.2.2, Day-Ahead Energy Charge;</w:t>
      </w:r>
    </w:p>
    <w:p w14:paraId="1B29E098" w14:textId="77777777" w:rsidR="00613851" w:rsidRPr="00613851" w:rsidRDefault="00613851" w:rsidP="009648F5">
      <w:pPr>
        <w:widowControl w:val="0"/>
        <w:spacing w:after="240"/>
        <w:ind w:left="1440" w:hanging="720"/>
        <w:rPr>
          <w:iCs/>
        </w:rPr>
      </w:pPr>
      <w:r w:rsidRPr="00613851">
        <w:rPr>
          <w:iCs/>
        </w:rPr>
        <w:t>(c)</w:t>
      </w:r>
      <w:r w:rsidRPr="00613851">
        <w:rPr>
          <w:iCs/>
        </w:rPr>
        <w:tab/>
        <w:t>Section 4.6.3, Settlement for PTP Obligations Bought in DAM;</w:t>
      </w:r>
    </w:p>
    <w:p w14:paraId="3099DBBF" w14:textId="77777777" w:rsidR="00613851" w:rsidRPr="00613851" w:rsidRDefault="00613851" w:rsidP="009648F5">
      <w:pPr>
        <w:widowControl w:val="0"/>
        <w:spacing w:after="240"/>
        <w:ind w:left="1440" w:hanging="720"/>
        <w:rPr>
          <w:iCs/>
        </w:rPr>
      </w:pPr>
      <w:r w:rsidRPr="00613851">
        <w:rPr>
          <w:iCs/>
        </w:rPr>
        <w:t>(d)</w:t>
      </w:r>
      <w:r w:rsidRPr="00613851">
        <w:rPr>
          <w:iCs/>
        </w:rPr>
        <w:tab/>
        <w:t>Section 4.6.4.1.1, Regulation Up Service Payment;</w:t>
      </w:r>
    </w:p>
    <w:p w14:paraId="198FEE87" w14:textId="77777777" w:rsidR="00613851" w:rsidRPr="00613851" w:rsidRDefault="00613851" w:rsidP="009648F5">
      <w:pPr>
        <w:widowControl w:val="0"/>
        <w:spacing w:after="240"/>
        <w:ind w:left="1440" w:hanging="720"/>
        <w:rPr>
          <w:iCs/>
        </w:rPr>
      </w:pPr>
      <w:r w:rsidRPr="00613851">
        <w:rPr>
          <w:iCs/>
        </w:rPr>
        <w:t>(e)</w:t>
      </w:r>
      <w:r w:rsidRPr="00613851">
        <w:rPr>
          <w:iCs/>
        </w:rPr>
        <w:tab/>
        <w:t>Section 4.6.4.1.2, Regulation Down Service Payment;</w:t>
      </w:r>
    </w:p>
    <w:p w14:paraId="41BE771A" w14:textId="77777777" w:rsidR="00613851" w:rsidRPr="00613851" w:rsidRDefault="00613851" w:rsidP="009648F5">
      <w:pPr>
        <w:widowControl w:val="0"/>
        <w:spacing w:after="240"/>
        <w:ind w:left="1440" w:hanging="720"/>
        <w:rPr>
          <w:iCs/>
        </w:rPr>
      </w:pPr>
      <w:r w:rsidRPr="00613851">
        <w:rPr>
          <w:iCs/>
        </w:rPr>
        <w:t>(f)</w:t>
      </w:r>
      <w:r w:rsidRPr="00613851">
        <w:rPr>
          <w:iCs/>
        </w:rPr>
        <w:tab/>
        <w:t>Section 4.6.4.1.3, Responsive Reserve Service Payment;</w:t>
      </w:r>
    </w:p>
    <w:p w14:paraId="42EBF3EA" w14:textId="0A6C277D" w:rsidR="00613851" w:rsidRDefault="00613851" w:rsidP="009648F5">
      <w:pPr>
        <w:widowControl w:val="0"/>
        <w:spacing w:after="240"/>
        <w:ind w:left="1440" w:hanging="720"/>
        <w:rPr>
          <w:iCs/>
        </w:rPr>
      </w:pPr>
      <w:r w:rsidRPr="00613851">
        <w:rPr>
          <w:iCs/>
        </w:rPr>
        <w:t>(g)</w:t>
      </w:r>
      <w:r w:rsidRPr="00613851">
        <w:rPr>
          <w:iCs/>
        </w:rPr>
        <w:tab/>
        <w:t>Section 4.6.4.1.4, Non-Spinning Reserve Service Payment;</w:t>
      </w:r>
    </w:p>
    <w:p w14:paraId="72339D08" w14:textId="53C0766F" w:rsidR="00AB1DA0" w:rsidRPr="00613851" w:rsidRDefault="00AB1DA0" w:rsidP="009648F5">
      <w:pPr>
        <w:widowControl w:val="0"/>
        <w:spacing w:after="240"/>
        <w:ind w:left="1440" w:hanging="720"/>
        <w:rPr>
          <w:iCs/>
        </w:rPr>
      </w:pPr>
      <w:r>
        <w:rPr>
          <w:iCs/>
        </w:rPr>
        <w:t>(h)</w:t>
      </w:r>
      <w:r>
        <w:rPr>
          <w:iCs/>
        </w:rPr>
        <w:tab/>
        <w:t xml:space="preserve">Section </w:t>
      </w:r>
      <w:r w:rsidRPr="00667DCA">
        <w:rPr>
          <w:iCs/>
        </w:rPr>
        <w:t>4.6.4.1.5</w:t>
      </w:r>
      <w:r>
        <w:rPr>
          <w:iCs/>
        </w:rPr>
        <w:t>,</w:t>
      </w:r>
      <w:r w:rsidRPr="00667DCA">
        <w:rPr>
          <w:iCs/>
        </w:rPr>
        <w:t xml:space="preserve"> ERCOT Contingency Reserve Service Payment</w:t>
      </w:r>
      <w:r>
        <w:rPr>
          <w:iCs/>
        </w:rPr>
        <w:t>;</w:t>
      </w:r>
    </w:p>
    <w:p w14:paraId="70F93F2E" w14:textId="02419A43" w:rsidR="00613851" w:rsidRPr="00613851" w:rsidRDefault="00613851" w:rsidP="00CC5258">
      <w:pPr>
        <w:widowControl w:val="0"/>
        <w:spacing w:after="240"/>
        <w:ind w:left="1440" w:hanging="720"/>
        <w:rPr>
          <w:iCs/>
        </w:rPr>
      </w:pPr>
      <w:r w:rsidRPr="00613851">
        <w:rPr>
          <w:iCs/>
        </w:rPr>
        <w:t>(</w:t>
      </w:r>
      <w:r w:rsidR="00AB1DA0">
        <w:rPr>
          <w:iCs/>
        </w:rPr>
        <w:t>i</w:t>
      </w:r>
      <w:r w:rsidRPr="00613851">
        <w:rPr>
          <w:iCs/>
        </w:rPr>
        <w:t>)</w:t>
      </w:r>
      <w:r w:rsidRPr="00613851">
        <w:rPr>
          <w:iCs/>
        </w:rPr>
        <w:tab/>
        <w:t>Section 4.6.4.2.1, Regulation Up Service Charge;</w:t>
      </w:r>
    </w:p>
    <w:p w14:paraId="24F9CC7C" w14:textId="1C309F09" w:rsidR="00613851" w:rsidRPr="00613851" w:rsidRDefault="00613851" w:rsidP="009648F5">
      <w:pPr>
        <w:widowControl w:val="0"/>
        <w:spacing w:after="240"/>
        <w:ind w:left="1440" w:hanging="720"/>
        <w:rPr>
          <w:iCs/>
        </w:rPr>
      </w:pPr>
      <w:r w:rsidRPr="00613851">
        <w:rPr>
          <w:iCs/>
        </w:rPr>
        <w:t>(</w:t>
      </w:r>
      <w:r w:rsidR="00AB1DA0">
        <w:rPr>
          <w:iCs/>
        </w:rPr>
        <w:t>j</w:t>
      </w:r>
      <w:r w:rsidRPr="00613851">
        <w:rPr>
          <w:iCs/>
        </w:rPr>
        <w:t>)</w:t>
      </w:r>
      <w:r w:rsidRPr="00613851">
        <w:rPr>
          <w:iCs/>
        </w:rPr>
        <w:tab/>
        <w:t>Section 4.6.4.2.2, Regulation Down Service Charge;</w:t>
      </w:r>
    </w:p>
    <w:p w14:paraId="1E2685CB" w14:textId="70C46ADE" w:rsidR="00613851" w:rsidRPr="00613851" w:rsidRDefault="00613851" w:rsidP="009648F5">
      <w:pPr>
        <w:widowControl w:val="0"/>
        <w:spacing w:after="240"/>
        <w:ind w:left="1440" w:hanging="720"/>
        <w:rPr>
          <w:iCs/>
        </w:rPr>
      </w:pPr>
      <w:r w:rsidRPr="00613851">
        <w:rPr>
          <w:iCs/>
        </w:rPr>
        <w:t>(</w:t>
      </w:r>
      <w:r w:rsidR="00AB1DA0">
        <w:rPr>
          <w:iCs/>
        </w:rPr>
        <w:t>k</w:t>
      </w:r>
      <w:r w:rsidRPr="00613851">
        <w:rPr>
          <w:iCs/>
        </w:rPr>
        <w:t>)</w:t>
      </w:r>
      <w:r w:rsidRPr="00613851">
        <w:rPr>
          <w:iCs/>
        </w:rPr>
        <w:tab/>
        <w:t>Section 4.6.4.2.3, Responsive Reserve Service Charge;</w:t>
      </w:r>
    </w:p>
    <w:p w14:paraId="46E780EE" w14:textId="139C08C6" w:rsidR="00613851" w:rsidRDefault="00613851" w:rsidP="009648F5">
      <w:pPr>
        <w:widowControl w:val="0"/>
        <w:spacing w:after="240"/>
        <w:ind w:left="1440" w:hanging="720"/>
        <w:rPr>
          <w:iCs/>
        </w:rPr>
      </w:pPr>
      <w:r w:rsidRPr="00613851">
        <w:rPr>
          <w:iCs/>
        </w:rPr>
        <w:t>(</w:t>
      </w:r>
      <w:r w:rsidR="00AB1DA0">
        <w:rPr>
          <w:iCs/>
        </w:rPr>
        <w:t>l</w:t>
      </w:r>
      <w:r w:rsidRPr="00613851">
        <w:rPr>
          <w:iCs/>
        </w:rPr>
        <w:t>)</w:t>
      </w:r>
      <w:r w:rsidRPr="00613851">
        <w:rPr>
          <w:iCs/>
        </w:rPr>
        <w:tab/>
        <w:t>Section 4.6.4.2.4, Non-Spinning Reserve Service Charge;</w:t>
      </w:r>
    </w:p>
    <w:p w14:paraId="28DE05E8" w14:textId="21618D39" w:rsidR="00AB1DA0" w:rsidRPr="00613851" w:rsidRDefault="00AB1DA0" w:rsidP="009648F5">
      <w:pPr>
        <w:widowControl w:val="0"/>
        <w:spacing w:after="240"/>
        <w:ind w:left="1440" w:hanging="720"/>
        <w:rPr>
          <w:iCs/>
        </w:rPr>
      </w:pPr>
      <w:r>
        <w:rPr>
          <w:iCs/>
        </w:rPr>
        <w:t>(m)</w:t>
      </w:r>
      <w:r>
        <w:rPr>
          <w:iCs/>
        </w:rPr>
        <w:tab/>
        <w:t xml:space="preserve">Section </w:t>
      </w:r>
      <w:r w:rsidRPr="00477614">
        <w:rPr>
          <w:iCs/>
        </w:rPr>
        <w:t>4.6.4.2.5</w:t>
      </w:r>
      <w:r>
        <w:rPr>
          <w:iCs/>
        </w:rPr>
        <w:t>,</w:t>
      </w:r>
      <w:r w:rsidRPr="00477614">
        <w:rPr>
          <w:iCs/>
        </w:rPr>
        <w:t xml:space="preserve"> ERCOT Contingency Reserve Service Charge</w:t>
      </w:r>
      <w:r>
        <w:rPr>
          <w:iCs/>
        </w:rPr>
        <w:t>;</w:t>
      </w:r>
    </w:p>
    <w:p w14:paraId="3A4A0F8A" w14:textId="6CC91DB9" w:rsidR="00613851" w:rsidRPr="00613851" w:rsidRDefault="00613851" w:rsidP="00CC5258">
      <w:pPr>
        <w:widowControl w:val="0"/>
        <w:spacing w:after="240"/>
        <w:ind w:left="1440" w:hanging="720"/>
        <w:rPr>
          <w:iCs/>
        </w:rPr>
      </w:pPr>
      <w:r w:rsidRPr="00613851">
        <w:rPr>
          <w:iCs/>
        </w:rPr>
        <w:t>(</w:t>
      </w:r>
      <w:r w:rsidR="00AB1DA0">
        <w:rPr>
          <w:iCs/>
        </w:rPr>
        <w:t>n</w:t>
      </w:r>
      <w:r w:rsidRPr="00613851">
        <w:rPr>
          <w:iCs/>
        </w:rPr>
        <w:t>)</w:t>
      </w:r>
      <w:r w:rsidRPr="00613851">
        <w:rPr>
          <w:iCs/>
        </w:rPr>
        <w:tab/>
        <w:t>Section 7.9.1.1, Payments and Charges for PTP Obligations Settled in DAM;</w:t>
      </w:r>
    </w:p>
    <w:p w14:paraId="4642FC3F" w14:textId="13F638B1" w:rsidR="00613851" w:rsidRPr="00613851" w:rsidRDefault="00613851" w:rsidP="009648F5">
      <w:pPr>
        <w:widowControl w:val="0"/>
        <w:spacing w:after="240"/>
        <w:ind w:left="1440" w:hanging="720"/>
        <w:rPr>
          <w:iCs/>
        </w:rPr>
      </w:pPr>
      <w:r w:rsidRPr="00613851">
        <w:rPr>
          <w:iCs/>
        </w:rPr>
        <w:lastRenderedPageBreak/>
        <w:t>(</w:t>
      </w:r>
      <w:r w:rsidR="00AB1DA0">
        <w:rPr>
          <w:iCs/>
        </w:rPr>
        <w:t>o</w:t>
      </w:r>
      <w:r w:rsidRPr="00613851">
        <w:rPr>
          <w:iCs/>
        </w:rPr>
        <w:t>)</w:t>
      </w:r>
      <w:r w:rsidRPr="00613851">
        <w:rPr>
          <w:iCs/>
        </w:rPr>
        <w:tab/>
        <w:t>Section 7.9.1.2, Payments for PTP Options Settled in DAM;</w:t>
      </w:r>
    </w:p>
    <w:p w14:paraId="12D3D1EF" w14:textId="00A6E397" w:rsidR="00613851" w:rsidRPr="00613851" w:rsidRDefault="00613851" w:rsidP="009648F5">
      <w:pPr>
        <w:widowControl w:val="0"/>
        <w:spacing w:after="240"/>
        <w:ind w:left="1440" w:hanging="720"/>
        <w:rPr>
          <w:iCs/>
        </w:rPr>
      </w:pPr>
      <w:r w:rsidRPr="00613851">
        <w:rPr>
          <w:iCs/>
        </w:rPr>
        <w:t>(</w:t>
      </w:r>
      <w:r w:rsidR="00AB1DA0">
        <w:rPr>
          <w:iCs/>
        </w:rPr>
        <w:t>p</w:t>
      </w:r>
      <w:r w:rsidRPr="00613851">
        <w:rPr>
          <w:iCs/>
        </w:rPr>
        <w:t>)</w:t>
      </w:r>
      <w:r w:rsidRPr="00613851">
        <w:rPr>
          <w:iCs/>
        </w:rPr>
        <w:tab/>
        <w:t>Section 7.9.1.5, Payments and Charges for PTP Obligations with Refund Settled in DAM; and</w:t>
      </w:r>
    </w:p>
    <w:p w14:paraId="63297784" w14:textId="0C54A527" w:rsidR="00613851" w:rsidRPr="00613851" w:rsidRDefault="00613851" w:rsidP="009648F5">
      <w:pPr>
        <w:widowControl w:val="0"/>
        <w:spacing w:after="240"/>
        <w:ind w:left="1440" w:hanging="720"/>
        <w:rPr>
          <w:iCs/>
        </w:rPr>
      </w:pPr>
      <w:r w:rsidRPr="00613851">
        <w:rPr>
          <w:iCs/>
        </w:rPr>
        <w:t>(</w:t>
      </w:r>
      <w:r w:rsidR="00AB1DA0">
        <w:rPr>
          <w:iCs/>
        </w:rPr>
        <w:t>q</w:t>
      </w:r>
      <w:r w:rsidRPr="00613851">
        <w:rPr>
          <w:iCs/>
        </w:rPr>
        <w:t>)</w:t>
      </w:r>
      <w:r w:rsidRPr="00613851">
        <w:rPr>
          <w:iCs/>
        </w:rPr>
        <w:tab/>
        <w:t>Section 7.9.1.6, Payments for PTP Options with Refund Settled in DAM.</w:t>
      </w:r>
    </w:p>
    <w:p w14:paraId="48DAFDE9" w14:textId="77777777" w:rsidR="00613851" w:rsidRPr="00613851" w:rsidRDefault="00613851" w:rsidP="00613851">
      <w:pPr>
        <w:keepNext/>
        <w:tabs>
          <w:tab w:val="left" w:pos="1620"/>
        </w:tabs>
        <w:spacing w:before="240" w:after="240"/>
        <w:ind w:left="1627" w:hanging="1627"/>
        <w:outlineLvl w:val="4"/>
        <w:rPr>
          <w:b/>
          <w:bCs/>
          <w:i/>
          <w:iCs/>
          <w:szCs w:val="26"/>
        </w:rPr>
      </w:pPr>
      <w:bookmarkStart w:id="505" w:name="_Toc184623035"/>
      <w:r w:rsidRPr="00613851">
        <w:rPr>
          <w:b/>
          <w:bCs/>
          <w:i/>
          <w:iCs/>
          <w:szCs w:val="26"/>
        </w:rPr>
        <w:t>16.11.4.3.2</w:t>
      </w:r>
      <w:r w:rsidRPr="00613851">
        <w:rPr>
          <w:b/>
          <w:bCs/>
          <w:i/>
          <w:iCs/>
          <w:szCs w:val="26"/>
        </w:rPr>
        <w:tab/>
        <w:t>Real-Time Liability Estimate</w:t>
      </w:r>
      <w:bookmarkEnd w:id="505"/>
    </w:p>
    <w:p w14:paraId="144BB042" w14:textId="77777777" w:rsidR="00613851" w:rsidRPr="00613851" w:rsidRDefault="00613851" w:rsidP="00613851">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36B59AEF" w14:textId="77777777" w:rsidR="00613851" w:rsidRPr="00613851" w:rsidRDefault="00613851" w:rsidP="00613851">
      <w:pPr>
        <w:spacing w:after="240"/>
        <w:ind w:left="1440" w:hanging="720"/>
      </w:pPr>
      <w:r w:rsidRPr="00613851">
        <w:t>(a)</w:t>
      </w:r>
      <w:r w:rsidRPr="00613851">
        <w:tab/>
        <w:t xml:space="preserve">Section 6.6.3.1, Real-Time Energy Imbalance Payment or Charge at a Resource Node, using Real-Time Metered Generation (RTMG) as generation estimate;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61E7A" w14:paraId="0BC830BE" w14:textId="77777777" w:rsidTr="00194BF0">
        <w:tc>
          <w:tcPr>
            <w:tcW w:w="9332" w:type="dxa"/>
            <w:shd w:val="pct12" w:color="auto" w:fill="auto"/>
          </w:tcPr>
          <w:p w14:paraId="478DC3C3" w14:textId="24FFE55C" w:rsidR="00461E7A" w:rsidRPr="0002450E" w:rsidRDefault="00461E7A" w:rsidP="00194BF0">
            <w:pPr>
              <w:pStyle w:val="Instructions"/>
              <w:spacing w:before="120"/>
              <w:rPr>
                <w:iCs/>
              </w:rPr>
            </w:pPr>
            <w:r>
              <w:rPr>
                <w:iCs/>
              </w:rPr>
              <w:t>[NPRR1188</w:t>
            </w:r>
            <w:r w:rsidRPr="0002450E">
              <w:rPr>
                <w:iCs/>
              </w:rPr>
              <w:t xml:space="preserve">:  Replace </w:t>
            </w:r>
            <w:r>
              <w:rPr>
                <w:iCs/>
              </w:rPr>
              <w:t>item (a)</w:t>
            </w:r>
            <w:r w:rsidRPr="0002450E">
              <w:rPr>
                <w:iCs/>
              </w:rPr>
              <w:t xml:space="preserve"> above with the following upon system implementation:] </w:t>
            </w:r>
          </w:p>
          <w:p w14:paraId="249BE5B6" w14:textId="116C50D7" w:rsidR="00461E7A" w:rsidRPr="00B35DA1" w:rsidRDefault="00461E7A" w:rsidP="00461E7A">
            <w:pPr>
              <w:spacing w:after="240"/>
              <w:ind w:left="1440" w:hanging="720"/>
            </w:pPr>
            <w:r w:rsidRPr="00812ECB">
              <w:t>(a)</w:t>
            </w:r>
            <w:r w:rsidRPr="00812ECB">
              <w:tab/>
              <w:t>Section 6.6.3.1, Real-Time Energy Imbalance Payment or Charge at a Resource Node, using Real-Time Net Metered Generation (RTMG) including CLRs that are not ALRs</w:t>
            </w:r>
            <w:r w:rsidRPr="00812ECB">
              <w:rPr>
                <w:i/>
                <w:iCs/>
                <w:sz w:val="20"/>
              </w:rPr>
              <w:t xml:space="preserve"> </w:t>
            </w:r>
            <w:r w:rsidRPr="00812ECB">
              <w:t>as generation estimate;</w:t>
            </w:r>
          </w:p>
        </w:tc>
      </w:tr>
    </w:tbl>
    <w:p w14:paraId="70059D2F" w14:textId="0A98E87C" w:rsidR="00613851" w:rsidRPr="00613851" w:rsidRDefault="00613851" w:rsidP="00184B4B">
      <w:pPr>
        <w:spacing w:before="240" w:after="240"/>
        <w:ind w:left="1440" w:hanging="720"/>
      </w:pPr>
      <w:r w:rsidRPr="00613851">
        <w:t>(b)</w:t>
      </w:r>
      <w:r w:rsidRPr="00613851">
        <w:tab/>
        <w:t>Section 6.6.3.2, Real-Time Energy Imbalance Payment or Charge at a Load Zone, using 14</w:t>
      </w:r>
      <w:r w:rsidR="00C279DC">
        <w:t>-</w:t>
      </w:r>
      <w:r w:rsidRPr="00613851">
        <w:t>day or seven</w:t>
      </w:r>
      <w:r w:rsidR="00C279DC">
        <w:t>-</w:t>
      </w:r>
      <w:r w:rsidRPr="00613851">
        <w:t>day</w:t>
      </w:r>
      <w:r w:rsidR="00C279DC">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35DA1" w14:paraId="17E52C37" w14:textId="77777777" w:rsidTr="004033D4">
        <w:tc>
          <w:tcPr>
            <w:tcW w:w="9332" w:type="dxa"/>
            <w:shd w:val="pct12" w:color="auto" w:fill="auto"/>
          </w:tcPr>
          <w:p w14:paraId="226C1687" w14:textId="77777777" w:rsidR="00B35DA1" w:rsidRPr="0002450E" w:rsidRDefault="00B35DA1" w:rsidP="00B7359F">
            <w:pPr>
              <w:pStyle w:val="Instructions"/>
              <w:spacing w:before="120"/>
              <w:rPr>
                <w:iCs/>
              </w:rPr>
            </w:pPr>
            <w:r>
              <w:rPr>
                <w:iCs/>
              </w:rPr>
              <w:t>[NPRR829</w:t>
            </w:r>
            <w:r w:rsidRPr="0002450E">
              <w:rPr>
                <w:iCs/>
              </w:rPr>
              <w:t xml:space="preserve">:  Replace </w:t>
            </w:r>
            <w:r>
              <w:rPr>
                <w:iCs/>
              </w:rPr>
              <w:t>item (b)</w:t>
            </w:r>
            <w:r w:rsidRPr="0002450E">
              <w:rPr>
                <w:iCs/>
              </w:rPr>
              <w:t xml:space="preserve"> above with the following upon system implementation:] </w:t>
            </w:r>
          </w:p>
          <w:p w14:paraId="27A8F5A9" w14:textId="6D78A656" w:rsidR="00B35DA1" w:rsidRPr="00B35DA1" w:rsidRDefault="00B35DA1" w:rsidP="00B91B01">
            <w:pPr>
              <w:spacing w:after="240"/>
              <w:ind w:left="1440" w:hanging="720"/>
            </w:pPr>
            <w:r w:rsidRPr="00613851">
              <w:t>(b)</w:t>
            </w:r>
            <w:r w:rsidRPr="00613851">
              <w:tab/>
              <w:t>Section 6.6.3.2, Real-Time Energy Imbalance Payment or Charge at a Load Zone, using 14</w:t>
            </w:r>
            <w:r w:rsidR="00C279DC">
              <w:t>-</w:t>
            </w:r>
            <w:r w:rsidRPr="00613851">
              <w:t>day or seven</w:t>
            </w:r>
            <w:r w:rsidR="00C279DC">
              <w:t>-</w:t>
            </w:r>
            <w:r w:rsidRPr="00613851">
              <w:t>day</w:t>
            </w:r>
            <w:r w:rsidR="00C279DC">
              <w:t>-</w:t>
            </w:r>
            <w:r w:rsidRPr="00613851">
              <w:t>old LRS for Load estimate</w:t>
            </w:r>
            <w:r>
              <w:t xml:space="preserve"> and Real-Time telemetry of net generation as the generation estimate</w:t>
            </w:r>
            <w:r w:rsidRPr="00613851">
              <w:t>;</w:t>
            </w:r>
          </w:p>
        </w:tc>
      </w:tr>
    </w:tbl>
    <w:p w14:paraId="4DDDE8F6" w14:textId="77777777" w:rsidR="00613851" w:rsidRPr="00613851" w:rsidRDefault="00613851" w:rsidP="00AC0942">
      <w:pPr>
        <w:spacing w:before="240" w:after="240"/>
        <w:ind w:left="1440" w:hanging="720"/>
      </w:pPr>
      <w:r w:rsidRPr="00613851">
        <w:t>(c)</w:t>
      </w:r>
      <w:r w:rsidRPr="00613851">
        <w:tab/>
        <w:t>Section 6.6.3.3, Real-Time Energy Imbalance Payment or Charge at a Hub;</w:t>
      </w:r>
    </w:p>
    <w:p w14:paraId="553EFAEF" w14:textId="77777777" w:rsidR="00613851" w:rsidRPr="00613851" w:rsidRDefault="00613851" w:rsidP="00613851">
      <w:pPr>
        <w:spacing w:after="240"/>
        <w:ind w:left="1440" w:hanging="720"/>
      </w:pPr>
      <w:r w:rsidRPr="00613851">
        <w:t>(d)</w:t>
      </w:r>
      <w:r w:rsidRPr="00613851">
        <w:tab/>
        <w:t>Section 6.6.3.4, Real-Time Energy Payment for DC Tie Import;</w:t>
      </w:r>
    </w:p>
    <w:p w14:paraId="5A608B9F" w14:textId="46A223A7" w:rsidR="00BA4149" w:rsidRPr="00613851" w:rsidRDefault="00BA4149" w:rsidP="00463FB0">
      <w:pPr>
        <w:spacing w:after="240"/>
        <w:ind w:left="1440" w:hanging="720"/>
      </w:pPr>
      <w:r w:rsidRPr="00B75A10">
        <w:t>(</w:t>
      </w:r>
      <w:r w:rsidR="00D9164C">
        <w:t>e</w:t>
      </w:r>
      <w:r w:rsidRPr="00B75A10">
        <w:t>)</w:t>
      </w:r>
      <w:r w:rsidRPr="00B75A10">
        <w:tab/>
        <w:t>Section 6.6.3.</w:t>
      </w:r>
      <w:r w:rsidR="00D9164C">
        <w:t>8</w:t>
      </w:r>
      <w:r w:rsidRPr="00B75A10">
        <w:t xml:space="preserve">, Real-Time Payment or Charge for Energy from </w:t>
      </w:r>
      <w:r w:rsidRPr="007A41CB">
        <w:t>a Settlement Only Distribution Generator (SODG) or a Settlement Only Transmission Generator (SOTG)</w:t>
      </w:r>
      <w:r>
        <w:t>,</w:t>
      </w:r>
      <w:r w:rsidRPr="00FF47C6">
        <w:t xml:space="preserve"> using the Real-Time telemetry</w:t>
      </w:r>
      <w:r>
        <w:t>, if provided,</w:t>
      </w:r>
      <w:r w:rsidRPr="00FF47C6">
        <w:t xml:space="preserve"> of net generation as the outflow estimate and the Real-Time Price for each SODG or SOTG site</w:t>
      </w:r>
      <w:r w:rsidRPr="00B75A1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A7AB9" w14:paraId="10C107F0" w14:textId="77777777" w:rsidTr="004033D4">
        <w:tc>
          <w:tcPr>
            <w:tcW w:w="9332" w:type="dxa"/>
            <w:shd w:val="pct12" w:color="auto" w:fill="auto"/>
          </w:tcPr>
          <w:p w14:paraId="2A927AB9" w14:textId="553E8DD7" w:rsidR="001A7AB9" w:rsidRPr="0002450E" w:rsidRDefault="001A7AB9" w:rsidP="00767EC3">
            <w:pPr>
              <w:pStyle w:val="Instructions"/>
              <w:spacing w:before="120"/>
              <w:rPr>
                <w:iCs/>
              </w:rPr>
            </w:pPr>
            <w:r>
              <w:rPr>
                <w:iCs/>
              </w:rPr>
              <w:t>[</w:t>
            </w:r>
            <w:r w:rsidR="00DF27BC">
              <w:rPr>
                <w:iCs/>
              </w:rPr>
              <w:t>NPRR995</w:t>
            </w:r>
            <w:r w:rsidR="006B2E4D">
              <w:rPr>
                <w:iCs/>
              </w:rPr>
              <w:t xml:space="preserve"> and NPRR1077</w:t>
            </w:r>
            <w:r w:rsidRPr="0002450E">
              <w:rPr>
                <w:iCs/>
              </w:rPr>
              <w:t xml:space="preserve">:  </w:t>
            </w:r>
            <w:r w:rsidR="00BA4149">
              <w:rPr>
                <w:iCs/>
              </w:rPr>
              <w:t>Replace</w:t>
            </w:r>
            <w:r>
              <w:rPr>
                <w:iCs/>
              </w:rPr>
              <w:t xml:space="preserve"> </w:t>
            </w:r>
            <w:r w:rsidR="00DF27BC">
              <w:rPr>
                <w:iCs/>
              </w:rPr>
              <w:t xml:space="preserve">applicable portions of </w:t>
            </w:r>
            <w:r>
              <w:rPr>
                <w:iCs/>
              </w:rPr>
              <w:t>item (</w:t>
            </w:r>
            <w:r w:rsidR="00D9164C">
              <w:rPr>
                <w:iCs/>
              </w:rPr>
              <w:t>e</w:t>
            </w:r>
            <w:r>
              <w:rPr>
                <w:iCs/>
              </w:rPr>
              <w:t xml:space="preserve">) </w:t>
            </w:r>
            <w:r w:rsidR="00BA4149">
              <w:rPr>
                <w:iCs/>
              </w:rPr>
              <w:t>above with the following</w:t>
            </w:r>
            <w:r w:rsidRPr="0002450E">
              <w:rPr>
                <w:iCs/>
              </w:rPr>
              <w:t xml:space="preserve"> upon system implementation:] </w:t>
            </w:r>
          </w:p>
          <w:p w14:paraId="507AC414" w14:textId="7C57200C" w:rsidR="001A7AB9" w:rsidRPr="00B35DA1" w:rsidRDefault="001A7AB9" w:rsidP="001A7AB9">
            <w:pPr>
              <w:spacing w:after="240"/>
              <w:ind w:left="1440" w:hanging="720"/>
            </w:pPr>
            <w:r w:rsidRPr="00B75A10">
              <w:t>(</w:t>
            </w:r>
            <w:r w:rsidR="00D9164C">
              <w:t>e</w:t>
            </w:r>
            <w:r w:rsidRPr="00B75A10">
              <w:t>)</w:t>
            </w:r>
            <w:r w:rsidRPr="00B75A10">
              <w:tab/>
              <w:t>Section 6.6.3.</w:t>
            </w:r>
            <w:r w:rsidR="00D9164C">
              <w:t>8</w:t>
            </w:r>
            <w:r w:rsidRPr="00B75A10">
              <w:t xml:space="preserve">, Real-Time Payment or Charge for Energy from </w:t>
            </w:r>
            <w:r w:rsidRPr="007A41CB">
              <w:t>a Settlement Only Distribution Generator (SODG)</w:t>
            </w:r>
            <w:r w:rsidR="00DF27BC">
              <w:t>,</w:t>
            </w:r>
            <w:r w:rsidRPr="007A41CB">
              <w:t xml:space="preserve"> Settlement Only Transmission Generator </w:t>
            </w:r>
            <w:r w:rsidRPr="007A41CB">
              <w:lastRenderedPageBreak/>
              <w:t>(SOTG)</w:t>
            </w:r>
            <w:r w:rsidR="00DF27BC" w:rsidRPr="004F0937">
              <w:t>, Settlement Only Distribution Energy Storage</w:t>
            </w:r>
            <w:r w:rsidR="00DF27BC">
              <w:t xml:space="preserve"> System</w:t>
            </w:r>
            <w:r w:rsidR="00DF27BC" w:rsidRPr="004F0937">
              <w:t xml:space="preserve"> (SODES</w:t>
            </w:r>
            <w:r w:rsidR="00DF27BC">
              <w:t>S</w:t>
            </w:r>
            <w:r w:rsidR="00DF27BC" w:rsidRPr="004F0937">
              <w:t>), or Settlement Only Transmission Energy Storage</w:t>
            </w:r>
            <w:r w:rsidR="00DF27BC">
              <w:t xml:space="preserve"> System</w:t>
            </w:r>
            <w:r w:rsidR="00DF27BC" w:rsidRPr="004F0937">
              <w:t xml:space="preserve"> (SOTES</w:t>
            </w:r>
            <w:r w:rsidR="00DF27BC">
              <w:t>S</w:t>
            </w:r>
            <w:r w:rsidR="00DF27BC" w:rsidRPr="004F0937">
              <w:t>)</w:t>
            </w:r>
            <w:r>
              <w:t>,</w:t>
            </w:r>
            <w:r w:rsidRPr="00FF47C6">
              <w:t xml:space="preserve"> using the Real-Time telemetry of net generation as the outflow estimate and the Real-Time Price for each SODG</w:t>
            </w:r>
            <w:r w:rsidR="00DF27BC">
              <w:t>,</w:t>
            </w:r>
            <w:r w:rsidRPr="00FF47C6">
              <w:t xml:space="preserve"> SOTG</w:t>
            </w:r>
            <w:r w:rsidR="00DF27BC" w:rsidRPr="004F0937">
              <w:t>, SODES</w:t>
            </w:r>
            <w:r w:rsidR="00DF27BC">
              <w:t>S</w:t>
            </w:r>
            <w:r w:rsidR="00DF27BC" w:rsidRPr="004F0937">
              <w:t xml:space="preserve">, or </w:t>
            </w:r>
            <w:r w:rsidR="00DF27BC" w:rsidRPr="00694393">
              <w:t>SOTES</w:t>
            </w:r>
            <w:r w:rsidR="00DF27BC">
              <w:t>S</w:t>
            </w:r>
            <w:r w:rsidRPr="00FF47C6">
              <w:t xml:space="preserve"> site</w:t>
            </w:r>
            <w:r w:rsidRPr="00B75A10">
              <w:t>;</w:t>
            </w:r>
          </w:p>
        </w:tc>
      </w:tr>
    </w:tbl>
    <w:p w14:paraId="585A3F67" w14:textId="357556FC" w:rsidR="00613851" w:rsidRPr="00613851" w:rsidRDefault="00613851" w:rsidP="003E021A">
      <w:pPr>
        <w:spacing w:before="240" w:after="240"/>
        <w:ind w:left="1440" w:hanging="720"/>
      </w:pPr>
      <w:r w:rsidRPr="00613851">
        <w:lastRenderedPageBreak/>
        <w:t>(</w:t>
      </w:r>
      <w:r w:rsidR="00D9164C">
        <w:t>f</w:t>
      </w:r>
      <w:r w:rsidRPr="00613851">
        <w:t>)</w:t>
      </w:r>
      <w:r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3D4" w14:paraId="66A49C17" w14:textId="77777777" w:rsidTr="005A32AC">
        <w:tc>
          <w:tcPr>
            <w:tcW w:w="9332" w:type="dxa"/>
            <w:shd w:val="pct12" w:color="auto" w:fill="auto"/>
          </w:tcPr>
          <w:p w14:paraId="4F0034F9" w14:textId="4068D94C" w:rsidR="004033D4" w:rsidRPr="0002450E" w:rsidRDefault="004033D4" w:rsidP="005A32AC">
            <w:pPr>
              <w:pStyle w:val="Instructions"/>
              <w:spacing w:before="120"/>
              <w:rPr>
                <w:iCs/>
              </w:rPr>
            </w:pPr>
            <w:bookmarkStart w:id="506" w:name="_Toc397670191"/>
            <w:bookmarkStart w:id="507" w:name="_Toc405805793"/>
            <w:bookmarkStart w:id="508" w:name="_Toc422205968"/>
            <w:r>
              <w:rPr>
                <w:iCs/>
              </w:rPr>
              <w:t>[NPRR1013</w:t>
            </w:r>
            <w:r w:rsidRPr="0002450E">
              <w:rPr>
                <w:iCs/>
              </w:rPr>
              <w:t xml:space="preserve">:  </w:t>
            </w:r>
            <w:r>
              <w:rPr>
                <w:iCs/>
              </w:rPr>
              <w:t>Insert items (</w:t>
            </w:r>
            <w:r w:rsidR="00D9164C">
              <w:rPr>
                <w:iCs/>
              </w:rPr>
              <w:t>g</w:t>
            </w:r>
            <w:r>
              <w:rPr>
                <w:iCs/>
              </w:rPr>
              <w:t>)-(</w:t>
            </w:r>
            <w:r w:rsidR="00D9164C">
              <w:rPr>
                <w:iCs/>
              </w:rPr>
              <w:t>k</w:t>
            </w:r>
            <w:r>
              <w:rPr>
                <w:iCs/>
              </w:rPr>
              <w:t>) below</w:t>
            </w:r>
            <w:r w:rsidRPr="0002450E">
              <w:rPr>
                <w:iCs/>
              </w:rPr>
              <w:t xml:space="preserve"> upon system implementation</w:t>
            </w:r>
            <w:r>
              <w:rPr>
                <w:iCs/>
              </w:rPr>
              <w:t xml:space="preserve"> of the Real-Time Co-Optimization (RTC) project and renumber accordingly</w:t>
            </w:r>
            <w:r w:rsidRPr="0002450E">
              <w:rPr>
                <w:iCs/>
              </w:rPr>
              <w:t xml:space="preserve">:] </w:t>
            </w:r>
          </w:p>
          <w:p w14:paraId="61C41706" w14:textId="11650A0F" w:rsidR="004033D4" w:rsidRDefault="004033D4" w:rsidP="004033D4">
            <w:pPr>
              <w:spacing w:after="240"/>
              <w:ind w:left="1440" w:hanging="720"/>
            </w:pPr>
            <w:r>
              <w:t>(</w:t>
            </w:r>
            <w:r w:rsidR="00D9164C">
              <w:t>g</w:t>
            </w:r>
            <w:r>
              <w:t>)</w:t>
            </w:r>
            <w:r>
              <w:tab/>
              <w:t xml:space="preserve">Section 6.7.5.1, Regulation Up Payments and Charges; </w:t>
            </w:r>
          </w:p>
          <w:p w14:paraId="3AB428CE" w14:textId="6C3FA5EE" w:rsidR="004033D4" w:rsidRDefault="004033D4" w:rsidP="004033D4">
            <w:pPr>
              <w:spacing w:after="240"/>
              <w:ind w:left="1440" w:hanging="720"/>
            </w:pPr>
            <w:r>
              <w:t>(</w:t>
            </w:r>
            <w:r w:rsidR="00D9164C">
              <w:t>h</w:t>
            </w:r>
            <w:r>
              <w:t>)</w:t>
            </w:r>
            <w:r>
              <w:tab/>
              <w:t xml:space="preserve">Section 6.7.5.2, Regulation Down Payments and Charges; </w:t>
            </w:r>
          </w:p>
          <w:p w14:paraId="2C8E48B2" w14:textId="60CD9C69" w:rsidR="004033D4" w:rsidRDefault="004033D4" w:rsidP="004033D4">
            <w:pPr>
              <w:spacing w:after="240"/>
              <w:ind w:left="1440" w:hanging="720"/>
            </w:pPr>
            <w:r>
              <w:t>(</w:t>
            </w:r>
            <w:r w:rsidR="00D9164C">
              <w:t>i</w:t>
            </w:r>
            <w:r>
              <w:t>)</w:t>
            </w:r>
            <w:r>
              <w:tab/>
              <w:t xml:space="preserve">Section 6.7.5.3, Responsive Reserve Payments and Charges; </w:t>
            </w:r>
          </w:p>
          <w:p w14:paraId="698790AE" w14:textId="4AF65936" w:rsidR="004033D4" w:rsidRDefault="004033D4" w:rsidP="004033D4">
            <w:pPr>
              <w:spacing w:after="240"/>
              <w:ind w:left="1440" w:hanging="720"/>
            </w:pPr>
            <w:r>
              <w:t>(</w:t>
            </w:r>
            <w:r w:rsidR="00D9164C">
              <w:t>j</w:t>
            </w:r>
            <w:r>
              <w:t>)</w:t>
            </w:r>
            <w:r>
              <w:tab/>
              <w:t>Section 6.7.5.4, Non-Spinning Reserve Payments and Charges; and</w:t>
            </w:r>
          </w:p>
          <w:p w14:paraId="55FD048E" w14:textId="67C94A20" w:rsidR="004033D4" w:rsidRPr="00B35DA1" w:rsidRDefault="004033D4" w:rsidP="004033D4">
            <w:pPr>
              <w:spacing w:after="240"/>
              <w:ind w:left="1440" w:hanging="720"/>
            </w:pPr>
            <w:r>
              <w:t>(</w:t>
            </w:r>
            <w:r w:rsidR="00D9164C">
              <w:t>k</w:t>
            </w:r>
            <w:r>
              <w:t>)</w:t>
            </w:r>
            <w:r>
              <w:tab/>
              <w:t>Section 6.7.5.5, ERCOT Contingency Reserve Service Payments and Charges.</w:t>
            </w:r>
          </w:p>
        </w:tc>
      </w:tr>
    </w:tbl>
    <w:p w14:paraId="193F3B9F" w14:textId="302DA1D7" w:rsidR="00613851" w:rsidRDefault="00613851" w:rsidP="0028136E">
      <w:pPr>
        <w:spacing w:before="240" w:after="240"/>
        <w:ind w:left="1440" w:hanging="720"/>
      </w:pPr>
      <w:r w:rsidRPr="00613851">
        <w:t>(</w:t>
      </w:r>
      <w:r w:rsidR="00D9164C">
        <w:t>g</w:t>
      </w:r>
      <w:r w:rsidRPr="00613851">
        <w:t>)</w:t>
      </w:r>
      <w:r w:rsidRPr="00613851">
        <w:tab/>
        <w:t>Section 7.9.2.1,</w:t>
      </w:r>
      <w:bookmarkEnd w:id="506"/>
      <w:bookmarkEnd w:id="507"/>
      <w:bookmarkEnd w:id="508"/>
      <w:r w:rsidRPr="00613851">
        <w:t xml:space="preserve"> Payments and Charges for PTP Obligations Settled in Real-Time.</w:t>
      </w:r>
    </w:p>
    <w:p w14:paraId="29DEF723" w14:textId="77777777" w:rsidR="009453A8" w:rsidRDefault="009453A8" w:rsidP="009453A8">
      <w:pPr>
        <w:keepNext/>
        <w:tabs>
          <w:tab w:val="left" w:pos="1620"/>
        </w:tabs>
        <w:spacing w:before="240" w:after="240"/>
        <w:outlineLvl w:val="4"/>
        <w:rPr>
          <w:b/>
          <w:bCs/>
          <w:i/>
          <w:iCs/>
          <w:szCs w:val="26"/>
        </w:rPr>
      </w:pPr>
      <w:bookmarkStart w:id="509" w:name="_Toc184623036"/>
      <w:r w:rsidRPr="00613851">
        <w:rPr>
          <w:b/>
          <w:bCs/>
          <w:i/>
          <w:iCs/>
          <w:szCs w:val="26"/>
        </w:rPr>
        <w:t>16.11.4.3.</w:t>
      </w:r>
      <w:r>
        <w:rPr>
          <w:b/>
          <w:bCs/>
          <w:i/>
          <w:iCs/>
          <w:szCs w:val="26"/>
        </w:rPr>
        <w:t>3</w:t>
      </w:r>
      <w:r w:rsidRPr="00613851">
        <w:rPr>
          <w:b/>
          <w:bCs/>
          <w:i/>
          <w:iCs/>
          <w:szCs w:val="26"/>
        </w:rPr>
        <w:tab/>
      </w:r>
      <w:r>
        <w:rPr>
          <w:b/>
          <w:bCs/>
          <w:i/>
          <w:iCs/>
          <w:szCs w:val="26"/>
        </w:rPr>
        <w:t>Forward Adjustment Factors</w:t>
      </w:r>
      <w:bookmarkEnd w:id="509"/>
    </w:p>
    <w:p w14:paraId="69BBD247" w14:textId="77777777" w:rsidR="009453A8" w:rsidRDefault="009453A8" w:rsidP="009453A8">
      <w:pPr>
        <w:keepNext/>
        <w:spacing w:after="240"/>
        <w:ind w:left="720" w:hanging="720"/>
        <w:rPr>
          <w:iCs/>
        </w:rPr>
      </w:pPr>
      <w:r>
        <w:rPr>
          <w:iCs/>
        </w:rPr>
        <w:t>(1)</w:t>
      </w:r>
      <w:r>
        <w:rPr>
          <w:iCs/>
        </w:rPr>
        <w:tab/>
        <w:t>Forward adjustment factors are used to adjust TPEA based on electricity futures prices.</w:t>
      </w:r>
    </w:p>
    <w:p w14:paraId="657EE274" w14:textId="77777777" w:rsidR="009453A8" w:rsidRDefault="009453A8" w:rsidP="009453A8">
      <w:pPr>
        <w:keepNext/>
        <w:spacing w:after="240"/>
        <w:ind w:left="1440" w:hanging="720"/>
        <w:rPr>
          <w:iCs/>
        </w:rPr>
      </w:pPr>
      <w:r>
        <w:rPr>
          <w:iCs/>
        </w:rPr>
        <w:t>(a)</w:t>
      </w:r>
      <w:r>
        <w:rPr>
          <w:iCs/>
        </w:rPr>
        <w:tab/>
        <w:t xml:space="preserve">Futures Weekly Average Price (FWAP): </w:t>
      </w:r>
    </w:p>
    <w:p w14:paraId="4FC27539" w14:textId="10BAC73C" w:rsidR="009453A8" w:rsidRPr="004143EA" w:rsidRDefault="009453A8" w:rsidP="009453A8">
      <w:pPr>
        <w:spacing w:after="240"/>
      </w:pPr>
      <w:r>
        <w:rPr>
          <w:iCs/>
        </w:rPr>
        <w:tab/>
      </w:r>
      <w:r>
        <w:rPr>
          <w:iCs/>
        </w:rPr>
        <w:tab/>
        <w:t>FWAP</w:t>
      </w:r>
      <w:r w:rsidRPr="006B56FB">
        <w:rPr>
          <w:i/>
          <w:iCs/>
          <w:vertAlign w:val="subscript"/>
        </w:rPr>
        <w:t>w</w:t>
      </w:r>
      <w:r>
        <w:rPr>
          <w:iCs/>
        </w:rPr>
        <w:t xml:space="preserve"> = (1/</w:t>
      </w:r>
      <w:r w:rsidRPr="00934A67">
        <w:rPr>
          <w:i/>
          <w:iCs/>
        </w:rPr>
        <w:t>nfwh</w:t>
      </w:r>
      <w:r>
        <w:rPr>
          <w:iCs/>
        </w:rPr>
        <w:t xml:space="preserve">) * </w:t>
      </w:r>
      <w:r w:rsidRPr="005D40CD">
        <w:rPr>
          <w:iCs/>
        </w:rPr>
        <w:fldChar w:fldCharType="begin"/>
      </w:r>
      <w:r w:rsidRPr="005D40CD">
        <w:rPr>
          <w:iCs/>
        </w:rPr>
        <w:instrText xml:space="preserve"> QUOTE </w:instrText>
      </w:r>
      <m:oMath>
        <m:nary>
          <m:naryPr>
            <m:chr m:val="∑"/>
            <m:limLoc m:val="undOvr"/>
            <m:ctrlPr>
              <w:rPr>
                <w:rFonts w:ascii="Cambria Math" w:hAnsi="Cambria Math"/>
                <w:i/>
                <w:iCs/>
              </w:rPr>
            </m:ctrlPr>
          </m:naryPr>
          <m:sub>
            <m:r>
              <m:rPr>
                <m:sty m:val="p"/>
              </m:rPr>
              <w:rPr>
                <w:rFonts w:ascii="Cambria Math" w:hAnsi="Cambria Math"/>
              </w:rPr>
              <m:t>fwh=1</m:t>
            </m:r>
          </m:sub>
          <m:sup>
            <m:r>
              <m:rPr>
                <m:sty m:val="p"/>
              </m:rPr>
              <w:rPr>
                <w:rFonts w:ascii="Cambria Math" w:hAnsi="Cambria Math"/>
              </w:rPr>
              <m:t>nfwh</m:t>
            </m:r>
          </m:sup>
          <m:e/>
        </m:nary>
      </m:oMath>
      <w:r w:rsidRPr="005D40CD">
        <w:rPr>
          <w:iCs/>
        </w:rPr>
        <w:instrText xml:space="preserve"> </w:instrText>
      </w:r>
      <w:r w:rsidRPr="005D40CD">
        <w:rPr>
          <w:iCs/>
        </w:rPr>
        <w:fldChar w:fldCharType="end"/>
      </w:r>
      <m:oMath>
        <m:nary>
          <m:naryPr>
            <m:chr m:val="∑"/>
            <m:limLoc m:val="undOvr"/>
            <m:ctrlPr>
              <w:rPr>
                <w:rFonts w:ascii="Cambria Math" w:hAnsi="Cambria Math"/>
                <w:i/>
                <w:iCs/>
              </w:rPr>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rPr>
              <m:t>[</m:t>
            </m:r>
          </m:e>
        </m:nary>
      </m:oMath>
      <w:r w:rsidRPr="005035F1">
        <w:rPr>
          <w:iCs/>
        </w:rPr>
        <w:t xml:space="preserve">FHP </w:t>
      </w:r>
      <w:r w:rsidRPr="005035F1">
        <w:rPr>
          <w:i/>
          <w:iCs/>
          <w:vertAlign w:val="subscript"/>
        </w:rPr>
        <w:t>fwh, rhub</w:t>
      </w:r>
      <w:r>
        <w:rPr>
          <w:iCs/>
        </w:rPr>
        <w:t>]</w:t>
      </w:r>
    </w:p>
    <w:p w14:paraId="7217F9EC" w14:textId="77777777" w:rsidR="009453A8" w:rsidRDefault="009453A8" w:rsidP="009453A8">
      <w:pPr>
        <w:keepNext/>
        <w:spacing w:after="240"/>
        <w:ind w:left="1440" w:hanging="720"/>
        <w:rPr>
          <w:iCs/>
        </w:rPr>
      </w:pPr>
      <w:r>
        <w:rPr>
          <w:iCs/>
        </w:rPr>
        <w:t>(b)</w:t>
      </w:r>
      <w:r>
        <w:rPr>
          <w:iCs/>
        </w:rPr>
        <w:tab/>
        <w:t xml:space="preserve">Projected Real-Time Forward Average Price (PRFAP): </w:t>
      </w:r>
    </w:p>
    <w:p w14:paraId="1CDBDA5B" w14:textId="6879FEF8" w:rsidR="009453A8" w:rsidRPr="006B56FB" w:rsidRDefault="009453A8" w:rsidP="009453A8">
      <w:pPr>
        <w:spacing w:after="240"/>
        <w:rPr>
          <w:iCs/>
        </w:rPr>
      </w:pPr>
      <w:r>
        <w:rPr>
          <w:iCs/>
        </w:rPr>
        <w:tab/>
      </w:r>
      <w:r>
        <w:rPr>
          <w:iCs/>
        </w:rPr>
        <w:tab/>
        <w:t>PRFAP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5035F1">
        <w:rPr>
          <w:i/>
          <w:iCs/>
        </w:rPr>
        <w:t xml:space="preserve">RWF </w:t>
      </w:r>
      <w:r w:rsidRPr="005035F1">
        <w:rPr>
          <w:i/>
          <w:iCs/>
          <w:vertAlign w:val="subscript"/>
        </w:rPr>
        <w:t>w</w:t>
      </w:r>
      <w:r w:rsidRPr="005035F1">
        <w:rPr>
          <w:iCs/>
        </w:rPr>
        <w:t xml:space="preserve"> * FWAP </w:t>
      </w:r>
      <w:r w:rsidRPr="005035F1">
        <w:rPr>
          <w:i/>
          <w:iCs/>
          <w:vertAlign w:val="subscript"/>
        </w:rPr>
        <w:t>w</w:t>
      </w:r>
      <w:r w:rsidRPr="005035F1">
        <w:rPr>
          <w:iCs/>
        </w:rPr>
        <w:t>]</w:t>
      </w:r>
    </w:p>
    <w:p w14:paraId="3954A635" w14:textId="77777777" w:rsidR="009453A8" w:rsidRDefault="009453A8" w:rsidP="009453A8">
      <w:pPr>
        <w:keepNext/>
        <w:spacing w:after="240"/>
        <w:ind w:left="1440" w:hanging="720"/>
        <w:rPr>
          <w:iCs/>
        </w:rPr>
      </w:pPr>
      <w:r>
        <w:rPr>
          <w:iCs/>
        </w:rPr>
        <w:t>(c)</w:t>
      </w:r>
      <w:r>
        <w:rPr>
          <w:iCs/>
        </w:rPr>
        <w:tab/>
        <w:t xml:space="preserve">Projected Day-Ahead Forward Average Price (PDFAP): </w:t>
      </w:r>
    </w:p>
    <w:p w14:paraId="7F790E3A" w14:textId="7DE520C3" w:rsidR="009453A8" w:rsidRDefault="009453A8" w:rsidP="009453A8">
      <w:pPr>
        <w:keepNext/>
        <w:spacing w:after="240"/>
        <w:ind w:left="1440"/>
        <w:rPr>
          <w:iCs/>
        </w:rPr>
      </w:pPr>
      <w:r>
        <w:rPr>
          <w:iCs/>
        </w:rPr>
        <w:t>PDFAP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6B56FB">
        <w:rPr>
          <w:i/>
          <w:iCs/>
        </w:rPr>
        <w:t>D</w:t>
      </w:r>
      <w:r w:rsidRPr="005035F1">
        <w:rPr>
          <w:i/>
          <w:iCs/>
        </w:rPr>
        <w:t xml:space="preserve">WF </w:t>
      </w:r>
      <w:r w:rsidRPr="005035F1">
        <w:rPr>
          <w:i/>
          <w:iCs/>
          <w:vertAlign w:val="subscript"/>
        </w:rPr>
        <w:t>w</w:t>
      </w:r>
      <w:r w:rsidRPr="005035F1">
        <w:rPr>
          <w:iCs/>
        </w:rPr>
        <w:t xml:space="preserve"> * FWAP </w:t>
      </w:r>
      <w:r w:rsidRPr="005035F1">
        <w:rPr>
          <w:i/>
          <w:iCs/>
          <w:vertAlign w:val="subscript"/>
        </w:rPr>
        <w:t>w</w:t>
      </w:r>
      <w:r w:rsidRPr="005035F1">
        <w:rPr>
          <w:iCs/>
        </w:rPr>
        <w:t>]</w:t>
      </w:r>
    </w:p>
    <w:p w14:paraId="6223B224" w14:textId="77777777" w:rsidR="009453A8" w:rsidRDefault="009453A8" w:rsidP="009453A8">
      <w:pPr>
        <w:keepNext/>
        <w:spacing w:after="240"/>
        <w:ind w:left="1440" w:hanging="720"/>
        <w:rPr>
          <w:iCs/>
        </w:rPr>
      </w:pPr>
      <w:r>
        <w:rPr>
          <w:iCs/>
        </w:rPr>
        <w:t>(d)</w:t>
      </w:r>
      <w:r>
        <w:rPr>
          <w:iCs/>
        </w:rPr>
        <w:tab/>
        <w:t xml:space="preserve">Historic Real-Time Settled Average Price (HRSAP): </w:t>
      </w:r>
    </w:p>
    <w:p w14:paraId="0E75FEA6" w14:textId="04B2A5DC" w:rsidR="009453A8" w:rsidRPr="005035F1" w:rsidRDefault="009453A8" w:rsidP="009453A8">
      <w:pPr>
        <w:spacing w:after="240"/>
        <w:rPr>
          <w:i/>
          <w:iCs/>
          <w:vertAlign w:val="subscript"/>
        </w:rPr>
      </w:pPr>
      <w:r>
        <w:rPr>
          <w:iCs/>
        </w:rPr>
        <w:tab/>
      </w:r>
      <w:r>
        <w:rPr>
          <w:iCs/>
        </w:rPr>
        <w:tab/>
        <w:t>HRSAP = (1/</w:t>
      </w:r>
      <w:r w:rsidRPr="00934A67">
        <w:rPr>
          <w:i/>
          <w:iCs/>
        </w:rPr>
        <w:t>nhr</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4</m:t>
                </m:r>
              </m:sup>
              <m:e>
                <m:r>
                  <m:rPr>
                    <m:sty m:val="p"/>
                  </m:rPr>
                  <w:rPr>
                    <w:rFonts w:ascii="Cambria Math" w:hAnsi="Cambria Math"/>
                  </w:rPr>
                  <m:t>[</m:t>
                </m:r>
              </m:e>
            </m:nary>
          </m:e>
        </m:nary>
      </m:oMath>
      <w:r w:rsidRPr="005035F1">
        <w:rPr>
          <w:iCs/>
        </w:rPr>
        <w:t>RTSPP</w:t>
      </w:r>
      <w:r w:rsidRPr="005035F1">
        <w:rPr>
          <w:i/>
          <w:iCs/>
        </w:rPr>
        <w:t xml:space="preserve"> </w:t>
      </w:r>
      <w:r w:rsidRPr="005035F1">
        <w:rPr>
          <w:i/>
          <w:iCs/>
          <w:vertAlign w:val="subscript"/>
        </w:rPr>
        <w:t xml:space="preserve">hrh, </w:t>
      </w:r>
      <w:r>
        <w:rPr>
          <w:i/>
          <w:iCs/>
          <w:vertAlign w:val="subscript"/>
        </w:rPr>
        <w:t>i</w:t>
      </w:r>
      <w:r w:rsidRPr="005035F1">
        <w:rPr>
          <w:i/>
          <w:iCs/>
          <w:vertAlign w:val="subscript"/>
        </w:rPr>
        <w:t>, rhub</w:t>
      </w:r>
      <w:r w:rsidRPr="005035F1">
        <w:rPr>
          <w:iCs/>
        </w:rPr>
        <w:t>]/4</w:t>
      </w:r>
    </w:p>
    <w:p w14:paraId="5FB6EB89" w14:textId="77777777" w:rsidR="009453A8" w:rsidRDefault="009453A8" w:rsidP="009453A8">
      <w:pPr>
        <w:keepNext/>
        <w:spacing w:after="240"/>
        <w:ind w:left="1440" w:hanging="720"/>
        <w:rPr>
          <w:iCs/>
        </w:rPr>
      </w:pPr>
      <w:r>
        <w:rPr>
          <w:iCs/>
        </w:rPr>
        <w:t>(e)</w:t>
      </w:r>
      <w:r>
        <w:rPr>
          <w:iCs/>
        </w:rPr>
        <w:tab/>
        <w:t xml:space="preserve">Historic Day-Ahead Settled Average Price (HDSAP): </w:t>
      </w:r>
    </w:p>
    <w:p w14:paraId="0776E0AE" w14:textId="25DBD953" w:rsidR="009453A8" w:rsidRPr="005035F1" w:rsidRDefault="009453A8" w:rsidP="009453A8">
      <w:pPr>
        <w:spacing w:after="240"/>
        <w:rPr>
          <w:i/>
          <w:iCs/>
          <w:vertAlign w:val="subscript"/>
        </w:rPr>
      </w:pPr>
      <w:r>
        <w:rPr>
          <w:iCs/>
        </w:rPr>
        <w:tab/>
      </w:r>
      <w:r>
        <w:rPr>
          <w:iCs/>
        </w:rPr>
        <w:tab/>
        <w:t>HDSAP = (1/</w:t>
      </w:r>
      <w:r w:rsidRPr="007D0D4F">
        <w:rPr>
          <w:i/>
          <w:iCs/>
        </w:rPr>
        <w:t>nh</w:t>
      </w:r>
      <w:r>
        <w:rPr>
          <w:i/>
          <w:iCs/>
        </w:rPr>
        <w:t>d</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hdh=</m:t>
            </m:r>
            <m:r>
              <w:rPr>
                <w:rFonts w:ascii="Cambria Math" w:hAnsi="Cambria Math"/>
              </w:rPr>
              <m:t>1</m:t>
            </m:r>
          </m:sub>
          <m:sup>
            <m:r>
              <w:rPr>
                <w:rFonts w:ascii="Cambria Math" w:hAnsi="Cambria Math"/>
              </w:rPr>
              <m:t>nhdh</m:t>
            </m:r>
          </m:sup>
          <m:e>
            <m:r>
              <m:rPr>
                <m:sty m:val="p"/>
              </m:rPr>
              <w:rPr>
                <w:rFonts w:ascii="Cambria Math" w:hAnsi="Cambria Math"/>
              </w:rPr>
              <m:t>[</m:t>
            </m:r>
          </m:e>
        </m:nary>
      </m:oMath>
      <w:r w:rsidRPr="005035F1">
        <w:rPr>
          <w:iCs/>
        </w:rPr>
        <w:t>DASPP</w:t>
      </w:r>
      <w:r w:rsidRPr="005035F1">
        <w:rPr>
          <w:i/>
          <w:iCs/>
        </w:rPr>
        <w:t xml:space="preserve"> </w:t>
      </w:r>
      <w:r w:rsidRPr="005035F1">
        <w:rPr>
          <w:i/>
          <w:iCs/>
          <w:vertAlign w:val="subscript"/>
        </w:rPr>
        <w:t>hdh, rhub</w:t>
      </w:r>
      <w:r w:rsidRPr="005035F1">
        <w:rPr>
          <w:iCs/>
        </w:rPr>
        <w:t>]</w:t>
      </w:r>
    </w:p>
    <w:p w14:paraId="76963AFD" w14:textId="77777777" w:rsidR="009453A8" w:rsidRDefault="009453A8" w:rsidP="009453A8">
      <w:pPr>
        <w:keepNext/>
        <w:spacing w:after="240"/>
        <w:ind w:left="1440" w:hanging="720"/>
        <w:rPr>
          <w:iCs/>
        </w:rPr>
      </w:pPr>
      <w:r>
        <w:rPr>
          <w:iCs/>
        </w:rPr>
        <w:lastRenderedPageBreak/>
        <w:t>(f)</w:t>
      </w:r>
      <w:r>
        <w:rPr>
          <w:iCs/>
        </w:rPr>
        <w:tab/>
      </w:r>
      <w:r w:rsidRPr="00CB1534">
        <w:rPr>
          <w:iCs/>
        </w:rPr>
        <w:t xml:space="preserve">Real-Time Forward Adjustment Factor (RFAF): </w:t>
      </w:r>
    </w:p>
    <w:p w14:paraId="7C61FC8F" w14:textId="77777777" w:rsidR="009453A8" w:rsidRDefault="009453A8" w:rsidP="009453A8">
      <w:pPr>
        <w:keepNext/>
        <w:spacing w:after="240"/>
        <w:ind w:left="1440" w:hanging="720"/>
        <w:rPr>
          <w:iCs/>
        </w:rPr>
      </w:pPr>
      <w:r>
        <w:rPr>
          <w:iCs/>
        </w:rPr>
        <w:tab/>
      </w:r>
      <w:r w:rsidRPr="00CB1534">
        <w:rPr>
          <w:iCs/>
        </w:rPr>
        <w:t>RFAF = P</w:t>
      </w:r>
      <w:r>
        <w:rPr>
          <w:iCs/>
        </w:rPr>
        <w:t>R</w:t>
      </w:r>
      <w:r w:rsidRPr="00CB1534">
        <w:rPr>
          <w:iCs/>
        </w:rPr>
        <w:t>FAP/HRSAP</w:t>
      </w:r>
    </w:p>
    <w:p w14:paraId="5622F581" w14:textId="77777777" w:rsidR="009453A8" w:rsidRDefault="009453A8" w:rsidP="009453A8">
      <w:pPr>
        <w:keepNext/>
        <w:spacing w:after="240"/>
        <w:ind w:left="1440" w:hanging="720"/>
        <w:rPr>
          <w:iCs/>
        </w:rPr>
      </w:pPr>
      <w:r>
        <w:rPr>
          <w:iCs/>
        </w:rPr>
        <w:t>(g)</w:t>
      </w:r>
      <w:r>
        <w:rPr>
          <w:iCs/>
        </w:rPr>
        <w:tab/>
        <w:t>Day-Ahead Forward Adjustment Factor (DFAF):</w:t>
      </w:r>
    </w:p>
    <w:p w14:paraId="163143F0" w14:textId="77777777" w:rsidR="009453A8" w:rsidRDefault="009453A8" w:rsidP="009453A8">
      <w:pPr>
        <w:keepNext/>
        <w:spacing w:after="240"/>
        <w:ind w:left="1440" w:hanging="720"/>
      </w:pPr>
      <w:r>
        <w:rPr>
          <w:iCs/>
        </w:rPr>
        <w:tab/>
        <w:t xml:space="preserve">DFAF = PDFAP/HDSAP </w:t>
      </w:r>
    </w:p>
    <w:p w14:paraId="7B07FB24" w14:textId="77777777" w:rsidR="009453A8" w:rsidRDefault="009453A8" w:rsidP="009453A8">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9453A8" w14:paraId="72692938" w14:textId="77777777" w:rsidTr="005551AD">
        <w:tc>
          <w:tcPr>
            <w:tcW w:w="1264" w:type="dxa"/>
          </w:tcPr>
          <w:p w14:paraId="7C3A93AD" w14:textId="77777777" w:rsidR="009453A8" w:rsidRDefault="009453A8" w:rsidP="005551AD">
            <w:pPr>
              <w:pStyle w:val="TableHead"/>
            </w:pPr>
            <w:r>
              <w:t>Variable</w:t>
            </w:r>
          </w:p>
        </w:tc>
        <w:tc>
          <w:tcPr>
            <w:tcW w:w="899" w:type="dxa"/>
          </w:tcPr>
          <w:p w14:paraId="6E4060EF" w14:textId="77777777" w:rsidR="009453A8" w:rsidRDefault="009453A8" w:rsidP="005551AD">
            <w:pPr>
              <w:pStyle w:val="TableHead"/>
            </w:pPr>
            <w:r>
              <w:t>Unit</w:t>
            </w:r>
          </w:p>
        </w:tc>
        <w:tc>
          <w:tcPr>
            <w:tcW w:w="7107" w:type="dxa"/>
          </w:tcPr>
          <w:p w14:paraId="36D3B23A" w14:textId="77777777" w:rsidR="009453A8" w:rsidRDefault="009453A8" w:rsidP="005551AD">
            <w:pPr>
              <w:pStyle w:val="TableHead"/>
            </w:pPr>
            <w:r>
              <w:t>Description</w:t>
            </w:r>
          </w:p>
        </w:tc>
      </w:tr>
      <w:tr w:rsidR="009453A8" w14:paraId="18ABD624" w14:textId="77777777" w:rsidTr="005551AD">
        <w:tc>
          <w:tcPr>
            <w:tcW w:w="1264" w:type="dxa"/>
          </w:tcPr>
          <w:p w14:paraId="475F347E" w14:textId="77777777" w:rsidR="009453A8" w:rsidRDefault="009453A8" w:rsidP="005551AD">
            <w:pPr>
              <w:pStyle w:val="TableBody"/>
            </w:pPr>
            <w:r>
              <w:t>PRFAP</w:t>
            </w:r>
          </w:p>
        </w:tc>
        <w:tc>
          <w:tcPr>
            <w:tcW w:w="899" w:type="dxa"/>
          </w:tcPr>
          <w:p w14:paraId="2A6D9606" w14:textId="77777777" w:rsidR="009453A8" w:rsidRDefault="009453A8" w:rsidP="005551AD">
            <w:pPr>
              <w:pStyle w:val="TableBody"/>
              <w:rPr>
                <w:i/>
              </w:rPr>
            </w:pPr>
            <w:r>
              <w:t>$/MWh</w:t>
            </w:r>
          </w:p>
        </w:tc>
        <w:tc>
          <w:tcPr>
            <w:tcW w:w="7107" w:type="dxa"/>
          </w:tcPr>
          <w:p w14:paraId="49212C43" w14:textId="77777777" w:rsidR="009453A8" w:rsidRDefault="009453A8" w:rsidP="005551AD">
            <w:pPr>
              <w:pStyle w:val="TableBody"/>
            </w:pPr>
            <w:r>
              <w:rPr>
                <w:i/>
              </w:rPr>
              <w:t>Projected Real-Time Forward Average Price</w:t>
            </w:r>
            <w:r>
              <w:sym w:font="Symbol" w:char="F0BE"/>
            </w:r>
            <w:r>
              <w:t>The average RTM price per MWh projected forward based on futures market prices.</w:t>
            </w:r>
          </w:p>
        </w:tc>
      </w:tr>
      <w:tr w:rsidR="009453A8" w14:paraId="60681ACE" w14:textId="77777777" w:rsidTr="005551AD">
        <w:tc>
          <w:tcPr>
            <w:tcW w:w="1264" w:type="dxa"/>
          </w:tcPr>
          <w:p w14:paraId="1342E7B7" w14:textId="77777777" w:rsidR="009453A8" w:rsidRDefault="009453A8" w:rsidP="005551AD">
            <w:pPr>
              <w:pStyle w:val="TableBody"/>
            </w:pPr>
            <w:r>
              <w:t>PDFAP</w:t>
            </w:r>
          </w:p>
        </w:tc>
        <w:tc>
          <w:tcPr>
            <w:tcW w:w="899" w:type="dxa"/>
          </w:tcPr>
          <w:p w14:paraId="08C019A5" w14:textId="77777777" w:rsidR="009453A8" w:rsidRDefault="009453A8" w:rsidP="005551AD">
            <w:pPr>
              <w:pStyle w:val="TableBody"/>
            </w:pPr>
            <w:r>
              <w:t>$/MWh</w:t>
            </w:r>
          </w:p>
        </w:tc>
        <w:tc>
          <w:tcPr>
            <w:tcW w:w="7107" w:type="dxa"/>
          </w:tcPr>
          <w:p w14:paraId="4CA49154" w14:textId="77777777" w:rsidR="009453A8" w:rsidRDefault="009453A8" w:rsidP="005551AD">
            <w:pPr>
              <w:pStyle w:val="TableBody"/>
              <w:rPr>
                <w:i/>
              </w:rPr>
            </w:pPr>
            <w:r>
              <w:rPr>
                <w:i/>
              </w:rPr>
              <w:t>Projected Day-Ahead Forward Average Price</w:t>
            </w:r>
            <w:r>
              <w:sym w:font="Symbol" w:char="F0BE"/>
            </w:r>
            <w:r>
              <w:t>The average DAM price per MWh projected forward based on futures market prices.</w:t>
            </w:r>
          </w:p>
        </w:tc>
      </w:tr>
      <w:tr w:rsidR="009453A8" w14:paraId="38A74898" w14:textId="77777777" w:rsidTr="005551AD">
        <w:tc>
          <w:tcPr>
            <w:tcW w:w="1264" w:type="dxa"/>
          </w:tcPr>
          <w:p w14:paraId="14D94221" w14:textId="77777777" w:rsidR="009453A8" w:rsidRDefault="009453A8" w:rsidP="005551AD">
            <w:pPr>
              <w:pStyle w:val="TableBody"/>
            </w:pPr>
            <w:r>
              <w:rPr>
                <w:i/>
              </w:rPr>
              <w:t>w</w:t>
            </w:r>
          </w:p>
        </w:tc>
        <w:tc>
          <w:tcPr>
            <w:tcW w:w="899" w:type="dxa"/>
          </w:tcPr>
          <w:p w14:paraId="6DCAB80A" w14:textId="77777777" w:rsidR="009453A8" w:rsidRDefault="009453A8" w:rsidP="005551AD">
            <w:pPr>
              <w:pStyle w:val="TableBody"/>
            </w:pPr>
            <w:r>
              <w:t>None</w:t>
            </w:r>
          </w:p>
        </w:tc>
        <w:tc>
          <w:tcPr>
            <w:tcW w:w="7107" w:type="dxa"/>
          </w:tcPr>
          <w:p w14:paraId="15033F7D" w14:textId="6EB2B123" w:rsidR="009453A8" w:rsidRPr="006B56FB" w:rsidRDefault="009453A8" w:rsidP="00A9389C">
            <w:pPr>
              <w:pStyle w:val="TableBody"/>
            </w:pPr>
            <w:r w:rsidRPr="006B56FB">
              <w:t>One of the three consecutive</w:t>
            </w:r>
            <w:r>
              <w:t xml:space="preserve"> </w:t>
            </w:r>
            <w:r w:rsidRPr="006B56FB">
              <w:t xml:space="preserve">forward weeks </w:t>
            </w:r>
            <w:r w:rsidR="00A9389C">
              <w:t>beginning with</w:t>
            </w:r>
            <w:r w:rsidRPr="006B56FB">
              <w:t xml:space="preserve"> the current Operating Day.</w:t>
            </w:r>
          </w:p>
        </w:tc>
      </w:tr>
      <w:tr w:rsidR="009453A8" w14:paraId="72D82C44" w14:textId="77777777" w:rsidTr="005551AD">
        <w:tc>
          <w:tcPr>
            <w:tcW w:w="1264" w:type="dxa"/>
          </w:tcPr>
          <w:p w14:paraId="0498D32D" w14:textId="77777777" w:rsidR="009453A8" w:rsidRPr="0021233C" w:rsidRDefault="009453A8" w:rsidP="005551AD">
            <w:pPr>
              <w:pStyle w:val="TableBody"/>
            </w:pPr>
            <w:r w:rsidRPr="006B56FB">
              <w:rPr>
                <w:i/>
              </w:rPr>
              <w:t>RWF</w:t>
            </w:r>
            <w:r w:rsidRPr="00240B9F">
              <w:rPr>
                <w:i/>
                <w:vertAlign w:val="subscript"/>
              </w:rPr>
              <w:t>w</w:t>
            </w:r>
          </w:p>
        </w:tc>
        <w:tc>
          <w:tcPr>
            <w:tcW w:w="899" w:type="dxa"/>
          </w:tcPr>
          <w:p w14:paraId="75EA24A9" w14:textId="77777777" w:rsidR="009453A8" w:rsidRDefault="009453A8" w:rsidP="005551AD">
            <w:pPr>
              <w:pStyle w:val="TableBody"/>
            </w:pPr>
            <w:r>
              <w:t>None</w:t>
            </w:r>
          </w:p>
        </w:tc>
        <w:tc>
          <w:tcPr>
            <w:tcW w:w="7107" w:type="dxa"/>
          </w:tcPr>
          <w:p w14:paraId="328D53E4" w14:textId="77777777" w:rsidR="009453A8" w:rsidRDefault="009453A8" w:rsidP="005551AD">
            <w:pPr>
              <w:pStyle w:val="TableBody"/>
              <w:rPr>
                <w:i/>
              </w:rPr>
            </w:pPr>
            <w:r>
              <w:rPr>
                <w:i/>
              </w:rPr>
              <w:t xml:space="preserve">Real-Time Weight Factor for forward week w </w:t>
            </w:r>
            <w:r>
              <w:rPr>
                <w:iCs w:val="0"/>
              </w:rPr>
              <w:t xml:space="preserve">such that </w:t>
            </w:r>
            <w:r w:rsidRPr="0086681B">
              <w:rPr>
                <w:rFonts w:ascii="Cambria Math" w:hAnsi="Cambria Math"/>
              </w:rPr>
              <w:br/>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RW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r w:rsidRPr="00B77CA9">
              <w:fldChar w:fldCharType="begin"/>
            </w:r>
            <w:r w:rsidRPr="00B77CA9">
              <w:instrText xml:space="preserve"> QUOTE </w:instrText>
            </w:r>
            <m:oMath>
              <m:nary>
                <m:naryPr>
                  <m:chr m:val="∑"/>
                  <m:limLoc m:val="undOvr"/>
                  <m:ctrlPr>
                    <w:rPr>
                      <w:rFonts w:ascii="Cambria Math" w:hAnsi="Cambria Math"/>
                      <w:i/>
                    </w:rPr>
                  </m:ctrlPr>
                </m:naryPr>
                <m:sub>
                  <m:r>
                    <m:rPr>
                      <m:sty m:val="p"/>
                    </m:rPr>
                    <w:rPr>
                      <w:rFonts w:ascii="Cambria Math" w:hAnsi="Cambria Math"/>
                    </w:rPr>
                    <m:t>w=1</m:t>
                  </m:r>
                </m:sub>
                <m:sup>
                  <m:r>
                    <m:rPr>
                      <m:sty m:val="p"/>
                    </m:rPr>
                    <w:rPr>
                      <w:rFonts w:ascii="Cambria Math" w:hAnsi="Cambria Math"/>
                    </w:rPr>
                    <m:t>3</m:t>
                  </m:r>
                </m:sup>
                <m:e>
                  <m:r>
                    <m:rPr>
                      <m:sty m:val="p"/>
                    </m:rPr>
                    <w:rPr>
                      <w:rFonts w:ascii="Cambria Math" w:hAnsi="Cambria Math"/>
                    </w:rPr>
                    <m:t>w</m:t>
                  </m:r>
                </m:e>
              </m:nary>
              <m:r>
                <m:rPr>
                  <m:sty m:val="p"/>
                </m:rPr>
                <w:rPr>
                  <w:rFonts w:ascii="Cambria Math" w:hAnsi="Cambria Math"/>
                </w:rPr>
                <m:t>=1</m:t>
              </m:r>
            </m:oMath>
            <w:r w:rsidRPr="00B77CA9">
              <w:instrText xml:space="preserve"> </w:instrText>
            </w:r>
            <w:r w:rsidRPr="00B77CA9">
              <w:fldChar w:fldCharType="end"/>
            </w:r>
          </w:p>
        </w:tc>
      </w:tr>
      <w:tr w:rsidR="009453A8" w14:paraId="40D55130" w14:textId="77777777" w:rsidTr="005551AD">
        <w:tc>
          <w:tcPr>
            <w:tcW w:w="1264" w:type="dxa"/>
          </w:tcPr>
          <w:p w14:paraId="6A270FC2" w14:textId="77777777" w:rsidR="009453A8" w:rsidRDefault="009453A8" w:rsidP="005551AD">
            <w:pPr>
              <w:pStyle w:val="TableBody"/>
              <w:rPr>
                <w:i/>
              </w:rPr>
            </w:pPr>
            <w:r w:rsidRPr="006B56FB">
              <w:rPr>
                <w:i/>
              </w:rPr>
              <w:t>DWF</w:t>
            </w:r>
            <w:r w:rsidRPr="00240B9F">
              <w:rPr>
                <w:i/>
                <w:vertAlign w:val="subscript"/>
              </w:rPr>
              <w:t>w</w:t>
            </w:r>
          </w:p>
        </w:tc>
        <w:tc>
          <w:tcPr>
            <w:tcW w:w="899" w:type="dxa"/>
          </w:tcPr>
          <w:p w14:paraId="77946468" w14:textId="77777777" w:rsidR="009453A8" w:rsidRDefault="009453A8" w:rsidP="005551AD">
            <w:pPr>
              <w:pStyle w:val="TableBody"/>
            </w:pPr>
            <w:r>
              <w:t>None</w:t>
            </w:r>
          </w:p>
        </w:tc>
        <w:tc>
          <w:tcPr>
            <w:tcW w:w="7107" w:type="dxa"/>
          </w:tcPr>
          <w:p w14:paraId="71F8661D" w14:textId="77777777" w:rsidR="00EC3B71" w:rsidRDefault="009453A8" w:rsidP="00EC3B71">
            <w:pPr>
              <w:pStyle w:val="TableBody"/>
              <w:rPr>
                <w:iCs w:val="0"/>
              </w:rPr>
            </w:pPr>
            <w:r>
              <w:rPr>
                <w:i/>
              </w:rPr>
              <w:t xml:space="preserve">Day-Ahead Weight Factor for forward week w </w:t>
            </w:r>
            <w:r>
              <w:rPr>
                <w:iCs w:val="0"/>
              </w:rPr>
              <w:t>such that</w:t>
            </w:r>
          </w:p>
          <w:p w14:paraId="12DCEF4E" w14:textId="64C804E3" w:rsidR="009453A8" w:rsidRPr="00EC3B71" w:rsidRDefault="009453A8" w:rsidP="00EC3B71">
            <w:pPr>
              <w:pStyle w:val="TableBody"/>
              <w:rPr>
                <w:i/>
              </w:rPr>
            </w:pPr>
            <w:r>
              <w:rPr>
                <w:iCs w:val="0"/>
              </w:rPr>
              <w:t xml:space="preserve"> </w:t>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DW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9453A8" w14:paraId="369BE066" w14:textId="77777777" w:rsidTr="005551AD">
        <w:tc>
          <w:tcPr>
            <w:tcW w:w="1264" w:type="dxa"/>
          </w:tcPr>
          <w:p w14:paraId="52986DB6" w14:textId="77777777" w:rsidR="009453A8" w:rsidRPr="00A82C3C" w:rsidRDefault="009453A8" w:rsidP="005551AD">
            <w:pPr>
              <w:pStyle w:val="TableBody"/>
              <w:rPr>
                <w:i/>
              </w:rPr>
            </w:pPr>
            <w:r>
              <w:rPr>
                <w:i/>
              </w:rPr>
              <w:t>fwh</w:t>
            </w:r>
          </w:p>
        </w:tc>
        <w:tc>
          <w:tcPr>
            <w:tcW w:w="899" w:type="dxa"/>
          </w:tcPr>
          <w:p w14:paraId="3CB5BFB3" w14:textId="77777777" w:rsidR="009453A8" w:rsidRDefault="009453A8" w:rsidP="005551AD">
            <w:pPr>
              <w:pStyle w:val="TableBody"/>
            </w:pPr>
            <w:r>
              <w:t>None</w:t>
            </w:r>
          </w:p>
        </w:tc>
        <w:tc>
          <w:tcPr>
            <w:tcW w:w="7107" w:type="dxa"/>
          </w:tcPr>
          <w:p w14:paraId="2388150A" w14:textId="77777777" w:rsidR="009453A8" w:rsidRDefault="009453A8" w:rsidP="005551AD">
            <w:pPr>
              <w:pStyle w:val="TableBody"/>
              <w:rPr>
                <w:i/>
              </w:rPr>
            </w:pPr>
            <w:r>
              <w:rPr>
                <w:i/>
              </w:rPr>
              <w:t>Forward Week Hour</w:t>
            </w:r>
            <w:r>
              <w:sym w:font="Symbol" w:char="F0BE"/>
            </w:r>
            <w:r w:rsidRPr="00240B9F">
              <w:t xml:space="preserve">An </w:t>
            </w:r>
            <w:r>
              <w:t>Operating H</w:t>
            </w:r>
            <w:r w:rsidRPr="00240B9F">
              <w:t xml:space="preserve">our from a </w:t>
            </w:r>
            <w:r>
              <w:t>f</w:t>
            </w:r>
            <w:r w:rsidRPr="00240B9F">
              <w:t>orward</w:t>
            </w:r>
            <w:r>
              <w:t xml:space="preserve"> w</w:t>
            </w:r>
            <w:r w:rsidRPr="00240B9F">
              <w:t xml:space="preserve">eek </w:t>
            </w:r>
            <w:r w:rsidRPr="00240B9F">
              <w:rPr>
                <w:i/>
              </w:rPr>
              <w:t>w</w:t>
            </w:r>
            <w:r w:rsidRPr="00240B9F">
              <w:t>.</w:t>
            </w:r>
          </w:p>
        </w:tc>
      </w:tr>
      <w:tr w:rsidR="009453A8" w14:paraId="586DB612" w14:textId="77777777" w:rsidTr="005551AD">
        <w:tc>
          <w:tcPr>
            <w:tcW w:w="1264" w:type="dxa"/>
          </w:tcPr>
          <w:p w14:paraId="14FC72A3" w14:textId="77777777" w:rsidR="009453A8" w:rsidRDefault="009453A8" w:rsidP="005551AD">
            <w:pPr>
              <w:pStyle w:val="TableBody"/>
              <w:rPr>
                <w:i/>
              </w:rPr>
            </w:pPr>
            <w:r>
              <w:rPr>
                <w:i/>
              </w:rPr>
              <w:t>nfwh</w:t>
            </w:r>
          </w:p>
        </w:tc>
        <w:tc>
          <w:tcPr>
            <w:tcW w:w="899" w:type="dxa"/>
          </w:tcPr>
          <w:p w14:paraId="33C698EE" w14:textId="77777777" w:rsidR="009453A8" w:rsidRDefault="009453A8" w:rsidP="005551AD">
            <w:pPr>
              <w:pStyle w:val="TableBody"/>
            </w:pPr>
            <w:r>
              <w:t>None</w:t>
            </w:r>
          </w:p>
        </w:tc>
        <w:tc>
          <w:tcPr>
            <w:tcW w:w="7107" w:type="dxa"/>
          </w:tcPr>
          <w:p w14:paraId="64E5A166" w14:textId="77777777" w:rsidR="009453A8" w:rsidRPr="00240B9F" w:rsidRDefault="009453A8" w:rsidP="005551AD">
            <w:pPr>
              <w:pStyle w:val="TableBody"/>
            </w:pPr>
            <w:r>
              <w:rPr>
                <w:i/>
              </w:rPr>
              <w:t>Number of Forward Week Hours</w:t>
            </w:r>
            <w:r>
              <w:sym w:font="Symbol" w:char="F0BE"/>
            </w:r>
            <w:r>
              <w:t>Total number of hours in a forward week.</w:t>
            </w:r>
          </w:p>
        </w:tc>
      </w:tr>
      <w:tr w:rsidR="009453A8" w14:paraId="7E4200E0" w14:textId="77777777" w:rsidTr="005551AD">
        <w:tc>
          <w:tcPr>
            <w:tcW w:w="1264" w:type="dxa"/>
          </w:tcPr>
          <w:p w14:paraId="03EEBF96" w14:textId="77777777" w:rsidR="009453A8" w:rsidRDefault="009453A8" w:rsidP="005551AD">
            <w:pPr>
              <w:pStyle w:val="TableBody"/>
              <w:rPr>
                <w:i/>
              </w:rPr>
            </w:pPr>
            <w:r>
              <w:rPr>
                <w:i/>
              </w:rPr>
              <w:t>r</w:t>
            </w:r>
            <w:r w:rsidRPr="006E7FC0">
              <w:rPr>
                <w:i/>
              </w:rPr>
              <w:t>hub</w:t>
            </w:r>
          </w:p>
        </w:tc>
        <w:tc>
          <w:tcPr>
            <w:tcW w:w="899" w:type="dxa"/>
          </w:tcPr>
          <w:p w14:paraId="7938984F" w14:textId="77777777" w:rsidR="009453A8" w:rsidRDefault="009453A8" w:rsidP="005551AD">
            <w:pPr>
              <w:pStyle w:val="TableBody"/>
            </w:pPr>
            <w:r>
              <w:t>None</w:t>
            </w:r>
          </w:p>
        </w:tc>
        <w:tc>
          <w:tcPr>
            <w:tcW w:w="7107" w:type="dxa"/>
          </w:tcPr>
          <w:p w14:paraId="0B37FF18" w14:textId="77777777" w:rsidR="009453A8" w:rsidRDefault="009453A8" w:rsidP="005551AD">
            <w:pPr>
              <w:pStyle w:val="TableBody"/>
              <w:rPr>
                <w:i/>
              </w:rPr>
            </w:pPr>
            <w:r>
              <w:rPr>
                <w:i/>
              </w:rPr>
              <w:t>Reference Hub</w:t>
            </w:r>
            <w:r w:rsidRPr="00193B05">
              <w:sym w:font="Symbol" w:char="F0BE"/>
            </w:r>
            <w:r>
              <w:t>The electrical Hub used as a reference for futures mark-to-market prices</w:t>
            </w:r>
            <w:r w:rsidRPr="00193B05">
              <w:t>.</w:t>
            </w:r>
          </w:p>
        </w:tc>
      </w:tr>
      <w:tr w:rsidR="009453A8" w14:paraId="63791361" w14:textId="77777777" w:rsidTr="005551AD">
        <w:tc>
          <w:tcPr>
            <w:tcW w:w="1264" w:type="dxa"/>
          </w:tcPr>
          <w:p w14:paraId="45288451" w14:textId="77777777" w:rsidR="009453A8" w:rsidRPr="00271210" w:rsidRDefault="009453A8" w:rsidP="005551AD">
            <w:pPr>
              <w:pStyle w:val="TableBody"/>
            </w:pPr>
            <w:r>
              <w:t>FWAP</w:t>
            </w:r>
            <w:r w:rsidRPr="00240B9F">
              <w:rPr>
                <w:i/>
                <w:vertAlign w:val="subscript"/>
              </w:rPr>
              <w:t>w</w:t>
            </w:r>
          </w:p>
        </w:tc>
        <w:tc>
          <w:tcPr>
            <w:tcW w:w="899" w:type="dxa"/>
          </w:tcPr>
          <w:p w14:paraId="3E68E37A" w14:textId="77777777" w:rsidR="009453A8" w:rsidRDefault="009453A8" w:rsidP="005551AD">
            <w:pPr>
              <w:pStyle w:val="TableBody"/>
            </w:pPr>
            <w:r>
              <w:t>$/MWh</w:t>
            </w:r>
          </w:p>
        </w:tc>
        <w:tc>
          <w:tcPr>
            <w:tcW w:w="7107" w:type="dxa"/>
          </w:tcPr>
          <w:p w14:paraId="58EBA72B" w14:textId="77777777" w:rsidR="009453A8" w:rsidRDefault="009453A8" w:rsidP="005551AD">
            <w:pPr>
              <w:pStyle w:val="TableBody"/>
            </w:pPr>
            <w:r>
              <w:rPr>
                <w:i/>
              </w:rPr>
              <w:t>Futures Weekly Average Price for week w</w:t>
            </w:r>
            <w:r>
              <w:sym w:font="Symbol" w:char="F0BE"/>
            </w:r>
            <w:r>
              <w:t xml:space="preserve">The average futures price for the hours of the forward week </w:t>
            </w:r>
            <w:r w:rsidRPr="00240B9F">
              <w:rPr>
                <w:i/>
              </w:rPr>
              <w:t>w</w:t>
            </w:r>
            <w:r>
              <w:t>.</w:t>
            </w:r>
          </w:p>
        </w:tc>
      </w:tr>
      <w:tr w:rsidR="009453A8" w14:paraId="6DBBAA35" w14:textId="77777777" w:rsidTr="005551AD">
        <w:tc>
          <w:tcPr>
            <w:tcW w:w="1264" w:type="dxa"/>
          </w:tcPr>
          <w:p w14:paraId="36E96C9F" w14:textId="77777777" w:rsidR="009453A8" w:rsidRDefault="009453A8" w:rsidP="005551AD">
            <w:pPr>
              <w:pStyle w:val="TableBody"/>
            </w:pPr>
            <w:r>
              <w:t>FHP</w:t>
            </w:r>
            <w:r w:rsidRPr="00CE4C14">
              <w:rPr>
                <w:vertAlign w:val="subscript"/>
              </w:rPr>
              <w:t xml:space="preserve"> </w:t>
            </w:r>
            <w:r w:rsidRPr="00240B9F">
              <w:rPr>
                <w:i/>
                <w:vertAlign w:val="subscript"/>
              </w:rPr>
              <w:t>fwh</w:t>
            </w:r>
            <w:r>
              <w:rPr>
                <w:i/>
                <w:vertAlign w:val="subscript"/>
              </w:rPr>
              <w:t>, rhub</w:t>
            </w:r>
          </w:p>
        </w:tc>
        <w:tc>
          <w:tcPr>
            <w:tcW w:w="899" w:type="dxa"/>
          </w:tcPr>
          <w:p w14:paraId="33F8D752" w14:textId="77777777" w:rsidR="009453A8" w:rsidRDefault="009453A8" w:rsidP="005551AD">
            <w:pPr>
              <w:pStyle w:val="TableBody"/>
            </w:pPr>
            <w:r w:rsidRPr="00CE4C14">
              <w:t>$/MWh</w:t>
            </w:r>
          </w:p>
        </w:tc>
        <w:tc>
          <w:tcPr>
            <w:tcW w:w="7107" w:type="dxa"/>
          </w:tcPr>
          <w:p w14:paraId="6C692A2C" w14:textId="77777777" w:rsidR="009453A8" w:rsidRDefault="009453A8" w:rsidP="005551AD">
            <w:pPr>
              <w:pStyle w:val="TableBody"/>
            </w:pPr>
            <w:r>
              <w:rPr>
                <w:i/>
              </w:rPr>
              <w:t>Futures Hourly Price of the Reference Hub rhub for Forward Week Hour fwh</w:t>
            </w:r>
            <w:r w:rsidRPr="00CE4C14">
              <w:sym w:font="Symbol" w:char="F0BE"/>
            </w:r>
            <w:r w:rsidRPr="00CE4C14">
              <w:t>The</w:t>
            </w:r>
            <w:r>
              <w:t xml:space="preserve"> most recent mark-to-market price available for an electricity futures product that is applicable to the forward week hour </w:t>
            </w:r>
            <w:r w:rsidRPr="00D54463">
              <w:rPr>
                <w:i/>
              </w:rPr>
              <w:t>fwh</w:t>
            </w:r>
            <w:r>
              <w:t xml:space="preserve"> for the reference Hub </w:t>
            </w:r>
            <w:r w:rsidRPr="00D54463">
              <w:rPr>
                <w:i/>
              </w:rPr>
              <w:t>rhub</w:t>
            </w:r>
            <w:r>
              <w:t>.</w:t>
            </w:r>
          </w:p>
          <w:p w14:paraId="1983BB78" w14:textId="77777777" w:rsidR="009453A8" w:rsidRPr="00D54463" w:rsidRDefault="009453A8" w:rsidP="00C42CCF">
            <w:pPr>
              <w:pStyle w:val="TableBody"/>
            </w:pPr>
            <w: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w:t>
            </w:r>
            <w:r w:rsidR="00C42CCF">
              <w:t>ca</w:t>
            </w:r>
            <w:r>
              <w:t>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9453A8" w14:paraId="6021E32B" w14:textId="77777777" w:rsidTr="005551AD">
        <w:tc>
          <w:tcPr>
            <w:tcW w:w="1264" w:type="dxa"/>
          </w:tcPr>
          <w:p w14:paraId="537D9542" w14:textId="77777777" w:rsidR="009453A8" w:rsidRPr="00D54463" w:rsidRDefault="009453A8" w:rsidP="005551AD">
            <w:pPr>
              <w:pStyle w:val="TableBody"/>
              <w:rPr>
                <w:i/>
              </w:rPr>
            </w:pPr>
            <w:r w:rsidRPr="003E3244">
              <w:rPr>
                <w:i/>
              </w:rPr>
              <w:t>hr</w:t>
            </w:r>
            <w:r w:rsidRPr="00D54463">
              <w:rPr>
                <w:i/>
              </w:rPr>
              <w:t>h</w:t>
            </w:r>
          </w:p>
        </w:tc>
        <w:tc>
          <w:tcPr>
            <w:tcW w:w="899" w:type="dxa"/>
          </w:tcPr>
          <w:p w14:paraId="13D3F54C" w14:textId="77777777" w:rsidR="009453A8" w:rsidRPr="00193B05" w:rsidRDefault="009453A8" w:rsidP="005551AD">
            <w:pPr>
              <w:pStyle w:val="TableBody"/>
            </w:pPr>
            <w:r>
              <w:t>None</w:t>
            </w:r>
          </w:p>
        </w:tc>
        <w:tc>
          <w:tcPr>
            <w:tcW w:w="7107" w:type="dxa"/>
          </w:tcPr>
          <w:p w14:paraId="457622CD" w14:textId="77777777" w:rsidR="009453A8" w:rsidRPr="00193B05" w:rsidRDefault="009453A8" w:rsidP="005551AD">
            <w:pPr>
              <w:pStyle w:val="TableBody"/>
              <w:rPr>
                <w:i/>
              </w:rPr>
            </w:pPr>
            <w:r>
              <w:rPr>
                <w:i/>
              </w:rPr>
              <w:t>Historic Real-Time Hour</w:t>
            </w:r>
            <w:r w:rsidRPr="00193B05">
              <w:sym w:font="Symbol" w:char="F0BE"/>
            </w:r>
            <w:r>
              <w:t>An Operating Hour that is settled and used in the most recent RTLE calculation.</w:t>
            </w:r>
          </w:p>
        </w:tc>
      </w:tr>
      <w:tr w:rsidR="009453A8" w14:paraId="4B73C8FE" w14:textId="77777777" w:rsidTr="005551AD">
        <w:tc>
          <w:tcPr>
            <w:tcW w:w="1264" w:type="dxa"/>
          </w:tcPr>
          <w:p w14:paraId="0F14DA84" w14:textId="77777777" w:rsidR="009453A8" w:rsidRPr="00D54463" w:rsidRDefault="009453A8" w:rsidP="005551AD">
            <w:pPr>
              <w:pStyle w:val="TableBody"/>
              <w:rPr>
                <w:i/>
              </w:rPr>
            </w:pPr>
            <w:r>
              <w:rPr>
                <w:i/>
              </w:rPr>
              <w:t>nhrh</w:t>
            </w:r>
          </w:p>
        </w:tc>
        <w:tc>
          <w:tcPr>
            <w:tcW w:w="899" w:type="dxa"/>
          </w:tcPr>
          <w:p w14:paraId="2E0FB107" w14:textId="77777777" w:rsidR="009453A8" w:rsidRPr="00193B05" w:rsidRDefault="009453A8" w:rsidP="005551AD">
            <w:pPr>
              <w:pStyle w:val="TableBody"/>
            </w:pPr>
            <w:r>
              <w:t>None</w:t>
            </w:r>
          </w:p>
        </w:tc>
        <w:tc>
          <w:tcPr>
            <w:tcW w:w="7107" w:type="dxa"/>
          </w:tcPr>
          <w:p w14:paraId="2B07206D" w14:textId="77777777" w:rsidR="009453A8" w:rsidRPr="00193B05" w:rsidRDefault="009453A8" w:rsidP="005551AD">
            <w:pPr>
              <w:pStyle w:val="TableBody"/>
              <w:rPr>
                <w:i/>
              </w:rPr>
            </w:pPr>
            <w:r>
              <w:rPr>
                <w:i/>
              </w:rPr>
              <w:t>Number of Historic Real-Time Hours</w:t>
            </w:r>
            <w:r>
              <w:sym w:font="Symbol" w:char="F0BE"/>
            </w:r>
            <w:r>
              <w:t>Total number of historic Real-Time hours that are settled and used in the most recent RTLE calculation.</w:t>
            </w:r>
          </w:p>
        </w:tc>
      </w:tr>
      <w:tr w:rsidR="009453A8" w14:paraId="3E4E5F8D" w14:textId="77777777" w:rsidTr="005551AD">
        <w:tc>
          <w:tcPr>
            <w:tcW w:w="1264" w:type="dxa"/>
          </w:tcPr>
          <w:p w14:paraId="33F2987C" w14:textId="77777777" w:rsidR="009453A8" w:rsidRDefault="009453A8" w:rsidP="005551AD">
            <w:pPr>
              <w:pStyle w:val="TableBody"/>
              <w:rPr>
                <w:i/>
              </w:rPr>
            </w:pPr>
            <w:r>
              <w:rPr>
                <w:i/>
              </w:rPr>
              <w:t>i</w:t>
            </w:r>
          </w:p>
        </w:tc>
        <w:tc>
          <w:tcPr>
            <w:tcW w:w="899" w:type="dxa"/>
          </w:tcPr>
          <w:p w14:paraId="7CD08936" w14:textId="77777777" w:rsidR="009453A8" w:rsidRDefault="009453A8" w:rsidP="005551AD">
            <w:pPr>
              <w:pStyle w:val="TableBody"/>
            </w:pPr>
            <w:r>
              <w:t>None</w:t>
            </w:r>
          </w:p>
        </w:tc>
        <w:tc>
          <w:tcPr>
            <w:tcW w:w="7107" w:type="dxa"/>
          </w:tcPr>
          <w:p w14:paraId="672CD759" w14:textId="77777777" w:rsidR="009453A8" w:rsidRPr="00D54463" w:rsidRDefault="009453A8" w:rsidP="005551AD">
            <w:pPr>
              <w:pStyle w:val="TableBody"/>
            </w:pPr>
            <w:r>
              <w:rPr>
                <w:i/>
              </w:rPr>
              <w:t>Settlement Interval</w:t>
            </w:r>
            <w:r>
              <w:sym w:font="Symbol" w:char="F0BE"/>
            </w:r>
            <w:r>
              <w:t>A 15-minute interval that is part of an Operating Hour.</w:t>
            </w:r>
          </w:p>
        </w:tc>
      </w:tr>
      <w:tr w:rsidR="009453A8" w14:paraId="24E335FD" w14:textId="77777777" w:rsidTr="005551AD">
        <w:tc>
          <w:tcPr>
            <w:tcW w:w="1264" w:type="dxa"/>
          </w:tcPr>
          <w:p w14:paraId="5FB4857A" w14:textId="77777777" w:rsidR="009453A8" w:rsidRDefault="009453A8" w:rsidP="005551AD">
            <w:pPr>
              <w:pStyle w:val="TableBody"/>
              <w:rPr>
                <w:i/>
              </w:rPr>
            </w:pPr>
            <w:r>
              <w:t>RTSPP</w:t>
            </w:r>
            <w:r w:rsidRPr="00D54463">
              <w:rPr>
                <w:i/>
                <w:vertAlign w:val="subscript"/>
              </w:rPr>
              <w:t xml:space="preserve">hrh, i, rhub </w:t>
            </w:r>
          </w:p>
        </w:tc>
        <w:tc>
          <w:tcPr>
            <w:tcW w:w="899" w:type="dxa"/>
          </w:tcPr>
          <w:p w14:paraId="2B7190AF" w14:textId="77777777" w:rsidR="009453A8" w:rsidRDefault="009453A8" w:rsidP="005551AD">
            <w:pPr>
              <w:pStyle w:val="TableBody"/>
            </w:pPr>
            <w:r>
              <w:t>$/MWh</w:t>
            </w:r>
          </w:p>
        </w:tc>
        <w:tc>
          <w:tcPr>
            <w:tcW w:w="7107" w:type="dxa"/>
          </w:tcPr>
          <w:p w14:paraId="3EC84A9D" w14:textId="77777777" w:rsidR="009453A8" w:rsidRPr="006B56FB" w:rsidRDefault="009453A8" w:rsidP="005551AD">
            <w:pPr>
              <w:pStyle w:val="TableBody"/>
            </w:pPr>
            <w:r w:rsidRPr="006B56FB">
              <w:t xml:space="preserve">Real-Time Settlement Point Price for </w:t>
            </w:r>
            <w:r w:rsidRPr="009648F5">
              <w:rPr>
                <w:i/>
              </w:rPr>
              <w:t>i</w:t>
            </w:r>
            <w:r w:rsidRPr="006B56FB">
              <w:rPr>
                <w:vertAlign w:val="superscript"/>
              </w:rPr>
              <w:t>th</w:t>
            </w:r>
            <w:r w:rsidRPr="006B56FB">
              <w:t xml:space="preserve"> interval that is part of Operating Hour </w:t>
            </w:r>
            <w:r w:rsidRPr="009648F5">
              <w:rPr>
                <w:i/>
              </w:rPr>
              <w:t>hrh</w:t>
            </w:r>
            <w:r w:rsidRPr="006B56FB">
              <w:t xml:space="preserve"> for the Settlement Point </w:t>
            </w:r>
            <w:r w:rsidRPr="009648F5">
              <w:rPr>
                <w:i/>
              </w:rPr>
              <w:t>rhub</w:t>
            </w:r>
            <w:r w:rsidRPr="006B56FB">
              <w:t>.</w:t>
            </w:r>
          </w:p>
        </w:tc>
      </w:tr>
      <w:tr w:rsidR="009453A8" w14:paraId="05B5541C" w14:textId="77777777" w:rsidTr="005551AD">
        <w:tc>
          <w:tcPr>
            <w:tcW w:w="1264" w:type="dxa"/>
          </w:tcPr>
          <w:p w14:paraId="3B9AF34B" w14:textId="77777777" w:rsidR="009453A8" w:rsidRDefault="009453A8" w:rsidP="005551AD">
            <w:pPr>
              <w:pStyle w:val="TableBody"/>
            </w:pPr>
            <w:r>
              <w:t>HRSAP</w:t>
            </w:r>
          </w:p>
        </w:tc>
        <w:tc>
          <w:tcPr>
            <w:tcW w:w="899" w:type="dxa"/>
          </w:tcPr>
          <w:p w14:paraId="4274498E" w14:textId="77777777" w:rsidR="009453A8" w:rsidRDefault="009453A8" w:rsidP="005551AD">
            <w:pPr>
              <w:pStyle w:val="TableBody"/>
            </w:pPr>
            <w:r>
              <w:t>$/MWh</w:t>
            </w:r>
          </w:p>
        </w:tc>
        <w:tc>
          <w:tcPr>
            <w:tcW w:w="7107" w:type="dxa"/>
          </w:tcPr>
          <w:p w14:paraId="0236A71A" w14:textId="77777777" w:rsidR="009453A8" w:rsidRDefault="009453A8" w:rsidP="005551AD">
            <w:pPr>
              <w:pStyle w:val="TableBody"/>
              <w:rPr>
                <w:i/>
              </w:rPr>
            </w:pPr>
            <w:r>
              <w:rPr>
                <w:i/>
              </w:rPr>
              <w:t>Historic Real-Time Settled Average Price</w:t>
            </w:r>
            <w:r>
              <w:sym w:font="Symbol" w:char="F0BE"/>
            </w:r>
            <w:r w:rsidRPr="006E7FC0">
              <w:t>The</w:t>
            </w:r>
            <w:r>
              <w:rPr>
                <w:i/>
              </w:rPr>
              <w:t xml:space="preserve"> </w:t>
            </w:r>
            <w:r w:rsidRPr="006E7FC0">
              <w:t>a</w:t>
            </w:r>
            <w:r>
              <w:t>verage historic Real-Time settled price</w:t>
            </w:r>
            <w:r w:rsidRPr="006E7FC0">
              <w:t>.</w:t>
            </w:r>
          </w:p>
        </w:tc>
      </w:tr>
      <w:tr w:rsidR="009453A8" w14:paraId="1382F94B" w14:textId="77777777" w:rsidTr="005551AD">
        <w:tc>
          <w:tcPr>
            <w:tcW w:w="1264" w:type="dxa"/>
          </w:tcPr>
          <w:p w14:paraId="18686A7A" w14:textId="77777777" w:rsidR="009453A8" w:rsidRDefault="009453A8" w:rsidP="005551AD">
            <w:pPr>
              <w:pStyle w:val="TableBody"/>
            </w:pPr>
            <w:r>
              <w:lastRenderedPageBreak/>
              <w:t>HDSAP</w:t>
            </w:r>
          </w:p>
        </w:tc>
        <w:tc>
          <w:tcPr>
            <w:tcW w:w="899" w:type="dxa"/>
          </w:tcPr>
          <w:p w14:paraId="78C98C8B" w14:textId="77777777" w:rsidR="009453A8" w:rsidRDefault="009453A8" w:rsidP="005551AD">
            <w:pPr>
              <w:pStyle w:val="TableBody"/>
            </w:pPr>
            <w:r>
              <w:t>$/MWh</w:t>
            </w:r>
          </w:p>
        </w:tc>
        <w:tc>
          <w:tcPr>
            <w:tcW w:w="7107" w:type="dxa"/>
          </w:tcPr>
          <w:p w14:paraId="6721B754" w14:textId="77777777" w:rsidR="009453A8" w:rsidRDefault="009453A8" w:rsidP="005551AD">
            <w:pPr>
              <w:pStyle w:val="TableBody"/>
              <w:rPr>
                <w:i/>
              </w:rPr>
            </w:pPr>
            <w:r>
              <w:rPr>
                <w:i/>
              </w:rPr>
              <w:t>Historic Day-Ahead Settled Average Price</w:t>
            </w:r>
            <w:r>
              <w:sym w:font="Symbol" w:char="F0BE"/>
            </w:r>
            <w:r w:rsidRPr="006B56FB">
              <w:t>The average historic Day-Ahead settled price.</w:t>
            </w:r>
          </w:p>
        </w:tc>
      </w:tr>
      <w:tr w:rsidR="009453A8" w14:paraId="2CA48BA0" w14:textId="77777777" w:rsidTr="005551AD">
        <w:tc>
          <w:tcPr>
            <w:tcW w:w="1264" w:type="dxa"/>
          </w:tcPr>
          <w:p w14:paraId="22A27BAE" w14:textId="77777777" w:rsidR="009453A8" w:rsidRDefault="009453A8" w:rsidP="005551AD">
            <w:pPr>
              <w:pStyle w:val="TableBody"/>
            </w:pPr>
            <w:r w:rsidRPr="003E3244">
              <w:rPr>
                <w:i/>
              </w:rPr>
              <w:t>h</w:t>
            </w:r>
            <w:r>
              <w:rPr>
                <w:i/>
              </w:rPr>
              <w:t>d</w:t>
            </w:r>
            <w:r w:rsidRPr="006E7FC0">
              <w:rPr>
                <w:i/>
              </w:rPr>
              <w:t>h</w:t>
            </w:r>
          </w:p>
        </w:tc>
        <w:tc>
          <w:tcPr>
            <w:tcW w:w="899" w:type="dxa"/>
          </w:tcPr>
          <w:p w14:paraId="4E6F75FC" w14:textId="77777777" w:rsidR="009453A8" w:rsidRDefault="009453A8" w:rsidP="005551AD">
            <w:pPr>
              <w:pStyle w:val="TableBody"/>
            </w:pPr>
            <w:r>
              <w:t>None</w:t>
            </w:r>
          </w:p>
        </w:tc>
        <w:tc>
          <w:tcPr>
            <w:tcW w:w="7107" w:type="dxa"/>
          </w:tcPr>
          <w:p w14:paraId="250E3218" w14:textId="77777777" w:rsidR="009453A8" w:rsidRDefault="009453A8" w:rsidP="005551AD">
            <w:pPr>
              <w:pStyle w:val="TableBody"/>
              <w:rPr>
                <w:i/>
              </w:rPr>
            </w:pPr>
            <w:r>
              <w:rPr>
                <w:i/>
              </w:rPr>
              <w:t>Historic Day-Ahead Hour</w:t>
            </w:r>
            <w:r w:rsidRPr="00193B05">
              <w:sym w:font="Symbol" w:char="F0BE"/>
            </w:r>
            <w:r>
              <w:t>An Operating Hour that is settled and used in the most recent DALE calculation.</w:t>
            </w:r>
          </w:p>
        </w:tc>
      </w:tr>
      <w:tr w:rsidR="009453A8" w14:paraId="3517870D" w14:textId="77777777" w:rsidTr="005551AD">
        <w:tc>
          <w:tcPr>
            <w:tcW w:w="1264" w:type="dxa"/>
          </w:tcPr>
          <w:p w14:paraId="3F8D48D9" w14:textId="77777777" w:rsidR="009453A8" w:rsidRDefault="009453A8" w:rsidP="005551AD">
            <w:pPr>
              <w:pStyle w:val="TableBody"/>
            </w:pPr>
            <w:r>
              <w:rPr>
                <w:i/>
              </w:rPr>
              <w:t>nhdh</w:t>
            </w:r>
          </w:p>
        </w:tc>
        <w:tc>
          <w:tcPr>
            <w:tcW w:w="899" w:type="dxa"/>
          </w:tcPr>
          <w:p w14:paraId="2A3090DD" w14:textId="77777777" w:rsidR="009453A8" w:rsidRDefault="009453A8" w:rsidP="005551AD">
            <w:pPr>
              <w:pStyle w:val="TableBody"/>
            </w:pPr>
            <w:r>
              <w:t>None</w:t>
            </w:r>
          </w:p>
        </w:tc>
        <w:tc>
          <w:tcPr>
            <w:tcW w:w="7107" w:type="dxa"/>
          </w:tcPr>
          <w:p w14:paraId="24323492" w14:textId="77777777" w:rsidR="009453A8" w:rsidRDefault="009453A8" w:rsidP="005551AD">
            <w:pPr>
              <w:pStyle w:val="TableBody"/>
              <w:rPr>
                <w:i/>
              </w:rPr>
            </w:pPr>
            <w:r>
              <w:rPr>
                <w:i/>
              </w:rPr>
              <w:t>Number of Historic Day-Ahead Hours</w:t>
            </w:r>
            <w:r>
              <w:sym w:font="Symbol" w:char="F0BE"/>
            </w:r>
            <w:r w:rsidRPr="006B56FB">
              <w:t>Total number of historic day-ahead hours that are settled and used in the most recent DALE calculation.</w:t>
            </w:r>
          </w:p>
        </w:tc>
      </w:tr>
      <w:tr w:rsidR="009453A8" w14:paraId="225E040D" w14:textId="77777777" w:rsidTr="005551AD">
        <w:tc>
          <w:tcPr>
            <w:tcW w:w="1264" w:type="dxa"/>
          </w:tcPr>
          <w:p w14:paraId="62A4D889" w14:textId="77777777" w:rsidR="009453A8" w:rsidRDefault="009453A8" w:rsidP="005551AD">
            <w:pPr>
              <w:pStyle w:val="TableBody"/>
              <w:rPr>
                <w:i/>
              </w:rPr>
            </w:pPr>
            <w:r>
              <w:t>DASPP</w:t>
            </w:r>
            <w:r w:rsidRPr="006E7FC0">
              <w:rPr>
                <w:i/>
                <w:vertAlign w:val="subscript"/>
              </w:rPr>
              <w:t xml:space="preserve">hrh, rhub </w:t>
            </w:r>
          </w:p>
        </w:tc>
        <w:tc>
          <w:tcPr>
            <w:tcW w:w="899" w:type="dxa"/>
          </w:tcPr>
          <w:p w14:paraId="6913DF4D" w14:textId="77777777" w:rsidR="009453A8" w:rsidRDefault="009453A8" w:rsidP="005551AD">
            <w:pPr>
              <w:pStyle w:val="TableBody"/>
            </w:pPr>
            <w:r>
              <w:t>$/MWh</w:t>
            </w:r>
          </w:p>
        </w:tc>
        <w:tc>
          <w:tcPr>
            <w:tcW w:w="7107" w:type="dxa"/>
          </w:tcPr>
          <w:p w14:paraId="3A6A7D84" w14:textId="77777777" w:rsidR="009453A8" w:rsidRPr="006B56FB" w:rsidRDefault="009453A8" w:rsidP="005551AD">
            <w:pPr>
              <w:pStyle w:val="TableBody"/>
            </w:pPr>
            <w:r w:rsidRPr="006B56FB">
              <w:t xml:space="preserve">Day-Ahead Settlement Point Price for Operating Hour </w:t>
            </w:r>
            <w:r w:rsidRPr="009648F5">
              <w:rPr>
                <w:i/>
              </w:rPr>
              <w:t>hdh</w:t>
            </w:r>
            <w:r w:rsidRPr="006B56FB">
              <w:t xml:space="preserve"> for the Settlement Point </w:t>
            </w:r>
            <w:r w:rsidRPr="009648F5">
              <w:rPr>
                <w:i/>
              </w:rPr>
              <w:t>rhub</w:t>
            </w:r>
            <w:r w:rsidRPr="006B56FB">
              <w:t>.</w:t>
            </w:r>
          </w:p>
        </w:tc>
      </w:tr>
      <w:tr w:rsidR="009453A8" w14:paraId="77C7145E" w14:textId="77777777" w:rsidTr="005551AD">
        <w:tc>
          <w:tcPr>
            <w:tcW w:w="1264" w:type="dxa"/>
          </w:tcPr>
          <w:p w14:paraId="0BCE2B10" w14:textId="77777777" w:rsidR="009453A8" w:rsidRDefault="009453A8" w:rsidP="005551AD">
            <w:pPr>
              <w:pStyle w:val="TableBody"/>
            </w:pPr>
            <w:r>
              <w:t>RFAF</w:t>
            </w:r>
          </w:p>
        </w:tc>
        <w:tc>
          <w:tcPr>
            <w:tcW w:w="899" w:type="dxa"/>
          </w:tcPr>
          <w:p w14:paraId="7F56AB19" w14:textId="77777777" w:rsidR="009453A8" w:rsidRDefault="009453A8" w:rsidP="005551AD">
            <w:pPr>
              <w:pStyle w:val="TableBody"/>
            </w:pPr>
            <w:r>
              <w:t>None</w:t>
            </w:r>
          </w:p>
        </w:tc>
        <w:tc>
          <w:tcPr>
            <w:tcW w:w="7107" w:type="dxa"/>
          </w:tcPr>
          <w:p w14:paraId="3AEED751" w14:textId="77777777" w:rsidR="009453A8" w:rsidRDefault="009453A8" w:rsidP="005551AD">
            <w:pPr>
              <w:pStyle w:val="TableBody"/>
              <w:rPr>
                <w:i/>
              </w:rPr>
            </w:pPr>
            <w:r w:rsidRPr="00CE4C14">
              <w:rPr>
                <w:i/>
              </w:rPr>
              <w:t>R</w:t>
            </w:r>
            <w:r>
              <w:rPr>
                <w:i/>
              </w:rPr>
              <w:t>eal-Time Forward Adjustment Factor.</w:t>
            </w:r>
          </w:p>
        </w:tc>
      </w:tr>
      <w:tr w:rsidR="009453A8" w14:paraId="13038ECF" w14:textId="77777777" w:rsidTr="005551AD">
        <w:tc>
          <w:tcPr>
            <w:tcW w:w="1264" w:type="dxa"/>
          </w:tcPr>
          <w:p w14:paraId="2B65411A" w14:textId="77777777" w:rsidR="009453A8" w:rsidRDefault="009453A8" w:rsidP="005551AD">
            <w:pPr>
              <w:pStyle w:val="TableBody"/>
            </w:pPr>
            <w:r>
              <w:t>DFAF</w:t>
            </w:r>
          </w:p>
        </w:tc>
        <w:tc>
          <w:tcPr>
            <w:tcW w:w="899" w:type="dxa"/>
          </w:tcPr>
          <w:p w14:paraId="667F4C19" w14:textId="77777777" w:rsidR="009453A8" w:rsidRDefault="009453A8" w:rsidP="005551AD">
            <w:pPr>
              <w:pStyle w:val="TableBody"/>
            </w:pPr>
            <w:r>
              <w:t>None</w:t>
            </w:r>
          </w:p>
        </w:tc>
        <w:tc>
          <w:tcPr>
            <w:tcW w:w="7107" w:type="dxa"/>
          </w:tcPr>
          <w:p w14:paraId="3C974A20" w14:textId="77777777" w:rsidR="009453A8" w:rsidRPr="00CE4C14" w:rsidRDefault="009453A8" w:rsidP="005551AD">
            <w:pPr>
              <w:pStyle w:val="TableBody"/>
              <w:rPr>
                <w:i/>
              </w:rPr>
            </w:pPr>
            <w:r>
              <w:rPr>
                <w:i/>
              </w:rPr>
              <w:t>Day-Ahead Forward Adjustment Factor.</w:t>
            </w:r>
          </w:p>
        </w:tc>
      </w:tr>
    </w:tbl>
    <w:p w14:paraId="0A8A653B" w14:textId="7F6AE5C5" w:rsidR="009453A8" w:rsidRDefault="009453A8" w:rsidP="009453A8">
      <w:pPr>
        <w:pStyle w:val="BodyText"/>
        <w:spacing w:before="240" w:after="0"/>
      </w:pPr>
      <w:r>
        <w:t>The above parameters are defined as follows</w:t>
      </w:r>
      <w:r w:rsidR="002F03A7">
        <w:t>:</w:t>
      </w:r>
      <w:r>
        <w:t xml:space="preserve">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9453A8" w:rsidRPr="00BE4766" w14:paraId="10291ED3" w14:textId="77777777" w:rsidTr="005551AD">
        <w:trPr>
          <w:trHeight w:val="351"/>
          <w:tblHeader/>
        </w:trPr>
        <w:tc>
          <w:tcPr>
            <w:tcW w:w="1448" w:type="dxa"/>
          </w:tcPr>
          <w:p w14:paraId="7A5A4D97" w14:textId="77777777" w:rsidR="009453A8" w:rsidRPr="00BE4766" w:rsidRDefault="009453A8" w:rsidP="005551AD">
            <w:pPr>
              <w:pStyle w:val="TableHead"/>
            </w:pPr>
            <w:r>
              <w:t>Parameter</w:t>
            </w:r>
          </w:p>
        </w:tc>
        <w:tc>
          <w:tcPr>
            <w:tcW w:w="1702" w:type="dxa"/>
          </w:tcPr>
          <w:p w14:paraId="755F8CCB" w14:textId="77777777" w:rsidR="009453A8" w:rsidRPr="00BE4766" w:rsidRDefault="009453A8" w:rsidP="005551AD">
            <w:pPr>
              <w:pStyle w:val="TableHead"/>
            </w:pPr>
            <w:r w:rsidRPr="00BE4766">
              <w:t>Unit</w:t>
            </w:r>
          </w:p>
        </w:tc>
        <w:tc>
          <w:tcPr>
            <w:tcW w:w="5940" w:type="dxa"/>
          </w:tcPr>
          <w:p w14:paraId="6DA93A29" w14:textId="77777777" w:rsidR="009453A8" w:rsidRPr="00BE4766" w:rsidRDefault="009453A8" w:rsidP="005551AD">
            <w:pPr>
              <w:pStyle w:val="TableHead"/>
            </w:pPr>
            <w:r>
              <w:t>Current Value*</w:t>
            </w:r>
          </w:p>
        </w:tc>
      </w:tr>
      <w:tr w:rsidR="009453A8" w:rsidRPr="00BE4766" w14:paraId="4E8115D5" w14:textId="77777777" w:rsidTr="005551AD">
        <w:trPr>
          <w:trHeight w:val="242"/>
        </w:trPr>
        <w:tc>
          <w:tcPr>
            <w:tcW w:w="1448" w:type="dxa"/>
          </w:tcPr>
          <w:p w14:paraId="149035BC" w14:textId="77777777" w:rsidR="009453A8" w:rsidRPr="008F4340" w:rsidRDefault="009453A8" w:rsidP="005551AD">
            <w:pPr>
              <w:pStyle w:val="TableBody"/>
              <w:rPr>
                <w:i/>
              </w:rPr>
            </w:pPr>
            <w:r>
              <w:rPr>
                <w:i/>
                <w:lang w:val="fr-FR"/>
              </w:rPr>
              <w:t>rhub</w:t>
            </w:r>
          </w:p>
        </w:tc>
        <w:tc>
          <w:tcPr>
            <w:tcW w:w="1702" w:type="dxa"/>
          </w:tcPr>
          <w:p w14:paraId="7B6A1FCC" w14:textId="77777777" w:rsidR="009453A8" w:rsidRDefault="009453A8" w:rsidP="005551AD">
            <w:pPr>
              <w:pStyle w:val="TableBody"/>
            </w:pPr>
            <w:r>
              <w:t>None</w:t>
            </w:r>
          </w:p>
        </w:tc>
        <w:tc>
          <w:tcPr>
            <w:tcW w:w="5940" w:type="dxa"/>
          </w:tcPr>
          <w:p w14:paraId="3152BF49" w14:textId="77777777" w:rsidR="009453A8" w:rsidRDefault="009453A8" w:rsidP="005551AD">
            <w:pPr>
              <w:pStyle w:val="TableBody"/>
            </w:pPr>
            <w:r>
              <w:t>ERCOT North Hub</w:t>
            </w:r>
          </w:p>
        </w:tc>
      </w:tr>
      <w:tr w:rsidR="009453A8" w:rsidRPr="00BE4766" w14:paraId="094230F2" w14:textId="77777777" w:rsidTr="005551AD">
        <w:trPr>
          <w:trHeight w:val="242"/>
        </w:trPr>
        <w:tc>
          <w:tcPr>
            <w:tcW w:w="1448" w:type="dxa"/>
          </w:tcPr>
          <w:p w14:paraId="492F5CB4" w14:textId="77777777" w:rsidR="009453A8" w:rsidRDefault="009453A8" w:rsidP="005551AD">
            <w:pPr>
              <w:pStyle w:val="TableBody"/>
              <w:rPr>
                <w:i/>
                <w:lang w:val="fr-FR"/>
              </w:rPr>
            </w:pPr>
            <w:r w:rsidRPr="006B56FB">
              <w:rPr>
                <w:i/>
              </w:rPr>
              <w:t>RWF</w:t>
            </w:r>
            <w:r>
              <w:rPr>
                <w:i/>
                <w:vertAlign w:val="subscript"/>
              </w:rPr>
              <w:t>1</w:t>
            </w:r>
          </w:p>
        </w:tc>
        <w:tc>
          <w:tcPr>
            <w:tcW w:w="1702" w:type="dxa"/>
          </w:tcPr>
          <w:p w14:paraId="39043471" w14:textId="77777777" w:rsidR="009453A8" w:rsidRDefault="009453A8" w:rsidP="005551AD">
            <w:pPr>
              <w:pStyle w:val="TableBody"/>
            </w:pPr>
            <w:r>
              <w:t>None</w:t>
            </w:r>
          </w:p>
        </w:tc>
        <w:tc>
          <w:tcPr>
            <w:tcW w:w="5940" w:type="dxa"/>
          </w:tcPr>
          <w:p w14:paraId="715C9EBA" w14:textId="77777777" w:rsidR="009453A8" w:rsidRDefault="009453A8" w:rsidP="005551AD">
            <w:pPr>
              <w:pStyle w:val="TableBody"/>
            </w:pPr>
            <w:r>
              <w:t>1/3</w:t>
            </w:r>
          </w:p>
        </w:tc>
      </w:tr>
      <w:tr w:rsidR="009453A8" w:rsidRPr="00BE4766" w14:paraId="55E45EF8" w14:textId="77777777" w:rsidTr="005551AD">
        <w:trPr>
          <w:trHeight w:val="242"/>
        </w:trPr>
        <w:tc>
          <w:tcPr>
            <w:tcW w:w="1448" w:type="dxa"/>
          </w:tcPr>
          <w:p w14:paraId="4B5C72A1" w14:textId="77777777" w:rsidR="009453A8" w:rsidRPr="00DE5E37" w:rsidRDefault="009453A8" w:rsidP="005551AD">
            <w:pPr>
              <w:pStyle w:val="TableBody"/>
              <w:rPr>
                <w:i/>
              </w:rPr>
            </w:pPr>
            <w:r w:rsidRPr="00824AAE">
              <w:rPr>
                <w:i/>
              </w:rPr>
              <w:t>RWF</w:t>
            </w:r>
            <w:r>
              <w:rPr>
                <w:i/>
                <w:vertAlign w:val="subscript"/>
              </w:rPr>
              <w:t>2</w:t>
            </w:r>
          </w:p>
        </w:tc>
        <w:tc>
          <w:tcPr>
            <w:tcW w:w="1702" w:type="dxa"/>
          </w:tcPr>
          <w:p w14:paraId="34A6659A" w14:textId="77777777" w:rsidR="009453A8" w:rsidRDefault="009453A8" w:rsidP="005551AD">
            <w:pPr>
              <w:pStyle w:val="TableBody"/>
            </w:pPr>
            <w:r>
              <w:t>None</w:t>
            </w:r>
          </w:p>
        </w:tc>
        <w:tc>
          <w:tcPr>
            <w:tcW w:w="5940" w:type="dxa"/>
          </w:tcPr>
          <w:p w14:paraId="6E9499FD" w14:textId="77777777" w:rsidR="009453A8" w:rsidRDefault="009453A8" w:rsidP="005551AD">
            <w:pPr>
              <w:pStyle w:val="TableBody"/>
            </w:pPr>
            <w:r>
              <w:t>1/3</w:t>
            </w:r>
          </w:p>
        </w:tc>
      </w:tr>
      <w:tr w:rsidR="009453A8" w:rsidRPr="00BE4766" w14:paraId="4434777B" w14:textId="77777777" w:rsidTr="005551AD">
        <w:trPr>
          <w:trHeight w:val="242"/>
        </w:trPr>
        <w:tc>
          <w:tcPr>
            <w:tcW w:w="1448" w:type="dxa"/>
          </w:tcPr>
          <w:p w14:paraId="351C24D7" w14:textId="77777777" w:rsidR="009453A8" w:rsidRPr="00DE5E37" w:rsidRDefault="009453A8" w:rsidP="005551AD">
            <w:pPr>
              <w:pStyle w:val="TableBody"/>
              <w:rPr>
                <w:i/>
              </w:rPr>
            </w:pPr>
            <w:r w:rsidRPr="00824AAE">
              <w:rPr>
                <w:i/>
              </w:rPr>
              <w:t>RWF</w:t>
            </w:r>
            <w:r>
              <w:rPr>
                <w:i/>
                <w:vertAlign w:val="subscript"/>
              </w:rPr>
              <w:t>3</w:t>
            </w:r>
          </w:p>
        </w:tc>
        <w:tc>
          <w:tcPr>
            <w:tcW w:w="1702" w:type="dxa"/>
          </w:tcPr>
          <w:p w14:paraId="13BE104B" w14:textId="77777777" w:rsidR="009453A8" w:rsidRDefault="009453A8" w:rsidP="005551AD">
            <w:pPr>
              <w:pStyle w:val="TableBody"/>
            </w:pPr>
            <w:r>
              <w:t>None</w:t>
            </w:r>
          </w:p>
        </w:tc>
        <w:tc>
          <w:tcPr>
            <w:tcW w:w="5940" w:type="dxa"/>
          </w:tcPr>
          <w:p w14:paraId="7D83CBF5" w14:textId="77777777" w:rsidR="009453A8" w:rsidRDefault="009453A8" w:rsidP="005551AD">
            <w:pPr>
              <w:pStyle w:val="TableBody"/>
            </w:pPr>
            <w:r>
              <w:t>1/3</w:t>
            </w:r>
          </w:p>
        </w:tc>
      </w:tr>
      <w:tr w:rsidR="009453A8" w:rsidRPr="00BE4766" w14:paraId="3486703E" w14:textId="77777777" w:rsidTr="005551AD">
        <w:trPr>
          <w:trHeight w:val="242"/>
        </w:trPr>
        <w:tc>
          <w:tcPr>
            <w:tcW w:w="1448" w:type="dxa"/>
          </w:tcPr>
          <w:p w14:paraId="2BD87EBB" w14:textId="77777777" w:rsidR="009453A8" w:rsidRPr="00DE5E37" w:rsidRDefault="009453A8" w:rsidP="005551AD">
            <w:pPr>
              <w:pStyle w:val="TableBody"/>
              <w:rPr>
                <w:i/>
              </w:rPr>
            </w:pPr>
            <w:r>
              <w:rPr>
                <w:i/>
              </w:rPr>
              <w:t>D</w:t>
            </w:r>
            <w:r w:rsidRPr="00824AAE">
              <w:rPr>
                <w:i/>
              </w:rPr>
              <w:t>WF</w:t>
            </w:r>
            <w:r>
              <w:rPr>
                <w:i/>
                <w:vertAlign w:val="subscript"/>
              </w:rPr>
              <w:t>1</w:t>
            </w:r>
          </w:p>
        </w:tc>
        <w:tc>
          <w:tcPr>
            <w:tcW w:w="1702" w:type="dxa"/>
          </w:tcPr>
          <w:p w14:paraId="2B8285A1" w14:textId="77777777" w:rsidR="009453A8" w:rsidRDefault="009453A8" w:rsidP="005551AD">
            <w:pPr>
              <w:pStyle w:val="TableBody"/>
            </w:pPr>
            <w:r>
              <w:t>None</w:t>
            </w:r>
          </w:p>
        </w:tc>
        <w:tc>
          <w:tcPr>
            <w:tcW w:w="5940" w:type="dxa"/>
          </w:tcPr>
          <w:p w14:paraId="494D4615" w14:textId="77777777" w:rsidR="009453A8" w:rsidRDefault="009453A8" w:rsidP="005551AD">
            <w:pPr>
              <w:pStyle w:val="TableBody"/>
            </w:pPr>
            <w:r>
              <w:t>1/3</w:t>
            </w:r>
          </w:p>
        </w:tc>
      </w:tr>
      <w:tr w:rsidR="009453A8" w:rsidRPr="00BE4766" w14:paraId="385E1652" w14:textId="77777777" w:rsidTr="005551AD">
        <w:trPr>
          <w:trHeight w:val="242"/>
        </w:trPr>
        <w:tc>
          <w:tcPr>
            <w:tcW w:w="1448" w:type="dxa"/>
          </w:tcPr>
          <w:p w14:paraId="248CC17C" w14:textId="77777777" w:rsidR="009453A8" w:rsidRPr="00DE5E37" w:rsidRDefault="009453A8" w:rsidP="005551AD">
            <w:pPr>
              <w:pStyle w:val="TableBody"/>
              <w:rPr>
                <w:i/>
              </w:rPr>
            </w:pPr>
            <w:r>
              <w:rPr>
                <w:i/>
              </w:rPr>
              <w:t>D</w:t>
            </w:r>
            <w:r w:rsidRPr="00824AAE">
              <w:rPr>
                <w:i/>
              </w:rPr>
              <w:t>WF</w:t>
            </w:r>
            <w:r>
              <w:rPr>
                <w:i/>
                <w:vertAlign w:val="subscript"/>
              </w:rPr>
              <w:t>2</w:t>
            </w:r>
          </w:p>
        </w:tc>
        <w:tc>
          <w:tcPr>
            <w:tcW w:w="1702" w:type="dxa"/>
          </w:tcPr>
          <w:p w14:paraId="46E7660C" w14:textId="77777777" w:rsidR="009453A8" w:rsidRDefault="009453A8" w:rsidP="005551AD">
            <w:pPr>
              <w:pStyle w:val="TableBody"/>
            </w:pPr>
            <w:r>
              <w:t>None</w:t>
            </w:r>
          </w:p>
        </w:tc>
        <w:tc>
          <w:tcPr>
            <w:tcW w:w="5940" w:type="dxa"/>
          </w:tcPr>
          <w:p w14:paraId="3642B672" w14:textId="77777777" w:rsidR="009453A8" w:rsidRDefault="009453A8" w:rsidP="005551AD">
            <w:pPr>
              <w:pStyle w:val="TableBody"/>
            </w:pPr>
            <w:r>
              <w:t>1/3</w:t>
            </w:r>
          </w:p>
        </w:tc>
      </w:tr>
      <w:tr w:rsidR="009453A8" w:rsidRPr="00BE4766" w14:paraId="7F181369" w14:textId="77777777" w:rsidTr="005551AD">
        <w:trPr>
          <w:trHeight w:val="242"/>
        </w:trPr>
        <w:tc>
          <w:tcPr>
            <w:tcW w:w="1448" w:type="dxa"/>
          </w:tcPr>
          <w:p w14:paraId="0C8B18A4" w14:textId="77777777" w:rsidR="009453A8" w:rsidRPr="00DE5E37" w:rsidRDefault="009453A8" w:rsidP="005551AD">
            <w:pPr>
              <w:pStyle w:val="TableBody"/>
              <w:rPr>
                <w:i/>
              </w:rPr>
            </w:pPr>
            <w:r>
              <w:rPr>
                <w:i/>
              </w:rPr>
              <w:t>D</w:t>
            </w:r>
            <w:r w:rsidRPr="00824AAE">
              <w:rPr>
                <w:i/>
              </w:rPr>
              <w:t>WF</w:t>
            </w:r>
            <w:r>
              <w:rPr>
                <w:i/>
                <w:vertAlign w:val="subscript"/>
              </w:rPr>
              <w:t>3</w:t>
            </w:r>
          </w:p>
        </w:tc>
        <w:tc>
          <w:tcPr>
            <w:tcW w:w="1702" w:type="dxa"/>
          </w:tcPr>
          <w:p w14:paraId="4F3CFEAE" w14:textId="77777777" w:rsidR="009453A8" w:rsidRDefault="009453A8" w:rsidP="005551AD">
            <w:pPr>
              <w:pStyle w:val="TableBody"/>
            </w:pPr>
            <w:r>
              <w:t>None</w:t>
            </w:r>
          </w:p>
        </w:tc>
        <w:tc>
          <w:tcPr>
            <w:tcW w:w="5940" w:type="dxa"/>
          </w:tcPr>
          <w:p w14:paraId="72032E67" w14:textId="77777777" w:rsidR="009453A8" w:rsidRDefault="009453A8" w:rsidP="005551AD">
            <w:pPr>
              <w:pStyle w:val="TableBody"/>
            </w:pPr>
            <w:r>
              <w:t>1/3</w:t>
            </w:r>
          </w:p>
        </w:tc>
      </w:tr>
      <w:tr w:rsidR="009453A8" w:rsidRPr="00BE4766" w14:paraId="735AF65B" w14:textId="77777777" w:rsidTr="005551AD">
        <w:trPr>
          <w:trHeight w:val="519"/>
        </w:trPr>
        <w:tc>
          <w:tcPr>
            <w:tcW w:w="9090" w:type="dxa"/>
            <w:gridSpan w:val="3"/>
          </w:tcPr>
          <w:p w14:paraId="59AD95DC" w14:textId="77777777" w:rsidR="009453A8" w:rsidRDefault="009453A8" w:rsidP="005551AD">
            <w:pPr>
              <w:pStyle w:val="TableBody"/>
            </w:pPr>
            <w:r>
              <w:t xml:space="preserve">*  </w:t>
            </w:r>
            <w:r w:rsidRPr="00126667">
              <w:t xml:space="preserve">The </w:t>
            </w:r>
            <w:r>
              <w:t xml:space="preserve">current value for the </w:t>
            </w:r>
            <w:r w:rsidRPr="00126667">
              <w:t xml:space="preserve">parameters referenced in </w:t>
            </w:r>
            <w:r>
              <w:t xml:space="preserve">the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3A9EE4F" w14:textId="77777777" w:rsidR="00FC1C5F" w:rsidRDefault="00727E32" w:rsidP="009453A8">
      <w:pPr>
        <w:pStyle w:val="ListIntroduction"/>
        <w:tabs>
          <w:tab w:val="left" w:pos="1260"/>
        </w:tabs>
        <w:spacing w:before="480"/>
        <w:outlineLvl w:val="3"/>
      </w:pPr>
      <w:bookmarkStart w:id="510" w:name="_Toc184623037"/>
      <w:r w:rsidRPr="00EA38A1">
        <w:rPr>
          <w:b/>
          <w:iCs w:val="0"/>
        </w:rPr>
        <w:t>16</w:t>
      </w:r>
      <w:r w:rsidRPr="00D63F95">
        <w:rPr>
          <w:b/>
        </w:rPr>
        <w:t>.11.4.4</w:t>
      </w:r>
      <w:r w:rsidRPr="00D63F95">
        <w:rPr>
          <w:b/>
        </w:rPr>
        <w:tab/>
      </w:r>
      <w:r w:rsidR="00E12AFD" w:rsidRPr="00DD1960">
        <w:rPr>
          <w:b/>
          <w:i/>
        </w:rPr>
        <w:t>[RESERVED]</w:t>
      </w:r>
      <w:bookmarkEnd w:id="499"/>
      <w:bookmarkEnd w:id="500"/>
      <w:bookmarkEnd w:id="501"/>
      <w:bookmarkEnd w:id="502"/>
      <w:bookmarkEnd w:id="503"/>
      <w:bookmarkEnd w:id="504"/>
      <w:bookmarkEnd w:id="510"/>
    </w:p>
    <w:p w14:paraId="2927F9E2" w14:textId="77777777" w:rsidR="00A36A5A" w:rsidRPr="00341696" w:rsidRDefault="00A36A5A" w:rsidP="00A36A5A">
      <w:pPr>
        <w:keepNext/>
        <w:widowControl w:val="0"/>
        <w:tabs>
          <w:tab w:val="left" w:pos="1260"/>
        </w:tabs>
        <w:spacing w:before="240" w:after="240"/>
        <w:ind w:left="1267" w:hanging="1267"/>
        <w:outlineLvl w:val="3"/>
        <w:rPr>
          <w:b/>
          <w:bCs/>
          <w:snapToGrid w:val="0"/>
        </w:rPr>
      </w:pPr>
      <w:bookmarkStart w:id="511" w:name="_Toc390438970"/>
      <w:bookmarkStart w:id="512" w:name="_Toc405897668"/>
      <w:bookmarkStart w:id="513" w:name="_Toc415055772"/>
      <w:bookmarkStart w:id="514" w:name="_Toc415055898"/>
      <w:bookmarkStart w:id="515" w:name="_Toc415055997"/>
      <w:bookmarkStart w:id="516" w:name="_Toc415056098"/>
      <w:bookmarkStart w:id="517" w:name="_Toc184623038"/>
      <w:r w:rsidRPr="00341696">
        <w:rPr>
          <w:b/>
          <w:bCs/>
          <w:snapToGrid w:val="0"/>
        </w:rPr>
        <w:t>16.11.4.5</w:t>
      </w:r>
      <w:r w:rsidRPr="00341696">
        <w:rPr>
          <w:b/>
          <w:bCs/>
          <w:snapToGrid w:val="0"/>
        </w:rPr>
        <w:tab/>
        <w:t>Determination of the Counter-Party Future Credit Exposure</w:t>
      </w:r>
      <w:bookmarkEnd w:id="511"/>
      <w:bookmarkEnd w:id="512"/>
      <w:bookmarkEnd w:id="513"/>
      <w:bookmarkEnd w:id="514"/>
      <w:bookmarkEnd w:id="515"/>
      <w:bookmarkEnd w:id="516"/>
      <w:bookmarkEnd w:id="517"/>
    </w:p>
    <w:p w14:paraId="7DAA1AE1" w14:textId="77777777" w:rsidR="00A36A5A" w:rsidRDefault="00A36A5A" w:rsidP="00A36A5A">
      <w:pPr>
        <w:pStyle w:val="BodyText"/>
        <w:tabs>
          <w:tab w:val="left" w:pos="720"/>
        </w:tabs>
        <w:ind w:left="720" w:hanging="720"/>
      </w:pPr>
      <w:r w:rsidRPr="00341696">
        <w:rPr>
          <w:iCs w:val="0"/>
        </w:rPr>
        <w:t>(1)</w:t>
      </w:r>
      <w:r w:rsidRPr="00341696">
        <w:rPr>
          <w:iCs w:val="0"/>
        </w:rPr>
        <w:tab/>
        <w:t xml:space="preserve">ERCOT shall monitor and calculate the Counter-Party’s FCE for all </w:t>
      </w:r>
      <w:r w:rsidR="00613851">
        <w:rPr>
          <w:iCs w:val="0"/>
        </w:rPr>
        <w:t>the CRR Account Holders represented by</w:t>
      </w:r>
      <w:r w:rsidRPr="00341696">
        <w:rPr>
          <w:iCs w:val="0"/>
        </w:rPr>
        <w:t xml:space="preserve"> the Counter-Party as </w:t>
      </w:r>
      <w:r>
        <w:rPr>
          <w:iCs w:val="0"/>
        </w:rPr>
        <w:t>CRR O</w:t>
      </w:r>
      <w:r w:rsidRPr="00341696">
        <w:rPr>
          <w:iCs w:val="0"/>
        </w:rPr>
        <w:t>wner of record at ERCOT</w:t>
      </w:r>
      <w:r w:rsidRPr="00891D7E">
        <w:t>.</w:t>
      </w:r>
      <w:r>
        <w:t xml:space="preserve"> </w:t>
      </w:r>
    </w:p>
    <w:p w14:paraId="01D62A65" w14:textId="77777777" w:rsidR="00A36A5A" w:rsidRPr="002475CE" w:rsidRDefault="00A36A5A" w:rsidP="00A36A5A">
      <w:pPr>
        <w:pStyle w:val="Instructions"/>
        <w:spacing w:after="0"/>
        <w:ind w:left="720"/>
        <w:rPr>
          <w:i w:val="0"/>
        </w:rPr>
      </w:pPr>
      <w:r w:rsidRPr="002475CE">
        <w:rPr>
          <w:i w:val="0"/>
          <w:lang w:val="it-IT"/>
        </w:rPr>
        <w:t xml:space="preserve">FCE </w:t>
      </w:r>
      <w:r w:rsidR="00613851">
        <w:rPr>
          <w:rFonts w:ascii="Times New Roman Bold" w:hAnsi="Times New Roman Bold"/>
          <w:vertAlign w:val="subscript"/>
          <w:lang w:val="it-IT"/>
        </w:rPr>
        <w:t>a</w:t>
      </w:r>
      <w:r w:rsidRPr="002475CE">
        <w:rPr>
          <w:i w:val="0"/>
          <w:lang w:val="it-IT"/>
        </w:rPr>
        <w:t xml:space="preserve">  =  FCEOBL </w:t>
      </w:r>
      <w:r w:rsidR="00613851">
        <w:rPr>
          <w:rFonts w:ascii="Times New Roman Bold" w:hAnsi="Times New Roman Bold"/>
          <w:vertAlign w:val="subscript"/>
          <w:lang w:val="it-IT"/>
        </w:rPr>
        <w:t>a</w:t>
      </w:r>
      <w:r w:rsidRPr="002475CE">
        <w:rPr>
          <w:i w:val="0"/>
          <w:lang w:val="it-IT"/>
        </w:rPr>
        <w:t xml:space="preserve"> + FCEOPT </w:t>
      </w:r>
      <w:r w:rsidR="00613851">
        <w:rPr>
          <w:rFonts w:ascii="Times New Roman Bold" w:hAnsi="Times New Roman Bold"/>
          <w:vertAlign w:val="subscript"/>
          <w:lang w:val="it-IT"/>
        </w:rPr>
        <w:t>a</w:t>
      </w:r>
      <w:r w:rsidRPr="00D36347">
        <w:rPr>
          <w:rFonts w:ascii="Times New Roman Bold" w:hAnsi="Times New Roman Bold"/>
          <w:vertAlign w:val="subscript"/>
          <w:lang w:val="it-IT"/>
        </w:rPr>
        <w:t xml:space="preserve"> </w:t>
      </w:r>
    </w:p>
    <w:p w14:paraId="10251386" w14:textId="77777777" w:rsidR="00A36A5A" w:rsidRPr="00FA6425" w:rsidRDefault="00A36A5A" w:rsidP="00A36A5A">
      <w:pPr>
        <w:pStyle w:val="ListIntroduction"/>
        <w:spacing w:after="0"/>
        <w:rPr>
          <w:lang w:val="en-US" w:eastAsia="en-US"/>
        </w:rPr>
      </w:pPr>
    </w:p>
    <w:p w14:paraId="796AC34F" w14:textId="77777777" w:rsidR="00A36A5A" w:rsidRPr="00FA6425" w:rsidRDefault="00A36A5A" w:rsidP="00A36A5A">
      <w:pPr>
        <w:pStyle w:val="ListIntroduction"/>
        <w:spacing w:after="0"/>
        <w:rPr>
          <w:lang w:val="en-US" w:eastAsia="en-US"/>
        </w:rPr>
      </w:pPr>
      <w:r w:rsidRPr="00FA6425">
        <w:rPr>
          <w:lang w:val="en-US" w:eastAsia="en-U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39"/>
        <w:gridCol w:w="6948"/>
      </w:tblGrid>
      <w:tr w:rsidR="00A36A5A" w14:paraId="2DF9B6A5" w14:textId="77777777" w:rsidTr="00077067">
        <w:trPr>
          <w:cantSplit/>
          <w:trHeight w:val="351"/>
          <w:tblHeader/>
        </w:trPr>
        <w:tc>
          <w:tcPr>
            <w:tcW w:w="0" w:type="auto"/>
          </w:tcPr>
          <w:p w14:paraId="0FD3B76C" w14:textId="77777777" w:rsidR="00A36A5A" w:rsidRDefault="00A36A5A" w:rsidP="00077067">
            <w:pPr>
              <w:pStyle w:val="TableHead"/>
            </w:pPr>
            <w:r>
              <w:t>Variable</w:t>
            </w:r>
          </w:p>
        </w:tc>
        <w:tc>
          <w:tcPr>
            <w:tcW w:w="739" w:type="dxa"/>
          </w:tcPr>
          <w:p w14:paraId="48305851" w14:textId="77777777" w:rsidR="00A36A5A" w:rsidRDefault="00A36A5A" w:rsidP="00077067">
            <w:pPr>
              <w:pStyle w:val="TableHead"/>
            </w:pPr>
            <w:r>
              <w:t>Unit</w:t>
            </w:r>
          </w:p>
        </w:tc>
        <w:tc>
          <w:tcPr>
            <w:tcW w:w="6948" w:type="dxa"/>
          </w:tcPr>
          <w:p w14:paraId="01B8EA1B" w14:textId="77777777" w:rsidR="00A36A5A" w:rsidRDefault="00A36A5A" w:rsidP="00077067">
            <w:pPr>
              <w:pStyle w:val="TableHead"/>
            </w:pPr>
            <w:r>
              <w:t>Description</w:t>
            </w:r>
          </w:p>
        </w:tc>
      </w:tr>
      <w:tr w:rsidR="00A36A5A" w14:paraId="5CD90055" w14:textId="77777777" w:rsidTr="00077067">
        <w:trPr>
          <w:trHeight w:val="260"/>
        </w:trPr>
        <w:tc>
          <w:tcPr>
            <w:tcW w:w="0" w:type="auto"/>
          </w:tcPr>
          <w:p w14:paraId="5FE0B18E" w14:textId="77777777" w:rsidR="00A36A5A" w:rsidRDefault="00A36A5A" w:rsidP="00613851">
            <w:pPr>
              <w:pStyle w:val="TableBody"/>
            </w:pPr>
            <w:r>
              <w:t xml:space="preserve">FCE </w:t>
            </w:r>
            <w:r w:rsidR="00613851">
              <w:rPr>
                <w:rFonts w:ascii="Times New Roman Bold" w:hAnsi="Times New Roman Bold"/>
                <w:i/>
                <w:vertAlign w:val="subscript"/>
              </w:rPr>
              <w:t>a</w:t>
            </w:r>
          </w:p>
        </w:tc>
        <w:tc>
          <w:tcPr>
            <w:tcW w:w="739" w:type="dxa"/>
          </w:tcPr>
          <w:p w14:paraId="4A088EB8" w14:textId="77777777" w:rsidR="00A36A5A" w:rsidRDefault="00A36A5A" w:rsidP="00077067">
            <w:pPr>
              <w:pStyle w:val="TableBody"/>
            </w:pPr>
            <w:r>
              <w:t>$</w:t>
            </w:r>
          </w:p>
        </w:tc>
        <w:tc>
          <w:tcPr>
            <w:tcW w:w="6948" w:type="dxa"/>
          </w:tcPr>
          <w:p w14:paraId="45580588" w14:textId="77777777" w:rsidR="00A36A5A" w:rsidRDefault="00A36A5A" w:rsidP="008C0679">
            <w:pPr>
              <w:pStyle w:val="TableBody"/>
            </w:pPr>
            <w:r w:rsidRPr="00B67540">
              <w:rPr>
                <w:i/>
              </w:rPr>
              <w:t>Future Credit Exposure</w:t>
            </w:r>
            <w:r>
              <w:t xml:space="preserve"> for all CRRs held by </w:t>
            </w:r>
            <w:r w:rsidR="008C0679" w:rsidRPr="00545E0B">
              <w:rPr>
                <w:i/>
              </w:rPr>
              <w:t>all CRR Account Holders</w:t>
            </w:r>
            <w:r w:rsidR="008C0679">
              <w:t xml:space="preserve"> represented by </w:t>
            </w:r>
            <w:r>
              <w:t>the Counter-Party.</w:t>
            </w:r>
          </w:p>
        </w:tc>
      </w:tr>
      <w:tr w:rsidR="00A36A5A" w14:paraId="32EEE376" w14:textId="77777777" w:rsidTr="00077067">
        <w:trPr>
          <w:trHeight w:val="611"/>
        </w:trPr>
        <w:tc>
          <w:tcPr>
            <w:tcW w:w="0" w:type="auto"/>
          </w:tcPr>
          <w:p w14:paraId="0BEE9320" w14:textId="77777777" w:rsidR="00A36A5A" w:rsidRDefault="00A36A5A" w:rsidP="00613851">
            <w:pPr>
              <w:pStyle w:val="TableBody"/>
            </w:pPr>
            <w:r>
              <w:t xml:space="preserve">FCEOBL </w:t>
            </w:r>
            <w:r w:rsidR="00613851">
              <w:rPr>
                <w:rFonts w:ascii="Times New Roman Bold" w:hAnsi="Times New Roman Bold"/>
                <w:i/>
                <w:vertAlign w:val="subscript"/>
              </w:rPr>
              <w:t>a</w:t>
            </w:r>
          </w:p>
        </w:tc>
        <w:tc>
          <w:tcPr>
            <w:tcW w:w="739" w:type="dxa"/>
          </w:tcPr>
          <w:p w14:paraId="5A8EE8B9" w14:textId="77777777" w:rsidR="00A36A5A" w:rsidRDefault="00A36A5A" w:rsidP="00077067">
            <w:pPr>
              <w:pStyle w:val="TableBody"/>
            </w:pPr>
            <w:r>
              <w:t>$</w:t>
            </w:r>
          </w:p>
        </w:tc>
        <w:tc>
          <w:tcPr>
            <w:tcW w:w="6948" w:type="dxa"/>
          </w:tcPr>
          <w:p w14:paraId="3782E097" w14:textId="77777777" w:rsidR="00A36A5A" w:rsidRPr="00B67540" w:rsidRDefault="00A36A5A" w:rsidP="008C0679">
            <w:pPr>
              <w:pStyle w:val="TableBody"/>
              <w:rPr>
                <w:iCs w:val="0"/>
              </w:rPr>
            </w:pPr>
            <w:r w:rsidRPr="00B67540">
              <w:rPr>
                <w:i/>
              </w:rPr>
              <w:t>Future Credit Exposure for PTP Obligations</w:t>
            </w:r>
            <w:r>
              <w:t xml:space="preserve"> for all PTP Obligations held by </w:t>
            </w:r>
            <w:r w:rsidR="008C0679">
              <w:t xml:space="preserve">all CRR Account Holders represented by </w:t>
            </w:r>
            <w:r>
              <w:t>the Counter-Party as CRR Owner</w:t>
            </w:r>
            <w:r w:rsidRPr="00B67540">
              <w:rPr>
                <w:i/>
              </w:rPr>
              <w:t xml:space="preserve"> </w:t>
            </w:r>
            <w:r>
              <w:t xml:space="preserve">of record at ERCOT, for all Operating Days in the current operating month, Prompt Month, and all Forward Months. </w:t>
            </w:r>
          </w:p>
        </w:tc>
      </w:tr>
      <w:tr w:rsidR="00A36A5A" w14:paraId="3614E631" w14:textId="77777777" w:rsidTr="00077067">
        <w:trPr>
          <w:trHeight w:val="530"/>
        </w:trPr>
        <w:tc>
          <w:tcPr>
            <w:tcW w:w="0" w:type="auto"/>
          </w:tcPr>
          <w:p w14:paraId="11990135" w14:textId="77777777" w:rsidR="00A36A5A" w:rsidRDefault="00A36A5A" w:rsidP="00613851">
            <w:pPr>
              <w:pStyle w:val="TableBody"/>
            </w:pPr>
            <w:r>
              <w:t xml:space="preserve">FCEOPT </w:t>
            </w:r>
            <w:r w:rsidR="00613851">
              <w:rPr>
                <w:rFonts w:ascii="Times New Roman Bold" w:hAnsi="Times New Roman Bold"/>
                <w:i/>
                <w:vertAlign w:val="subscript"/>
              </w:rPr>
              <w:t>a</w:t>
            </w:r>
          </w:p>
        </w:tc>
        <w:tc>
          <w:tcPr>
            <w:tcW w:w="739" w:type="dxa"/>
          </w:tcPr>
          <w:p w14:paraId="35D011D7" w14:textId="77777777" w:rsidR="00A36A5A" w:rsidRDefault="00A36A5A" w:rsidP="00077067">
            <w:pPr>
              <w:pStyle w:val="TableBody"/>
            </w:pPr>
            <w:r>
              <w:t>$</w:t>
            </w:r>
          </w:p>
        </w:tc>
        <w:tc>
          <w:tcPr>
            <w:tcW w:w="6948" w:type="dxa"/>
          </w:tcPr>
          <w:p w14:paraId="0A4938CE" w14:textId="77777777" w:rsidR="00A36A5A" w:rsidRDefault="00A36A5A" w:rsidP="008C0679">
            <w:pPr>
              <w:pStyle w:val="TableBody"/>
            </w:pPr>
            <w:r w:rsidRPr="00B67540">
              <w:rPr>
                <w:i/>
              </w:rPr>
              <w:t>Future Credit Exposure for PTP Options</w:t>
            </w:r>
            <w:r>
              <w:t xml:space="preserve"> for all PTP Options held by </w:t>
            </w:r>
            <w:r w:rsidR="008C0679">
              <w:t xml:space="preserve">all CRR Account Holders represented by </w:t>
            </w:r>
            <w:r>
              <w:t>the Counter-Party as CRR Owner</w:t>
            </w:r>
            <w:r w:rsidRPr="00B67540">
              <w:rPr>
                <w:i/>
              </w:rPr>
              <w:t xml:space="preserve"> </w:t>
            </w:r>
            <w:r>
              <w:t xml:space="preserve">of record at </w:t>
            </w:r>
            <w:r>
              <w:lastRenderedPageBreak/>
              <w:t xml:space="preserve">ERCOT, for all Operating Days remaining in the current operating month and Prompt Month. </w:t>
            </w:r>
          </w:p>
        </w:tc>
      </w:tr>
      <w:tr w:rsidR="00A36A5A" w14:paraId="371F84CB" w14:textId="77777777" w:rsidTr="00077067">
        <w:trPr>
          <w:trHeight w:val="350"/>
        </w:trPr>
        <w:tc>
          <w:tcPr>
            <w:tcW w:w="0" w:type="auto"/>
          </w:tcPr>
          <w:p w14:paraId="5ACFB7D9" w14:textId="77777777" w:rsidR="00A36A5A" w:rsidRPr="00D36347" w:rsidRDefault="00613851" w:rsidP="00077067">
            <w:pPr>
              <w:pStyle w:val="TableBody"/>
              <w:rPr>
                <w:i/>
              </w:rPr>
            </w:pPr>
            <w:r>
              <w:rPr>
                <w:i/>
              </w:rPr>
              <w:lastRenderedPageBreak/>
              <w:t>a</w:t>
            </w:r>
          </w:p>
        </w:tc>
        <w:tc>
          <w:tcPr>
            <w:tcW w:w="739" w:type="dxa"/>
          </w:tcPr>
          <w:p w14:paraId="6DCCD5B3" w14:textId="77777777" w:rsidR="00A36A5A" w:rsidRDefault="00A36A5A" w:rsidP="00077067">
            <w:pPr>
              <w:pStyle w:val="TableBody"/>
            </w:pPr>
            <w:r>
              <w:t>none</w:t>
            </w:r>
          </w:p>
        </w:tc>
        <w:tc>
          <w:tcPr>
            <w:tcW w:w="6948" w:type="dxa"/>
          </w:tcPr>
          <w:p w14:paraId="662F1402" w14:textId="77777777" w:rsidR="00A36A5A" w:rsidRDefault="00A36A5A" w:rsidP="008C0679">
            <w:pPr>
              <w:pStyle w:val="TableBody"/>
            </w:pPr>
            <w:r>
              <w:t>A</w:t>
            </w:r>
            <w:r w:rsidR="008C0679">
              <w:t>ll</w:t>
            </w:r>
            <w:r>
              <w:t xml:space="preserve"> CRR </w:t>
            </w:r>
            <w:r w:rsidR="008C0679">
              <w:t>Account Holders represented by the Counter-Party</w:t>
            </w:r>
            <w:r>
              <w:t>.</w:t>
            </w:r>
          </w:p>
        </w:tc>
      </w:tr>
    </w:tbl>
    <w:p w14:paraId="4F362115" w14:textId="77777777" w:rsidR="00A36A5A" w:rsidRPr="00341696" w:rsidRDefault="00A36A5A" w:rsidP="00A36A5A">
      <w:pPr>
        <w:tabs>
          <w:tab w:val="left" w:pos="720"/>
        </w:tabs>
        <w:spacing w:before="240" w:after="240"/>
        <w:ind w:left="720" w:hanging="720"/>
        <w:rPr>
          <w:b/>
          <w:bCs/>
          <w:iCs/>
        </w:rPr>
      </w:pPr>
      <w:r w:rsidRPr="00341696">
        <w:rPr>
          <w:iCs/>
        </w:rPr>
        <w:t>(2)</w:t>
      </w:r>
      <w:r w:rsidRPr="00341696">
        <w:rPr>
          <w:iCs/>
        </w:rPr>
        <w:tab/>
        <w:t xml:space="preserve">The Counter-Party’s FCE for PTP Obligations (FCEOBL) held by </w:t>
      </w:r>
      <w:r w:rsidR="008C0679">
        <w:t xml:space="preserve">all CRR Account Holders represented by </w:t>
      </w:r>
      <w:r w:rsidRPr="00341696">
        <w:rPr>
          <w:iCs/>
        </w:rPr>
        <w:t xml:space="preserve">the Counter-Party as </w:t>
      </w:r>
      <w:r>
        <w:rPr>
          <w:iCs/>
        </w:rPr>
        <w:t>CRR O</w:t>
      </w:r>
      <w:r w:rsidRPr="00341696">
        <w:rPr>
          <w:iCs/>
        </w:rPr>
        <w:t xml:space="preserve">wner of record at ERCOT </w:t>
      </w:r>
      <w:r>
        <w:rPr>
          <w:iCs/>
        </w:rPr>
        <w:t xml:space="preserve">are </w:t>
      </w:r>
      <w:r w:rsidRPr="00341696">
        <w:rPr>
          <w:iCs/>
        </w:rPr>
        <w:t>calculated as follows:</w:t>
      </w:r>
    </w:p>
    <w:p w14:paraId="6AA00B74" w14:textId="77777777" w:rsidR="00A36A5A" w:rsidRDefault="00A36A5A" w:rsidP="00A36A5A">
      <w:pPr>
        <w:tabs>
          <w:tab w:val="left" w:pos="1440"/>
          <w:tab w:val="left" w:pos="1800"/>
        </w:tabs>
        <w:spacing w:after="240"/>
        <w:ind w:left="720"/>
        <w:contextualSpacing/>
        <w:rPr>
          <w:b/>
        </w:rPr>
      </w:pPr>
      <w:r w:rsidRPr="00341696">
        <w:rPr>
          <w:b/>
          <w:iCs/>
        </w:rPr>
        <w:t xml:space="preserve">FCEOBL </w:t>
      </w:r>
      <w:r w:rsidR="008C0679">
        <w:rPr>
          <w:rFonts w:ascii="Times New Roman Bold" w:hAnsi="Times New Roman Bold"/>
          <w:i/>
          <w:iCs/>
          <w:vertAlign w:val="subscript"/>
        </w:rPr>
        <w:t>a</w:t>
      </w:r>
      <w:r w:rsidRPr="00972D5D">
        <w:rPr>
          <w:iCs/>
        </w:rPr>
        <w:t xml:space="preserve"> </w:t>
      </w:r>
      <w:r w:rsidRPr="00341696">
        <w:rPr>
          <w:iCs/>
        </w:rPr>
        <w:tab/>
      </w:r>
      <w:r w:rsidRPr="00341696">
        <w:rPr>
          <w:b/>
          <w:iCs/>
        </w:rPr>
        <w:t>=</w:t>
      </w:r>
      <w:r w:rsidRPr="00341696">
        <w:rPr>
          <w:b/>
          <w:iCs/>
        </w:rPr>
        <w:tab/>
      </w:r>
      <w:r>
        <w:t>∑</w:t>
      </w:r>
      <w:r w:rsidRPr="00D36347">
        <w:rPr>
          <w:i/>
          <w:vertAlign w:val="subscript"/>
        </w:rPr>
        <w:t>m</w:t>
      </w:r>
      <w:r w:rsidRPr="00CE5CAA">
        <w:rPr>
          <w:b/>
        </w:rPr>
        <w:t xml:space="preserve"> </w:t>
      </w:r>
      <w:r w:rsidRPr="00E551AB">
        <w:rPr>
          <w:b/>
        </w:rPr>
        <w:t>[(∑</w:t>
      </w:r>
      <w:r w:rsidRPr="00D36347">
        <w:rPr>
          <w:b/>
          <w:i/>
          <w:vertAlign w:val="subscript"/>
        </w:rPr>
        <w:t>h</w:t>
      </w:r>
      <w:r w:rsidRPr="00E551AB">
        <w:rPr>
          <w:b/>
          <w:vertAlign w:val="subscript"/>
        </w:rPr>
        <w:t xml:space="preserve"> </w:t>
      </w:r>
      <w:r w:rsidRPr="00E551AB">
        <w:rPr>
          <w:b/>
        </w:rPr>
        <w:t>∑</w:t>
      </w:r>
      <w:r w:rsidRPr="00D36347">
        <w:rPr>
          <w:b/>
          <w:i/>
          <w:vertAlign w:val="subscript"/>
        </w:rPr>
        <w:t>j, k</w:t>
      </w:r>
      <w:r w:rsidRPr="00E551AB">
        <w:rPr>
          <w:b/>
          <w:vertAlign w:val="subscript"/>
        </w:rPr>
        <w:t xml:space="preserve"> </w:t>
      </w:r>
      <w:r w:rsidRPr="00E551AB">
        <w:rPr>
          <w:b/>
        </w:rPr>
        <w:t>NAOBLMW</w:t>
      </w:r>
      <w:r>
        <w:rPr>
          <w:b/>
        </w:rPr>
        <w:t xml:space="preserve"> </w:t>
      </w:r>
      <w:r w:rsidRPr="00D36347">
        <w:rPr>
          <w:b/>
          <w:i/>
          <w:vertAlign w:val="subscript"/>
        </w:rPr>
        <w:t>m, h, (j, k)</w:t>
      </w:r>
      <w:r>
        <w:rPr>
          <w:b/>
        </w:rPr>
        <w:t>)</w:t>
      </w:r>
      <w:r w:rsidRPr="00E551AB">
        <w:rPr>
          <w:b/>
        </w:rPr>
        <w:t xml:space="preserve"> * (</w:t>
      </w:r>
      <w:r>
        <w:rPr>
          <w:b/>
        </w:rPr>
        <w:t>-M</w:t>
      </w:r>
      <w:r w:rsidRPr="00E551AB">
        <w:rPr>
          <w:b/>
        </w:rPr>
        <w:t>in</w:t>
      </w:r>
      <w:r w:rsidRPr="00AD1A26">
        <w:rPr>
          <w:b/>
        </w:rPr>
        <w:t>(0,</w:t>
      </w:r>
      <w:r w:rsidR="00D24ED8">
        <w:rPr>
          <w:b/>
        </w:rPr>
        <w:t xml:space="preserve"> </w:t>
      </w:r>
      <w:r>
        <w:rPr>
          <w:b/>
        </w:rPr>
        <w:t xml:space="preserve">PWA </w:t>
      </w:r>
      <w:r w:rsidRPr="00D36347">
        <w:rPr>
          <w:b/>
          <w:i/>
          <w:vertAlign w:val="subscript"/>
        </w:rPr>
        <w:t>ci100, m</w:t>
      </w:r>
      <w:r>
        <w:rPr>
          <w:b/>
        </w:rPr>
        <w:t>, PW</w:t>
      </w:r>
      <w:r w:rsidRPr="00E551AB">
        <w:rPr>
          <w:b/>
        </w:rPr>
        <w:t>ACP</w:t>
      </w:r>
      <w:r>
        <w:rPr>
          <w:b/>
        </w:rPr>
        <w:t xml:space="preserve"> </w:t>
      </w:r>
      <w:r w:rsidRPr="00D36347">
        <w:rPr>
          <w:b/>
          <w:i/>
          <w:vertAlign w:val="subscript"/>
        </w:rPr>
        <w:t>m</w:t>
      </w:r>
      <w:r w:rsidRPr="00E551AB">
        <w:rPr>
          <w:b/>
        </w:rPr>
        <w:t>)</w:t>
      </w:r>
      <w:r>
        <w:rPr>
          <w:b/>
        </w:rPr>
        <w:t>)</w:t>
      </w:r>
      <w:r w:rsidRPr="00E551AB">
        <w:rPr>
          <w:b/>
        </w:rPr>
        <w:t>]</w:t>
      </w:r>
    </w:p>
    <w:p w14:paraId="18E43F67" w14:textId="77777777" w:rsidR="0083787A" w:rsidRDefault="0083787A" w:rsidP="0083787A">
      <w:pPr>
        <w:tabs>
          <w:tab w:val="left" w:pos="1440"/>
          <w:tab w:val="left" w:pos="1800"/>
        </w:tabs>
        <w:spacing w:after="240"/>
        <w:ind w:left="720"/>
        <w:contextualSpacing/>
        <w:rPr>
          <w:b/>
        </w:rPr>
      </w:pPr>
    </w:p>
    <w:p w14:paraId="0761193B" w14:textId="77777777" w:rsidR="00A36A5A" w:rsidRDefault="0083787A" w:rsidP="008779D4">
      <w:pPr>
        <w:tabs>
          <w:tab w:val="left" w:pos="1440"/>
          <w:tab w:val="left" w:pos="1800"/>
        </w:tabs>
        <w:ind w:left="720"/>
        <w:contextualSpacing/>
        <w:rPr>
          <w:b/>
        </w:rPr>
      </w:pPr>
      <w:r w:rsidRPr="00920E6B">
        <w:rPr>
          <w:b/>
        </w:rPr>
        <w:t xml:space="preserve">PWACP </w:t>
      </w:r>
      <w:r w:rsidRPr="00D36347">
        <w:rPr>
          <w:b/>
          <w:i/>
          <w:vertAlign w:val="subscript"/>
        </w:rPr>
        <w:t>m</w:t>
      </w:r>
      <w:r w:rsidRPr="00920E6B">
        <w:rPr>
          <w:b/>
          <w:vertAlign w:val="subscript"/>
        </w:rPr>
        <w:t xml:space="preserve"> </w:t>
      </w:r>
      <w:r w:rsidRPr="00920E6B">
        <w:rPr>
          <w:b/>
          <w:vertAlign w:val="subscript"/>
        </w:rPr>
        <w:tab/>
      </w:r>
      <w:r w:rsidRPr="00920E6B">
        <w:rPr>
          <w:b/>
          <w:iCs/>
        </w:rPr>
        <w:t>=</w:t>
      </w:r>
      <w:r w:rsidRPr="00920E6B">
        <w:rPr>
          <w:b/>
          <w:vertAlign w:val="subscript"/>
        </w:rPr>
        <w:tab/>
      </w:r>
      <w:r w:rsidRPr="00920E6B">
        <w:rPr>
          <w:b/>
        </w:rPr>
        <w:t>∑</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vertAlign w:val="subscript"/>
        </w:rPr>
        <w:t xml:space="preserve"> </w:t>
      </w:r>
      <w:r w:rsidRPr="00920E6B">
        <w:rPr>
          <w:b/>
        </w:rPr>
        <w:t>* EACP</w:t>
      </w:r>
      <w:r w:rsidRPr="00920E6B">
        <w:rPr>
          <w:b/>
          <w:sz w:val="20"/>
          <w:vertAlign w:val="subscript"/>
        </w:rPr>
        <w:t xml:space="preserve"> </w:t>
      </w:r>
      <w:r w:rsidRPr="00D36347">
        <w:rPr>
          <w:b/>
          <w:i/>
          <w:vertAlign w:val="subscript"/>
        </w:rPr>
        <w:t>m, h, (j, k)</w:t>
      </w:r>
      <w:r w:rsidRPr="00920E6B">
        <w:rPr>
          <w:b/>
        </w:rPr>
        <w:t>] / ∑</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rPr>
        <w:t>]</w:t>
      </w:r>
    </w:p>
    <w:p w14:paraId="33119280" w14:textId="77777777" w:rsidR="008779D4" w:rsidRPr="00341696" w:rsidRDefault="008779D4" w:rsidP="008779D4">
      <w:pPr>
        <w:tabs>
          <w:tab w:val="left" w:pos="1440"/>
          <w:tab w:val="left" w:pos="1800"/>
        </w:tabs>
        <w:ind w:left="720"/>
        <w:contextualSpacing/>
        <w:rPr>
          <w:b/>
          <w:iCs/>
        </w:rPr>
      </w:pPr>
    </w:p>
    <w:p w14:paraId="442DF677" w14:textId="77777777" w:rsidR="00A36A5A" w:rsidRPr="00341696" w:rsidRDefault="00A36A5A" w:rsidP="008779D4">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739"/>
        <w:gridCol w:w="6574"/>
      </w:tblGrid>
      <w:tr w:rsidR="00A36A5A" w:rsidRPr="00341696" w14:paraId="4FF95375" w14:textId="77777777" w:rsidTr="00E00BA1">
        <w:trPr>
          <w:cantSplit/>
          <w:trHeight w:val="351"/>
          <w:tblHeader/>
        </w:trPr>
        <w:tc>
          <w:tcPr>
            <w:tcW w:w="2069" w:type="dxa"/>
          </w:tcPr>
          <w:p w14:paraId="32551563" w14:textId="77777777" w:rsidR="00A36A5A" w:rsidRPr="00341696" w:rsidRDefault="00A36A5A" w:rsidP="00077067">
            <w:pPr>
              <w:spacing w:after="120"/>
              <w:rPr>
                <w:b/>
                <w:iCs/>
                <w:sz w:val="20"/>
              </w:rPr>
            </w:pPr>
            <w:r w:rsidRPr="00341696">
              <w:rPr>
                <w:b/>
                <w:iCs/>
                <w:sz w:val="20"/>
              </w:rPr>
              <w:t>Variable</w:t>
            </w:r>
          </w:p>
        </w:tc>
        <w:tc>
          <w:tcPr>
            <w:tcW w:w="739" w:type="dxa"/>
          </w:tcPr>
          <w:p w14:paraId="05224EDC" w14:textId="77777777" w:rsidR="00A36A5A" w:rsidRPr="00341696" w:rsidRDefault="00A36A5A" w:rsidP="00077067">
            <w:pPr>
              <w:spacing w:after="120"/>
              <w:rPr>
                <w:b/>
                <w:iCs/>
                <w:sz w:val="20"/>
              </w:rPr>
            </w:pPr>
            <w:r w:rsidRPr="00341696">
              <w:rPr>
                <w:b/>
                <w:iCs/>
                <w:sz w:val="20"/>
              </w:rPr>
              <w:t>Unit</w:t>
            </w:r>
          </w:p>
        </w:tc>
        <w:tc>
          <w:tcPr>
            <w:tcW w:w="6768" w:type="dxa"/>
          </w:tcPr>
          <w:p w14:paraId="103803E0" w14:textId="77777777" w:rsidR="00A36A5A" w:rsidRPr="00341696" w:rsidRDefault="00A36A5A" w:rsidP="00077067">
            <w:pPr>
              <w:spacing w:after="120"/>
              <w:rPr>
                <w:b/>
                <w:iCs/>
                <w:sz w:val="20"/>
              </w:rPr>
            </w:pPr>
            <w:r w:rsidRPr="00341696">
              <w:rPr>
                <w:b/>
                <w:iCs/>
                <w:sz w:val="20"/>
              </w:rPr>
              <w:t>Description</w:t>
            </w:r>
          </w:p>
        </w:tc>
      </w:tr>
      <w:tr w:rsidR="00A36A5A" w:rsidRPr="00341696" w14:paraId="30BEC859" w14:textId="77777777" w:rsidTr="00E00BA1">
        <w:trPr>
          <w:cantSplit/>
          <w:trHeight w:val="519"/>
        </w:trPr>
        <w:tc>
          <w:tcPr>
            <w:tcW w:w="2069" w:type="dxa"/>
          </w:tcPr>
          <w:p w14:paraId="2B039A5A" w14:textId="77777777" w:rsidR="00A36A5A" w:rsidRPr="00341696" w:rsidRDefault="00A36A5A" w:rsidP="008C0679">
            <w:pPr>
              <w:spacing w:after="60"/>
              <w:rPr>
                <w:iCs/>
                <w:sz w:val="20"/>
              </w:rPr>
            </w:pPr>
            <w:r w:rsidRPr="00341696">
              <w:rPr>
                <w:iCs/>
                <w:sz w:val="20"/>
              </w:rPr>
              <w:t xml:space="preserve">FCEOBL </w:t>
            </w:r>
            <w:r w:rsidR="008C0679">
              <w:rPr>
                <w:i/>
                <w:iCs/>
                <w:sz w:val="20"/>
                <w:vertAlign w:val="subscript"/>
              </w:rPr>
              <w:t>a</w:t>
            </w:r>
          </w:p>
        </w:tc>
        <w:tc>
          <w:tcPr>
            <w:tcW w:w="739" w:type="dxa"/>
          </w:tcPr>
          <w:p w14:paraId="44454949" w14:textId="77777777" w:rsidR="00A36A5A" w:rsidRPr="00341696" w:rsidRDefault="00A36A5A" w:rsidP="00077067">
            <w:pPr>
              <w:spacing w:after="60"/>
              <w:rPr>
                <w:iCs/>
                <w:sz w:val="20"/>
              </w:rPr>
            </w:pPr>
            <w:r w:rsidRPr="00341696">
              <w:rPr>
                <w:iCs/>
                <w:sz w:val="20"/>
              </w:rPr>
              <w:t>$</w:t>
            </w:r>
          </w:p>
        </w:tc>
        <w:tc>
          <w:tcPr>
            <w:tcW w:w="6768" w:type="dxa"/>
          </w:tcPr>
          <w:p w14:paraId="31194026" w14:textId="77777777" w:rsidR="00A36A5A" w:rsidRPr="00341696" w:rsidRDefault="00A36A5A" w:rsidP="008C0679">
            <w:pPr>
              <w:spacing w:after="60"/>
              <w:rPr>
                <w:iCs/>
                <w:sz w:val="20"/>
              </w:rPr>
            </w:pPr>
            <w:r w:rsidRPr="00341696">
              <w:rPr>
                <w:i/>
                <w:iCs/>
                <w:sz w:val="20"/>
              </w:rPr>
              <w:t>Future Credit Exposure for PTP Obligations</w:t>
            </w:r>
            <w:r w:rsidRPr="00341696">
              <w:rPr>
                <w:iCs/>
                <w:sz w:val="20"/>
              </w:rPr>
              <w:t xml:space="preserve"> for all PTP Obligations held by </w:t>
            </w:r>
            <w:r w:rsidR="008C0679" w:rsidRPr="00545E0B">
              <w:rPr>
                <w:sz w:val="20"/>
              </w:rPr>
              <w:t>all CRR Account Holders represented by</w:t>
            </w:r>
            <w:r w:rsidR="008C0679">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for all Operating Days </w:t>
            </w:r>
            <w:r>
              <w:rPr>
                <w:iCs/>
                <w:sz w:val="20"/>
              </w:rPr>
              <w:t>in the current operating month, Prompt Month, and all Forward Months</w:t>
            </w:r>
            <w:r w:rsidRPr="00341696">
              <w:rPr>
                <w:iCs/>
                <w:sz w:val="20"/>
              </w:rPr>
              <w:t>.</w:t>
            </w:r>
          </w:p>
        </w:tc>
      </w:tr>
      <w:tr w:rsidR="00A36A5A" w:rsidRPr="00341696" w14:paraId="4B82EF2B" w14:textId="77777777" w:rsidTr="00E00BA1">
        <w:tblPrEx>
          <w:tblLook w:val="01E0" w:firstRow="1" w:lastRow="1" w:firstColumn="1" w:lastColumn="1" w:noHBand="0" w:noVBand="0"/>
        </w:tblPrEx>
        <w:trPr>
          <w:cantSplit/>
          <w:trHeight w:val="350"/>
        </w:trPr>
        <w:tc>
          <w:tcPr>
            <w:tcW w:w="2069" w:type="dxa"/>
          </w:tcPr>
          <w:p w14:paraId="2218D04E" w14:textId="77777777" w:rsidR="00A36A5A" w:rsidRPr="00341696" w:rsidRDefault="00A36A5A" w:rsidP="008C0679">
            <w:pPr>
              <w:spacing w:after="60"/>
              <w:rPr>
                <w:iCs/>
                <w:sz w:val="20"/>
              </w:rPr>
            </w:pPr>
            <w:r w:rsidRPr="000433EB">
              <w:rPr>
                <w:sz w:val="20"/>
              </w:rPr>
              <w:t>NAOBLMW</w:t>
            </w:r>
            <w:r w:rsidRPr="000433EB">
              <w:rPr>
                <w:sz w:val="20"/>
                <w:vertAlign w:val="subscript"/>
              </w:rPr>
              <w:t xml:space="preserve"> </w:t>
            </w:r>
            <w:r w:rsidRPr="00D36347">
              <w:rPr>
                <w:i/>
                <w:sz w:val="20"/>
                <w:vertAlign w:val="subscript"/>
              </w:rPr>
              <w:t>m, h, (j, k)</w:t>
            </w:r>
          </w:p>
        </w:tc>
        <w:tc>
          <w:tcPr>
            <w:tcW w:w="739" w:type="dxa"/>
          </w:tcPr>
          <w:p w14:paraId="2CFC0F3D" w14:textId="77777777" w:rsidR="00A36A5A" w:rsidRPr="00341696" w:rsidRDefault="00A36A5A" w:rsidP="00077067">
            <w:pPr>
              <w:spacing w:after="60"/>
              <w:rPr>
                <w:iCs/>
                <w:sz w:val="20"/>
              </w:rPr>
            </w:pPr>
            <w:r w:rsidRPr="000433EB">
              <w:rPr>
                <w:sz w:val="20"/>
              </w:rPr>
              <w:t>MW</w:t>
            </w:r>
          </w:p>
        </w:tc>
        <w:tc>
          <w:tcPr>
            <w:tcW w:w="6768" w:type="dxa"/>
          </w:tcPr>
          <w:p w14:paraId="5CE154E6" w14:textId="77777777" w:rsidR="00A36A5A" w:rsidRPr="00341696" w:rsidRDefault="00A36A5A" w:rsidP="008C0679">
            <w:pPr>
              <w:spacing w:after="60"/>
              <w:rPr>
                <w:iCs/>
                <w:sz w:val="20"/>
              </w:rPr>
            </w:pPr>
            <w:r w:rsidRPr="000433EB">
              <w:rPr>
                <w:i/>
                <w:sz w:val="20"/>
              </w:rPr>
              <w:t>Net Awarded PTP Obligations</w:t>
            </w:r>
            <w:r w:rsidRPr="008C1469">
              <w:rPr>
                <w:iCs/>
                <w:sz w:val="20"/>
              </w:rPr>
              <w:sym w:font="Symbol" w:char="F0BE"/>
            </w:r>
            <w:r>
              <w:rPr>
                <w:sz w:val="20"/>
              </w:rPr>
              <w:t xml:space="preserve">Net awarded PTP Obligations </w:t>
            </w:r>
            <w:r w:rsidRPr="000433EB">
              <w:rPr>
                <w:sz w:val="20"/>
              </w:rPr>
              <w:t xml:space="preserve">with the source </w:t>
            </w:r>
            <w:r w:rsidRPr="000433EB">
              <w:rPr>
                <w:i/>
                <w:sz w:val="20"/>
              </w:rPr>
              <w:t>j</w:t>
            </w:r>
            <w:r w:rsidRPr="000433EB">
              <w:rPr>
                <w:sz w:val="20"/>
              </w:rPr>
              <w:t xml:space="preserve"> and sink </w:t>
            </w:r>
            <w:r w:rsidRPr="000433EB">
              <w:rPr>
                <w:i/>
                <w:sz w:val="20"/>
              </w:rPr>
              <w:t>k</w:t>
            </w:r>
            <w:r w:rsidRPr="000433EB">
              <w:rPr>
                <w:sz w:val="20"/>
              </w:rPr>
              <w:t xml:space="preserve"> for the hour </w:t>
            </w:r>
            <w:r w:rsidRPr="000433EB">
              <w:rPr>
                <w:i/>
                <w:sz w:val="20"/>
              </w:rPr>
              <w:t>h</w:t>
            </w:r>
            <w:r w:rsidRPr="000433EB">
              <w:rPr>
                <w:sz w:val="20"/>
              </w:rPr>
              <w:t xml:space="preserve"> and month </w:t>
            </w:r>
            <w:r w:rsidRPr="000433EB">
              <w:rPr>
                <w:i/>
                <w:sz w:val="20"/>
              </w:rPr>
              <w:t>m</w:t>
            </w:r>
            <w:r w:rsidRPr="000433EB">
              <w:rPr>
                <w:sz w:val="20"/>
              </w:rPr>
              <w:t xml:space="preserve"> owned by </w:t>
            </w:r>
            <w:r w:rsidR="008C0679" w:rsidRPr="00545E0B">
              <w:rPr>
                <w:sz w:val="20"/>
              </w:rPr>
              <w:t>all CRR Account Holders represented by</w:t>
            </w:r>
            <w:r w:rsidR="008C0679">
              <w:t xml:space="preserve"> </w:t>
            </w:r>
            <w:r w:rsidRPr="000433EB">
              <w:rPr>
                <w:sz w:val="20"/>
              </w:rPr>
              <w:t xml:space="preserve">the </w:t>
            </w:r>
            <w:r>
              <w:rPr>
                <w:sz w:val="20"/>
              </w:rPr>
              <w:t xml:space="preserve">Counter-Party as </w:t>
            </w:r>
            <w:r w:rsidRPr="000433EB">
              <w:rPr>
                <w:sz w:val="20"/>
              </w:rPr>
              <w:t xml:space="preserve">CRR Owner </w:t>
            </w:r>
            <w:r>
              <w:rPr>
                <w:sz w:val="20"/>
              </w:rPr>
              <w:t>of record at ERCOT for all Operating Days in the current operating month, Prompt Month, and F</w:t>
            </w:r>
            <w:r w:rsidRPr="000433EB">
              <w:rPr>
                <w:sz w:val="20"/>
              </w:rPr>
              <w:t xml:space="preserve">orward </w:t>
            </w:r>
            <w:r>
              <w:rPr>
                <w:sz w:val="20"/>
              </w:rPr>
              <w:t>M</w:t>
            </w:r>
            <w:r w:rsidRPr="000433EB">
              <w:rPr>
                <w:sz w:val="20"/>
              </w:rPr>
              <w:t>onths</w:t>
            </w:r>
            <w:r>
              <w:rPr>
                <w:sz w:val="20"/>
              </w:rPr>
              <w:t>.</w:t>
            </w:r>
          </w:p>
        </w:tc>
      </w:tr>
      <w:tr w:rsidR="00A36A5A" w:rsidRPr="00341696" w14:paraId="29446FF6" w14:textId="77777777" w:rsidTr="00E00BA1">
        <w:tblPrEx>
          <w:tblLook w:val="01E0" w:firstRow="1" w:lastRow="1" w:firstColumn="1" w:lastColumn="1" w:noHBand="0" w:noVBand="0"/>
        </w:tblPrEx>
        <w:trPr>
          <w:cantSplit/>
          <w:trHeight w:val="350"/>
        </w:trPr>
        <w:tc>
          <w:tcPr>
            <w:tcW w:w="2069" w:type="dxa"/>
          </w:tcPr>
          <w:p w14:paraId="791E28DF" w14:textId="77777777" w:rsidR="00A36A5A" w:rsidRPr="00341696" w:rsidRDefault="00A36A5A" w:rsidP="008C0679">
            <w:pPr>
              <w:spacing w:after="60"/>
              <w:rPr>
                <w:iCs/>
                <w:sz w:val="20"/>
              </w:rPr>
            </w:pPr>
            <w:r w:rsidRPr="000433EB">
              <w:rPr>
                <w:sz w:val="20"/>
              </w:rPr>
              <w:t>PWA</w:t>
            </w:r>
            <w:r w:rsidRPr="000433EB">
              <w:rPr>
                <w:sz w:val="20"/>
                <w:vertAlign w:val="subscript"/>
              </w:rPr>
              <w:t xml:space="preserve"> </w:t>
            </w:r>
            <w:r w:rsidRPr="00D36347">
              <w:rPr>
                <w:i/>
                <w:sz w:val="20"/>
                <w:vertAlign w:val="subscript"/>
              </w:rPr>
              <w:t>ci100, m</w:t>
            </w:r>
          </w:p>
        </w:tc>
        <w:tc>
          <w:tcPr>
            <w:tcW w:w="739" w:type="dxa"/>
          </w:tcPr>
          <w:p w14:paraId="1512F491" w14:textId="77777777" w:rsidR="00A36A5A" w:rsidRPr="00341696" w:rsidRDefault="00A36A5A" w:rsidP="00077067">
            <w:pPr>
              <w:spacing w:after="60"/>
              <w:rPr>
                <w:iCs/>
                <w:sz w:val="20"/>
              </w:rPr>
            </w:pPr>
            <w:r w:rsidRPr="000433EB">
              <w:rPr>
                <w:sz w:val="20"/>
              </w:rPr>
              <w:t>$/MW per hour</w:t>
            </w:r>
          </w:p>
        </w:tc>
        <w:tc>
          <w:tcPr>
            <w:tcW w:w="6768" w:type="dxa"/>
          </w:tcPr>
          <w:p w14:paraId="133D1467" w14:textId="77777777" w:rsidR="00A36A5A" w:rsidRPr="00341696" w:rsidRDefault="00A36A5A" w:rsidP="008C0679">
            <w:pPr>
              <w:spacing w:after="60"/>
              <w:rPr>
                <w:iCs/>
                <w:sz w:val="20"/>
              </w:rPr>
            </w:pPr>
            <w:r w:rsidRPr="000433EB">
              <w:rPr>
                <w:i/>
                <w:iCs/>
                <w:sz w:val="20"/>
              </w:rPr>
              <w:t>Portfolio Weighted Adder</w:t>
            </w:r>
            <w:r w:rsidRPr="008C1469">
              <w:rPr>
                <w:iCs/>
                <w:sz w:val="20"/>
              </w:rPr>
              <w:sym w:font="Symbol" w:char="F0BE"/>
            </w:r>
            <w:r>
              <w:rPr>
                <w:iCs/>
                <w:sz w:val="20"/>
              </w:rPr>
              <w:t xml:space="preserve">The portfolio weighted adder </w:t>
            </w:r>
            <w:r w:rsidRPr="000433EB">
              <w:rPr>
                <w:sz w:val="20"/>
              </w:rPr>
              <w:t>calculated as the 100</w:t>
            </w:r>
            <w:r w:rsidRPr="000433EB">
              <w:rPr>
                <w:sz w:val="20"/>
                <w:vertAlign w:val="superscript"/>
              </w:rPr>
              <w:t>th</w:t>
            </w:r>
            <w:r w:rsidRPr="000433EB">
              <w:rPr>
                <w:sz w:val="20"/>
              </w:rPr>
              <w:t xml:space="preserve"> percentile of a volume weighted average rolling consecutive DAM settled price for </w:t>
            </w:r>
            <w:r w:rsidR="008C0679" w:rsidRPr="00CF238E">
              <w:rPr>
                <w:sz w:val="20"/>
              </w:rPr>
              <w:t>all CRR Account Holders represented by</w:t>
            </w:r>
            <w:r w:rsidR="008C0679">
              <w:t xml:space="preserve"> </w:t>
            </w:r>
            <w:r w:rsidR="008C0679">
              <w:rPr>
                <w:sz w:val="20"/>
              </w:rPr>
              <w:t>the</w:t>
            </w:r>
            <w:r w:rsidRPr="000433EB">
              <w:rPr>
                <w:sz w:val="20"/>
              </w:rPr>
              <w:t xml:space="preserve"> </w:t>
            </w:r>
            <w:r>
              <w:rPr>
                <w:sz w:val="20"/>
              </w:rPr>
              <w:t xml:space="preserve">Counter-Party as </w:t>
            </w:r>
            <w:r w:rsidRPr="000433EB">
              <w:rPr>
                <w:sz w:val="20"/>
              </w:rPr>
              <w:t xml:space="preserve">CRR Owner </w:t>
            </w:r>
            <w:r>
              <w:rPr>
                <w:sz w:val="20"/>
              </w:rPr>
              <w:t xml:space="preserve">of record at ERCOT </w:t>
            </w:r>
            <w:r w:rsidRPr="000433EB">
              <w:rPr>
                <w:sz w:val="20"/>
              </w:rPr>
              <w:t>based on volumes owned for the month</w:t>
            </w:r>
            <w:r w:rsidRPr="000433EB">
              <w:rPr>
                <w:i/>
                <w:sz w:val="20"/>
              </w:rPr>
              <w:t xml:space="preserve"> m</w:t>
            </w:r>
            <w:r w:rsidRPr="000433EB">
              <w:rPr>
                <w:sz w:val="20"/>
              </w:rPr>
              <w:t>, over a period that represents a month for each product type (18</w:t>
            </w:r>
            <w:r>
              <w:rPr>
                <w:sz w:val="20"/>
              </w:rPr>
              <w:t xml:space="preserve"> </w:t>
            </w:r>
            <w:r w:rsidRPr="000433EB">
              <w:rPr>
                <w:sz w:val="20"/>
              </w:rPr>
              <w:t>days for 5*16, 8 days for 2*16, 28 days for 7*8</w:t>
            </w:r>
            <w:r>
              <w:rPr>
                <w:sz w:val="20"/>
              </w:rPr>
              <w:t xml:space="preserve">).  The look-back period for DAM settled prices shall be the lesser of January 1, 2011 to the current time, and the current time minus three years.  </w:t>
            </w:r>
            <w:r w:rsidRPr="00AA4725">
              <w:rPr>
                <w:bCs/>
                <w:iCs/>
                <w:sz w:val="20"/>
              </w:rPr>
              <w:t xml:space="preserve">If historical </w:t>
            </w:r>
            <w:r w:rsidR="00D24ED8">
              <w:rPr>
                <w:bCs/>
                <w:iCs/>
                <w:sz w:val="20"/>
              </w:rPr>
              <w:t>Day-Ahead Settlement Point Prices (</w:t>
            </w:r>
            <w:r>
              <w:rPr>
                <w:bCs/>
                <w:iCs/>
                <w:sz w:val="20"/>
              </w:rPr>
              <w:t>DASPP</w:t>
            </w:r>
            <w:r w:rsidRPr="00AA4725">
              <w:rPr>
                <w:bCs/>
                <w:iCs/>
                <w:sz w:val="20"/>
              </w:rPr>
              <w:t>s</w:t>
            </w:r>
            <w:r w:rsidR="00D24ED8">
              <w:rPr>
                <w:bCs/>
                <w:iCs/>
                <w:sz w:val="20"/>
              </w:rPr>
              <w:t>)</w:t>
            </w:r>
            <w:r w:rsidRPr="00AA4725">
              <w:rPr>
                <w:bCs/>
                <w:iCs/>
                <w:sz w:val="20"/>
              </w:rPr>
              <w:t xml:space="preserve"> are not available for a Settlement Point for one or more Operating Days, ERCOT will designate a proxy Settlement Point for this purpose, and the </w:t>
            </w:r>
            <w:r>
              <w:rPr>
                <w:bCs/>
                <w:iCs/>
                <w:sz w:val="20"/>
              </w:rPr>
              <w:t>DASPP</w:t>
            </w:r>
            <w:r w:rsidRPr="00AA4725">
              <w:rPr>
                <w:bCs/>
                <w:iCs/>
                <w:sz w:val="20"/>
              </w:rPr>
              <w:t>s of the proxy Settlement Point of corresponding Operating Days are used</w:t>
            </w:r>
            <w:r>
              <w:rPr>
                <w:bCs/>
                <w:iCs/>
                <w:sz w:val="20"/>
              </w:rPr>
              <w:t>.</w:t>
            </w:r>
            <w:r>
              <w:rPr>
                <w:sz w:val="20"/>
              </w:rPr>
              <w:t xml:space="preserve"> </w:t>
            </w:r>
            <w:r w:rsidRPr="000433EB">
              <w:rPr>
                <w:sz w:val="20"/>
              </w:rPr>
              <w:t xml:space="preserve"> </w:t>
            </w:r>
          </w:p>
        </w:tc>
      </w:tr>
      <w:tr w:rsidR="00A36A5A" w:rsidRPr="00341696" w14:paraId="3FB83E4E" w14:textId="77777777" w:rsidTr="00E00BA1">
        <w:tblPrEx>
          <w:tblLook w:val="01E0" w:firstRow="1" w:lastRow="1" w:firstColumn="1" w:lastColumn="1" w:noHBand="0" w:noVBand="0"/>
        </w:tblPrEx>
        <w:trPr>
          <w:cantSplit/>
          <w:trHeight w:val="350"/>
        </w:trPr>
        <w:tc>
          <w:tcPr>
            <w:tcW w:w="2069" w:type="dxa"/>
          </w:tcPr>
          <w:p w14:paraId="41880137" w14:textId="77777777" w:rsidR="00A36A5A" w:rsidRPr="00341696" w:rsidRDefault="00A36A5A" w:rsidP="008C0679">
            <w:pPr>
              <w:spacing w:after="60"/>
              <w:rPr>
                <w:iCs/>
                <w:sz w:val="20"/>
              </w:rPr>
            </w:pPr>
            <w:r w:rsidRPr="000433EB">
              <w:rPr>
                <w:sz w:val="20"/>
              </w:rPr>
              <w:t xml:space="preserve">PWACP </w:t>
            </w:r>
            <w:r w:rsidRPr="00D36347">
              <w:rPr>
                <w:i/>
                <w:sz w:val="20"/>
                <w:vertAlign w:val="subscript"/>
              </w:rPr>
              <w:t>m</w:t>
            </w:r>
          </w:p>
        </w:tc>
        <w:tc>
          <w:tcPr>
            <w:tcW w:w="739" w:type="dxa"/>
          </w:tcPr>
          <w:p w14:paraId="19A37473" w14:textId="77777777" w:rsidR="00A36A5A" w:rsidRPr="00341696" w:rsidRDefault="00A36A5A" w:rsidP="00077067">
            <w:pPr>
              <w:spacing w:after="60"/>
              <w:rPr>
                <w:iCs/>
                <w:sz w:val="20"/>
              </w:rPr>
            </w:pPr>
            <w:r w:rsidRPr="000433EB">
              <w:rPr>
                <w:sz w:val="20"/>
              </w:rPr>
              <w:t>$/MW per hour</w:t>
            </w:r>
          </w:p>
        </w:tc>
        <w:tc>
          <w:tcPr>
            <w:tcW w:w="6768" w:type="dxa"/>
          </w:tcPr>
          <w:p w14:paraId="2EB70E9C" w14:textId="77777777" w:rsidR="00A36A5A" w:rsidRPr="00341696" w:rsidRDefault="00A36A5A" w:rsidP="008C0679">
            <w:pPr>
              <w:spacing w:after="60"/>
              <w:rPr>
                <w:iCs/>
                <w:sz w:val="20"/>
              </w:rPr>
            </w:pPr>
            <w:r w:rsidRPr="000433EB">
              <w:rPr>
                <w:i/>
                <w:sz w:val="20"/>
              </w:rPr>
              <w:t>Portfolio Weighted Auction Clearing Price</w:t>
            </w:r>
            <w:r w:rsidRPr="008C1469">
              <w:rPr>
                <w:iCs/>
                <w:sz w:val="20"/>
              </w:rPr>
              <w:sym w:font="Symbol" w:char="F0BE"/>
            </w:r>
            <w:r>
              <w:rPr>
                <w:sz w:val="20"/>
              </w:rPr>
              <w:t xml:space="preserve">The portfolio weighted auction clearing price </w:t>
            </w:r>
            <w:r w:rsidRPr="000433EB">
              <w:rPr>
                <w:sz w:val="20"/>
              </w:rPr>
              <w:t xml:space="preserve">calculated as the volume weighted auction clearing price for </w:t>
            </w:r>
            <w:r w:rsidR="008C0679" w:rsidRPr="00CF238E">
              <w:rPr>
                <w:sz w:val="20"/>
              </w:rPr>
              <w:t>all CRR Account Holders represented by</w:t>
            </w:r>
            <w:r w:rsidR="008C0679">
              <w:rPr>
                <w:sz w:val="20"/>
              </w:rPr>
              <w:t xml:space="preserve"> </w:t>
            </w:r>
            <w:r w:rsidR="008C0679" w:rsidRPr="00545E0B">
              <w:rPr>
                <w:sz w:val="20"/>
              </w:rPr>
              <w:t>the</w:t>
            </w:r>
            <w:r w:rsidRPr="000433EB">
              <w:rPr>
                <w:sz w:val="20"/>
              </w:rPr>
              <w:t xml:space="preserve"> </w:t>
            </w:r>
            <w:r>
              <w:rPr>
                <w:sz w:val="20"/>
              </w:rPr>
              <w:t>Counter-Party as CRR Owner</w:t>
            </w:r>
            <w:r w:rsidRPr="000433EB">
              <w:rPr>
                <w:sz w:val="20"/>
              </w:rPr>
              <w:t xml:space="preserve"> </w:t>
            </w:r>
            <w:r>
              <w:rPr>
                <w:sz w:val="20"/>
              </w:rPr>
              <w:t xml:space="preserve">of record at ERCOT </w:t>
            </w:r>
            <w:r w:rsidRPr="000433EB">
              <w:rPr>
                <w:sz w:val="20"/>
              </w:rPr>
              <w:t xml:space="preserve">based on the most recent </w:t>
            </w:r>
            <w:r>
              <w:rPr>
                <w:sz w:val="20"/>
              </w:rPr>
              <w:t>a</w:t>
            </w:r>
            <w:r w:rsidRPr="000433EB">
              <w:rPr>
                <w:sz w:val="20"/>
              </w:rPr>
              <w:t xml:space="preserve">uction </w:t>
            </w:r>
            <w:r>
              <w:rPr>
                <w:sz w:val="20"/>
              </w:rPr>
              <w:t>c</w:t>
            </w:r>
            <w:r w:rsidRPr="000433EB">
              <w:rPr>
                <w:sz w:val="20"/>
              </w:rPr>
              <w:t>learing price for the month</w:t>
            </w:r>
            <w:r w:rsidRPr="000433EB">
              <w:rPr>
                <w:i/>
                <w:sz w:val="20"/>
              </w:rPr>
              <w:t xml:space="preserve"> m </w:t>
            </w:r>
            <w:r w:rsidRPr="000433EB">
              <w:rPr>
                <w:sz w:val="20"/>
              </w:rPr>
              <w:t>and volumes owned for the month</w:t>
            </w:r>
            <w:r w:rsidRPr="000433EB">
              <w:rPr>
                <w:i/>
                <w:sz w:val="20"/>
              </w:rPr>
              <w:t xml:space="preserve"> m</w:t>
            </w:r>
            <w:r>
              <w:rPr>
                <w:i/>
                <w:sz w:val="20"/>
              </w:rPr>
              <w:t>.</w:t>
            </w:r>
            <w:r w:rsidRPr="000433EB">
              <w:rPr>
                <w:sz w:val="20"/>
              </w:rPr>
              <w:t xml:space="preserve"> </w:t>
            </w:r>
          </w:p>
        </w:tc>
      </w:tr>
      <w:tr w:rsidR="0083787A" w:rsidRPr="00341696" w14:paraId="3F468DAE" w14:textId="77777777" w:rsidTr="00E00BA1">
        <w:tblPrEx>
          <w:tblLook w:val="01E0" w:firstRow="1" w:lastRow="1" w:firstColumn="1" w:lastColumn="1" w:noHBand="0" w:noVBand="0"/>
        </w:tblPrEx>
        <w:trPr>
          <w:cantSplit/>
          <w:trHeight w:val="350"/>
        </w:trPr>
        <w:tc>
          <w:tcPr>
            <w:tcW w:w="2069" w:type="dxa"/>
          </w:tcPr>
          <w:p w14:paraId="1A3B02B1" w14:textId="77777777" w:rsidR="0083787A" w:rsidRPr="00341696" w:rsidRDefault="0083787A" w:rsidP="00077067">
            <w:pPr>
              <w:spacing w:after="60"/>
              <w:rPr>
                <w:iCs/>
                <w:sz w:val="20"/>
              </w:rPr>
            </w:pPr>
            <w:r w:rsidRPr="00920E6B">
              <w:rPr>
                <w:sz w:val="20"/>
              </w:rPr>
              <w:lastRenderedPageBreak/>
              <w:t>EACP</w:t>
            </w:r>
            <w:r w:rsidRPr="00920E6B">
              <w:rPr>
                <w:sz w:val="20"/>
                <w:vertAlign w:val="subscript"/>
              </w:rPr>
              <w:t xml:space="preserve"> </w:t>
            </w:r>
            <w:r w:rsidRPr="00D36347">
              <w:rPr>
                <w:i/>
                <w:sz w:val="20"/>
                <w:vertAlign w:val="subscript"/>
              </w:rPr>
              <w:t>m, h, (j, k)</w:t>
            </w:r>
          </w:p>
        </w:tc>
        <w:tc>
          <w:tcPr>
            <w:tcW w:w="739" w:type="dxa"/>
          </w:tcPr>
          <w:p w14:paraId="64E2F74C" w14:textId="77777777" w:rsidR="0083787A" w:rsidRPr="00341696" w:rsidRDefault="0083787A" w:rsidP="00077067">
            <w:pPr>
              <w:spacing w:after="60"/>
              <w:rPr>
                <w:iCs/>
                <w:sz w:val="20"/>
              </w:rPr>
            </w:pPr>
            <w:r w:rsidRPr="00920E6B">
              <w:rPr>
                <w:sz w:val="20"/>
              </w:rPr>
              <w:t>$/MW per hour</w:t>
            </w:r>
          </w:p>
        </w:tc>
        <w:tc>
          <w:tcPr>
            <w:tcW w:w="6768" w:type="dxa"/>
          </w:tcPr>
          <w:p w14:paraId="723604E2" w14:textId="77777777" w:rsidR="0083787A" w:rsidRPr="00920E6B" w:rsidRDefault="0083787A" w:rsidP="0083787A">
            <w:pPr>
              <w:pStyle w:val="List"/>
              <w:spacing w:after="60"/>
              <w:ind w:left="0" w:firstLine="0"/>
              <w:rPr>
                <w:sz w:val="20"/>
              </w:rPr>
            </w:pPr>
            <w:r w:rsidRPr="00920E6B">
              <w:rPr>
                <w:i/>
                <w:sz w:val="20"/>
              </w:rPr>
              <w:t>Effective Auction Clearing Price</w:t>
            </w:r>
            <w:r w:rsidRPr="00920E6B">
              <w:rPr>
                <w:iCs/>
                <w:sz w:val="20"/>
              </w:rPr>
              <w:t>—</w:t>
            </w:r>
            <w:r>
              <w:rPr>
                <w:iCs/>
                <w:sz w:val="20"/>
              </w:rPr>
              <w:t xml:space="preserve"> </w:t>
            </w:r>
            <w:r w:rsidRPr="00920E6B">
              <w:rPr>
                <w:sz w:val="20"/>
              </w:rPr>
              <w:t xml:space="preserve">The auction clearing price with the source </w:t>
            </w:r>
            <w:r w:rsidRPr="00920E6B">
              <w:rPr>
                <w:i/>
                <w:sz w:val="20"/>
              </w:rPr>
              <w:t>j</w:t>
            </w:r>
            <w:r w:rsidRPr="00920E6B">
              <w:rPr>
                <w:sz w:val="20"/>
              </w:rPr>
              <w:t xml:space="preserve"> and sink </w:t>
            </w:r>
            <w:r w:rsidRPr="00920E6B">
              <w:rPr>
                <w:i/>
                <w:sz w:val="20"/>
              </w:rPr>
              <w:t>k</w:t>
            </w:r>
            <w:r w:rsidRPr="00920E6B">
              <w:rPr>
                <w:sz w:val="20"/>
              </w:rPr>
              <w:t xml:space="preserve"> for the hour</w:t>
            </w:r>
            <w:r w:rsidRPr="00920E6B">
              <w:rPr>
                <w:i/>
                <w:sz w:val="20"/>
              </w:rPr>
              <w:t xml:space="preserve"> h, </w:t>
            </w:r>
            <w:r w:rsidRPr="00920E6B">
              <w:rPr>
                <w:sz w:val="20"/>
              </w:rPr>
              <w:t>and month</w:t>
            </w:r>
            <w:r w:rsidRPr="00920E6B">
              <w:rPr>
                <w:i/>
                <w:sz w:val="20"/>
              </w:rPr>
              <w:t xml:space="preserve"> m</w:t>
            </w:r>
            <w:r w:rsidRPr="00920E6B">
              <w:rPr>
                <w:sz w:val="20"/>
              </w:rPr>
              <w:t xml:space="preserve">. </w:t>
            </w:r>
          </w:p>
          <w:p w14:paraId="1D664FFC" w14:textId="77777777" w:rsidR="0083787A" w:rsidRPr="00920E6B" w:rsidRDefault="0083787A" w:rsidP="0083787A">
            <w:pPr>
              <w:pStyle w:val="List"/>
              <w:spacing w:after="60"/>
              <w:ind w:left="0" w:firstLine="0"/>
              <w:rPr>
                <w:sz w:val="20"/>
              </w:rPr>
            </w:pPr>
            <w:r w:rsidRPr="00920E6B">
              <w:rPr>
                <w:sz w:val="20"/>
              </w:rPr>
              <w:t xml:space="preserve">For each CRR PTP Obligation, this value is equal to the </w:t>
            </w:r>
            <w:r w:rsidR="008779D4">
              <w:rPr>
                <w:sz w:val="20"/>
              </w:rPr>
              <w:t>a</w:t>
            </w:r>
            <w:r w:rsidRPr="00920E6B">
              <w:rPr>
                <w:sz w:val="20"/>
              </w:rPr>
              <w:t xml:space="preserve">uction </w:t>
            </w:r>
            <w:r w:rsidR="008779D4">
              <w:rPr>
                <w:sz w:val="20"/>
              </w:rPr>
              <w:t>c</w:t>
            </w:r>
            <w:r w:rsidRPr="00920E6B">
              <w:rPr>
                <w:sz w:val="20"/>
              </w:rPr>
              <w:t xml:space="preserve">learing </w:t>
            </w:r>
            <w:r w:rsidR="008779D4">
              <w:rPr>
                <w:sz w:val="20"/>
              </w:rPr>
              <w:t>p</w:t>
            </w:r>
            <w:r w:rsidRPr="00920E6B">
              <w:rPr>
                <w:sz w:val="20"/>
              </w:rPr>
              <w:t xml:space="preserve">rice of an awarded CRR selected as follows: </w:t>
            </w:r>
          </w:p>
          <w:p w14:paraId="79173004" w14:textId="77777777" w:rsidR="0083787A" w:rsidRPr="0083787A" w:rsidRDefault="0083787A" w:rsidP="0083787A">
            <w:pPr>
              <w:spacing w:after="60"/>
              <w:ind w:left="792" w:hanging="360"/>
              <w:rPr>
                <w:sz w:val="20"/>
              </w:rPr>
            </w:pPr>
            <w:r w:rsidRPr="0083787A">
              <w:rPr>
                <w:sz w:val="20"/>
              </w:rPr>
              <w:t>(a)</w:t>
            </w:r>
            <w:r w:rsidRPr="0083787A">
              <w:rPr>
                <w:sz w:val="20"/>
              </w:rPr>
              <w:tab/>
              <w:t xml:space="preserve">Awarded CRRs with the source </w:t>
            </w:r>
            <w:r w:rsidRPr="0083787A">
              <w:rPr>
                <w:i/>
                <w:sz w:val="20"/>
              </w:rPr>
              <w:t>j</w:t>
            </w:r>
            <w:r w:rsidRPr="0083787A">
              <w:rPr>
                <w:sz w:val="20"/>
              </w:rPr>
              <w:t xml:space="preserve"> and sink </w:t>
            </w:r>
            <w:r w:rsidRPr="0083787A">
              <w:rPr>
                <w:i/>
                <w:sz w:val="20"/>
              </w:rPr>
              <w:t>k</w:t>
            </w:r>
            <w:r w:rsidRPr="0083787A">
              <w:rPr>
                <w:sz w:val="20"/>
              </w:rPr>
              <w:t xml:space="preserve"> containing hour </w:t>
            </w:r>
            <w:r w:rsidRPr="0083787A">
              <w:rPr>
                <w:i/>
                <w:sz w:val="20"/>
              </w:rPr>
              <w:t>h</w:t>
            </w:r>
            <w:r w:rsidRPr="0083787A">
              <w:rPr>
                <w:sz w:val="20"/>
              </w:rPr>
              <w:t xml:space="preserve"> and operating month </w:t>
            </w:r>
            <w:r w:rsidRPr="0083787A">
              <w:rPr>
                <w:i/>
                <w:sz w:val="20"/>
              </w:rPr>
              <w:t xml:space="preserve">m </w:t>
            </w:r>
            <w:r w:rsidRPr="0083787A">
              <w:rPr>
                <w:sz w:val="20"/>
              </w:rPr>
              <w:t>are selected from the set of unexpired awarded PTP Obligations.  If no awarded CRRs are found the EACP value is zero.</w:t>
            </w:r>
          </w:p>
          <w:p w14:paraId="0999EF82" w14:textId="77777777" w:rsidR="0083787A" w:rsidRPr="0083787A" w:rsidRDefault="0083787A" w:rsidP="0083787A">
            <w:pPr>
              <w:spacing w:after="60"/>
              <w:ind w:left="792" w:hanging="360"/>
              <w:rPr>
                <w:sz w:val="20"/>
              </w:rPr>
            </w:pPr>
            <w:r w:rsidRPr="0083787A">
              <w:rPr>
                <w:sz w:val="20"/>
              </w:rPr>
              <w:t>(b)</w:t>
            </w:r>
            <w:r w:rsidRPr="0083787A">
              <w:rPr>
                <w:sz w:val="20"/>
              </w:rPr>
              <w:tab/>
              <w:t>If (a) results in more than one awarded CRR, awarded CRRs with the most recent award date are selected.</w:t>
            </w:r>
          </w:p>
          <w:p w14:paraId="718610FC" w14:textId="77777777" w:rsidR="0083787A" w:rsidRPr="00341696" w:rsidRDefault="0083787A" w:rsidP="008779D4">
            <w:pPr>
              <w:spacing w:after="60"/>
              <w:ind w:left="792" w:hanging="360"/>
              <w:rPr>
                <w:iCs/>
                <w:sz w:val="20"/>
              </w:rPr>
            </w:pPr>
            <w:r w:rsidRPr="0083787A">
              <w:rPr>
                <w:sz w:val="20"/>
              </w:rPr>
              <w:t>(c)</w:t>
            </w:r>
            <w:r w:rsidRPr="0083787A">
              <w:rPr>
                <w:sz w:val="20"/>
              </w:rPr>
              <w:tab/>
              <w:t xml:space="preserve">If (b) results in more than one awarded CRR, then the awarded CRR with the lowest </w:t>
            </w:r>
            <w:r w:rsidR="008779D4">
              <w:rPr>
                <w:sz w:val="20"/>
              </w:rPr>
              <w:t>a</w:t>
            </w:r>
            <w:r w:rsidRPr="0083787A">
              <w:rPr>
                <w:sz w:val="20"/>
              </w:rPr>
              <w:t xml:space="preserve">uction </w:t>
            </w:r>
            <w:r w:rsidR="008779D4">
              <w:rPr>
                <w:sz w:val="20"/>
              </w:rPr>
              <w:t>c</w:t>
            </w:r>
            <w:r w:rsidRPr="0083787A">
              <w:rPr>
                <w:sz w:val="20"/>
              </w:rPr>
              <w:t xml:space="preserve">learing </w:t>
            </w:r>
            <w:r w:rsidR="008779D4">
              <w:rPr>
                <w:sz w:val="20"/>
              </w:rPr>
              <w:t>p</w:t>
            </w:r>
            <w:r w:rsidRPr="0083787A">
              <w:rPr>
                <w:sz w:val="20"/>
              </w:rPr>
              <w:t>rice</w:t>
            </w:r>
            <w:r w:rsidRPr="007A2782">
              <w:rPr>
                <w:sz w:val="20"/>
              </w:rPr>
              <w:t xml:space="preserve"> </w:t>
            </w:r>
            <w:r w:rsidRPr="008E3E19">
              <w:rPr>
                <w:sz w:val="20"/>
              </w:rPr>
              <w:t>is selected.</w:t>
            </w:r>
          </w:p>
        </w:tc>
      </w:tr>
      <w:tr w:rsidR="00A36A5A" w:rsidRPr="00341696" w14:paraId="7419A9F6" w14:textId="77777777" w:rsidTr="00E00BA1">
        <w:tblPrEx>
          <w:tblLook w:val="01E0" w:firstRow="1" w:lastRow="1" w:firstColumn="1" w:lastColumn="1" w:noHBand="0" w:noVBand="0"/>
        </w:tblPrEx>
        <w:trPr>
          <w:cantSplit/>
          <w:trHeight w:val="350"/>
        </w:trPr>
        <w:tc>
          <w:tcPr>
            <w:tcW w:w="2069" w:type="dxa"/>
          </w:tcPr>
          <w:p w14:paraId="10B6290D" w14:textId="77777777" w:rsidR="00A36A5A" w:rsidRPr="00D36347" w:rsidRDefault="00A36A5A" w:rsidP="00077067">
            <w:pPr>
              <w:spacing w:after="60"/>
              <w:rPr>
                <w:i/>
                <w:iCs/>
                <w:sz w:val="20"/>
              </w:rPr>
            </w:pPr>
            <w:r w:rsidRPr="00D36347">
              <w:rPr>
                <w:i/>
                <w:iCs/>
                <w:sz w:val="20"/>
              </w:rPr>
              <w:t>j</w:t>
            </w:r>
          </w:p>
        </w:tc>
        <w:tc>
          <w:tcPr>
            <w:tcW w:w="739" w:type="dxa"/>
          </w:tcPr>
          <w:p w14:paraId="37518D39" w14:textId="77777777" w:rsidR="00A36A5A" w:rsidRPr="00341696" w:rsidRDefault="00A36A5A" w:rsidP="00077067">
            <w:pPr>
              <w:spacing w:after="60"/>
              <w:rPr>
                <w:iCs/>
                <w:sz w:val="20"/>
              </w:rPr>
            </w:pPr>
            <w:r w:rsidRPr="00341696">
              <w:rPr>
                <w:iCs/>
                <w:sz w:val="20"/>
              </w:rPr>
              <w:t>none</w:t>
            </w:r>
          </w:p>
        </w:tc>
        <w:tc>
          <w:tcPr>
            <w:tcW w:w="6768" w:type="dxa"/>
          </w:tcPr>
          <w:p w14:paraId="4EA391B5" w14:textId="77777777" w:rsidR="00A36A5A" w:rsidRPr="00341696" w:rsidRDefault="00A36A5A" w:rsidP="00077067">
            <w:pPr>
              <w:spacing w:after="60"/>
              <w:rPr>
                <w:iCs/>
                <w:sz w:val="20"/>
              </w:rPr>
            </w:pPr>
            <w:r w:rsidRPr="00341696">
              <w:rPr>
                <w:iCs/>
                <w:sz w:val="20"/>
              </w:rPr>
              <w:t>A source Settlement Point</w:t>
            </w:r>
            <w:r>
              <w:rPr>
                <w:iCs/>
                <w:sz w:val="20"/>
              </w:rPr>
              <w:t>.</w:t>
            </w:r>
          </w:p>
        </w:tc>
      </w:tr>
      <w:tr w:rsidR="00A36A5A" w:rsidRPr="00341696" w14:paraId="32D8BE4A" w14:textId="77777777" w:rsidTr="00E00BA1">
        <w:tblPrEx>
          <w:tblLook w:val="01E0" w:firstRow="1" w:lastRow="1" w:firstColumn="1" w:lastColumn="1" w:noHBand="0" w:noVBand="0"/>
        </w:tblPrEx>
        <w:trPr>
          <w:cantSplit/>
          <w:trHeight w:val="350"/>
        </w:trPr>
        <w:tc>
          <w:tcPr>
            <w:tcW w:w="2069" w:type="dxa"/>
          </w:tcPr>
          <w:p w14:paraId="179A4113" w14:textId="77777777" w:rsidR="00A36A5A" w:rsidRPr="00D36347" w:rsidRDefault="00A36A5A" w:rsidP="00077067">
            <w:pPr>
              <w:spacing w:after="60"/>
              <w:rPr>
                <w:i/>
                <w:iCs/>
                <w:sz w:val="20"/>
              </w:rPr>
            </w:pPr>
            <w:r w:rsidRPr="00D36347">
              <w:rPr>
                <w:i/>
                <w:iCs/>
                <w:sz w:val="20"/>
              </w:rPr>
              <w:t>k</w:t>
            </w:r>
          </w:p>
        </w:tc>
        <w:tc>
          <w:tcPr>
            <w:tcW w:w="739" w:type="dxa"/>
          </w:tcPr>
          <w:p w14:paraId="13BF2F60" w14:textId="77777777" w:rsidR="00A36A5A" w:rsidRPr="00341696" w:rsidRDefault="00A36A5A" w:rsidP="00077067">
            <w:pPr>
              <w:spacing w:after="60"/>
              <w:rPr>
                <w:iCs/>
                <w:sz w:val="20"/>
              </w:rPr>
            </w:pPr>
            <w:r w:rsidRPr="00341696">
              <w:rPr>
                <w:iCs/>
                <w:sz w:val="20"/>
              </w:rPr>
              <w:t>none</w:t>
            </w:r>
          </w:p>
        </w:tc>
        <w:tc>
          <w:tcPr>
            <w:tcW w:w="6768" w:type="dxa"/>
          </w:tcPr>
          <w:p w14:paraId="28893591" w14:textId="77777777" w:rsidR="00A36A5A" w:rsidRPr="00341696" w:rsidRDefault="00A36A5A" w:rsidP="00077067">
            <w:pPr>
              <w:spacing w:after="60"/>
              <w:rPr>
                <w:iCs/>
                <w:sz w:val="20"/>
              </w:rPr>
            </w:pPr>
            <w:r w:rsidRPr="00341696">
              <w:rPr>
                <w:iCs/>
                <w:sz w:val="20"/>
              </w:rPr>
              <w:t>A sink Settlement Point</w:t>
            </w:r>
            <w:r>
              <w:rPr>
                <w:iCs/>
                <w:sz w:val="20"/>
              </w:rPr>
              <w:t>.</w:t>
            </w:r>
          </w:p>
        </w:tc>
      </w:tr>
      <w:tr w:rsidR="00A36A5A" w:rsidRPr="00341696" w14:paraId="2CFDEF14" w14:textId="77777777" w:rsidTr="00E00BA1">
        <w:tblPrEx>
          <w:tblLook w:val="01E0" w:firstRow="1" w:lastRow="1" w:firstColumn="1" w:lastColumn="1" w:noHBand="0" w:noVBand="0"/>
        </w:tblPrEx>
        <w:trPr>
          <w:cantSplit/>
          <w:trHeight w:val="350"/>
        </w:trPr>
        <w:tc>
          <w:tcPr>
            <w:tcW w:w="2069" w:type="dxa"/>
          </w:tcPr>
          <w:p w14:paraId="4008E2B7" w14:textId="77777777" w:rsidR="00A36A5A" w:rsidRPr="00D36347" w:rsidRDefault="00A36A5A" w:rsidP="00077067">
            <w:pPr>
              <w:spacing w:after="60"/>
              <w:rPr>
                <w:i/>
                <w:iCs/>
                <w:sz w:val="20"/>
              </w:rPr>
            </w:pPr>
            <w:r w:rsidRPr="00D36347">
              <w:rPr>
                <w:i/>
                <w:iCs/>
                <w:sz w:val="20"/>
              </w:rPr>
              <w:t>m</w:t>
            </w:r>
          </w:p>
        </w:tc>
        <w:tc>
          <w:tcPr>
            <w:tcW w:w="739" w:type="dxa"/>
          </w:tcPr>
          <w:p w14:paraId="2FEE6B69" w14:textId="77777777" w:rsidR="00A36A5A" w:rsidRPr="00341696" w:rsidRDefault="00A36A5A" w:rsidP="00077067">
            <w:pPr>
              <w:spacing w:after="60"/>
              <w:rPr>
                <w:iCs/>
                <w:sz w:val="20"/>
              </w:rPr>
            </w:pPr>
            <w:r>
              <w:rPr>
                <w:iCs/>
                <w:sz w:val="20"/>
              </w:rPr>
              <w:t>none</w:t>
            </w:r>
          </w:p>
        </w:tc>
        <w:tc>
          <w:tcPr>
            <w:tcW w:w="6768" w:type="dxa"/>
          </w:tcPr>
          <w:p w14:paraId="689B6852" w14:textId="77777777" w:rsidR="00A36A5A" w:rsidRPr="00341696" w:rsidRDefault="00A36A5A" w:rsidP="00077067">
            <w:pPr>
              <w:spacing w:after="60"/>
              <w:rPr>
                <w:iCs/>
                <w:sz w:val="20"/>
              </w:rPr>
            </w:pPr>
            <w:r>
              <w:rPr>
                <w:iCs/>
                <w:sz w:val="20"/>
              </w:rPr>
              <w:t>An operating month.</w:t>
            </w:r>
          </w:p>
        </w:tc>
      </w:tr>
      <w:tr w:rsidR="00A36A5A" w:rsidRPr="00341696" w14:paraId="12F6271E" w14:textId="77777777" w:rsidTr="00E00BA1">
        <w:tblPrEx>
          <w:tblLook w:val="01E0" w:firstRow="1" w:lastRow="1" w:firstColumn="1" w:lastColumn="1" w:noHBand="0" w:noVBand="0"/>
        </w:tblPrEx>
        <w:trPr>
          <w:cantSplit/>
          <w:trHeight w:val="350"/>
        </w:trPr>
        <w:tc>
          <w:tcPr>
            <w:tcW w:w="2069" w:type="dxa"/>
          </w:tcPr>
          <w:p w14:paraId="24C98B37" w14:textId="77777777" w:rsidR="00A36A5A" w:rsidRPr="00D36347" w:rsidRDefault="00A36A5A" w:rsidP="00077067">
            <w:pPr>
              <w:spacing w:after="60"/>
              <w:rPr>
                <w:i/>
                <w:iCs/>
                <w:sz w:val="20"/>
              </w:rPr>
            </w:pPr>
            <w:r w:rsidRPr="00D36347">
              <w:rPr>
                <w:i/>
                <w:iCs/>
                <w:sz w:val="20"/>
              </w:rPr>
              <w:t>h</w:t>
            </w:r>
          </w:p>
        </w:tc>
        <w:tc>
          <w:tcPr>
            <w:tcW w:w="739" w:type="dxa"/>
          </w:tcPr>
          <w:p w14:paraId="62EE7241" w14:textId="77777777" w:rsidR="00A36A5A" w:rsidRPr="00341696" w:rsidRDefault="00A36A5A" w:rsidP="00077067">
            <w:pPr>
              <w:spacing w:after="60"/>
              <w:rPr>
                <w:iCs/>
                <w:sz w:val="20"/>
              </w:rPr>
            </w:pPr>
            <w:r w:rsidRPr="00341696">
              <w:rPr>
                <w:iCs/>
                <w:sz w:val="20"/>
              </w:rPr>
              <w:t>none</w:t>
            </w:r>
          </w:p>
        </w:tc>
        <w:tc>
          <w:tcPr>
            <w:tcW w:w="6768" w:type="dxa"/>
          </w:tcPr>
          <w:p w14:paraId="70A20712" w14:textId="77777777" w:rsidR="00A36A5A" w:rsidRPr="00341696" w:rsidRDefault="00A36A5A" w:rsidP="008C0679">
            <w:pPr>
              <w:spacing w:after="60"/>
              <w:rPr>
                <w:iCs/>
                <w:sz w:val="20"/>
              </w:rPr>
            </w:pPr>
            <w:r w:rsidRPr="00341696">
              <w:rPr>
                <w:iCs/>
                <w:sz w:val="20"/>
              </w:rPr>
              <w:t>An Operating Hour</w:t>
            </w:r>
            <w:r>
              <w:rPr>
                <w:iCs/>
                <w:sz w:val="20"/>
              </w:rPr>
              <w:t>.</w:t>
            </w:r>
          </w:p>
        </w:tc>
      </w:tr>
      <w:tr w:rsidR="00A36A5A" w:rsidRPr="00341696" w14:paraId="46826795" w14:textId="77777777" w:rsidTr="00E00BA1">
        <w:tblPrEx>
          <w:tblLook w:val="01E0" w:firstRow="1" w:lastRow="1" w:firstColumn="1" w:lastColumn="1" w:noHBand="0" w:noVBand="0"/>
        </w:tblPrEx>
        <w:trPr>
          <w:cantSplit/>
          <w:trHeight w:val="350"/>
        </w:trPr>
        <w:tc>
          <w:tcPr>
            <w:tcW w:w="2069" w:type="dxa"/>
          </w:tcPr>
          <w:p w14:paraId="08475AD5" w14:textId="77777777" w:rsidR="00A36A5A" w:rsidRPr="00D36347" w:rsidRDefault="008C0679" w:rsidP="00077067">
            <w:pPr>
              <w:spacing w:after="60"/>
              <w:rPr>
                <w:i/>
                <w:iCs/>
                <w:sz w:val="20"/>
              </w:rPr>
            </w:pPr>
            <w:r>
              <w:rPr>
                <w:i/>
                <w:iCs/>
                <w:sz w:val="20"/>
              </w:rPr>
              <w:t>a</w:t>
            </w:r>
          </w:p>
        </w:tc>
        <w:tc>
          <w:tcPr>
            <w:tcW w:w="739" w:type="dxa"/>
          </w:tcPr>
          <w:p w14:paraId="347441F2" w14:textId="77777777" w:rsidR="00A36A5A" w:rsidRPr="00341696" w:rsidRDefault="00A36A5A" w:rsidP="00077067">
            <w:pPr>
              <w:spacing w:after="60"/>
              <w:rPr>
                <w:iCs/>
                <w:sz w:val="20"/>
              </w:rPr>
            </w:pPr>
            <w:r w:rsidRPr="00341696">
              <w:rPr>
                <w:iCs/>
                <w:sz w:val="20"/>
              </w:rPr>
              <w:t>none</w:t>
            </w:r>
          </w:p>
        </w:tc>
        <w:tc>
          <w:tcPr>
            <w:tcW w:w="6768" w:type="dxa"/>
          </w:tcPr>
          <w:p w14:paraId="6B12ACF7"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Account Holders represented by the Counter-Party</w:t>
            </w:r>
            <w:r>
              <w:rPr>
                <w:iCs/>
                <w:sz w:val="20"/>
              </w:rPr>
              <w:t>.</w:t>
            </w:r>
          </w:p>
        </w:tc>
      </w:tr>
      <w:tr w:rsidR="00A36A5A" w:rsidRPr="00341696" w14:paraId="2C1F1F4D" w14:textId="77777777" w:rsidTr="00E00BA1">
        <w:tblPrEx>
          <w:tblLook w:val="01E0" w:firstRow="1" w:lastRow="1" w:firstColumn="1" w:lastColumn="1" w:noHBand="0" w:noVBand="0"/>
        </w:tblPrEx>
        <w:trPr>
          <w:cantSplit/>
          <w:trHeight w:val="350"/>
        </w:trPr>
        <w:tc>
          <w:tcPr>
            <w:tcW w:w="2069" w:type="dxa"/>
          </w:tcPr>
          <w:p w14:paraId="13CC8FAE" w14:textId="77777777" w:rsidR="00A36A5A" w:rsidRPr="00D36347" w:rsidRDefault="00A36A5A" w:rsidP="00077067">
            <w:pPr>
              <w:spacing w:after="60"/>
              <w:rPr>
                <w:i/>
                <w:iCs/>
                <w:sz w:val="20"/>
              </w:rPr>
            </w:pPr>
            <w:r w:rsidRPr="00D36347">
              <w:rPr>
                <w:i/>
                <w:iCs/>
                <w:sz w:val="20"/>
              </w:rPr>
              <w:t>ci100</w:t>
            </w:r>
          </w:p>
        </w:tc>
        <w:tc>
          <w:tcPr>
            <w:tcW w:w="739" w:type="dxa"/>
          </w:tcPr>
          <w:p w14:paraId="29B0C3CE" w14:textId="77777777" w:rsidR="00A36A5A" w:rsidRPr="00341696" w:rsidRDefault="00A36A5A" w:rsidP="00077067">
            <w:pPr>
              <w:spacing w:after="60"/>
              <w:rPr>
                <w:iCs/>
                <w:sz w:val="20"/>
              </w:rPr>
            </w:pPr>
            <w:r>
              <w:rPr>
                <w:iCs/>
                <w:sz w:val="20"/>
              </w:rPr>
              <w:t>none</w:t>
            </w:r>
          </w:p>
        </w:tc>
        <w:tc>
          <w:tcPr>
            <w:tcW w:w="6768" w:type="dxa"/>
          </w:tcPr>
          <w:p w14:paraId="7D547526" w14:textId="77777777" w:rsidR="00A36A5A" w:rsidRPr="00341696" w:rsidRDefault="00A36A5A" w:rsidP="00077067">
            <w:pPr>
              <w:spacing w:after="60"/>
              <w:rPr>
                <w:iCs/>
                <w:sz w:val="20"/>
              </w:rPr>
            </w:pPr>
            <w:r>
              <w:rPr>
                <w:iCs/>
                <w:sz w:val="20"/>
              </w:rPr>
              <w:t>100</w:t>
            </w:r>
            <w:r w:rsidRPr="00E85945">
              <w:rPr>
                <w:iCs/>
                <w:sz w:val="20"/>
                <w:vertAlign w:val="superscript"/>
              </w:rPr>
              <w:t>th</w:t>
            </w:r>
            <w:r>
              <w:rPr>
                <w:iCs/>
                <w:sz w:val="20"/>
              </w:rPr>
              <w:t xml:space="preserve"> percentile confidence interval.</w:t>
            </w:r>
          </w:p>
        </w:tc>
      </w:tr>
    </w:tbl>
    <w:p w14:paraId="4100A769" w14:textId="77777777" w:rsidR="00A36A5A" w:rsidRPr="00341696" w:rsidRDefault="00A36A5A" w:rsidP="00A36A5A">
      <w:pPr>
        <w:spacing w:before="240" w:after="240"/>
        <w:ind w:left="720" w:hanging="720"/>
        <w:rPr>
          <w:iCs/>
        </w:rPr>
      </w:pPr>
      <w:r w:rsidRPr="00341696">
        <w:rPr>
          <w:iCs/>
        </w:rPr>
        <w:t>(3)</w:t>
      </w:r>
      <w:r w:rsidRPr="00341696">
        <w:rPr>
          <w:iCs/>
        </w:rPr>
        <w:tab/>
        <w:t xml:space="preserve">The FCE for PTP Options (FCEOPT) held by </w:t>
      </w:r>
      <w:r w:rsidR="008C0679" w:rsidRPr="00545E0B">
        <w:rPr>
          <w:szCs w:val="24"/>
        </w:rPr>
        <w:t>all the CRR Account Holders represented by</w:t>
      </w:r>
      <w:r w:rsidR="008C0679">
        <w:t xml:space="preserve"> </w:t>
      </w:r>
      <w:r w:rsidRPr="00341696">
        <w:rPr>
          <w:iCs/>
        </w:rPr>
        <w:t xml:space="preserve">the Counter-Party as </w:t>
      </w:r>
      <w:r>
        <w:rPr>
          <w:iCs/>
        </w:rPr>
        <w:t>CRR O</w:t>
      </w:r>
      <w:r w:rsidRPr="00341696">
        <w:rPr>
          <w:iCs/>
        </w:rPr>
        <w:t xml:space="preserve">wner of record at </w:t>
      </w:r>
      <w:r>
        <w:rPr>
          <w:iCs/>
        </w:rPr>
        <w:t xml:space="preserve">ERCOT are </w:t>
      </w:r>
      <w:r w:rsidRPr="00341696">
        <w:rPr>
          <w:iCs/>
        </w:rPr>
        <w:t>calculated as follows</w:t>
      </w:r>
      <w:r>
        <w:rPr>
          <w:iCs/>
        </w:rPr>
        <w:t>:</w:t>
      </w:r>
    </w:p>
    <w:p w14:paraId="51234A33" w14:textId="77777777" w:rsidR="00A36A5A" w:rsidRDefault="00A36A5A" w:rsidP="00A36A5A">
      <w:pPr>
        <w:pStyle w:val="Instructions"/>
        <w:spacing w:after="0"/>
        <w:ind w:left="720"/>
        <w:rPr>
          <w:i w:val="0"/>
        </w:rPr>
      </w:pPr>
      <w:r w:rsidRPr="002475CE">
        <w:rPr>
          <w:i w:val="0"/>
          <w:iCs/>
        </w:rPr>
        <w:t>FCEOPT</w:t>
      </w:r>
      <w:r w:rsidRPr="005B6D42">
        <w:rPr>
          <w:iCs/>
        </w:rPr>
        <w:t xml:space="preserve"> </w:t>
      </w:r>
      <w:r w:rsidR="008C0679">
        <w:rPr>
          <w:rFonts w:ascii="Times New Roman Bold" w:hAnsi="Times New Roman Bold"/>
          <w:iCs/>
          <w:vertAlign w:val="subscript"/>
        </w:rPr>
        <w:t>a</w:t>
      </w:r>
      <w:r w:rsidRPr="002475CE">
        <w:rPr>
          <w:i w:val="0"/>
          <w:iCs/>
        </w:rPr>
        <w:t xml:space="preserve"> </w:t>
      </w:r>
      <w:r w:rsidRPr="002475CE">
        <w:rPr>
          <w:i w:val="0"/>
          <w:iCs/>
        </w:rPr>
        <w:tab/>
        <w:t>=</w:t>
      </w:r>
      <w:r w:rsidRPr="002475CE">
        <w:rPr>
          <w:i w:val="0"/>
          <w:iCs/>
        </w:rPr>
        <w:tab/>
      </w:r>
      <w:r>
        <w:rPr>
          <w:i w:val="0"/>
          <w:iCs/>
        </w:rPr>
        <w:t xml:space="preserve">- </w:t>
      </w:r>
      <w:r w:rsidRPr="000054E6">
        <w:rPr>
          <w:i w:val="0"/>
        </w:rPr>
        <w:t>∑</w:t>
      </w:r>
      <w:r w:rsidRPr="005B6D42">
        <w:rPr>
          <w:vertAlign w:val="subscript"/>
        </w:rPr>
        <w:t>m</w:t>
      </w:r>
      <w:r w:rsidRPr="000054E6">
        <w:rPr>
          <w:i w:val="0"/>
        </w:rPr>
        <w:t xml:space="preserve"> </w:t>
      </w:r>
      <w:r w:rsidRPr="00DC2980">
        <w:rPr>
          <w:i w:val="0"/>
        </w:rPr>
        <w:t>∑</w:t>
      </w:r>
      <w:r w:rsidRPr="005B6D42">
        <w:rPr>
          <w:vertAlign w:val="subscript"/>
        </w:rPr>
        <w:t>h</w:t>
      </w:r>
      <w:r w:rsidRPr="00DC2980">
        <w:rPr>
          <w:i w:val="0"/>
          <w:vertAlign w:val="subscript"/>
        </w:rPr>
        <w:t xml:space="preserve"> </w:t>
      </w:r>
      <w:r w:rsidRPr="00DC2980">
        <w:rPr>
          <w:i w:val="0"/>
        </w:rPr>
        <w:t>∑</w:t>
      </w:r>
      <w:r w:rsidRPr="005B6D42">
        <w:rPr>
          <w:vertAlign w:val="subscript"/>
        </w:rPr>
        <w:t>j, k</w:t>
      </w:r>
      <w:r w:rsidRPr="00DC2980">
        <w:rPr>
          <w:i w:val="0"/>
          <w:vertAlign w:val="subscript"/>
        </w:rPr>
        <w:t xml:space="preserve"> </w:t>
      </w:r>
      <w:r w:rsidRPr="00DC2980">
        <w:rPr>
          <w:i w:val="0"/>
        </w:rPr>
        <w:t>[(</w:t>
      </w:r>
      <w:r w:rsidRPr="000054E6">
        <w:rPr>
          <w:i w:val="0"/>
        </w:rPr>
        <w:t>NA</w:t>
      </w:r>
      <w:r w:rsidRPr="00DC2980">
        <w:rPr>
          <w:i w:val="0"/>
        </w:rPr>
        <w:t>O</w:t>
      </w:r>
      <w:r w:rsidRPr="000054E6">
        <w:rPr>
          <w:i w:val="0"/>
        </w:rPr>
        <w:t>PT</w:t>
      </w:r>
      <w:r w:rsidRPr="00DC2980">
        <w:rPr>
          <w:i w:val="0"/>
        </w:rPr>
        <w:t>MW</w:t>
      </w:r>
      <w:r w:rsidRPr="00DC2980">
        <w:rPr>
          <w:i w:val="0"/>
          <w:vertAlign w:val="subscript"/>
        </w:rPr>
        <w:t xml:space="preserve"> </w:t>
      </w:r>
      <w:r w:rsidRPr="005B6D42">
        <w:rPr>
          <w:vertAlign w:val="subscript"/>
        </w:rPr>
        <w:t>m, h, (j, k)</w:t>
      </w:r>
      <w:r w:rsidRPr="00DC2980">
        <w:rPr>
          <w:i w:val="0"/>
        </w:rPr>
        <w:t>)</w:t>
      </w:r>
      <w:r w:rsidRPr="000054E6">
        <w:rPr>
          <w:i w:val="0"/>
        </w:rPr>
        <w:t xml:space="preserve"> * Max(0,</w:t>
      </w:r>
      <w:r w:rsidR="005220DB">
        <w:rPr>
          <w:i w:val="0"/>
        </w:rPr>
        <w:t xml:space="preserve"> </w:t>
      </w:r>
      <w:r w:rsidRPr="000054E6">
        <w:rPr>
          <w:i w:val="0"/>
        </w:rPr>
        <w:t xml:space="preserve">A </w:t>
      </w:r>
      <w:r w:rsidRPr="005B6D42">
        <w:rPr>
          <w:vertAlign w:val="subscript"/>
        </w:rPr>
        <w:t>ci99, ctou, (j, k)</w:t>
      </w:r>
      <w:r w:rsidRPr="000054E6">
        <w:rPr>
          <w:i w:val="0"/>
        </w:rPr>
        <w:t>)]</w:t>
      </w:r>
    </w:p>
    <w:p w14:paraId="51E26550" w14:textId="77777777" w:rsidR="00A36A5A" w:rsidRDefault="00A36A5A" w:rsidP="00A36A5A">
      <w:pPr>
        <w:keepNext/>
        <w:rPr>
          <w:iCs/>
        </w:rPr>
      </w:pPr>
    </w:p>
    <w:p w14:paraId="75557F48" w14:textId="77777777" w:rsidR="00A36A5A" w:rsidRPr="00341696" w:rsidRDefault="00A36A5A" w:rsidP="00DD5BE9">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739"/>
        <w:gridCol w:w="6595"/>
      </w:tblGrid>
      <w:tr w:rsidR="00A36A5A" w:rsidRPr="00341696" w14:paraId="613EBDB0" w14:textId="77777777" w:rsidTr="00BC3ACE">
        <w:trPr>
          <w:cantSplit/>
          <w:trHeight w:val="351"/>
          <w:tblHeader/>
        </w:trPr>
        <w:tc>
          <w:tcPr>
            <w:tcW w:w="1998" w:type="dxa"/>
          </w:tcPr>
          <w:p w14:paraId="6C00E976" w14:textId="77777777" w:rsidR="00A36A5A" w:rsidRPr="00341696" w:rsidRDefault="00A36A5A" w:rsidP="00077067">
            <w:pPr>
              <w:spacing w:after="120"/>
              <w:rPr>
                <w:b/>
                <w:iCs/>
                <w:sz w:val="20"/>
              </w:rPr>
            </w:pPr>
            <w:r w:rsidRPr="00341696">
              <w:rPr>
                <w:b/>
                <w:iCs/>
                <w:sz w:val="20"/>
              </w:rPr>
              <w:t>Variable</w:t>
            </w:r>
          </w:p>
        </w:tc>
        <w:tc>
          <w:tcPr>
            <w:tcW w:w="739" w:type="dxa"/>
          </w:tcPr>
          <w:p w14:paraId="7A093AE4" w14:textId="77777777" w:rsidR="00A36A5A" w:rsidRPr="00341696" w:rsidRDefault="00A36A5A" w:rsidP="00077067">
            <w:pPr>
              <w:spacing w:after="120"/>
              <w:rPr>
                <w:b/>
                <w:iCs/>
                <w:sz w:val="20"/>
              </w:rPr>
            </w:pPr>
            <w:r w:rsidRPr="00341696">
              <w:rPr>
                <w:b/>
                <w:iCs/>
                <w:sz w:val="20"/>
              </w:rPr>
              <w:t>Unit</w:t>
            </w:r>
          </w:p>
        </w:tc>
        <w:tc>
          <w:tcPr>
            <w:tcW w:w="6595" w:type="dxa"/>
          </w:tcPr>
          <w:p w14:paraId="4F2533BD" w14:textId="77777777" w:rsidR="00A36A5A" w:rsidRPr="00341696" w:rsidRDefault="00A36A5A" w:rsidP="00077067">
            <w:pPr>
              <w:spacing w:after="120"/>
              <w:rPr>
                <w:b/>
                <w:iCs/>
                <w:sz w:val="20"/>
              </w:rPr>
            </w:pPr>
            <w:r w:rsidRPr="00341696">
              <w:rPr>
                <w:b/>
                <w:iCs/>
                <w:sz w:val="20"/>
              </w:rPr>
              <w:t>Description</w:t>
            </w:r>
          </w:p>
        </w:tc>
      </w:tr>
      <w:tr w:rsidR="00A36A5A" w:rsidRPr="00341696" w14:paraId="742FC461" w14:textId="77777777" w:rsidTr="00BC3ACE">
        <w:trPr>
          <w:cantSplit/>
          <w:trHeight w:val="519"/>
          <w:tblHeader/>
        </w:trPr>
        <w:tc>
          <w:tcPr>
            <w:tcW w:w="1998" w:type="dxa"/>
          </w:tcPr>
          <w:p w14:paraId="3EFFF595" w14:textId="77777777" w:rsidR="00A36A5A" w:rsidRPr="00341696" w:rsidRDefault="00A36A5A" w:rsidP="008C0679">
            <w:pPr>
              <w:spacing w:after="60"/>
              <w:rPr>
                <w:iCs/>
                <w:sz w:val="20"/>
              </w:rPr>
            </w:pPr>
            <w:r w:rsidRPr="00341696">
              <w:rPr>
                <w:iCs/>
                <w:sz w:val="20"/>
              </w:rPr>
              <w:t xml:space="preserve">FCEOPT </w:t>
            </w:r>
            <w:r w:rsidR="008C0679">
              <w:rPr>
                <w:i/>
                <w:iCs/>
                <w:sz w:val="20"/>
                <w:vertAlign w:val="subscript"/>
              </w:rPr>
              <w:t>a</w:t>
            </w:r>
          </w:p>
        </w:tc>
        <w:tc>
          <w:tcPr>
            <w:tcW w:w="739" w:type="dxa"/>
          </w:tcPr>
          <w:p w14:paraId="7C7D3D80" w14:textId="77777777" w:rsidR="00A36A5A" w:rsidRPr="00341696" w:rsidRDefault="00A36A5A" w:rsidP="00077067">
            <w:pPr>
              <w:spacing w:after="60"/>
              <w:rPr>
                <w:iCs/>
                <w:sz w:val="20"/>
              </w:rPr>
            </w:pPr>
            <w:r w:rsidRPr="00341696">
              <w:rPr>
                <w:iCs/>
                <w:sz w:val="20"/>
              </w:rPr>
              <w:t>$</w:t>
            </w:r>
          </w:p>
        </w:tc>
        <w:tc>
          <w:tcPr>
            <w:tcW w:w="6595" w:type="dxa"/>
          </w:tcPr>
          <w:p w14:paraId="6BAD58AD" w14:textId="77777777" w:rsidR="00A36A5A" w:rsidRPr="00341696" w:rsidRDefault="00A36A5A" w:rsidP="008C0679">
            <w:pPr>
              <w:spacing w:after="60"/>
              <w:rPr>
                <w:iCs/>
                <w:sz w:val="20"/>
              </w:rPr>
            </w:pPr>
            <w:r w:rsidRPr="00341696">
              <w:rPr>
                <w:i/>
                <w:iCs/>
                <w:sz w:val="20"/>
              </w:rPr>
              <w:t>Future Credit Exposure for PTP Options</w:t>
            </w:r>
            <w:r w:rsidRPr="008C1469">
              <w:rPr>
                <w:iCs/>
                <w:sz w:val="20"/>
              </w:rPr>
              <w:sym w:font="Symbol" w:char="F0BE"/>
            </w:r>
            <w:r w:rsidRPr="00341696">
              <w:rPr>
                <w:iCs/>
                <w:sz w:val="20"/>
              </w:rPr>
              <w:t xml:space="preserve">FCE for all PTP Options held by </w:t>
            </w:r>
            <w:r w:rsidR="008C0679" w:rsidRPr="00CF238E">
              <w:rPr>
                <w:sz w:val="20"/>
              </w:rPr>
              <w:t>all CRR Account Holders represented by</w:t>
            </w:r>
            <w:r w:rsidR="008C0679">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w:t>
            </w:r>
            <w:r>
              <w:rPr>
                <w:iCs/>
                <w:sz w:val="20"/>
              </w:rPr>
              <w:t xml:space="preserve">for all Operating Days remaining in the current operating month and Prompt Month.  </w:t>
            </w:r>
          </w:p>
        </w:tc>
      </w:tr>
      <w:tr w:rsidR="00A36A5A" w:rsidRPr="00341696" w14:paraId="485A7686" w14:textId="77777777" w:rsidTr="00BC3ACE">
        <w:tblPrEx>
          <w:tblLook w:val="01E0" w:firstRow="1" w:lastRow="1" w:firstColumn="1" w:lastColumn="1" w:noHBand="0" w:noVBand="0"/>
        </w:tblPrEx>
        <w:trPr>
          <w:cantSplit/>
          <w:trHeight w:val="350"/>
          <w:tblHeader/>
        </w:trPr>
        <w:tc>
          <w:tcPr>
            <w:tcW w:w="1998" w:type="dxa"/>
          </w:tcPr>
          <w:p w14:paraId="678DADDA" w14:textId="77777777" w:rsidR="00A36A5A" w:rsidRPr="000433EB" w:rsidRDefault="00A36A5A" w:rsidP="00077067">
            <w:pPr>
              <w:spacing w:after="60"/>
              <w:rPr>
                <w:sz w:val="20"/>
              </w:rPr>
            </w:pPr>
            <w:r w:rsidRPr="00DC2980">
              <w:rPr>
                <w:sz w:val="20"/>
              </w:rPr>
              <w:t xml:space="preserve">A </w:t>
            </w:r>
            <w:r w:rsidRPr="005B6D42">
              <w:rPr>
                <w:i/>
                <w:sz w:val="20"/>
                <w:vertAlign w:val="subscript"/>
              </w:rPr>
              <w:t>ci99, ctou, (j, k)</w:t>
            </w:r>
          </w:p>
        </w:tc>
        <w:tc>
          <w:tcPr>
            <w:tcW w:w="739" w:type="dxa"/>
          </w:tcPr>
          <w:p w14:paraId="415384B3" w14:textId="77777777" w:rsidR="00A36A5A" w:rsidRPr="000433EB" w:rsidRDefault="00A36A5A" w:rsidP="00077067">
            <w:pPr>
              <w:spacing w:after="60"/>
              <w:rPr>
                <w:sz w:val="20"/>
              </w:rPr>
            </w:pPr>
            <w:r w:rsidRPr="00DC2980">
              <w:rPr>
                <w:sz w:val="20"/>
              </w:rPr>
              <w:t>$/MW per hour</w:t>
            </w:r>
          </w:p>
        </w:tc>
        <w:tc>
          <w:tcPr>
            <w:tcW w:w="6595" w:type="dxa"/>
          </w:tcPr>
          <w:p w14:paraId="3C168E36" w14:textId="77777777" w:rsidR="00A36A5A" w:rsidRPr="000433EB" w:rsidRDefault="00A36A5A" w:rsidP="005220DB">
            <w:pPr>
              <w:spacing w:after="60"/>
              <w:rPr>
                <w:i/>
                <w:sz w:val="20"/>
              </w:rPr>
            </w:pPr>
            <w:r w:rsidRPr="00DC2980">
              <w:rPr>
                <w:i/>
                <w:iCs/>
                <w:sz w:val="20"/>
              </w:rPr>
              <w:t>Path Specific DAM Based Adder</w:t>
            </w:r>
            <w:r w:rsidRPr="00DC2980">
              <w:rPr>
                <w:iCs/>
                <w:sz w:val="20"/>
              </w:rPr>
              <w:sym w:font="Symbol" w:char="F0BE"/>
            </w:r>
            <w:r w:rsidRPr="00DC2980">
              <w:rPr>
                <w:iCs/>
                <w:sz w:val="20"/>
              </w:rPr>
              <w:t xml:space="preserve">Path specific DAM based adder calculated as 99th percentile of the average rolling consecutive DAM settled price for the CRR source </w:t>
            </w:r>
            <w:r w:rsidRPr="00DC2980">
              <w:rPr>
                <w:i/>
                <w:iCs/>
                <w:sz w:val="20"/>
              </w:rPr>
              <w:t>j</w:t>
            </w:r>
            <w:r w:rsidRPr="00DC2980">
              <w:rPr>
                <w:iCs/>
                <w:sz w:val="20"/>
              </w:rPr>
              <w:t xml:space="preserve"> and sink </w:t>
            </w:r>
            <w:r w:rsidRPr="00DC2980">
              <w:rPr>
                <w:i/>
                <w:iCs/>
                <w:sz w:val="20"/>
              </w:rPr>
              <w:t>k</w:t>
            </w:r>
            <w:r w:rsidRPr="00DC2980">
              <w:rPr>
                <w:iCs/>
                <w:sz w:val="20"/>
              </w:rPr>
              <w:t xml:space="preserve"> over a period that represents a month for each</w:t>
            </w:r>
            <w:r>
              <w:rPr>
                <w:iCs/>
                <w:sz w:val="20"/>
              </w:rPr>
              <w:t xml:space="preserve"> CRR Time Of Use</w:t>
            </w:r>
            <w:r w:rsidRPr="00DC2980">
              <w:rPr>
                <w:iCs/>
                <w:sz w:val="20"/>
              </w:rPr>
              <w:t xml:space="preserve"> </w:t>
            </w:r>
            <w:r w:rsidR="005220DB">
              <w:rPr>
                <w:iCs/>
                <w:sz w:val="20"/>
              </w:rPr>
              <w:t xml:space="preserve">(TOU) </w:t>
            </w:r>
            <w:r w:rsidRPr="00DC2980">
              <w:rPr>
                <w:i/>
                <w:iCs/>
                <w:sz w:val="20"/>
              </w:rPr>
              <w:t>ctou</w:t>
            </w:r>
            <w:r w:rsidRPr="00C82B98">
              <w:rPr>
                <w:iCs/>
                <w:sz w:val="20"/>
              </w:rPr>
              <w:t xml:space="preserve"> </w:t>
            </w:r>
            <w:r w:rsidRPr="00DC2980">
              <w:rPr>
                <w:iCs/>
                <w:sz w:val="20"/>
              </w:rPr>
              <w:t xml:space="preserve">product type (18 days for 5*16, 8 days for 2*16, 28 days for 7*8).  The look-back period for DAM settled prices shall be the lesser of </w:t>
            </w:r>
            <w:r>
              <w:rPr>
                <w:iCs/>
                <w:sz w:val="20"/>
              </w:rPr>
              <w:t>January 1, 2011</w:t>
            </w:r>
            <w:r w:rsidRPr="00DC2980">
              <w:rPr>
                <w:iCs/>
                <w:sz w:val="20"/>
              </w:rPr>
              <w:t xml:space="preserve"> to</w:t>
            </w:r>
            <w:r>
              <w:rPr>
                <w:iCs/>
                <w:sz w:val="20"/>
              </w:rPr>
              <w:t xml:space="preserve"> the</w:t>
            </w:r>
            <w:r w:rsidRPr="00DC2980">
              <w:rPr>
                <w:iCs/>
                <w:sz w:val="20"/>
              </w:rPr>
              <w:t xml:space="preserve"> current time</w:t>
            </w:r>
            <w:r>
              <w:rPr>
                <w:iCs/>
                <w:sz w:val="20"/>
              </w:rPr>
              <w:t>,</w:t>
            </w:r>
            <w:r w:rsidRPr="00DC2980">
              <w:rPr>
                <w:iCs/>
                <w:sz w:val="20"/>
              </w:rPr>
              <w:t xml:space="preserve"> and </w:t>
            </w:r>
            <w:r>
              <w:rPr>
                <w:iCs/>
                <w:sz w:val="20"/>
              </w:rPr>
              <w:t>the</w:t>
            </w:r>
            <w:r w:rsidRPr="008E6150">
              <w:rPr>
                <w:iCs/>
                <w:sz w:val="20"/>
              </w:rPr>
              <w:t xml:space="preserve"> </w:t>
            </w:r>
            <w:r w:rsidRPr="00DC2980">
              <w:rPr>
                <w:iCs/>
                <w:sz w:val="20"/>
              </w:rPr>
              <w:t xml:space="preserve">current time minus </w:t>
            </w:r>
            <w:r>
              <w:rPr>
                <w:iCs/>
                <w:sz w:val="20"/>
              </w:rPr>
              <w:t>three</w:t>
            </w:r>
            <w:r w:rsidRPr="00DC2980">
              <w:rPr>
                <w:iCs/>
                <w:sz w:val="20"/>
              </w:rPr>
              <w:t xml:space="preserve"> years.  If historical DASPPs are not available for a Settlement Point for one or more Operating Days, ERCOT will designate a proxy Settlement Point for this purpose, and the DASPPs of the proxy Settlement Point of corresponding Operating Days are used.</w:t>
            </w:r>
          </w:p>
        </w:tc>
      </w:tr>
      <w:tr w:rsidR="00A36A5A" w:rsidRPr="00341696" w14:paraId="65DED6F9" w14:textId="77777777" w:rsidTr="00BC3ACE">
        <w:tblPrEx>
          <w:tblLook w:val="01E0" w:firstRow="1" w:lastRow="1" w:firstColumn="1" w:lastColumn="1" w:noHBand="0" w:noVBand="0"/>
        </w:tblPrEx>
        <w:trPr>
          <w:cantSplit/>
          <w:trHeight w:val="350"/>
          <w:tblHeader/>
        </w:trPr>
        <w:tc>
          <w:tcPr>
            <w:tcW w:w="1998" w:type="dxa"/>
          </w:tcPr>
          <w:p w14:paraId="5181C267" w14:textId="77777777" w:rsidR="00A36A5A" w:rsidRPr="00341696" w:rsidRDefault="00A36A5A" w:rsidP="008C0679">
            <w:pPr>
              <w:spacing w:after="60"/>
              <w:rPr>
                <w:iCs/>
                <w:sz w:val="20"/>
              </w:rPr>
            </w:pPr>
            <w:r w:rsidRPr="00DC2980">
              <w:rPr>
                <w:sz w:val="20"/>
              </w:rPr>
              <w:t>NAOPTMW</w:t>
            </w:r>
            <w:r>
              <w:rPr>
                <w:sz w:val="20"/>
                <w:vertAlign w:val="subscript"/>
              </w:rPr>
              <w:t xml:space="preserve"> </w:t>
            </w:r>
            <w:r w:rsidRPr="005B6D42">
              <w:rPr>
                <w:i/>
                <w:sz w:val="20"/>
                <w:vertAlign w:val="subscript"/>
              </w:rPr>
              <w:t>m, h, (j, k)</w:t>
            </w:r>
          </w:p>
        </w:tc>
        <w:tc>
          <w:tcPr>
            <w:tcW w:w="739" w:type="dxa"/>
          </w:tcPr>
          <w:p w14:paraId="7A0BCD72" w14:textId="77777777" w:rsidR="00A36A5A" w:rsidRPr="00341696" w:rsidRDefault="00A36A5A" w:rsidP="00077067">
            <w:pPr>
              <w:spacing w:after="60"/>
              <w:rPr>
                <w:iCs/>
                <w:sz w:val="20"/>
              </w:rPr>
            </w:pPr>
            <w:r>
              <w:rPr>
                <w:sz w:val="20"/>
              </w:rPr>
              <w:t>MW</w:t>
            </w:r>
          </w:p>
        </w:tc>
        <w:tc>
          <w:tcPr>
            <w:tcW w:w="6595" w:type="dxa"/>
          </w:tcPr>
          <w:p w14:paraId="31D57B10" w14:textId="77777777" w:rsidR="00A36A5A" w:rsidRPr="00341696" w:rsidRDefault="00A36A5A" w:rsidP="008C0679">
            <w:pPr>
              <w:spacing w:after="60"/>
              <w:rPr>
                <w:iCs/>
                <w:sz w:val="20"/>
              </w:rPr>
            </w:pPr>
            <w:r w:rsidRPr="00DC2980">
              <w:rPr>
                <w:i/>
                <w:sz w:val="20"/>
              </w:rPr>
              <w:t>Net Awarded PTP Options</w:t>
            </w:r>
            <w:r w:rsidRPr="00DC2980">
              <w:rPr>
                <w:iCs/>
                <w:sz w:val="20"/>
              </w:rPr>
              <w:sym w:font="Symbol" w:char="F0BE"/>
            </w:r>
            <w:r w:rsidRPr="00DC2980">
              <w:rPr>
                <w:sz w:val="20"/>
              </w:rPr>
              <w:t xml:space="preserve">Net awarded PTP Options with the source </w:t>
            </w:r>
            <w:r w:rsidRPr="00DC2980">
              <w:rPr>
                <w:i/>
                <w:sz w:val="20"/>
              </w:rPr>
              <w:t>j</w:t>
            </w:r>
            <w:r w:rsidRPr="00DC2980">
              <w:rPr>
                <w:sz w:val="20"/>
              </w:rPr>
              <w:t xml:space="preserve"> and sink </w:t>
            </w:r>
            <w:r w:rsidRPr="00DC2980">
              <w:rPr>
                <w:i/>
                <w:sz w:val="20"/>
              </w:rPr>
              <w:t>k</w:t>
            </w:r>
            <w:r w:rsidRPr="00DC2980">
              <w:rPr>
                <w:sz w:val="20"/>
              </w:rPr>
              <w:t xml:space="preserve"> for the hour </w:t>
            </w:r>
            <w:r w:rsidRPr="00DC2980">
              <w:rPr>
                <w:i/>
                <w:sz w:val="20"/>
              </w:rPr>
              <w:t>h</w:t>
            </w:r>
            <w:r w:rsidRPr="00DC2980">
              <w:rPr>
                <w:sz w:val="20"/>
              </w:rPr>
              <w:t xml:space="preserve"> and month </w:t>
            </w:r>
            <w:r w:rsidRPr="00DC2980">
              <w:rPr>
                <w:i/>
                <w:sz w:val="20"/>
              </w:rPr>
              <w:t>m</w:t>
            </w:r>
            <w:r w:rsidRPr="00DC2980">
              <w:rPr>
                <w:sz w:val="20"/>
              </w:rPr>
              <w:t xml:space="preserve"> owned by </w:t>
            </w:r>
            <w:r w:rsidR="008C0679" w:rsidRPr="00CF238E">
              <w:rPr>
                <w:sz w:val="20"/>
              </w:rPr>
              <w:t>all CRR Account Holders represented by</w:t>
            </w:r>
            <w:r w:rsidR="008C0679">
              <w:t xml:space="preserve"> </w:t>
            </w:r>
            <w:r w:rsidRPr="00DC2980">
              <w:rPr>
                <w:sz w:val="20"/>
              </w:rPr>
              <w:t>the Counter-Party as CRR Owner of record at ERCOT for remaining Operating Days in the current operating month, and Prompt Month.</w:t>
            </w:r>
          </w:p>
        </w:tc>
      </w:tr>
      <w:tr w:rsidR="00A36A5A" w:rsidRPr="00341696" w14:paraId="1F307D70" w14:textId="77777777" w:rsidTr="00BC3ACE">
        <w:tblPrEx>
          <w:tblLook w:val="01E0" w:firstRow="1" w:lastRow="1" w:firstColumn="1" w:lastColumn="1" w:noHBand="0" w:noVBand="0"/>
        </w:tblPrEx>
        <w:trPr>
          <w:cantSplit/>
          <w:trHeight w:val="350"/>
          <w:tblHeader/>
        </w:trPr>
        <w:tc>
          <w:tcPr>
            <w:tcW w:w="1998" w:type="dxa"/>
          </w:tcPr>
          <w:p w14:paraId="30E9F735" w14:textId="77777777" w:rsidR="00A36A5A" w:rsidRPr="005B6D42" w:rsidRDefault="00A36A5A" w:rsidP="00077067">
            <w:pPr>
              <w:spacing w:after="60"/>
              <w:rPr>
                <w:i/>
                <w:iCs/>
                <w:sz w:val="20"/>
              </w:rPr>
            </w:pPr>
            <w:r w:rsidRPr="005B6D42">
              <w:rPr>
                <w:i/>
                <w:iCs/>
                <w:sz w:val="20"/>
              </w:rPr>
              <w:t>j</w:t>
            </w:r>
          </w:p>
        </w:tc>
        <w:tc>
          <w:tcPr>
            <w:tcW w:w="739" w:type="dxa"/>
          </w:tcPr>
          <w:p w14:paraId="1ABD838C" w14:textId="77777777" w:rsidR="00A36A5A" w:rsidRPr="00341696" w:rsidRDefault="00A36A5A" w:rsidP="00077067">
            <w:pPr>
              <w:spacing w:after="60"/>
              <w:rPr>
                <w:iCs/>
                <w:sz w:val="20"/>
              </w:rPr>
            </w:pPr>
            <w:r w:rsidRPr="00341696">
              <w:rPr>
                <w:iCs/>
                <w:sz w:val="20"/>
              </w:rPr>
              <w:t>none</w:t>
            </w:r>
          </w:p>
        </w:tc>
        <w:tc>
          <w:tcPr>
            <w:tcW w:w="6595" w:type="dxa"/>
          </w:tcPr>
          <w:p w14:paraId="736C5CC9" w14:textId="77777777" w:rsidR="00A36A5A" w:rsidRPr="00341696" w:rsidRDefault="00A36A5A" w:rsidP="00077067">
            <w:pPr>
              <w:spacing w:after="60"/>
              <w:rPr>
                <w:iCs/>
                <w:sz w:val="20"/>
              </w:rPr>
            </w:pPr>
            <w:r w:rsidRPr="00341696">
              <w:rPr>
                <w:iCs/>
                <w:sz w:val="20"/>
              </w:rPr>
              <w:t xml:space="preserve">A source </w:t>
            </w:r>
            <w:r>
              <w:rPr>
                <w:iCs/>
                <w:sz w:val="20"/>
              </w:rPr>
              <w:t>S</w:t>
            </w:r>
            <w:r w:rsidRPr="00341696">
              <w:rPr>
                <w:iCs/>
                <w:sz w:val="20"/>
              </w:rPr>
              <w:t xml:space="preserve">ettlement </w:t>
            </w:r>
            <w:r>
              <w:rPr>
                <w:iCs/>
                <w:sz w:val="20"/>
              </w:rPr>
              <w:t>P</w:t>
            </w:r>
            <w:r w:rsidRPr="00341696">
              <w:rPr>
                <w:iCs/>
                <w:sz w:val="20"/>
              </w:rPr>
              <w:t>oint.</w:t>
            </w:r>
          </w:p>
        </w:tc>
      </w:tr>
      <w:tr w:rsidR="00A36A5A" w:rsidRPr="00341696" w14:paraId="3A4B6B8B" w14:textId="77777777" w:rsidTr="00BC3ACE">
        <w:tblPrEx>
          <w:tblLook w:val="01E0" w:firstRow="1" w:lastRow="1" w:firstColumn="1" w:lastColumn="1" w:noHBand="0" w:noVBand="0"/>
        </w:tblPrEx>
        <w:trPr>
          <w:cantSplit/>
          <w:trHeight w:val="350"/>
          <w:tblHeader/>
        </w:trPr>
        <w:tc>
          <w:tcPr>
            <w:tcW w:w="1998" w:type="dxa"/>
          </w:tcPr>
          <w:p w14:paraId="2248F340" w14:textId="77777777" w:rsidR="00A36A5A" w:rsidRPr="005B6D42" w:rsidRDefault="00A36A5A" w:rsidP="00077067">
            <w:pPr>
              <w:spacing w:after="60"/>
              <w:rPr>
                <w:i/>
                <w:iCs/>
                <w:sz w:val="20"/>
              </w:rPr>
            </w:pPr>
            <w:r w:rsidRPr="005B6D42">
              <w:rPr>
                <w:i/>
                <w:iCs/>
                <w:sz w:val="20"/>
              </w:rPr>
              <w:t>k</w:t>
            </w:r>
          </w:p>
        </w:tc>
        <w:tc>
          <w:tcPr>
            <w:tcW w:w="739" w:type="dxa"/>
          </w:tcPr>
          <w:p w14:paraId="63A8B59D" w14:textId="77777777" w:rsidR="00A36A5A" w:rsidRPr="00341696" w:rsidRDefault="00A36A5A" w:rsidP="00077067">
            <w:pPr>
              <w:spacing w:after="60"/>
              <w:rPr>
                <w:iCs/>
                <w:sz w:val="20"/>
              </w:rPr>
            </w:pPr>
            <w:r w:rsidRPr="00341696">
              <w:rPr>
                <w:iCs/>
                <w:sz w:val="20"/>
              </w:rPr>
              <w:t>none</w:t>
            </w:r>
          </w:p>
        </w:tc>
        <w:tc>
          <w:tcPr>
            <w:tcW w:w="6595" w:type="dxa"/>
          </w:tcPr>
          <w:p w14:paraId="5A4C404B" w14:textId="77777777" w:rsidR="00A36A5A" w:rsidRPr="00341696" w:rsidRDefault="00A36A5A" w:rsidP="00077067">
            <w:pPr>
              <w:spacing w:after="60"/>
              <w:rPr>
                <w:iCs/>
                <w:sz w:val="20"/>
              </w:rPr>
            </w:pPr>
            <w:r w:rsidRPr="00341696">
              <w:rPr>
                <w:iCs/>
                <w:sz w:val="20"/>
              </w:rPr>
              <w:t xml:space="preserve">A sink </w:t>
            </w:r>
            <w:r>
              <w:rPr>
                <w:iCs/>
                <w:sz w:val="20"/>
              </w:rPr>
              <w:t>S</w:t>
            </w:r>
            <w:r w:rsidRPr="00341696">
              <w:rPr>
                <w:iCs/>
                <w:sz w:val="20"/>
              </w:rPr>
              <w:t xml:space="preserve">ettlement </w:t>
            </w:r>
            <w:r>
              <w:rPr>
                <w:iCs/>
                <w:sz w:val="20"/>
              </w:rPr>
              <w:t>P</w:t>
            </w:r>
            <w:r w:rsidRPr="00341696">
              <w:rPr>
                <w:iCs/>
                <w:sz w:val="20"/>
              </w:rPr>
              <w:t>oint.</w:t>
            </w:r>
          </w:p>
        </w:tc>
      </w:tr>
      <w:tr w:rsidR="00A36A5A" w:rsidRPr="00341696" w14:paraId="172BAD24" w14:textId="77777777" w:rsidTr="00BC3ACE">
        <w:tblPrEx>
          <w:tblLook w:val="01E0" w:firstRow="1" w:lastRow="1" w:firstColumn="1" w:lastColumn="1" w:noHBand="0" w:noVBand="0"/>
        </w:tblPrEx>
        <w:trPr>
          <w:cantSplit/>
          <w:trHeight w:val="350"/>
          <w:tblHeader/>
        </w:trPr>
        <w:tc>
          <w:tcPr>
            <w:tcW w:w="1998" w:type="dxa"/>
          </w:tcPr>
          <w:p w14:paraId="7A69755B" w14:textId="77777777" w:rsidR="00A36A5A" w:rsidRPr="005B6D42" w:rsidRDefault="00A36A5A" w:rsidP="00077067">
            <w:pPr>
              <w:spacing w:after="60"/>
              <w:rPr>
                <w:i/>
                <w:iCs/>
                <w:sz w:val="20"/>
              </w:rPr>
            </w:pPr>
            <w:r w:rsidRPr="005B6D42">
              <w:rPr>
                <w:i/>
                <w:sz w:val="20"/>
              </w:rPr>
              <w:t>m</w:t>
            </w:r>
          </w:p>
        </w:tc>
        <w:tc>
          <w:tcPr>
            <w:tcW w:w="739" w:type="dxa"/>
          </w:tcPr>
          <w:p w14:paraId="3AC8174D" w14:textId="77777777" w:rsidR="00A36A5A" w:rsidRPr="00341696" w:rsidRDefault="00A36A5A" w:rsidP="00077067">
            <w:pPr>
              <w:spacing w:after="60"/>
              <w:rPr>
                <w:iCs/>
                <w:sz w:val="20"/>
              </w:rPr>
            </w:pPr>
            <w:r w:rsidRPr="000433EB">
              <w:rPr>
                <w:sz w:val="20"/>
              </w:rPr>
              <w:t>none</w:t>
            </w:r>
          </w:p>
        </w:tc>
        <w:tc>
          <w:tcPr>
            <w:tcW w:w="6595" w:type="dxa"/>
          </w:tcPr>
          <w:p w14:paraId="2932A689" w14:textId="77777777" w:rsidR="00A36A5A" w:rsidRPr="00341696" w:rsidRDefault="00A36A5A" w:rsidP="00077067">
            <w:pPr>
              <w:spacing w:after="60"/>
              <w:rPr>
                <w:iCs/>
                <w:sz w:val="20"/>
              </w:rPr>
            </w:pPr>
            <w:r w:rsidRPr="000433EB">
              <w:rPr>
                <w:sz w:val="20"/>
              </w:rPr>
              <w:t>An operating month</w:t>
            </w:r>
            <w:r>
              <w:rPr>
                <w:sz w:val="20"/>
              </w:rPr>
              <w:t>.</w:t>
            </w:r>
          </w:p>
        </w:tc>
      </w:tr>
      <w:tr w:rsidR="00A36A5A" w:rsidRPr="00341696" w14:paraId="256AB962" w14:textId="77777777" w:rsidTr="00BC3ACE">
        <w:tblPrEx>
          <w:tblLook w:val="01E0" w:firstRow="1" w:lastRow="1" w:firstColumn="1" w:lastColumn="1" w:noHBand="0" w:noVBand="0"/>
        </w:tblPrEx>
        <w:trPr>
          <w:cantSplit/>
          <w:trHeight w:val="350"/>
          <w:tblHeader/>
        </w:trPr>
        <w:tc>
          <w:tcPr>
            <w:tcW w:w="1998" w:type="dxa"/>
          </w:tcPr>
          <w:p w14:paraId="019DE99E" w14:textId="77777777" w:rsidR="00A36A5A" w:rsidRPr="005B6D42" w:rsidRDefault="00A36A5A" w:rsidP="00077067">
            <w:pPr>
              <w:spacing w:after="60"/>
              <w:rPr>
                <w:i/>
                <w:iCs/>
                <w:sz w:val="20"/>
              </w:rPr>
            </w:pPr>
            <w:r w:rsidRPr="005B6D42">
              <w:rPr>
                <w:i/>
                <w:sz w:val="20"/>
              </w:rPr>
              <w:t>ctou</w:t>
            </w:r>
          </w:p>
        </w:tc>
        <w:tc>
          <w:tcPr>
            <w:tcW w:w="739" w:type="dxa"/>
          </w:tcPr>
          <w:p w14:paraId="2217F3F8" w14:textId="77777777" w:rsidR="00A36A5A" w:rsidRPr="00341696" w:rsidRDefault="00A36A5A" w:rsidP="00077067">
            <w:pPr>
              <w:spacing w:after="60"/>
              <w:rPr>
                <w:iCs/>
                <w:sz w:val="20"/>
              </w:rPr>
            </w:pPr>
            <w:r w:rsidRPr="00341696">
              <w:rPr>
                <w:iCs/>
                <w:sz w:val="20"/>
              </w:rPr>
              <w:t>none</w:t>
            </w:r>
          </w:p>
        </w:tc>
        <w:tc>
          <w:tcPr>
            <w:tcW w:w="6595" w:type="dxa"/>
          </w:tcPr>
          <w:p w14:paraId="0BF732F6" w14:textId="77777777" w:rsidR="00A36A5A" w:rsidRPr="00341696" w:rsidRDefault="00A36A5A" w:rsidP="00077067">
            <w:pPr>
              <w:spacing w:after="60"/>
              <w:rPr>
                <w:iCs/>
                <w:sz w:val="20"/>
              </w:rPr>
            </w:pPr>
            <w:r w:rsidRPr="003F6636">
              <w:rPr>
                <w:iCs/>
                <w:sz w:val="20"/>
              </w:rPr>
              <w:t xml:space="preserve">CRR </w:t>
            </w:r>
            <w:r w:rsidRPr="008D7F4C">
              <w:rPr>
                <w:iCs/>
                <w:sz w:val="20"/>
              </w:rPr>
              <w:t>Time O</w:t>
            </w:r>
            <w:r w:rsidRPr="007A2BA3">
              <w:rPr>
                <w:iCs/>
                <w:sz w:val="20"/>
              </w:rPr>
              <w:t>f Use block</w:t>
            </w:r>
            <w:r w:rsidRPr="006D333E">
              <w:rPr>
                <w:iCs/>
                <w:sz w:val="20"/>
              </w:rPr>
              <w:t>.</w:t>
            </w:r>
          </w:p>
        </w:tc>
      </w:tr>
      <w:tr w:rsidR="00A36A5A" w:rsidRPr="00341696" w14:paraId="23635963" w14:textId="77777777" w:rsidTr="00BC3ACE">
        <w:tblPrEx>
          <w:tblLook w:val="01E0" w:firstRow="1" w:lastRow="1" w:firstColumn="1" w:lastColumn="1" w:noHBand="0" w:noVBand="0"/>
        </w:tblPrEx>
        <w:trPr>
          <w:cantSplit/>
          <w:trHeight w:val="350"/>
          <w:tblHeader/>
        </w:trPr>
        <w:tc>
          <w:tcPr>
            <w:tcW w:w="1998" w:type="dxa"/>
          </w:tcPr>
          <w:p w14:paraId="0A56B4AB" w14:textId="77777777" w:rsidR="00A36A5A" w:rsidRPr="005B6D42" w:rsidRDefault="00A36A5A" w:rsidP="00077067">
            <w:pPr>
              <w:spacing w:after="60"/>
              <w:rPr>
                <w:i/>
                <w:iCs/>
                <w:sz w:val="20"/>
              </w:rPr>
            </w:pPr>
            <w:r w:rsidRPr="005B6D42">
              <w:rPr>
                <w:i/>
                <w:iCs/>
                <w:sz w:val="20"/>
              </w:rPr>
              <w:t>h</w:t>
            </w:r>
          </w:p>
        </w:tc>
        <w:tc>
          <w:tcPr>
            <w:tcW w:w="739" w:type="dxa"/>
          </w:tcPr>
          <w:p w14:paraId="3B5DA79A" w14:textId="77777777" w:rsidR="00A36A5A" w:rsidRPr="00341696" w:rsidRDefault="00A36A5A" w:rsidP="00077067">
            <w:pPr>
              <w:spacing w:after="60"/>
              <w:rPr>
                <w:iCs/>
                <w:sz w:val="20"/>
              </w:rPr>
            </w:pPr>
            <w:r w:rsidRPr="00341696">
              <w:rPr>
                <w:iCs/>
                <w:sz w:val="20"/>
              </w:rPr>
              <w:t>none</w:t>
            </w:r>
          </w:p>
        </w:tc>
        <w:tc>
          <w:tcPr>
            <w:tcW w:w="6595" w:type="dxa"/>
          </w:tcPr>
          <w:p w14:paraId="12F385DE" w14:textId="77777777" w:rsidR="00A36A5A" w:rsidRPr="00341696" w:rsidRDefault="00A36A5A" w:rsidP="008C0679">
            <w:pPr>
              <w:spacing w:after="60"/>
              <w:rPr>
                <w:iCs/>
                <w:sz w:val="20"/>
              </w:rPr>
            </w:pPr>
            <w:r w:rsidRPr="00341696">
              <w:rPr>
                <w:iCs/>
                <w:sz w:val="20"/>
              </w:rPr>
              <w:t xml:space="preserve">An </w:t>
            </w:r>
            <w:r>
              <w:rPr>
                <w:iCs/>
                <w:sz w:val="20"/>
              </w:rPr>
              <w:t>Operating Hour.</w:t>
            </w:r>
          </w:p>
        </w:tc>
      </w:tr>
      <w:tr w:rsidR="00A36A5A" w:rsidRPr="00341696" w14:paraId="492570E5" w14:textId="77777777" w:rsidTr="00BC3ACE">
        <w:tblPrEx>
          <w:tblLook w:val="01E0" w:firstRow="1" w:lastRow="1" w:firstColumn="1" w:lastColumn="1" w:noHBand="0" w:noVBand="0"/>
        </w:tblPrEx>
        <w:trPr>
          <w:cantSplit/>
          <w:trHeight w:val="350"/>
          <w:tblHeader/>
        </w:trPr>
        <w:tc>
          <w:tcPr>
            <w:tcW w:w="1998" w:type="dxa"/>
          </w:tcPr>
          <w:p w14:paraId="3568E63C" w14:textId="77777777" w:rsidR="00A36A5A" w:rsidRPr="005B6D42" w:rsidRDefault="008C0679" w:rsidP="00077067">
            <w:pPr>
              <w:spacing w:after="60"/>
              <w:rPr>
                <w:i/>
                <w:iCs/>
                <w:sz w:val="20"/>
              </w:rPr>
            </w:pPr>
            <w:r>
              <w:rPr>
                <w:i/>
                <w:iCs/>
                <w:sz w:val="20"/>
              </w:rPr>
              <w:t>a</w:t>
            </w:r>
          </w:p>
        </w:tc>
        <w:tc>
          <w:tcPr>
            <w:tcW w:w="739" w:type="dxa"/>
          </w:tcPr>
          <w:p w14:paraId="14555947" w14:textId="77777777" w:rsidR="00A36A5A" w:rsidRPr="00341696" w:rsidRDefault="00A36A5A" w:rsidP="00077067">
            <w:pPr>
              <w:spacing w:after="60"/>
              <w:rPr>
                <w:iCs/>
                <w:sz w:val="20"/>
              </w:rPr>
            </w:pPr>
            <w:r w:rsidRPr="00341696">
              <w:rPr>
                <w:iCs/>
                <w:sz w:val="20"/>
              </w:rPr>
              <w:t>none</w:t>
            </w:r>
          </w:p>
        </w:tc>
        <w:tc>
          <w:tcPr>
            <w:tcW w:w="6595" w:type="dxa"/>
          </w:tcPr>
          <w:p w14:paraId="294EA53A"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Account Holders represented by the Counter-Party</w:t>
            </w:r>
            <w:r>
              <w:rPr>
                <w:iCs/>
                <w:sz w:val="20"/>
              </w:rPr>
              <w:t>.</w:t>
            </w:r>
          </w:p>
        </w:tc>
      </w:tr>
      <w:tr w:rsidR="00A36A5A" w:rsidRPr="00341696" w14:paraId="680D8BAD" w14:textId="77777777" w:rsidTr="00BC3ACE">
        <w:tblPrEx>
          <w:tblLook w:val="01E0" w:firstRow="1" w:lastRow="1" w:firstColumn="1" w:lastColumn="1" w:noHBand="0" w:noVBand="0"/>
        </w:tblPrEx>
        <w:trPr>
          <w:cantSplit/>
          <w:trHeight w:val="350"/>
          <w:tblHeader/>
        </w:trPr>
        <w:tc>
          <w:tcPr>
            <w:tcW w:w="1998" w:type="dxa"/>
          </w:tcPr>
          <w:p w14:paraId="3C68DE54" w14:textId="77777777" w:rsidR="00A36A5A" w:rsidRPr="005B6D42" w:rsidRDefault="00A36A5A" w:rsidP="00077067">
            <w:pPr>
              <w:spacing w:after="60"/>
              <w:rPr>
                <w:i/>
                <w:iCs/>
                <w:sz w:val="20"/>
              </w:rPr>
            </w:pPr>
            <w:r w:rsidRPr="005B6D42">
              <w:rPr>
                <w:i/>
                <w:iCs/>
                <w:sz w:val="20"/>
              </w:rPr>
              <w:t>ci99</w:t>
            </w:r>
          </w:p>
        </w:tc>
        <w:tc>
          <w:tcPr>
            <w:tcW w:w="739" w:type="dxa"/>
          </w:tcPr>
          <w:p w14:paraId="1E260DE4" w14:textId="77777777" w:rsidR="00A36A5A" w:rsidRPr="00341696" w:rsidRDefault="00A36A5A" w:rsidP="00077067">
            <w:pPr>
              <w:spacing w:after="60"/>
              <w:rPr>
                <w:iCs/>
                <w:sz w:val="20"/>
              </w:rPr>
            </w:pPr>
            <w:r>
              <w:rPr>
                <w:iCs/>
                <w:sz w:val="20"/>
              </w:rPr>
              <w:t>none</w:t>
            </w:r>
          </w:p>
        </w:tc>
        <w:tc>
          <w:tcPr>
            <w:tcW w:w="6595" w:type="dxa"/>
          </w:tcPr>
          <w:p w14:paraId="34EFA158" w14:textId="77777777" w:rsidR="00A36A5A" w:rsidRPr="00341696" w:rsidRDefault="00A36A5A" w:rsidP="00077067">
            <w:pPr>
              <w:spacing w:after="60"/>
              <w:rPr>
                <w:iCs/>
                <w:sz w:val="20"/>
              </w:rPr>
            </w:pPr>
            <w:r>
              <w:rPr>
                <w:iCs/>
                <w:sz w:val="20"/>
              </w:rPr>
              <w:t>99</w:t>
            </w:r>
            <w:r w:rsidRPr="00E85945">
              <w:rPr>
                <w:iCs/>
                <w:sz w:val="20"/>
                <w:vertAlign w:val="superscript"/>
              </w:rPr>
              <w:t>th</w:t>
            </w:r>
            <w:r>
              <w:rPr>
                <w:iCs/>
                <w:sz w:val="20"/>
              </w:rPr>
              <w:t xml:space="preserve"> percentile confidence interval.</w:t>
            </w:r>
          </w:p>
        </w:tc>
      </w:tr>
    </w:tbl>
    <w:p w14:paraId="6AB45C76" w14:textId="77777777" w:rsidR="00AA6D6D" w:rsidRPr="0002450E" w:rsidRDefault="00AA6D6D" w:rsidP="00DD1960">
      <w:pPr>
        <w:pStyle w:val="H4"/>
        <w:spacing w:before="480"/>
        <w:ind w:left="1267" w:hanging="1267"/>
        <w:rPr>
          <w:b/>
          <w:bCs/>
        </w:rPr>
      </w:pPr>
      <w:bookmarkStart w:id="518" w:name="_Toc390438971"/>
      <w:bookmarkStart w:id="519" w:name="_Toc405897669"/>
      <w:bookmarkStart w:id="520" w:name="_Toc415055773"/>
      <w:bookmarkStart w:id="521" w:name="_Toc415055899"/>
      <w:bookmarkStart w:id="522" w:name="_Toc415055998"/>
      <w:bookmarkStart w:id="523" w:name="_Toc415056099"/>
      <w:bookmarkStart w:id="524" w:name="_Toc184623039"/>
      <w:r w:rsidRPr="0002450E">
        <w:rPr>
          <w:b/>
          <w:bCs/>
        </w:rPr>
        <w:t>16.11.4.6</w:t>
      </w:r>
      <w:r w:rsidRPr="0002450E">
        <w:rPr>
          <w:b/>
          <w:bCs/>
        </w:rPr>
        <w:tab/>
        <w:t>Determination of Counter-Party Available Credit Limits</w:t>
      </w:r>
      <w:bookmarkEnd w:id="518"/>
      <w:bookmarkEnd w:id="519"/>
      <w:bookmarkEnd w:id="520"/>
      <w:bookmarkEnd w:id="521"/>
      <w:bookmarkEnd w:id="522"/>
      <w:bookmarkEnd w:id="523"/>
      <w:bookmarkEnd w:id="524"/>
      <w:r w:rsidRPr="0002450E">
        <w:rPr>
          <w:b/>
          <w:bCs/>
        </w:rPr>
        <w:t xml:space="preserve"> </w:t>
      </w:r>
    </w:p>
    <w:p w14:paraId="2AD2814A" w14:textId="77777777" w:rsidR="005C04D0" w:rsidRPr="00D75412" w:rsidRDefault="005C04D0" w:rsidP="005C04D0">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68B6C999" w14:textId="77777777" w:rsidR="005C04D0" w:rsidRPr="00D75412" w:rsidRDefault="005C04D0" w:rsidP="005C04D0">
      <w:pPr>
        <w:spacing w:after="240"/>
        <w:ind w:left="720"/>
        <w:rPr>
          <w:iCs/>
        </w:rPr>
      </w:pPr>
      <w:r w:rsidRPr="00D75412">
        <w:rPr>
          <w:iCs/>
        </w:rPr>
        <w:t>(a)</w:t>
      </w:r>
      <w:r w:rsidRPr="00D75412">
        <w:rPr>
          <w:iCs/>
        </w:rPr>
        <w:tab/>
        <w:t>ACLC for each Counter-Party equal to the maximum of zero and the net of its:</w:t>
      </w:r>
    </w:p>
    <w:p w14:paraId="4760EAFE" w14:textId="77777777" w:rsidR="005C04D0" w:rsidRPr="00D75412" w:rsidRDefault="005C04D0" w:rsidP="005C04D0">
      <w:pPr>
        <w:spacing w:after="240"/>
        <w:ind w:left="2160" w:hanging="720"/>
        <w:rPr>
          <w:iCs/>
        </w:rPr>
      </w:pPr>
      <w:r w:rsidRPr="00D75412">
        <w:rPr>
          <w:iCs/>
        </w:rPr>
        <w:t>(i)</w:t>
      </w:r>
      <w:r w:rsidRPr="00D75412">
        <w:rPr>
          <w:iCs/>
        </w:rPr>
        <w:tab/>
        <w:t xml:space="preserve">Secured Financial Security; minus </w:t>
      </w:r>
    </w:p>
    <w:p w14:paraId="6C23E824" w14:textId="77777777" w:rsidR="005C04D0" w:rsidRPr="00D75412" w:rsidRDefault="005C04D0" w:rsidP="005C04D0">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388D8D10" w14:textId="77777777" w:rsidR="005C04D0" w:rsidRPr="00D75412" w:rsidRDefault="005C04D0" w:rsidP="005C04D0">
      <w:pPr>
        <w:spacing w:after="240"/>
        <w:ind w:left="1440"/>
        <w:rPr>
          <w:iCs/>
        </w:rPr>
      </w:pPr>
      <w:r w:rsidRPr="00D75412">
        <w:rPr>
          <w:iCs/>
        </w:rPr>
        <w:t>(iii)</w:t>
      </w:r>
      <w:r w:rsidRPr="00D75412">
        <w:rPr>
          <w:b/>
          <w:iCs/>
        </w:rPr>
        <w:tab/>
      </w:r>
      <w:r w:rsidRPr="00D75412">
        <w:rPr>
          <w:iCs/>
        </w:rPr>
        <w:t>Net Positive Exposure of approved CRR Bilateral Trades; minus</w:t>
      </w:r>
    </w:p>
    <w:p w14:paraId="29696C84" w14:textId="77777777" w:rsidR="005C04D0" w:rsidRPr="00D75412" w:rsidRDefault="005C04D0" w:rsidP="005C04D0">
      <w:pPr>
        <w:spacing w:after="240"/>
        <w:ind w:left="2160" w:hanging="720"/>
        <w:rPr>
          <w:iCs/>
        </w:rPr>
      </w:pPr>
      <w:r w:rsidRPr="00D75412">
        <w:rPr>
          <w:iCs/>
        </w:rPr>
        <w:t>(iv)</w:t>
      </w:r>
      <w:r w:rsidRPr="00D75412">
        <w:rPr>
          <w:iCs/>
        </w:rPr>
        <w:tab/>
        <w:t xml:space="preserve">Maximum of: </w:t>
      </w:r>
    </w:p>
    <w:p w14:paraId="4C74C54A" w14:textId="77777777" w:rsidR="005C04D0" w:rsidRPr="00D75412" w:rsidRDefault="005C04D0" w:rsidP="005C04D0">
      <w:pPr>
        <w:spacing w:after="240"/>
        <w:ind w:left="2880" w:hanging="720"/>
        <w:rPr>
          <w:iCs/>
        </w:rPr>
      </w:pPr>
      <w:r w:rsidRPr="00D75412">
        <w:rPr>
          <w:iCs/>
        </w:rPr>
        <w:t>(A)</w:t>
      </w:r>
      <w:r w:rsidRPr="00D75412">
        <w:rPr>
          <w:iCs/>
        </w:rPr>
        <w:tab/>
        <w:t xml:space="preserve">Zero; and </w:t>
      </w:r>
    </w:p>
    <w:p w14:paraId="36C190B5" w14:textId="77777777" w:rsidR="005C04D0" w:rsidRPr="00D75412" w:rsidRDefault="005C04D0" w:rsidP="005C04D0">
      <w:pPr>
        <w:spacing w:after="240"/>
        <w:ind w:left="2880" w:hanging="720"/>
        <w:rPr>
          <w:iCs/>
        </w:rPr>
      </w:pPr>
      <w:r w:rsidRPr="00D75412">
        <w:rPr>
          <w:iCs/>
        </w:rPr>
        <w:lastRenderedPageBreak/>
        <w:t>(B)</w:t>
      </w:r>
      <w:r w:rsidRPr="00D75412">
        <w:rPr>
          <w:iCs/>
        </w:rPr>
        <w:tab/>
      </w:r>
      <w:r>
        <w:rPr>
          <w:iCs/>
        </w:rPr>
        <w:t xml:space="preserve">((1+ACLIRF) * </w:t>
      </w:r>
      <w:r w:rsidRPr="00D75412">
        <w:rPr>
          <w:iCs/>
        </w:rPr>
        <w:t>TPEA</w:t>
      </w:r>
      <w:r>
        <w:rPr>
          <w:iCs/>
        </w:rPr>
        <w:t>)</w:t>
      </w:r>
      <w:r w:rsidRPr="00D75412">
        <w:rPr>
          <w:iCs/>
        </w:rPr>
        <w:t>.</w:t>
      </w:r>
    </w:p>
    <w:p w14:paraId="3AD94E04" w14:textId="77777777" w:rsidR="005C04D0" w:rsidRPr="00D75412" w:rsidRDefault="005C04D0" w:rsidP="005C04D0">
      <w:pPr>
        <w:spacing w:after="240"/>
        <w:ind w:firstLine="720"/>
        <w:rPr>
          <w:iCs/>
        </w:rPr>
      </w:pPr>
      <w:r w:rsidRPr="00D75412">
        <w:rPr>
          <w:iCs/>
        </w:rPr>
        <w:t>(b)</w:t>
      </w:r>
      <w:r w:rsidRPr="00D75412">
        <w:rPr>
          <w:iCs/>
        </w:rPr>
        <w:tab/>
        <w:t>ACLD for each Counter-Party equal to the maximum of zero and its:</w:t>
      </w:r>
    </w:p>
    <w:p w14:paraId="3D92B643" w14:textId="77777777" w:rsidR="005C04D0" w:rsidRPr="00142152" w:rsidRDefault="005C04D0" w:rsidP="005C04D0">
      <w:pPr>
        <w:spacing w:after="240"/>
        <w:ind w:left="2160" w:hanging="720"/>
        <w:rPr>
          <w:iCs/>
        </w:rPr>
      </w:pPr>
      <w:r w:rsidRPr="00142152">
        <w:rPr>
          <w:iCs/>
        </w:rPr>
        <w:t>(i)</w:t>
      </w:r>
      <w:r w:rsidRPr="00142152">
        <w:rPr>
          <w:iCs/>
        </w:rPr>
        <w:tab/>
        <w:t>Remainder Collateral; minus</w:t>
      </w:r>
    </w:p>
    <w:p w14:paraId="4066F4C4" w14:textId="77777777" w:rsidR="005C04D0" w:rsidRPr="00142152" w:rsidRDefault="005C04D0" w:rsidP="005C04D0">
      <w:pPr>
        <w:spacing w:after="240"/>
        <w:ind w:left="2160" w:hanging="720"/>
        <w:rPr>
          <w:iCs/>
        </w:rPr>
      </w:pPr>
      <w:r w:rsidRPr="00142152">
        <w:rPr>
          <w:iCs/>
        </w:rPr>
        <w:t>(i</w:t>
      </w:r>
      <w:r>
        <w:rPr>
          <w:iCs/>
        </w:rPr>
        <w:t>i</w:t>
      </w:r>
      <w:r w:rsidRPr="00142152">
        <w:rPr>
          <w:iCs/>
        </w:rPr>
        <w:t>)</w:t>
      </w:r>
      <w:r w:rsidRPr="00142152">
        <w:rPr>
          <w:iCs/>
        </w:rPr>
        <w:tab/>
        <w:t>ACLIRF * TPES; minus</w:t>
      </w:r>
    </w:p>
    <w:p w14:paraId="48C8E788" w14:textId="77777777" w:rsidR="005C04D0" w:rsidRPr="00D75412" w:rsidRDefault="005C04D0" w:rsidP="005C04D0">
      <w:pPr>
        <w:spacing w:after="240"/>
        <w:ind w:left="2160" w:hanging="720"/>
        <w:rPr>
          <w:iCs/>
        </w:rPr>
      </w:pPr>
      <w:r>
        <w:rPr>
          <w:iCs/>
        </w:rPr>
        <w:t>(iii)</w:t>
      </w:r>
      <w:r>
        <w:rPr>
          <w:iCs/>
        </w:rPr>
        <w:tab/>
        <w:t xml:space="preserve">(1+ACLIRF) * </w:t>
      </w:r>
      <w:r w:rsidRPr="00D75412">
        <w:rPr>
          <w:iCs/>
        </w:rPr>
        <w:t>TPEA.</w:t>
      </w:r>
    </w:p>
    <w:p w14:paraId="5E672E90" w14:textId="77777777" w:rsidR="005C04D0" w:rsidRDefault="005C04D0" w:rsidP="005C04D0">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37722234" w14:textId="77777777" w:rsidR="005C04D0" w:rsidRDefault="005C04D0" w:rsidP="005C04D0">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5C04D0" w:rsidRPr="00D74ADF" w14:paraId="6519A3F1" w14:textId="77777777" w:rsidTr="00A3430F">
        <w:trPr>
          <w:trHeight w:val="351"/>
          <w:tblHeader/>
        </w:trPr>
        <w:tc>
          <w:tcPr>
            <w:tcW w:w="1571" w:type="dxa"/>
          </w:tcPr>
          <w:p w14:paraId="30970134" w14:textId="77777777" w:rsidR="005C04D0" w:rsidRPr="00A8084A" w:rsidRDefault="005C04D0" w:rsidP="00A3430F">
            <w:pPr>
              <w:pStyle w:val="TableHead"/>
            </w:pPr>
            <w:r w:rsidRPr="00E10651">
              <w:t>Parameter</w:t>
            </w:r>
          </w:p>
        </w:tc>
        <w:tc>
          <w:tcPr>
            <w:tcW w:w="1691" w:type="dxa"/>
          </w:tcPr>
          <w:p w14:paraId="2C15F957" w14:textId="77777777" w:rsidR="005C04D0" w:rsidRPr="00A8084A" w:rsidRDefault="005C04D0" w:rsidP="00A3430F">
            <w:pPr>
              <w:pStyle w:val="TableHead"/>
            </w:pPr>
            <w:r w:rsidRPr="00A8084A">
              <w:t>Unit</w:t>
            </w:r>
          </w:p>
        </w:tc>
        <w:tc>
          <w:tcPr>
            <w:tcW w:w="5854" w:type="dxa"/>
          </w:tcPr>
          <w:p w14:paraId="620B4317" w14:textId="77777777" w:rsidR="005C04D0" w:rsidRPr="00A8084A" w:rsidRDefault="005C04D0" w:rsidP="00A3430F">
            <w:pPr>
              <w:pStyle w:val="TableHead"/>
            </w:pPr>
            <w:r w:rsidRPr="00A8084A">
              <w:t>Current Value*</w:t>
            </w:r>
          </w:p>
        </w:tc>
      </w:tr>
      <w:tr w:rsidR="005C04D0" w:rsidRPr="00D74ADF" w14:paraId="6C741235" w14:textId="77777777" w:rsidTr="00A3430F">
        <w:trPr>
          <w:trHeight w:val="404"/>
        </w:trPr>
        <w:tc>
          <w:tcPr>
            <w:tcW w:w="1571" w:type="dxa"/>
          </w:tcPr>
          <w:p w14:paraId="23B3458B" w14:textId="77777777" w:rsidR="005C04D0" w:rsidRPr="00A8084A" w:rsidRDefault="005C04D0" w:rsidP="00A3430F">
            <w:pPr>
              <w:pStyle w:val="TableBody"/>
              <w:rPr>
                <w:i/>
              </w:rPr>
            </w:pPr>
            <w:r w:rsidRPr="00E10651">
              <w:rPr>
                <w:i/>
              </w:rPr>
              <w:t>ACLIRF</w:t>
            </w:r>
          </w:p>
        </w:tc>
        <w:tc>
          <w:tcPr>
            <w:tcW w:w="1691" w:type="dxa"/>
          </w:tcPr>
          <w:p w14:paraId="2F7FBC0A" w14:textId="77777777" w:rsidR="005C04D0" w:rsidRPr="00A8084A" w:rsidRDefault="005C04D0" w:rsidP="00A3430F">
            <w:pPr>
              <w:pStyle w:val="TableBody"/>
            </w:pPr>
            <w:r w:rsidRPr="00A8084A">
              <w:t>Percentage</w:t>
            </w:r>
          </w:p>
        </w:tc>
        <w:tc>
          <w:tcPr>
            <w:tcW w:w="5854" w:type="dxa"/>
          </w:tcPr>
          <w:p w14:paraId="525D9D9B" w14:textId="77777777" w:rsidR="005C04D0" w:rsidRPr="00A8084A" w:rsidRDefault="005C04D0" w:rsidP="00A3430F">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5C04D0" w:rsidRPr="00BE4766" w14:paraId="4FB619AC" w14:textId="77777777" w:rsidTr="00A3430F">
        <w:trPr>
          <w:trHeight w:val="519"/>
        </w:trPr>
        <w:tc>
          <w:tcPr>
            <w:tcW w:w="9116" w:type="dxa"/>
            <w:gridSpan w:val="3"/>
          </w:tcPr>
          <w:p w14:paraId="3BEB5F5C" w14:textId="77777777" w:rsidR="005C04D0" w:rsidRPr="00A8084A" w:rsidRDefault="005C04D0" w:rsidP="00A3430F">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CE83C91" w14:textId="5BD3781F" w:rsidR="00F56ABB" w:rsidRDefault="00727E32" w:rsidP="00CB3ECD">
      <w:pPr>
        <w:pStyle w:val="H5"/>
        <w:spacing w:before="480"/>
        <w:ind w:left="1627" w:hanging="1627"/>
      </w:pPr>
      <w:bookmarkStart w:id="525" w:name="_Toc390438972"/>
      <w:bookmarkStart w:id="526" w:name="_Toc405897670"/>
      <w:bookmarkStart w:id="527" w:name="_Toc415055774"/>
      <w:bookmarkStart w:id="528" w:name="_Toc415055900"/>
      <w:bookmarkStart w:id="529" w:name="_Toc415055999"/>
      <w:bookmarkStart w:id="530" w:name="_Toc415056100"/>
      <w:bookmarkStart w:id="531" w:name="_Toc184623040"/>
      <w:r>
        <w:t>16.11.4.6.1</w:t>
      </w:r>
      <w:r>
        <w:tab/>
        <w:t>Credit Requirements for CRR Auction Participation</w:t>
      </w:r>
      <w:bookmarkEnd w:id="525"/>
      <w:bookmarkEnd w:id="526"/>
      <w:bookmarkEnd w:id="527"/>
      <w:bookmarkEnd w:id="528"/>
      <w:bookmarkEnd w:id="529"/>
      <w:bookmarkEnd w:id="530"/>
      <w:bookmarkEnd w:id="531"/>
    </w:p>
    <w:p w14:paraId="14683DFA" w14:textId="7DFCFE2C" w:rsidR="00FC1C5F" w:rsidRDefault="00891D7E">
      <w:pPr>
        <w:pStyle w:val="List"/>
        <w:ind w:left="720"/>
      </w:pPr>
      <w:r w:rsidRPr="002475CE">
        <w:rPr>
          <w:iCs/>
        </w:rPr>
        <w:t>(1)</w:t>
      </w:r>
      <w:r w:rsidRPr="002475CE">
        <w:rPr>
          <w:iCs/>
        </w:rPr>
        <w:tab/>
      </w:r>
      <w:r w:rsidR="00CB2A95" w:rsidRPr="00B07CBC">
        <w:rPr>
          <w:iCs/>
        </w:rPr>
        <w:t xml:space="preserve">As a requirement for participation in any CRR Auction, </w:t>
      </w:r>
      <w:r w:rsidR="00CB2A95">
        <w:rPr>
          <w:iCs/>
        </w:rPr>
        <w:t>e</w:t>
      </w:r>
      <w:r w:rsidRPr="002475CE">
        <w:rPr>
          <w:iCs/>
        </w:rPr>
        <w:t>ach Counter-Party participating in any CRR Auction, including those as permitted by Sections 16.11.6.1.4, Repossession of CRRs by ERCOT, and 16.11.6.1.5, Declaration of Forfeit of CRRs, shall communicate to ERCOT the credit limit it would like to establish for the CRR Auction prior to the close of the CRR bid submission window.</w:t>
      </w:r>
      <w:r w:rsidR="00727E32" w:rsidRPr="00891D7E">
        <w:t xml:space="preserve"> </w:t>
      </w:r>
    </w:p>
    <w:p w14:paraId="0B3C616F" w14:textId="77777777" w:rsidR="009F0904" w:rsidRPr="00891D7E" w:rsidRDefault="009F0904" w:rsidP="00AC6018">
      <w:pPr>
        <w:pStyle w:val="List"/>
        <w:ind w:left="720"/>
      </w:pPr>
      <w:r>
        <w:rPr>
          <w:iCs/>
        </w:rPr>
        <w:t>(2)</w:t>
      </w:r>
      <w:r>
        <w:rPr>
          <w:iCs/>
        </w:rPr>
        <w:tab/>
        <w:t>Consistent with paragraph (4)(c)(ii) of Section 7.5.1, Nature and Timing, ERCOT shall only modify the credit limit date in paragraph (1) above under a condition in which an ERCOT computer system failure causes Counter-Parties to be delayed or unable in submitting their credit limits for the CRR Auction and ERCOT determines that the successful execution of the CRR Auction would be jeopardized without such modification.</w:t>
      </w:r>
      <w:r w:rsidRPr="00891D7E">
        <w:t xml:space="preserve"> </w:t>
      </w:r>
      <w:r>
        <w:t xml:space="preserve"> </w:t>
      </w:r>
      <w:r>
        <w:rPr>
          <w:iCs/>
        </w:rPr>
        <w:t>In such an event, ERCOT will issue a Market Notice advising of the revised credit limit date and its cause.</w:t>
      </w:r>
    </w:p>
    <w:p w14:paraId="077C9A85" w14:textId="77777777" w:rsidR="00CB2A95" w:rsidRPr="00496C32" w:rsidRDefault="00AA6D6D" w:rsidP="00CB2A95">
      <w:pPr>
        <w:pStyle w:val="BodyTextNumbered"/>
      </w:pPr>
      <w:r w:rsidRPr="00DD1960">
        <w:rPr>
          <w:iCs w:val="0"/>
        </w:rPr>
        <w:lastRenderedPageBreak/>
        <w:t>(</w:t>
      </w:r>
      <w:r w:rsidR="009F0904">
        <w:rPr>
          <w:iCs w:val="0"/>
        </w:rPr>
        <w:t>3</w:t>
      </w:r>
      <w:r w:rsidRPr="00DD1960">
        <w:rPr>
          <w:iCs w:val="0"/>
        </w:rPr>
        <w:t>)</w:t>
      </w:r>
      <w:r w:rsidRPr="00DD1960">
        <w:rPr>
          <w:iCs w:val="0"/>
        </w:rPr>
        <w:tab/>
      </w:r>
      <w:r w:rsidR="00CB2A95" w:rsidRPr="00496C32">
        <w:t>ERCOT shall assign the ACL locked for CRR Auction for each Counter-Party participating in any CRR Auction as the lower of the Counter-Party’s:</w:t>
      </w:r>
    </w:p>
    <w:p w14:paraId="524082A2" w14:textId="77777777" w:rsidR="00CB2A95" w:rsidRPr="00496C32" w:rsidRDefault="00CB2A95" w:rsidP="00CB2A95">
      <w:pPr>
        <w:pStyle w:val="BodyText"/>
        <w:ind w:left="1440" w:hanging="720"/>
      </w:pPr>
      <w:r w:rsidRPr="00496C32">
        <w:t>(a)</w:t>
      </w:r>
      <w:r w:rsidRPr="00496C32">
        <w:tab/>
        <w:t>Requested credit limit, as described in</w:t>
      </w:r>
      <w:r>
        <w:t xml:space="preserve"> paragraph (1) above;</w:t>
      </w:r>
      <w:r w:rsidRPr="00496C32">
        <w:t xml:space="preserve"> </w:t>
      </w:r>
    </w:p>
    <w:p w14:paraId="0FE06209" w14:textId="77777777" w:rsidR="00CB2A95" w:rsidRPr="00496C32" w:rsidRDefault="00CB2A95" w:rsidP="00CB2A95">
      <w:pPr>
        <w:pStyle w:val="BodyText"/>
        <w:ind w:left="1440" w:hanging="720"/>
      </w:pPr>
      <w:r w:rsidRPr="00496C32">
        <w:t>(b)</w:t>
      </w:r>
      <w:r w:rsidRPr="00496C32">
        <w:tab/>
        <w:t>ACLC, calculated in accordance with paragraph (1)(a) of Section 16.11.4.6, Determination of Counter-Party Available Credit Limits, at the time of the closure o</w:t>
      </w:r>
      <w:r>
        <w:t>f the CRR bid submission window;</w:t>
      </w:r>
      <w:r w:rsidRPr="00496C32">
        <w:t xml:space="preserve"> or</w:t>
      </w:r>
    </w:p>
    <w:p w14:paraId="2672A336" w14:textId="1569AA8E" w:rsidR="00FC1C5F" w:rsidRDefault="00CB2A95" w:rsidP="00AC6018">
      <w:pPr>
        <w:pStyle w:val="BodyText"/>
        <w:ind w:left="1440" w:hanging="720"/>
        <w:rPr>
          <w:iCs w:val="0"/>
        </w:rPr>
      </w:pPr>
      <w:r w:rsidRPr="00496C32">
        <w:t>(c)</w:t>
      </w:r>
      <w:r w:rsidRPr="00496C32">
        <w:tab/>
        <w:t>Pre-auction screening credit exposure amount, calculated in accordance with paragraph (2) of Section 7.5.5.3, Auction Process.</w:t>
      </w:r>
      <w:r w:rsidR="00AA6D6D" w:rsidRPr="00DD1960">
        <w:rPr>
          <w:iCs w:val="0"/>
        </w:rPr>
        <w:t xml:space="preserve"> </w:t>
      </w:r>
    </w:p>
    <w:p w14:paraId="51D8B995" w14:textId="11C0BD4A" w:rsidR="00F56ABB" w:rsidRDefault="00727E32" w:rsidP="00AC6018">
      <w:pPr>
        <w:pStyle w:val="BodyTextNumbered"/>
      </w:pPr>
      <w:r>
        <w:t>(</w:t>
      </w:r>
      <w:r w:rsidR="009F0904">
        <w:t>4</w:t>
      </w:r>
      <w:r>
        <w:t>)</w:t>
      </w:r>
      <w:r>
        <w:tab/>
        <w:t xml:space="preserve">ERCOT shall impose a credit limit in awarding bids and offers in the CRR Auction as described in Section 7.5.5.3. </w:t>
      </w:r>
    </w:p>
    <w:p w14:paraId="02547C73" w14:textId="77777777" w:rsidR="00FC1C5F" w:rsidRDefault="00727E32">
      <w:pPr>
        <w:pStyle w:val="H5"/>
      </w:pPr>
      <w:bookmarkStart w:id="532" w:name="_Toc390438973"/>
      <w:bookmarkStart w:id="533" w:name="_Toc405897671"/>
      <w:bookmarkStart w:id="534" w:name="_Toc415055775"/>
      <w:bookmarkStart w:id="535" w:name="_Toc415055901"/>
      <w:bookmarkStart w:id="536" w:name="_Toc415056000"/>
      <w:bookmarkStart w:id="537" w:name="_Toc415056101"/>
      <w:bookmarkStart w:id="538" w:name="_Toc184623041"/>
      <w:r>
        <w:t>16.11.4.6.2</w:t>
      </w:r>
      <w:r>
        <w:tab/>
        <w:t>Credit Requirements for DAM Participation</w:t>
      </w:r>
      <w:bookmarkEnd w:id="532"/>
      <w:bookmarkEnd w:id="533"/>
      <w:bookmarkEnd w:id="534"/>
      <w:bookmarkEnd w:id="535"/>
      <w:bookmarkEnd w:id="536"/>
      <w:bookmarkEnd w:id="537"/>
      <w:bookmarkEnd w:id="538"/>
    </w:p>
    <w:p w14:paraId="7E36E9CB" w14:textId="77777777" w:rsidR="00FC1C5F" w:rsidRPr="00AA6D6D" w:rsidRDefault="00AA6D6D">
      <w:pPr>
        <w:autoSpaceDE w:val="0"/>
        <w:autoSpaceDN w:val="0"/>
        <w:adjustRightInd w:val="0"/>
        <w:spacing w:after="240"/>
        <w:ind w:left="720" w:hanging="720"/>
        <w:rPr>
          <w:color w:val="000000"/>
        </w:rPr>
      </w:pPr>
      <w:r w:rsidRPr="00DD1960">
        <w:rPr>
          <w:iCs/>
          <w:color w:val="000000"/>
        </w:rPr>
        <w:t>(1)</w:t>
      </w:r>
      <w:r w:rsidRPr="00DD1960">
        <w:rPr>
          <w:iCs/>
          <w:color w:val="000000"/>
        </w:rPr>
        <w:tab/>
      </w:r>
      <w:r w:rsidR="00C84EA9" w:rsidRPr="00D75412">
        <w:rPr>
          <w:iCs/>
          <w:color w:val="000000"/>
        </w:rPr>
        <w:t xml:space="preserve">ERCOT shall impose a credit limit </w:t>
      </w:r>
      <w:r w:rsidR="00C84EA9">
        <w:rPr>
          <w:iCs/>
          <w:color w:val="000000"/>
        </w:rPr>
        <w:t xml:space="preserve">of the ACLD </w:t>
      </w:r>
      <w:r w:rsidR="00C84EA9" w:rsidRPr="00D75412">
        <w:rPr>
          <w:iCs/>
          <w:color w:val="000000"/>
        </w:rPr>
        <w:t>on each Counter-Party participating in the DAM.</w:t>
      </w:r>
    </w:p>
    <w:p w14:paraId="1BB3FC6C" w14:textId="77777777" w:rsidR="00F56ABB" w:rsidRDefault="00727E32" w:rsidP="004C4936">
      <w:pPr>
        <w:autoSpaceDE w:val="0"/>
        <w:autoSpaceDN w:val="0"/>
        <w:adjustRightInd w:val="0"/>
        <w:spacing w:after="240"/>
        <w:ind w:left="720" w:hanging="720"/>
        <w:rPr>
          <w:color w:val="000000"/>
        </w:rPr>
      </w:pPr>
      <w:r>
        <w:rPr>
          <w:color w:val="000000"/>
        </w:rPr>
        <w:t>(2)</w:t>
      </w:r>
      <w:r>
        <w:rPr>
          <w:color w:val="000000"/>
        </w:rPr>
        <w:tab/>
        <w:t xml:space="preserve">ERCOT shall impose the credit limit for DAM participation calculated in </w:t>
      </w:r>
      <w:r w:rsidR="00D54104">
        <w:rPr>
          <w:color w:val="000000"/>
        </w:rPr>
        <w:t xml:space="preserve">paragraph </w:t>
      </w:r>
      <w:r>
        <w:rPr>
          <w:color w:val="000000"/>
        </w:rPr>
        <w:t>(1) above on the Counter-Party’s QSEs and all Subordinate QSEs combined participation in the DAM as described in Section 4.4.10, Credit Requirement for DAM Bids and Offers.</w:t>
      </w:r>
    </w:p>
    <w:p w14:paraId="62E78663" w14:textId="77777777" w:rsidR="00727575" w:rsidRDefault="00727575">
      <w:pPr>
        <w:autoSpaceDE w:val="0"/>
        <w:autoSpaceDN w:val="0"/>
        <w:adjustRightInd w:val="0"/>
        <w:spacing w:after="240"/>
        <w:ind w:left="720" w:hanging="720"/>
        <w:rPr>
          <w:color w:val="000000"/>
        </w:rPr>
      </w:pPr>
      <w:r>
        <w:rPr>
          <w:color w:val="000000"/>
        </w:rPr>
        <w:t>(3)</w:t>
      </w:r>
      <w:r>
        <w:rPr>
          <w:color w:val="000000"/>
        </w:rPr>
        <w:tab/>
        <w:t>A new credit limit will be sent to each Counter-Party participating in the DAM daily.</w:t>
      </w:r>
    </w:p>
    <w:p w14:paraId="671B64EC" w14:textId="77777777" w:rsidR="00FC1C5F" w:rsidRPr="00D63F95" w:rsidRDefault="00727E32" w:rsidP="004A233E">
      <w:pPr>
        <w:pStyle w:val="H4"/>
        <w:ind w:left="1267" w:hanging="1267"/>
        <w:rPr>
          <w:b/>
          <w:szCs w:val="24"/>
        </w:rPr>
      </w:pPr>
      <w:bookmarkStart w:id="539" w:name="_Toc191443421"/>
      <w:bookmarkStart w:id="540" w:name="_Toc390438974"/>
      <w:bookmarkStart w:id="541" w:name="_Toc405897672"/>
      <w:bookmarkStart w:id="542" w:name="_Toc415055776"/>
      <w:bookmarkStart w:id="543" w:name="_Toc415055902"/>
      <w:bookmarkStart w:id="544" w:name="_Toc415056001"/>
      <w:bookmarkStart w:id="545" w:name="_Toc415056102"/>
      <w:bookmarkStart w:id="546" w:name="_Toc184623042"/>
      <w:r w:rsidRPr="00D63F95">
        <w:rPr>
          <w:b/>
          <w:szCs w:val="24"/>
        </w:rPr>
        <w:t>16.11.4.7</w:t>
      </w:r>
      <w:r w:rsidRPr="00D63F95">
        <w:rPr>
          <w:b/>
          <w:szCs w:val="24"/>
        </w:rPr>
        <w:tab/>
      </w:r>
      <w:bookmarkEnd w:id="539"/>
      <w:r w:rsidRPr="00D63F95">
        <w:rPr>
          <w:b/>
          <w:szCs w:val="24"/>
        </w:rPr>
        <w:t>Credit Monitoring and Management Reports</w:t>
      </w:r>
      <w:bookmarkEnd w:id="540"/>
      <w:bookmarkEnd w:id="541"/>
      <w:bookmarkEnd w:id="542"/>
      <w:bookmarkEnd w:id="543"/>
      <w:bookmarkEnd w:id="544"/>
      <w:bookmarkEnd w:id="545"/>
      <w:bookmarkEnd w:id="546"/>
    </w:p>
    <w:p w14:paraId="20FB8D39" w14:textId="0D369B45" w:rsidR="005610DA" w:rsidRDefault="005610DA" w:rsidP="005610DA">
      <w:pPr>
        <w:autoSpaceDE w:val="0"/>
        <w:autoSpaceDN w:val="0"/>
        <w:adjustRightInd w:val="0"/>
        <w:spacing w:after="240"/>
        <w:ind w:left="720" w:hanging="720"/>
        <w:rPr>
          <w:szCs w:val="24"/>
        </w:rPr>
      </w:pPr>
      <w:bookmarkStart w:id="547" w:name="_Toc390438975"/>
      <w:bookmarkStart w:id="548" w:name="_Toc405897673"/>
      <w:bookmarkStart w:id="549" w:name="_Toc415055777"/>
      <w:bookmarkStart w:id="550" w:name="_Toc415055903"/>
      <w:bookmarkStart w:id="551" w:name="_Toc415056002"/>
      <w:bookmarkStart w:id="552" w:name="_Toc415056103"/>
      <w:r>
        <w:rPr>
          <w:szCs w:val="24"/>
        </w:rPr>
        <w:t>(1)</w:t>
      </w:r>
      <w:r>
        <w:rPr>
          <w:szCs w:val="24"/>
        </w:rPr>
        <w:tab/>
      </w:r>
      <w:r>
        <w:rPr>
          <w:color w:val="000000"/>
        </w:rPr>
        <w:t>ERCOT</w:t>
      </w:r>
      <w:r>
        <w:rPr>
          <w:szCs w:val="24"/>
        </w:rPr>
        <w:t xml:space="preserve"> shall post twice each Business Day on the Market Information System (MIS) Certified Area each active Counter-Party’s credit monitoring and management related reports as listed below.  The first posting shall be made by 1200 and the second posting shall be made as close as reasonably possible to the close of the Business Day but no later than 2350.  </w:t>
      </w:r>
      <w:r w:rsidRPr="00CB72C4">
        <w:t xml:space="preserve">The reports listed in </w:t>
      </w:r>
      <w:r>
        <w:t xml:space="preserve">items </w:t>
      </w:r>
      <w:r w:rsidRPr="00CB72C4">
        <w:t>(</w:t>
      </w:r>
      <w:r>
        <w:t>f</w:t>
      </w:r>
      <w:r w:rsidRPr="00CB72C4">
        <w:t>)</w:t>
      </w:r>
      <w:r>
        <w:t xml:space="preserve"> and</w:t>
      </w:r>
      <w:r w:rsidRPr="00CB72C4">
        <w:t xml:space="preserve"> (</w:t>
      </w:r>
      <w:r>
        <w:t>g</w:t>
      </w:r>
      <w:r w:rsidRPr="00CB72C4">
        <w:t>)</w:t>
      </w:r>
      <w:r>
        <w:t xml:space="preserve"> below</w:t>
      </w:r>
      <w:r w:rsidRPr="00CB72C4">
        <w:t xml:space="preserve"> are not required to be included in both first and second posting if the Counter-Party has no active CRR ownership.</w:t>
      </w:r>
      <w:r w:rsidRPr="00C24D19">
        <w:t xml:space="preserve"> The reports listed in </w:t>
      </w:r>
      <w:r>
        <w:t xml:space="preserve">items </w:t>
      </w:r>
      <w:r w:rsidRPr="00C24D19">
        <w:t xml:space="preserve">(c), (d), (e), (f), </w:t>
      </w:r>
      <w:r>
        <w:t xml:space="preserve">and </w:t>
      </w:r>
      <w:r w:rsidRPr="00C24D19">
        <w:t>(g) below are not required to be included in the second post if there are no changes to the underlying data.</w:t>
      </w:r>
      <w:r>
        <w:rPr>
          <w:szCs w:val="24"/>
        </w:rPr>
        <w:t xml:space="preserve">  ERCOT shall post one set of these reports on the MIS Certified Area on each non-Business Day for which an ACL is sent.</w:t>
      </w:r>
    </w:p>
    <w:p w14:paraId="6D65953A" w14:textId="77777777" w:rsidR="005610DA" w:rsidRDefault="005610DA" w:rsidP="005610DA">
      <w:pPr>
        <w:pStyle w:val="BodyText"/>
        <w:ind w:left="1440" w:hanging="720"/>
      </w:pPr>
      <w:r>
        <w:rPr>
          <w:bCs/>
        </w:rPr>
        <w:t>(a)</w:t>
      </w:r>
      <w:r>
        <w:rPr>
          <w:bCs/>
        </w:rPr>
        <w:tab/>
        <w:t>Available Credit Limit (ACL) Summary Report;</w:t>
      </w:r>
    </w:p>
    <w:p w14:paraId="6D1AC3E2" w14:textId="77777777" w:rsidR="005610DA" w:rsidRDefault="005610DA" w:rsidP="005610DA">
      <w:pPr>
        <w:pStyle w:val="BodyText"/>
        <w:ind w:left="1440" w:hanging="720"/>
        <w:rPr>
          <w:bCs/>
        </w:rPr>
      </w:pPr>
      <w:r>
        <w:t>(b)</w:t>
      </w:r>
      <w:r>
        <w:tab/>
        <w:t>Total</w:t>
      </w:r>
      <w:r>
        <w:rPr>
          <w:bCs/>
        </w:rPr>
        <w:t xml:space="preserve"> Potential Exposure (TPE) Summary Report;</w:t>
      </w:r>
    </w:p>
    <w:p w14:paraId="36D9B202" w14:textId="77777777" w:rsidR="005610DA" w:rsidRDefault="005610DA" w:rsidP="005610DA">
      <w:pPr>
        <w:pStyle w:val="BodyText"/>
        <w:ind w:left="1440" w:hanging="720"/>
      </w:pPr>
      <w:r>
        <w:rPr>
          <w:bCs/>
        </w:rPr>
        <w:t>(c)</w:t>
      </w:r>
      <w:r>
        <w:rPr>
          <w:bCs/>
        </w:rPr>
        <w:tab/>
        <w:t>Minimum Current Exposure (MCE) Summary Report;</w:t>
      </w:r>
    </w:p>
    <w:p w14:paraId="588EC8C6" w14:textId="77777777" w:rsidR="005610DA" w:rsidRDefault="005610DA" w:rsidP="005610DA">
      <w:pPr>
        <w:pStyle w:val="BodyText"/>
        <w:ind w:left="1440" w:hanging="720"/>
      </w:pPr>
      <w:r>
        <w:t>(d)</w:t>
      </w:r>
      <w:r>
        <w:tab/>
        <w:t>Estimate Aggregate Liability (EAL) Summary Report;</w:t>
      </w:r>
    </w:p>
    <w:p w14:paraId="78B929CB" w14:textId="77777777" w:rsidR="005610DA" w:rsidRDefault="005610DA" w:rsidP="005610DA">
      <w:pPr>
        <w:pStyle w:val="BodyText"/>
        <w:ind w:left="1440" w:hanging="720"/>
      </w:pPr>
      <w:r>
        <w:lastRenderedPageBreak/>
        <w:t>(e)</w:t>
      </w:r>
      <w:r>
        <w:tab/>
        <w:t>Estimated Aggregate Liability (EAL) Detail Report;</w:t>
      </w:r>
    </w:p>
    <w:p w14:paraId="3C0F8279" w14:textId="77777777" w:rsidR="00B8113A" w:rsidRDefault="00B8113A" w:rsidP="00B8113A">
      <w:pPr>
        <w:pStyle w:val="BodyText"/>
        <w:ind w:left="1440" w:hanging="720"/>
      </w:pPr>
      <w:r>
        <w:t>(f)</w:t>
      </w:r>
      <w:r>
        <w:tab/>
        <w:t>Future Credit Exposure for CRR PTP Obligations (FCEOBL) Summary Report; and</w:t>
      </w:r>
    </w:p>
    <w:p w14:paraId="3A0D31AD" w14:textId="77777777" w:rsidR="00B8113A" w:rsidRDefault="00B8113A" w:rsidP="00B8113A">
      <w:pPr>
        <w:pStyle w:val="BodyText"/>
        <w:ind w:left="1440" w:hanging="720"/>
      </w:pPr>
      <w:r>
        <w:t>(g)</w:t>
      </w:r>
      <w:r>
        <w:tab/>
        <w:t>Future Credit Exposure for CRR PTP Options (FCEOPT) Summary Report.</w:t>
      </w: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60"/>
      </w:tblGrid>
      <w:tr w:rsidR="00B8113A" w:rsidRPr="00ED3498" w14:paraId="7C356D6E" w14:textId="77777777" w:rsidTr="008115B2">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27378BE5" w14:textId="77777777" w:rsidR="00B8113A" w:rsidRPr="00ED3498" w:rsidRDefault="00B8113A" w:rsidP="00080AA8">
            <w:pPr>
              <w:spacing w:before="120" w:after="240"/>
              <w:rPr>
                <w:b/>
                <w:i/>
              </w:rPr>
            </w:pPr>
            <w:r w:rsidRPr="00ED3498">
              <w:rPr>
                <w:b/>
                <w:i/>
                <w:iCs/>
              </w:rPr>
              <w:t>[NPRR</w:t>
            </w:r>
            <w:r>
              <w:rPr>
                <w:b/>
                <w:i/>
                <w:iCs/>
              </w:rPr>
              <w:t>1103</w:t>
            </w:r>
            <w:r w:rsidRPr="00ED3498">
              <w:rPr>
                <w:b/>
                <w:i/>
                <w:iCs/>
              </w:rPr>
              <w:t xml:space="preserve">:  Insert item (h) below upon system implementation:] </w:t>
            </w:r>
          </w:p>
          <w:p w14:paraId="18FEA610" w14:textId="77777777" w:rsidR="00B8113A" w:rsidRPr="00ED3498" w:rsidRDefault="00B8113A" w:rsidP="00080AA8">
            <w:pPr>
              <w:spacing w:after="240"/>
              <w:ind w:left="1440" w:hanging="720"/>
            </w:pPr>
            <w:r w:rsidRPr="00ED3498">
              <w:t>(h)</w:t>
            </w:r>
            <w:r w:rsidRPr="00ED3498">
              <w:tab/>
              <w:t>Securitization Credit Exposure Report.</w:t>
            </w:r>
          </w:p>
        </w:tc>
      </w:tr>
    </w:tbl>
    <w:p w14:paraId="753F6417" w14:textId="77777777" w:rsidR="00B87B1F" w:rsidRPr="002A0C70" w:rsidRDefault="00B87B1F" w:rsidP="00B87B1F">
      <w:pPr>
        <w:autoSpaceDE w:val="0"/>
        <w:autoSpaceDN w:val="0"/>
        <w:adjustRightInd w:val="0"/>
        <w:spacing w:before="240" w:after="240"/>
        <w:ind w:left="720" w:hanging="720"/>
        <w:rPr>
          <w:bCs/>
          <w:snapToGrid w:val="0"/>
        </w:rPr>
      </w:pPr>
      <w:r w:rsidRPr="002A0C70">
        <w:rPr>
          <w:bCs/>
          <w:snapToGrid w:val="0"/>
        </w:rPr>
        <w:t>(2)</w:t>
      </w:r>
      <w:r w:rsidRPr="002A0C70">
        <w:rPr>
          <w:bCs/>
          <w:snapToGrid w:val="0"/>
        </w:rPr>
        <w:tab/>
        <w:t xml:space="preserve">ERCOT shall post, no later than </w:t>
      </w:r>
      <w:r>
        <w:rPr>
          <w:bCs/>
          <w:snapToGrid w:val="0"/>
        </w:rPr>
        <w:t xml:space="preserve">the </w:t>
      </w:r>
      <w:r w:rsidRPr="002A0C70">
        <w:rPr>
          <w:bCs/>
          <w:snapToGrid w:val="0"/>
        </w:rPr>
        <w:t>15</w:t>
      </w:r>
      <w:r w:rsidRPr="00694D6B">
        <w:rPr>
          <w:bCs/>
          <w:snapToGrid w:val="0"/>
        </w:rPr>
        <w:t>th</w:t>
      </w:r>
      <w:r>
        <w:rPr>
          <w:bCs/>
          <w:snapToGrid w:val="0"/>
        </w:rPr>
        <w:t xml:space="preserve"> Bank Business</w:t>
      </w:r>
      <w:r w:rsidRPr="002A0C70">
        <w:rPr>
          <w:bCs/>
          <w:snapToGrid w:val="0"/>
        </w:rPr>
        <w:t xml:space="preserve"> </w:t>
      </w:r>
      <w:r>
        <w:rPr>
          <w:bCs/>
          <w:snapToGrid w:val="0"/>
        </w:rPr>
        <w:t>D</w:t>
      </w:r>
      <w:r w:rsidRPr="002A0C70">
        <w:rPr>
          <w:bCs/>
          <w:snapToGrid w:val="0"/>
        </w:rPr>
        <w:t>ay of each</w:t>
      </w:r>
      <w:r>
        <w:rPr>
          <w:bCs/>
          <w:snapToGrid w:val="0"/>
        </w:rPr>
        <w:t xml:space="preserve"> month</w:t>
      </w:r>
      <w:r w:rsidRPr="002A0C70">
        <w:rPr>
          <w:bCs/>
          <w:snapToGrid w:val="0"/>
        </w:rPr>
        <w:t xml:space="preserve">, the following </w:t>
      </w:r>
      <w:r w:rsidRPr="002A0C70">
        <w:t>reports</w:t>
      </w:r>
      <w:r w:rsidRPr="002A0C70">
        <w:rPr>
          <w:bCs/>
          <w:snapToGrid w:val="0"/>
        </w:rPr>
        <w:t xml:space="preserve"> on the MIS Certified Area for each active Counter-Party:</w:t>
      </w:r>
    </w:p>
    <w:p w14:paraId="1BEFBF4B" w14:textId="77777777" w:rsidR="00B87B1F" w:rsidRPr="002A0C70" w:rsidRDefault="00B87B1F" w:rsidP="00B87B1F">
      <w:pPr>
        <w:spacing w:after="240"/>
        <w:ind w:left="1440" w:hanging="720"/>
      </w:pPr>
      <w:r w:rsidRPr="002A0C70">
        <w:t>(a)</w:t>
      </w:r>
      <w:r w:rsidRPr="002A0C70">
        <w:tab/>
        <w:t>Monthly Collateral and Interest Report; and</w:t>
      </w:r>
    </w:p>
    <w:p w14:paraId="275C68A8" w14:textId="578A5A50" w:rsidR="008115B2" w:rsidRDefault="00B87B1F" w:rsidP="00B87B1F">
      <w:pPr>
        <w:spacing w:after="240"/>
        <w:ind w:left="1440" w:hanging="720"/>
      </w:pPr>
      <w:r w:rsidRPr="002A0C70">
        <w:t>(b)</w:t>
      </w:r>
      <w:r w:rsidRPr="002A0C70">
        <w:tab/>
        <w:t>Annual Collateral and Interest Report.</w:t>
      </w:r>
    </w:p>
    <w:p w14:paraId="6F76BA13" w14:textId="690043F9" w:rsidR="008115B2" w:rsidRDefault="00B8113A" w:rsidP="000C1414">
      <w:pPr>
        <w:autoSpaceDE w:val="0"/>
        <w:autoSpaceDN w:val="0"/>
        <w:adjustRightInd w:val="0"/>
        <w:spacing w:after="240"/>
        <w:ind w:left="720" w:hanging="720"/>
      </w:pPr>
      <w:r>
        <w:t>(</w:t>
      </w:r>
      <w:r w:rsidR="00B87B1F">
        <w:t>3</w:t>
      </w:r>
      <w:r>
        <w:t>)</w:t>
      </w:r>
      <w:r>
        <w:tab/>
      </w:r>
      <w:r w:rsidR="00B87B1F" w:rsidRPr="002A0C70">
        <w:t>The reports listed in paragraph</w:t>
      </w:r>
      <w:r w:rsidR="00B87B1F">
        <w:t>s</w:t>
      </w:r>
      <w:r w:rsidR="00B87B1F" w:rsidRPr="002A0C70">
        <w:t xml:space="preserve"> (1)</w:t>
      </w:r>
      <w:r w:rsidR="00B87B1F">
        <w:t xml:space="preserve"> and (2)</w:t>
      </w:r>
      <w:r w:rsidR="00B87B1F" w:rsidRPr="002A0C70">
        <w:t xml:space="preserve"> above </w:t>
      </w:r>
      <w:r w:rsidR="00B87B1F">
        <w:t>shall</w:t>
      </w:r>
      <w:r w:rsidR="00B87B1F" w:rsidRPr="002A0C70">
        <w:t xml:space="preserve"> be posted to the MIS Certified Area in Portable Document File (PDF) format and Microsoft Excel (XLS) format.  There shall be a provision to “open”, “save” and “print” each report.</w:t>
      </w:r>
    </w:p>
    <w:p w14:paraId="5309A2BC" w14:textId="77777777" w:rsidR="00FC1C5F" w:rsidRDefault="00727E32" w:rsidP="000C1414">
      <w:pPr>
        <w:pStyle w:val="H3"/>
        <w:ind w:left="0" w:firstLine="0"/>
      </w:pPr>
      <w:bookmarkStart w:id="553" w:name="_Toc184623043"/>
      <w:r>
        <w:t>16.11.5</w:t>
      </w:r>
      <w:r>
        <w:tab/>
        <w:t>Monitoring of a Counter-Party’s Creditworthiness and Credit Exposure by ERCOT</w:t>
      </w:r>
      <w:bookmarkEnd w:id="547"/>
      <w:bookmarkEnd w:id="548"/>
      <w:bookmarkEnd w:id="549"/>
      <w:bookmarkEnd w:id="550"/>
      <w:bookmarkEnd w:id="551"/>
      <w:bookmarkEnd w:id="552"/>
      <w:bookmarkEnd w:id="553"/>
    </w:p>
    <w:p w14:paraId="48209DC4" w14:textId="77777777" w:rsidR="00B55C27" w:rsidRPr="00723BC4" w:rsidRDefault="00B55C27" w:rsidP="00B55C27">
      <w:pPr>
        <w:spacing w:after="240"/>
        <w:ind w:left="720" w:hanging="720"/>
        <w:rPr>
          <w:iCs/>
        </w:rPr>
      </w:pPr>
      <w:r w:rsidRPr="00723BC4">
        <w:rPr>
          <w:iCs/>
        </w:rPr>
        <w:t>(1)</w:t>
      </w:r>
      <w:r w:rsidRPr="00723BC4">
        <w:rPr>
          <w:iCs/>
        </w:rPr>
        <w:tab/>
        <w:t xml:space="preserve">ERCOT shall monitor the creditworthiness and credit exposure of each Counter-Party.  To enable ERCOT to monitor creditworthiness, each Counter-Party shall provide to ERCOT:  </w:t>
      </w:r>
    </w:p>
    <w:p w14:paraId="26514078" w14:textId="77777777" w:rsidR="00B55C27" w:rsidRPr="00723BC4" w:rsidRDefault="00B55C27" w:rsidP="00B55C27">
      <w:pPr>
        <w:spacing w:after="240"/>
        <w:ind w:left="1440" w:hanging="720"/>
      </w:pPr>
      <w:r w:rsidRPr="00723BC4">
        <w:t>(a)</w:t>
      </w:r>
      <w:r w:rsidRPr="00723BC4">
        <w:tab/>
        <w:t xml:space="preserve">Its own or its Ultimate Parent’s quarterly (semi-annually, if the Ultimate Parent is foreign and rated by a rating agency acceptable to ERCOT) unaudited financial statements not later than 60 days (90 days if the Ultimate Parent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16231463" w14:textId="77777777" w:rsidR="00B55C27" w:rsidRPr="00723BC4" w:rsidRDefault="00B55C27" w:rsidP="00B55C27">
      <w:pPr>
        <w:spacing w:after="240"/>
        <w:ind w:left="1440" w:hanging="720"/>
      </w:pPr>
      <w:r w:rsidRPr="00723BC4">
        <w:t>(b)</w:t>
      </w:r>
      <w:r w:rsidRPr="00723BC4">
        <w:tab/>
        <w:t>Its own or its Ultimate Parent’s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U.S. Generally Accepted Accounting Principles (GAAP) or Financial Reporting Standards (IFRS).</w:t>
      </w:r>
    </w:p>
    <w:p w14:paraId="5AD1D6CE" w14:textId="77777777" w:rsidR="00B55C27" w:rsidRPr="00723BC4" w:rsidRDefault="00B55C27" w:rsidP="00B55C27">
      <w:pPr>
        <w:spacing w:after="240"/>
        <w:ind w:left="1440" w:hanging="720"/>
      </w:pPr>
      <w:r w:rsidRPr="00723BC4">
        <w:lastRenderedPageBreak/>
        <w:t>(c)</w:t>
      </w:r>
      <w:r w:rsidRPr="00723BC4">
        <w:tab/>
        <w:t xml:space="preserve">For paragraphs (a) and (b) above, financial statements shall include the Counter-Party’s or its Ultimate Parent’s:  </w:t>
      </w:r>
    </w:p>
    <w:p w14:paraId="3F2A898F" w14:textId="77777777" w:rsidR="00B55C27" w:rsidRPr="00723BC4" w:rsidRDefault="00B55C27" w:rsidP="00B55C27">
      <w:pPr>
        <w:spacing w:after="240"/>
        <w:ind w:left="2160" w:hanging="720"/>
      </w:pPr>
      <w:r w:rsidRPr="00723BC4">
        <w:t>(i)</w:t>
      </w:r>
      <w:r w:rsidRPr="00723BC4">
        <w:tab/>
        <w:t xml:space="preserve">Statement of Financial Position (balance sheet) as of the applicable quarterly or annual ending date; </w:t>
      </w:r>
    </w:p>
    <w:p w14:paraId="5DEBFBEE" w14:textId="77777777" w:rsidR="00B55C27" w:rsidRPr="00723BC4" w:rsidRDefault="00B55C27" w:rsidP="00B55C27">
      <w:pPr>
        <w:spacing w:after="240"/>
        <w:ind w:left="2160" w:hanging="720"/>
      </w:pPr>
      <w:r w:rsidRPr="00723BC4">
        <w:t>(ii)</w:t>
      </w:r>
      <w:r w:rsidRPr="00723BC4">
        <w:tab/>
        <w:t xml:space="preserve">Statement of Income (or Profit and Loss); and </w:t>
      </w:r>
    </w:p>
    <w:p w14:paraId="412CB027" w14:textId="77777777" w:rsidR="00B55C27" w:rsidRPr="00723BC4" w:rsidRDefault="00B55C27" w:rsidP="00B55C27">
      <w:pPr>
        <w:spacing w:after="240"/>
        <w:ind w:left="2160" w:hanging="720"/>
      </w:pPr>
      <w:r w:rsidRPr="00723BC4">
        <w:t>(iii)</w:t>
      </w:r>
      <w:r w:rsidRPr="00723BC4">
        <w:tab/>
        <w:t>Statement of Cash Flows.</w:t>
      </w:r>
    </w:p>
    <w:p w14:paraId="2082B087" w14:textId="77777777" w:rsidR="00B55C27" w:rsidRDefault="00B55C27" w:rsidP="00D9080F">
      <w:pPr>
        <w:spacing w:after="240"/>
        <w:ind w:left="1440" w:hanging="720"/>
        <w:rPr>
          <w:iCs/>
        </w:rPr>
      </w:pPr>
      <w:r w:rsidRPr="00723BC4">
        <w:t>(d)</w:t>
      </w:r>
      <w:r w:rsidRPr="00723BC4">
        <w:tab/>
        <w:t>Notice of a material change.  A Counter-Party shall inform ERCOT within one Business Day if it has experienced a material change in its operations, financial condition or prospects that might adversely affect the Counter-Party.</w:t>
      </w:r>
    </w:p>
    <w:p w14:paraId="0DC3F752" w14:textId="25B63946" w:rsidR="005C04D0" w:rsidRPr="0013104B" w:rsidRDefault="005C04D0" w:rsidP="00D9080F">
      <w:pPr>
        <w:spacing w:after="240"/>
        <w:ind w:left="720" w:hanging="720"/>
        <w:rPr>
          <w:szCs w:val="24"/>
        </w:rPr>
      </w:pPr>
      <w:r w:rsidRPr="0013104B">
        <w:rPr>
          <w:szCs w:val="24"/>
        </w:rPr>
        <w:t>(2)</w:t>
      </w:r>
      <w:r w:rsidRPr="0013104B">
        <w:rPr>
          <w:szCs w:val="24"/>
        </w:rPr>
        <w:tab/>
        <w:t>A Counter-Party is responsible at all times for maintaining:</w:t>
      </w:r>
    </w:p>
    <w:p w14:paraId="31F3C89A" w14:textId="12C3B606" w:rsidR="005C04D0" w:rsidRPr="0013104B" w:rsidRDefault="005C04D0" w:rsidP="005C04D0">
      <w:pPr>
        <w:spacing w:after="240"/>
        <w:ind w:left="1440" w:hanging="720"/>
        <w:rPr>
          <w:szCs w:val="24"/>
        </w:rPr>
      </w:pPr>
      <w:r w:rsidRPr="0013104B">
        <w:rPr>
          <w:szCs w:val="24"/>
        </w:rPr>
        <w:t>(a)</w:t>
      </w:r>
      <w:r w:rsidRPr="0013104B">
        <w:rPr>
          <w:szCs w:val="24"/>
        </w:rPr>
        <w:tab/>
        <w:t>Financial Security in an amount equal to or greater than that Counter-Party’s</w:t>
      </w:r>
      <w:r w:rsidR="00373358">
        <w:rPr>
          <w:szCs w:val="24"/>
        </w:rPr>
        <w:t>:</w:t>
      </w:r>
    </w:p>
    <w:p w14:paraId="70637E2E" w14:textId="77777777" w:rsidR="005C04D0" w:rsidRPr="0013104B" w:rsidRDefault="005C04D0" w:rsidP="005C04D0">
      <w:pPr>
        <w:spacing w:after="240"/>
        <w:ind w:left="1440"/>
        <w:rPr>
          <w:szCs w:val="24"/>
        </w:rPr>
      </w:pPr>
      <w:r w:rsidRPr="0013104B">
        <w:rPr>
          <w:szCs w:val="24"/>
        </w:rPr>
        <w:t>(i)</w:t>
      </w:r>
      <w:r w:rsidRPr="0013104B">
        <w:rPr>
          <w:szCs w:val="24"/>
        </w:rPr>
        <w:tab/>
        <w:t>TPES; plus</w:t>
      </w:r>
    </w:p>
    <w:p w14:paraId="33EC9A6E" w14:textId="77777777" w:rsidR="005C04D0" w:rsidRPr="0013104B" w:rsidRDefault="005C04D0" w:rsidP="005C04D0">
      <w:pPr>
        <w:spacing w:after="240"/>
        <w:ind w:left="720" w:firstLine="720"/>
        <w:rPr>
          <w:szCs w:val="24"/>
        </w:rPr>
      </w:pPr>
      <w:r w:rsidRPr="0013104B">
        <w:rPr>
          <w:szCs w:val="24"/>
        </w:rPr>
        <w:t>(ii)</w:t>
      </w:r>
      <w:r w:rsidRPr="0013104B">
        <w:rPr>
          <w:szCs w:val="24"/>
        </w:rPr>
        <w:tab/>
        <w:t>Net Positive Exposure of approved CRR Bilateral Trades; plus</w:t>
      </w:r>
    </w:p>
    <w:p w14:paraId="16ED4136" w14:textId="77777777" w:rsidR="005C04D0" w:rsidRPr="0013104B" w:rsidRDefault="005C04D0" w:rsidP="005C04D0">
      <w:pPr>
        <w:spacing w:after="240"/>
        <w:ind w:left="2160" w:hanging="720"/>
        <w:rPr>
          <w:szCs w:val="24"/>
        </w:rPr>
      </w:pPr>
      <w:r w:rsidRPr="0013104B">
        <w:rPr>
          <w:szCs w:val="24"/>
        </w:rPr>
        <w:t>(iii)</w:t>
      </w:r>
      <w:r w:rsidRPr="0013104B">
        <w:rPr>
          <w:szCs w:val="24"/>
        </w:rPr>
        <w:tab/>
        <w:t>ACL locked for CRR Auction, if any; and</w:t>
      </w:r>
    </w:p>
    <w:p w14:paraId="26EB6087" w14:textId="77777777" w:rsidR="005C04D0" w:rsidRPr="0013104B" w:rsidRDefault="005C04D0" w:rsidP="005C04D0">
      <w:pPr>
        <w:spacing w:after="240"/>
        <w:ind w:left="1440" w:hanging="720"/>
        <w:rPr>
          <w:szCs w:val="24"/>
        </w:rPr>
      </w:pPr>
      <w:r w:rsidRPr="0013104B">
        <w:rPr>
          <w:szCs w:val="24"/>
        </w:rPr>
        <w:t>(b)</w:t>
      </w:r>
      <w:r w:rsidRPr="0013104B">
        <w:rPr>
          <w:szCs w:val="24"/>
        </w:rPr>
        <w:tab/>
        <w:t>Remainder Collateral in an amount equal to or greater than that Counter-Party’s TPEA.</w:t>
      </w:r>
    </w:p>
    <w:p w14:paraId="2EE2DF74" w14:textId="77777777" w:rsidR="005C04D0" w:rsidRPr="0013104B" w:rsidRDefault="005C04D0" w:rsidP="005C04D0">
      <w:pPr>
        <w:spacing w:after="240"/>
        <w:ind w:left="720" w:hanging="720"/>
        <w:rPr>
          <w:szCs w:val="24"/>
        </w:rPr>
      </w:pPr>
      <w:r w:rsidRPr="0013104B">
        <w:rPr>
          <w:szCs w:val="24"/>
        </w:rPr>
        <w:t>(3)</w:t>
      </w:r>
      <w:r w:rsidRPr="0013104B">
        <w:rPr>
          <w:szCs w:val="24"/>
        </w:rPr>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50A338C3" w14:textId="77777777" w:rsidR="005C04D0" w:rsidRPr="0013104B" w:rsidRDefault="005C04D0" w:rsidP="005C04D0">
      <w:pPr>
        <w:spacing w:after="240"/>
        <w:ind w:left="720" w:hanging="720"/>
        <w:rPr>
          <w:szCs w:val="24"/>
        </w:rPr>
      </w:pPr>
      <w:r w:rsidRPr="0013104B">
        <w:rPr>
          <w:szCs w:val="24"/>
        </w:rPr>
        <w:t>(4)</w:t>
      </w:r>
      <w:r w:rsidRPr="0013104B">
        <w:rPr>
          <w:szCs w:val="24"/>
        </w:rP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20C55F97" w14:textId="77777777" w:rsidR="005C04D0" w:rsidRPr="0013104B" w:rsidRDefault="005C04D0" w:rsidP="005C04D0">
      <w:pPr>
        <w:spacing w:after="240"/>
        <w:ind w:left="720" w:hanging="720"/>
        <w:rPr>
          <w:szCs w:val="24"/>
        </w:rPr>
      </w:pPr>
      <w:r w:rsidRPr="0013104B">
        <w:rPr>
          <w:szCs w:val="24"/>
        </w:rPr>
        <w:t>(5)</w:t>
      </w:r>
      <w:r w:rsidRPr="0013104B">
        <w:rPr>
          <w:szCs w:val="24"/>
        </w:rPr>
        <w:tab/>
        <w:t>ERCOT may suspend a Counter-Party when:</w:t>
      </w:r>
    </w:p>
    <w:p w14:paraId="4EF0FA06" w14:textId="77777777" w:rsidR="005C04D0" w:rsidRPr="0013104B" w:rsidRDefault="005C04D0" w:rsidP="005C04D0">
      <w:pPr>
        <w:spacing w:after="240"/>
        <w:ind w:left="1440" w:hanging="720"/>
        <w:rPr>
          <w:szCs w:val="24"/>
        </w:rPr>
      </w:pPr>
      <w:r w:rsidRPr="0013104B">
        <w:rPr>
          <w:szCs w:val="24"/>
        </w:rPr>
        <w:t>(a)</w:t>
      </w:r>
      <w:r w:rsidRPr="0013104B">
        <w:rPr>
          <w:szCs w:val="24"/>
        </w:rPr>
        <w:tab/>
        <w:t>That Counter-Party’s TPES as defined in Section 16.11.4, equals or exceeds 100% of its Financial Security; or</w:t>
      </w:r>
    </w:p>
    <w:p w14:paraId="0DB48DAD" w14:textId="77777777" w:rsidR="005C04D0" w:rsidRPr="0013104B" w:rsidRDefault="005C04D0" w:rsidP="005C04D0">
      <w:pPr>
        <w:spacing w:after="240"/>
        <w:ind w:left="1440" w:hanging="720"/>
        <w:rPr>
          <w:szCs w:val="24"/>
        </w:rPr>
      </w:pPr>
      <w:r w:rsidRPr="0013104B">
        <w:rPr>
          <w:szCs w:val="24"/>
        </w:rPr>
        <w:t>(b)</w:t>
      </w:r>
      <w:r w:rsidRPr="0013104B">
        <w:rPr>
          <w:szCs w:val="24"/>
        </w:rPr>
        <w:tab/>
        <w:t xml:space="preserve">That Counter-Party’s TPEA as defined in Section 16.11.4 equals or exceeds 100% of its Remainder Collateral. </w:t>
      </w:r>
    </w:p>
    <w:p w14:paraId="62ABE2FD" w14:textId="77777777" w:rsidR="005C04D0" w:rsidRPr="0013104B" w:rsidRDefault="005C04D0" w:rsidP="005C04D0">
      <w:pPr>
        <w:spacing w:after="240"/>
        <w:ind w:left="720"/>
        <w:rPr>
          <w:szCs w:val="24"/>
        </w:rPr>
      </w:pPr>
      <w:r w:rsidRPr="0013104B">
        <w:rPr>
          <w:szCs w:val="24"/>
        </w:rPr>
        <w:t xml:space="preserve">The Counter-Party is responsible at all times for managing its activity within both its TPEA and its TPES or increasing its Financial Security to avoid reaching its limits.  Any </w:t>
      </w:r>
      <w:r w:rsidRPr="0013104B">
        <w:rPr>
          <w:szCs w:val="24"/>
        </w:rPr>
        <w:lastRenderedPageBreak/>
        <w:t xml:space="preserve">failure by ERCOT to send a Notice as set forth in this Section does not relieve the Counter-Party from the obligation to maintain appropriate Financial Security in amounts equal to or greater than that Counter-Party’s TPES and TPEA as defined in Section 16.11.4. </w:t>
      </w:r>
    </w:p>
    <w:p w14:paraId="772FE623" w14:textId="77777777" w:rsidR="005C04D0" w:rsidRPr="0013104B" w:rsidRDefault="005C04D0" w:rsidP="005C04D0">
      <w:pPr>
        <w:spacing w:after="240"/>
        <w:ind w:left="720" w:hanging="720"/>
        <w:rPr>
          <w:szCs w:val="24"/>
        </w:rPr>
      </w:pPr>
      <w:r w:rsidRPr="0013104B">
        <w:rPr>
          <w:szCs w:val="24"/>
        </w:rPr>
        <w:t>(6)</w:t>
      </w:r>
      <w:r w:rsidRPr="0013104B">
        <w:rPr>
          <w:szCs w:val="24"/>
        </w:rPr>
        <w:tab/>
        <w:t>To the extent that a Counter-Party fails to maintain Financial Security in amounts equal to or greater than its TPES or Remainder Collateral in amounts equal to or greater than its TPEA, each as defined in Section 16.11.4:</w:t>
      </w:r>
    </w:p>
    <w:p w14:paraId="039CD1F1" w14:textId="77777777" w:rsidR="005C04D0" w:rsidRPr="0013104B" w:rsidRDefault="005C04D0" w:rsidP="005C04D0">
      <w:pPr>
        <w:spacing w:after="240"/>
        <w:ind w:left="1440" w:hanging="720"/>
      </w:pPr>
      <w:r w:rsidRPr="0013104B">
        <w:t>(a)</w:t>
      </w:r>
      <w:r w:rsidRPr="0013104B">
        <w:tab/>
        <w:t xml:space="preserve">ERCOT shall promptly notify the Counter-Party of the amount by which its Financial Security must be increased and allow it: </w:t>
      </w:r>
    </w:p>
    <w:p w14:paraId="322EBC87" w14:textId="77777777" w:rsidR="005C04D0" w:rsidRPr="0013104B" w:rsidRDefault="005C04D0" w:rsidP="005C04D0">
      <w:pPr>
        <w:spacing w:after="240"/>
        <w:ind w:left="2160" w:hanging="720"/>
      </w:pPr>
      <w:r w:rsidRPr="0013104B">
        <w:t>(i)</w:t>
      </w:r>
      <w:r w:rsidRPr="0013104B">
        <w:tab/>
        <w:t xml:space="preserve">Until 1500 on the second Bank Business Day from the date on which ERCOT delivered the Notice to increase its Financial Security if ERCOT delivered its Notice before 1500; or </w:t>
      </w:r>
    </w:p>
    <w:p w14:paraId="460366CD" w14:textId="77777777" w:rsidR="005C04D0" w:rsidRPr="0013104B" w:rsidRDefault="005C04D0" w:rsidP="005C04D0">
      <w:pPr>
        <w:spacing w:after="240"/>
        <w:ind w:left="2160" w:hanging="720"/>
      </w:pPr>
      <w:r w:rsidRPr="0013104B">
        <w:t>(ii)</w:t>
      </w:r>
      <w:r w:rsidRPr="0013104B">
        <w:tab/>
        <w:t xml:space="preserve">Until 1700 on the second Bank Business Day from the date on which ERCOT delivered Notification to increase its Financial Security if ERCOT delivered its Notice after 1500 but prior to 1700.  </w:t>
      </w:r>
    </w:p>
    <w:p w14:paraId="0B8BA58F" w14:textId="77777777" w:rsidR="005C04D0" w:rsidRPr="0013104B" w:rsidRDefault="005C04D0" w:rsidP="00373358">
      <w:pPr>
        <w:spacing w:after="240"/>
        <w:ind w:left="1440"/>
      </w:pPr>
      <w:r w:rsidRPr="0013104B">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075B25AF" w14:textId="77777777" w:rsidR="005C04D0" w:rsidRPr="0013104B" w:rsidRDefault="005C04D0" w:rsidP="005C04D0">
      <w:pPr>
        <w:spacing w:after="240"/>
        <w:ind w:left="1440" w:hanging="720"/>
      </w:pPr>
      <w:r w:rsidRPr="0013104B">
        <w:t>(b)</w:t>
      </w:r>
      <w:r w:rsidRPr="0013104B">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EC17008" w14:textId="77777777" w:rsidR="005C04D0" w:rsidRPr="0013104B" w:rsidRDefault="005C04D0" w:rsidP="005C04D0">
      <w:pPr>
        <w:spacing w:after="240"/>
        <w:ind w:left="1440" w:hanging="720"/>
      </w:pPr>
      <w:r w:rsidRPr="0013104B">
        <w:t>(c)</w:t>
      </w:r>
      <w:r w:rsidRPr="0013104B">
        <w:tab/>
        <w:t xml:space="preserve">ERCOT is not required to make any payment to that Counter-Party unless and until the Counter-Party increases its Financial Security.  The payments that ERCOT will not make to a Counter-Party include Invoice receipts, CRR revenues, </w:t>
      </w:r>
      <w:smartTag w:uri="urn:schemas-microsoft-com:office:smarttags" w:element="stockticker">
        <w:r w:rsidRPr="0013104B">
          <w:t>CRR</w:t>
        </w:r>
      </w:smartTag>
      <w:r w:rsidRPr="0013104B">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6DF3CB5B" w14:textId="77777777" w:rsidR="005C04D0" w:rsidRPr="0013104B" w:rsidRDefault="005C04D0" w:rsidP="005C04D0">
      <w:pPr>
        <w:spacing w:after="240"/>
        <w:ind w:left="1440" w:hanging="720"/>
      </w:pPr>
      <w:r w:rsidRPr="0013104B">
        <w:t>(d)</w:t>
      </w:r>
      <w:r w:rsidRPr="0013104B">
        <w:tab/>
        <w:t>ERCOT may reject any bids or offers in a CRR Auction from the Counter-Party until it has increased its Financial Security.  ERCOT may reject any bids or offers from the Counter-Party in the DAM until it has increased its Financial Security.</w:t>
      </w:r>
    </w:p>
    <w:p w14:paraId="3CCD43D7" w14:textId="77777777" w:rsidR="005C04D0" w:rsidRPr="0013104B" w:rsidRDefault="005C04D0" w:rsidP="005C04D0">
      <w:pPr>
        <w:spacing w:after="240"/>
        <w:ind w:left="720" w:hanging="720"/>
      </w:pPr>
      <w:r w:rsidRPr="0013104B">
        <w:t>(7)</w:t>
      </w:r>
      <w:r w:rsidRPr="0013104B">
        <w:tab/>
        <w:t>If a Counter-Party increases its Financial Security as required by ERCOT by the deadline in paragraph (6)(a) above, then ERCOT may notify each LSE and Resource represented by the Counter-Party.</w:t>
      </w:r>
    </w:p>
    <w:p w14:paraId="19ADD099" w14:textId="77777777" w:rsidR="005C04D0" w:rsidRDefault="005C04D0" w:rsidP="005C04D0">
      <w:pPr>
        <w:pStyle w:val="BodyTextNumbered"/>
      </w:pPr>
      <w:r w:rsidRPr="0013104B">
        <w:lastRenderedPageBreak/>
        <w:t>(8)</w:t>
      </w:r>
      <w:r w:rsidRPr="0013104B">
        <w:tab/>
        <w:t>If a Counter-Party increases its Financial Security as required by ERCOT by the deadline in paragraph (6)(a) above, then ERCOT shall release any payments held.</w:t>
      </w:r>
    </w:p>
    <w:p w14:paraId="1C32E8C1" w14:textId="77777777" w:rsidR="00F56ABB" w:rsidRDefault="00727E32" w:rsidP="00FB1643">
      <w:pPr>
        <w:pStyle w:val="H3"/>
      </w:pPr>
      <w:bookmarkStart w:id="554" w:name="_Toc390438976"/>
      <w:bookmarkStart w:id="555" w:name="_Toc405897674"/>
      <w:bookmarkStart w:id="556" w:name="_Toc415055778"/>
      <w:bookmarkStart w:id="557" w:name="_Toc415055904"/>
      <w:bookmarkStart w:id="558" w:name="_Toc415056003"/>
      <w:bookmarkStart w:id="559" w:name="_Toc415056104"/>
      <w:bookmarkStart w:id="560" w:name="_Toc184623044"/>
      <w:r>
        <w:t>16.11.6</w:t>
      </w:r>
      <w:r>
        <w:tab/>
        <w:t>Payment Breach and Late Payments by Market Participants</w:t>
      </w:r>
      <w:bookmarkEnd w:id="554"/>
      <w:bookmarkEnd w:id="555"/>
      <w:bookmarkEnd w:id="556"/>
      <w:bookmarkEnd w:id="557"/>
      <w:bookmarkEnd w:id="558"/>
      <w:bookmarkEnd w:id="559"/>
      <w:bookmarkEnd w:id="560"/>
    </w:p>
    <w:p w14:paraId="6817ED95" w14:textId="3F7C5DD6" w:rsidR="00FC1C5F" w:rsidRDefault="00727E32">
      <w:pPr>
        <w:pStyle w:val="BodyTextNumbered"/>
      </w:pPr>
      <w:r>
        <w:t>(1)</w:t>
      </w:r>
      <w:r>
        <w:tab/>
        <w:t xml:space="preserve">It is the sole responsibility of each Market Participant to ensure that the full amounts due to ERCOT, or its designee, if applicable, by that Market Participant, </w:t>
      </w:r>
      <w:r w:rsidR="002F409F">
        <w:t>are</w:t>
      </w:r>
      <w:r>
        <w:t xml:space="preserve"> paid to ERCOT by </w:t>
      </w:r>
      <w:r w:rsidR="002F409F">
        <w:t>the applicable time and date specified in the Protocols.  If no time is specified in the Protocols for a particular type of payment, then payment must be made by the close of the Bank Business Day on which payment is due</w:t>
      </w:r>
      <w:r>
        <w:t xml:space="preserve">. </w:t>
      </w:r>
    </w:p>
    <w:p w14:paraId="7902532E" w14:textId="2128BDD6" w:rsidR="00FC1C5F" w:rsidRDefault="00727E32">
      <w:pPr>
        <w:pStyle w:val="BodyTextNumbered"/>
      </w:pPr>
      <w:r>
        <w:t>(2)</w:t>
      </w:r>
      <w:r>
        <w:tab/>
        <w:t xml:space="preserve">If a Market Participant </w:t>
      </w:r>
      <w:r>
        <w:rPr>
          <w:color w:val="000000"/>
        </w:rPr>
        <w:t xml:space="preserve">receives separate Invoices for Subordinate QSE or various </w:t>
      </w:r>
      <w:smartTag w:uri="urn:schemas-microsoft-com:office:smarttags" w:element="stockticker">
        <w:r>
          <w:rPr>
            <w:color w:val="000000"/>
          </w:rPr>
          <w:t>CRR</w:t>
        </w:r>
      </w:smartTag>
      <w:r>
        <w:rPr>
          <w:color w:val="000000"/>
        </w:rPr>
        <w:t xml:space="preserve"> Account Holder activity,</w:t>
      </w:r>
      <w:r>
        <w:t xml:space="preserve"> netting by the Market Participant of the amounts due to ERCOT with amounts due to the Market Participant among those Invoices for payment purposes is not permitted.  The amounts due to ERCOT on the separate Invoices for each Market Participant must be paid by the </w:t>
      </w:r>
      <w:r w:rsidR="002F409F">
        <w:t>applicable time and date specified in the Protocols</w:t>
      </w:r>
      <w:r>
        <w:t>.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693DF4AF" w14:textId="07A1BD55" w:rsidR="00FC1C5F" w:rsidRDefault="00727E32">
      <w:pPr>
        <w:pStyle w:val="BodyTextNumbered"/>
      </w:pPr>
      <w:r>
        <w:t>(3)</w:t>
      </w:r>
      <w:r>
        <w:tab/>
      </w:r>
      <w:r w:rsidR="006B2812" w:rsidRPr="007F3EB6">
        <w:t xml:space="preserve">The failure of a Market Participant to pay when due any payment or Financial Security obligation owed to ERCOT or its designee, if applicable, under any </w:t>
      </w:r>
      <w:r w:rsidR="002F409F">
        <w:t>A</w:t>
      </w:r>
      <w:r w:rsidR="006B2812" w:rsidRPr="007F3EB6">
        <w:t xml:space="preserve">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ERCOT is a Default under all other agreements between ERCOT and the Market Participant unless cured within one Bank Business Day after ERCOT delivers to the Market Participant written notice of the Payment Breach.  </w:t>
      </w:r>
    </w:p>
    <w:p w14:paraId="08E0C9D9" w14:textId="6BBE7AC4" w:rsidR="00FC1C5F" w:rsidRDefault="00727E32" w:rsidP="00FC544E">
      <w:pPr>
        <w:pStyle w:val="BodyTextNumbered"/>
      </w:pPr>
      <w:r>
        <w:t>(4)</w:t>
      </w:r>
      <w:r>
        <w:tab/>
      </w:r>
      <w:r w:rsidR="006B2812" w:rsidRPr="007F3EB6">
        <w:t xml:space="preserve">Upon a Payment Breach, ERCOT shall immediately attempt to contact the Market Participant’s Authorized Representative and/or Credit Contact </w:t>
      </w:r>
      <w:r w:rsidR="002F409F">
        <w:t>named in the Counter-Party Credit Application</w:t>
      </w:r>
      <w:r w:rsidR="002F409F" w:rsidRPr="007F3EB6">
        <w:t xml:space="preserve"> </w:t>
      </w:r>
      <w:r w:rsidR="006B2812" w:rsidRPr="007F3EB6">
        <w:t xml:space="preserve">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16.11.6.1, ERCOT’s Remedies, in addition to any other rights or remedies ERCOT has under any agreement, these Protocols or at common law.  </w:t>
      </w:r>
    </w:p>
    <w:p w14:paraId="441E35F5" w14:textId="65859C21" w:rsidR="002F409F" w:rsidRDefault="006B2812" w:rsidP="002F409F">
      <w:pPr>
        <w:pStyle w:val="BodyTextNumbered"/>
      </w:pPr>
      <w:bookmarkStart w:id="561" w:name="_Toc415055779"/>
      <w:bookmarkStart w:id="562" w:name="_Toc415055905"/>
      <w:bookmarkStart w:id="563" w:name="_Toc415056004"/>
      <w:bookmarkStart w:id="564" w:name="_Toc390438977"/>
      <w:bookmarkStart w:id="565" w:name="_Toc405897675"/>
      <w:r w:rsidRPr="000B62BB">
        <w:t>(5)</w:t>
      </w:r>
      <w:r w:rsidRPr="000B62BB">
        <w:tab/>
        <w:t xml:space="preserve">If a Market Participant makes a payment </w:t>
      </w:r>
      <w:r w:rsidR="002F409F">
        <w:t>(</w:t>
      </w:r>
      <w:r w:rsidRPr="000B62BB">
        <w:t>or a partial payment</w:t>
      </w:r>
      <w:r w:rsidR="002F409F">
        <w:t>,</w:t>
      </w:r>
      <w:r w:rsidRPr="000B62BB">
        <w:t xml:space="preserve"> </w:t>
      </w:r>
      <w:r w:rsidR="002F409F">
        <w:t>if</w:t>
      </w:r>
      <w:r w:rsidRPr="000B62BB">
        <w:t xml:space="preserve"> allowed by these Protocols</w:t>
      </w:r>
      <w:r w:rsidR="002F409F">
        <w:t>)</w:t>
      </w:r>
      <w:r w:rsidRPr="000B62BB">
        <w:t xml:space="preserve"> or </w:t>
      </w:r>
      <w:r w:rsidR="002F409F">
        <w:t xml:space="preserve">satisfies </w:t>
      </w:r>
      <w:r w:rsidRPr="000B62BB">
        <w:t xml:space="preserve">a collateral call to ERCOT after the </w:t>
      </w:r>
      <w:r w:rsidR="002F409F">
        <w:t xml:space="preserve">required </w:t>
      </w:r>
      <w:r w:rsidRPr="000B62BB">
        <w:t xml:space="preserve">due date and time, or if a short-paid Invoice is settled by a draw on available security greater than the amount of Market Participant’s cash collateral held in excess of that required </w:t>
      </w:r>
      <w:r w:rsidRPr="00B7034E">
        <w:t xml:space="preserve">to cover its TPE (“Excess Collateral”), then that payment </w:t>
      </w:r>
      <w:r w:rsidR="002F409F">
        <w:t>will be deemed</w:t>
      </w:r>
      <w:r w:rsidRPr="00B7034E">
        <w:t xml:space="preserve"> a “Late Payment.”  </w:t>
      </w:r>
    </w:p>
    <w:p w14:paraId="6586710E" w14:textId="5608C122" w:rsidR="002F409F" w:rsidRDefault="002F409F" w:rsidP="002F409F">
      <w:pPr>
        <w:pStyle w:val="BodyTextNumbered"/>
      </w:pPr>
      <w:r>
        <w:lastRenderedPageBreak/>
        <w:t>(6)</w:t>
      </w:r>
      <w:r>
        <w:tab/>
        <w:t>For purposes of assessing if a payment is a Late Payment, the time of receipt of a payment will be determined as follows:</w:t>
      </w:r>
    </w:p>
    <w:p w14:paraId="71AC1474" w14:textId="77777777" w:rsidR="002F409F" w:rsidRDefault="002F409F" w:rsidP="002F409F">
      <w:pPr>
        <w:pStyle w:val="BodyTextNumbered"/>
        <w:ind w:left="1440"/>
      </w:pPr>
      <w:r>
        <w:t>(a)</w:t>
      </w:r>
      <w:r>
        <w:tab/>
        <w:t>For cash payments, the timestamp for when funds are credited to ERCOT’s bank account, or;</w:t>
      </w:r>
    </w:p>
    <w:p w14:paraId="71999555" w14:textId="77777777" w:rsidR="002F409F" w:rsidRDefault="002F409F" w:rsidP="002F409F">
      <w:pPr>
        <w:pStyle w:val="BodyTextNumbered"/>
        <w:ind w:left="1440"/>
      </w:pPr>
      <w:r>
        <w:t>(b)</w:t>
      </w:r>
      <w:r>
        <w:tab/>
        <w:t>For non-cash Financial Security,</w:t>
      </w:r>
    </w:p>
    <w:p w14:paraId="2C02CD00" w14:textId="77777777" w:rsidR="002F409F" w:rsidRDefault="002F409F" w:rsidP="002F409F">
      <w:pPr>
        <w:pStyle w:val="BodyTextNumbered"/>
        <w:ind w:left="2160"/>
      </w:pPr>
      <w:r>
        <w:t>(i)</w:t>
      </w:r>
      <w:r>
        <w:tab/>
        <w:t>The timestamp of the email or facsimile, if the required documentation is delivered to ERCOT by email or facsimile, or;</w:t>
      </w:r>
    </w:p>
    <w:p w14:paraId="027F3ADE" w14:textId="77777777" w:rsidR="002F409F" w:rsidRDefault="002F409F" w:rsidP="002F409F">
      <w:pPr>
        <w:pStyle w:val="BodyTextNumbered"/>
        <w:ind w:left="2160"/>
      </w:pPr>
      <w:r>
        <w:t>(ii)</w:t>
      </w:r>
      <w:r>
        <w:tab/>
        <w:t xml:space="preserve">The timestamp of the delivery receipt, if the required documentation is mailed or physically delivered to ERCOT. </w:t>
      </w:r>
    </w:p>
    <w:p w14:paraId="0E9C5419" w14:textId="77944193" w:rsidR="002F409F" w:rsidRDefault="002F409F" w:rsidP="002F409F">
      <w:pPr>
        <w:pStyle w:val="BodyTextNumbered"/>
      </w:pPr>
      <w:r>
        <w:t>(7)</w:t>
      </w:r>
      <w:r>
        <w:tab/>
      </w:r>
      <w:r w:rsidR="006B2812" w:rsidRPr="00B7034E">
        <w:t xml:space="preserve">ERCOT may, in its sole discretion, and upon a Market Participant’s showing that the failure to pay when due was not within the control of the Market Participant, </w:t>
      </w:r>
      <w:r>
        <w:t>deem that a failure to pay when due was neither a</w:t>
      </w:r>
      <w:r w:rsidR="006B2812" w:rsidRPr="00B7034E">
        <w:t xml:space="preserve"> Payment Breach </w:t>
      </w:r>
      <w:r>
        <w:t>nor</w:t>
      </w:r>
      <w:r w:rsidR="006B2812" w:rsidRPr="00B7034E">
        <w:t xml:space="preserve"> a Late Payment.  </w:t>
      </w:r>
    </w:p>
    <w:p w14:paraId="32AC4F5E" w14:textId="736733FA" w:rsidR="00130D6C" w:rsidRPr="00B7034E" w:rsidRDefault="002F409F" w:rsidP="002F409F">
      <w:pPr>
        <w:pStyle w:val="BodyTextNumbered"/>
      </w:pPr>
      <w:r>
        <w:t>(8)</w:t>
      </w:r>
      <w:r>
        <w:tab/>
      </w:r>
      <w:r w:rsidR="006B2812" w:rsidRPr="00B7034E">
        <w:t>ERCOT shall track the number of Late Payments received from each Market Participant in each rolling 12-month period for purposes of imposing the Late Payment remedies set forth in Section 16.11.6.2</w:t>
      </w:r>
      <w:r w:rsidR="00FC544E" w:rsidRPr="00B7034E">
        <w:t>, ERCOT’s Remedies for Late Payments by a Market Participant</w:t>
      </w:r>
      <w:r w:rsidR="006B2812" w:rsidRPr="00B7034E">
        <w:t>.</w:t>
      </w:r>
      <w:bookmarkEnd w:id="561"/>
      <w:bookmarkEnd w:id="562"/>
      <w:bookmarkEnd w:id="563"/>
    </w:p>
    <w:p w14:paraId="4267E51F" w14:textId="77777777" w:rsidR="00FC1C5F" w:rsidRPr="00D63F95" w:rsidRDefault="00727E32" w:rsidP="0078184C">
      <w:pPr>
        <w:pStyle w:val="H4"/>
        <w:rPr>
          <w:b/>
        </w:rPr>
      </w:pPr>
      <w:bookmarkStart w:id="566" w:name="_Toc415055780"/>
      <w:bookmarkStart w:id="567" w:name="_Toc415055906"/>
      <w:bookmarkStart w:id="568" w:name="_Toc415056005"/>
      <w:bookmarkStart w:id="569" w:name="_Toc415056105"/>
      <w:bookmarkStart w:id="570" w:name="_Toc184623045"/>
      <w:r w:rsidRPr="00D63F95">
        <w:rPr>
          <w:b/>
        </w:rPr>
        <w:t>16.11.6.1</w:t>
      </w:r>
      <w:r w:rsidRPr="00D63F95">
        <w:rPr>
          <w:b/>
        </w:rPr>
        <w:tab/>
        <w:t>ERCOT’s Remedies</w:t>
      </w:r>
      <w:bookmarkEnd w:id="564"/>
      <w:bookmarkEnd w:id="565"/>
      <w:bookmarkEnd w:id="566"/>
      <w:bookmarkEnd w:id="567"/>
      <w:bookmarkEnd w:id="568"/>
      <w:bookmarkEnd w:id="569"/>
      <w:bookmarkEnd w:id="570"/>
      <w:r w:rsidRPr="00D63F95">
        <w:rPr>
          <w:b/>
        </w:rPr>
        <w:t xml:space="preserve"> </w:t>
      </w:r>
    </w:p>
    <w:p w14:paraId="26CDB798" w14:textId="77777777" w:rsidR="00FC1C5F" w:rsidRDefault="00853D39" w:rsidP="003E09AF">
      <w:pPr>
        <w:pStyle w:val="BodyText"/>
        <w:ind w:left="720" w:hanging="720"/>
      </w:pPr>
      <w:r>
        <w:t>(1)</w:t>
      </w:r>
      <w:r>
        <w:tab/>
      </w:r>
      <w:r w:rsidR="006B2812">
        <w:t>In addition to all other remedies that ERCOT has under any agreement, common law or these Protocols, for Payment Breaches or other Defaults by a Market Participant, ERCOT has the following additional remedies.</w:t>
      </w:r>
    </w:p>
    <w:p w14:paraId="3D091A2F" w14:textId="77777777" w:rsidR="00FC1C5F" w:rsidRDefault="00727E32">
      <w:pPr>
        <w:pStyle w:val="H5"/>
      </w:pPr>
      <w:bookmarkStart w:id="571" w:name="_Toc390438978"/>
      <w:bookmarkStart w:id="572" w:name="_Toc405897677"/>
      <w:bookmarkStart w:id="573" w:name="_Toc415055781"/>
      <w:bookmarkStart w:id="574" w:name="_Toc415055907"/>
      <w:bookmarkStart w:id="575" w:name="_Toc415056006"/>
      <w:bookmarkStart w:id="576" w:name="_Toc415056106"/>
      <w:bookmarkStart w:id="577" w:name="_Toc184623046"/>
      <w:r>
        <w:t>16.11.6.1.1</w:t>
      </w:r>
      <w:r>
        <w:tab/>
        <w:t>No Payments by ERCOT to Market Participant</w:t>
      </w:r>
      <w:bookmarkEnd w:id="571"/>
      <w:bookmarkEnd w:id="572"/>
      <w:bookmarkEnd w:id="573"/>
      <w:bookmarkEnd w:id="574"/>
      <w:bookmarkEnd w:id="575"/>
      <w:bookmarkEnd w:id="576"/>
      <w:bookmarkEnd w:id="577"/>
    </w:p>
    <w:p w14:paraId="213E605B" w14:textId="77777777" w:rsidR="00FC1C5F" w:rsidRDefault="00853D39" w:rsidP="003E09AF">
      <w:pPr>
        <w:pStyle w:val="BodyText"/>
        <w:ind w:left="720" w:hanging="720"/>
      </w:pPr>
      <w:r>
        <w:t>(1)</w:t>
      </w:r>
      <w:r>
        <w:tab/>
      </w:r>
      <w:r w:rsidR="006B2812">
        <w:t>ERCOT is not required to make any payment to a Market Participant unless and until the Market Participant satisfies the Payment Breach by paying the past due amount in full, including amounts due under Section 16.11.6.1.3, Aggregate Amount Owed by Breaching Market Participant Immediately Due.  The payments that ERCOT will not make include Invoice receipts, CRR Auction revenues, CRR credits, reimbursements for short payments and any other reimbursements or credits under any and all other agreements between ERCOT and the Market Participant.  ERCOT shall retain all such amounts, and may apply all withheld funds toward the payment of the delinquent amount(s), until the Market Participant has fully paid all amounts owed to ERCOT under any agreements and these Protocols.  If the Market Participant should fail to pay the full amount due within the cure period, ERCOT may apply all funds it withheld toward the payment of the delinquent amount(s).</w:t>
      </w:r>
    </w:p>
    <w:p w14:paraId="71035062" w14:textId="77777777" w:rsidR="00FC1C5F" w:rsidRDefault="00727E32">
      <w:pPr>
        <w:pStyle w:val="H5"/>
      </w:pPr>
      <w:bookmarkStart w:id="578" w:name="_Toc390438979"/>
      <w:bookmarkStart w:id="579" w:name="_Toc405897679"/>
      <w:bookmarkStart w:id="580" w:name="_Toc415055782"/>
      <w:bookmarkStart w:id="581" w:name="_Toc415055908"/>
      <w:bookmarkStart w:id="582" w:name="_Toc415056007"/>
      <w:bookmarkStart w:id="583" w:name="_Toc415056107"/>
      <w:bookmarkStart w:id="584" w:name="_Toc184623047"/>
      <w:r>
        <w:lastRenderedPageBreak/>
        <w:t>16.11.6.1.2</w:t>
      </w:r>
      <w:r>
        <w:tab/>
        <w:t>ERCOT May Draw On, Hold or Distribute Funds</w:t>
      </w:r>
      <w:bookmarkEnd w:id="578"/>
      <w:bookmarkEnd w:id="579"/>
      <w:bookmarkEnd w:id="580"/>
      <w:bookmarkEnd w:id="581"/>
      <w:bookmarkEnd w:id="582"/>
      <w:bookmarkEnd w:id="583"/>
      <w:bookmarkEnd w:id="584"/>
    </w:p>
    <w:p w14:paraId="272FAAD3" w14:textId="77777777" w:rsidR="00FC1C5F" w:rsidRDefault="00853D39" w:rsidP="003E09AF">
      <w:pPr>
        <w:pStyle w:val="BodyText"/>
        <w:ind w:left="720" w:hanging="720"/>
      </w:pPr>
      <w:r>
        <w:t>(1)</w:t>
      </w:r>
      <w:r>
        <w:tab/>
      </w:r>
      <w:r w:rsidR="006B2812">
        <w:t xml:space="preserve">Upon a Payment </w:t>
      </w:r>
      <w:r w:rsidR="006B2812" w:rsidRPr="007F3EB6">
        <w:t>Breach, ERCOT, at its option, without notice to the Market Participant and in its sole discretion, may immediately, or at any time before the Market Participant pays the past due amount in full, including amounts due under Section 16.11.6.1.3, Aggregate Amount Owed by Breaching Market Participant Immediately Due, draw on, hold or distribute to other Market Participants any Financial Security or other funds of the Market Participant in ERCOT’s possession.  If the funds drawn exceed the amount applied to any Payment Breach, then ERCOT may hold those funds as Financial Security.</w:t>
      </w:r>
    </w:p>
    <w:p w14:paraId="6AB937CB" w14:textId="77777777" w:rsidR="00FC1C5F" w:rsidRDefault="00727E32">
      <w:pPr>
        <w:pStyle w:val="H5"/>
      </w:pPr>
      <w:bookmarkStart w:id="585" w:name="_Toc390438980"/>
      <w:bookmarkStart w:id="586" w:name="_Toc405897681"/>
      <w:bookmarkStart w:id="587" w:name="_Toc415055783"/>
      <w:bookmarkStart w:id="588" w:name="_Toc415055909"/>
      <w:bookmarkStart w:id="589" w:name="_Toc415056008"/>
      <w:bookmarkStart w:id="590" w:name="_Toc415056108"/>
      <w:bookmarkStart w:id="591" w:name="_Toc184623048"/>
      <w:r>
        <w:t>16.11.6.1.3</w:t>
      </w:r>
      <w:r>
        <w:tab/>
        <w:t>Aggregate Amount Owed by Breaching Market Participant Immediately Due</w:t>
      </w:r>
      <w:bookmarkEnd w:id="585"/>
      <w:bookmarkEnd w:id="586"/>
      <w:bookmarkEnd w:id="587"/>
      <w:bookmarkEnd w:id="588"/>
      <w:bookmarkEnd w:id="589"/>
      <w:bookmarkEnd w:id="590"/>
      <w:bookmarkEnd w:id="591"/>
    </w:p>
    <w:p w14:paraId="5E9E4A19" w14:textId="77777777" w:rsidR="00FC1C5F" w:rsidRDefault="00853D39" w:rsidP="003E09AF">
      <w:pPr>
        <w:pStyle w:val="BodyText"/>
        <w:ind w:left="720" w:hanging="720"/>
      </w:pPr>
      <w:r>
        <w:t>(1)</w:t>
      </w:r>
      <w:r>
        <w:tab/>
      </w:r>
      <w:r w:rsidR="006B2812" w:rsidRPr="007F3EB6">
        <w:t>ERCOT shall aggregate all amounts due it by the Market Participant under any agreement with ERCOT and these Protocols into a single amount to the fullest extent allowed by law.  The entire unpaid net balance owed to ERCOT by the Market Participant, at ERCOT’s option, and its sole discretion, is immediately due and payable without further notice and demand for payment.  Any such notice and demand for payment are expressly waived by the Market Participant.</w:t>
      </w:r>
    </w:p>
    <w:p w14:paraId="798D9BBD" w14:textId="77777777" w:rsidR="00FC1C5F" w:rsidRDefault="00727E32">
      <w:pPr>
        <w:pStyle w:val="H5"/>
      </w:pPr>
      <w:bookmarkStart w:id="592" w:name="_Toc390438981"/>
      <w:bookmarkStart w:id="593" w:name="_Toc405897683"/>
      <w:bookmarkStart w:id="594" w:name="_Toc415055784"/>
      <w:bookmarkStart w:id="595" w:name="_Toc415055910"/>
      <w:bookmarkStart w:id="596" w:name="_Toc415056009"/>
      <w:bookmarkStart w:id="597" w:name="_Toc415056109"/>
      <w:bookmarkStart w:id="598" w:name="_Toc184623049"/>
      <w:r>
        <w:t>16.11.6.1.4</w:t>
      </w:r>
      <w:r>
        <w:tab/>
        <w:t>Repossession of CRRs by ERCOT</w:t>
      </w:r>
      <w:bookmarkEnd w:id="592"/>
      <w:bookmarkEnd w:id="593"/>
      <w:bookmarkEnd w:id="594"/>
      <w:bookmarkEnd w:id="595"/>
      <w:bookmarkEnd w:id="596"/>
      <w:bookmarkEnd w:id="597"/>
      <w:bookmarkEnd w:id="598"/>
    </w:p>
    <w:p w14:paraId="7CD2B9E7" w14:textId="77777777" w:rsidR="004E603E" w:rsidRDefault="00853D39" w:rsidP="003E09AF">
      <w:pPr>
        <w:pStyle w:val="BodyText"/>
        <w:ind w:left="720" w:hanging="720"/>
      </w:pPr>
      <w:r>
        <w:t>(1)</w:t>
      </w:r>
      <w:r>
        <w:tab/>
      </w:r>
      <w:r w:rsidR="006B2812" w:rsidRPr="002D2785">
        <w:t>ERCOT, at its sole discretion, may repossess CRRs held by a Market Participant with a Payment Breach</w:t>
      </w:r>
      <w:r w:rsidR="00EF495A">
        <w:t xml:space="preserve"> or other Default</w:t>
      </w:r>
      <w:r w:rsidR="006B2812" w:rsidRPr="002D2785">
        <w:t xml:space="preserve">.  ERCOT shall effect that repossession by sending a written notice to the Market Participant of the repossession and by removing the CRRs from the Market Participant’s CRR account.  </w:t>
      </w:r>
      <w:r w:rsidR="00EF495A">
        <w:rPr>
          <w:iCs w:val="0"/>
        </w:rPr>
        <w:t xml:space="preserve">CRRs that settle in the same calendar month as the repossession but subsequent to the effective date of the repossession shall be voided.  The Market Participant will neither be charged, nor entitled to credit, for the voided CRRs in the DAM Settlement.  </w:t>
      </w:r>
      <w:r w:rsidR="006B2812" w:rsidRPr="002D2785">
        <w:t xml:space="preserve">ERCOT shall offer </w:t>
      </w:r>
      <w:r w:rsidR="00EF495A">
        <w:rPr>
          <w:iCs w:val="0"/>
        </w:rPr>
        <w:t>a portfolio of CRRs containing</w:t>
      </w:r>
      <w:r w:rsidR="00EF495A" w:rsidRPr="002D2785">
        <w:t xml:space="preserve"> </w:t>
      </w:r>
      <w:r w:rsidR="006B2812" w:rsidRPr="002D2785">
        <w:t>all of th</w:t>
      </w:r>
      <w:r w:rsidR="00EF495A">
        <w:t>e</w:t>
      </w:r>
      <w:r w:rsidR="006B2812" w:rsidRPr="002D2785">
        <w:t xml:space="preserve"> </w:t>
      </w:r>
      <w:r w:rsidR="00EF495A">
        <w:rPr>
          <w:iCs w:val="0"/>
        </w:rPr>
        <w:t>remaining unvoided</w:t>
      </w:r>
      <w:r w:rsidR="00EF495A" w:rsidRPr="002D2785">
        <w:t xml:space="preserve"> </w:t>
      </w:r>
      <w:r w:rsidR="006B2812" w:rsidRPr="002D2785">
        <w:t>repossessed CRRs, with each repossessed CRR in its existing configuration, in a one-time auction to Market Participants (other than the Market Participant(s) in Payment Breach</w:t>
      </w:r>
      <w:r w:rsidR="00EF495A" w:rsidRPr="00EF495A">
        <w:rPr>
          <w:iCs w:val="0"/>
        </w:rPr>
        <w:t xml:space="preserve"> </w:t>
      </w:r>
      <w:r w:rsidR="00EF495A">
        <w:rPr>
          <w:iCs w:val="0"/>
        </w:rPr>
        <w:t>or other Default</w:t>
      </w:r>
      <w:r w:rsidR="006B2812" w:rsidRPr="002D2785">
        <w:t>) for sale to the highest bidder</w:t>
      </w:r>
      <w:r w:rsidR="00EF495A" w:rsidRPr="00EF495A">
        <w:rPr>
          <w:iCs w:val="0"/>
        </w:rPr>
        <w:t xml:space="preserve"> </w:t>
      </w:r>
      <w:r w:rsidR="00EF495A">
        <w:rPr>
          <w:iCs w:val="0"/>
        </w:rPr>
        <w:t>with a positive bid price for the entire portfolio</w:t>
      </w:r>
      <w:r w:rsidR="006B2812" w:rsidRPr="002D2785">
        <w:t xml:space="preserve">.  </w:t>
      </w:r>
      <w:r w:rsidR="00EF495A">
        <w:rPr>
          <w:iCs w:val="0"/>
        </w:rPr>
        <w:t xml:space="preserve">PTP Options with Refund and PTP Obligations with Refund will be voided and will not be included in the portfolio of repossessed CRRs available in the one-time auction.  </w:t>
      </w:r>
      <w:r w:rsidR="006B2812" w:rsidRPr="002D2785">
        <w:t xml:space="preserve">ERCOT shall offset net revenues from that sale against amounts owed to ERCOT by the Market Participant.  </w:t>
      </w:r>
      <w:r w:rsidR="00EF495A">
        <w:t xml:space="preserve">If revenues from the sale exceed amounts owed to ERCOT then the excess shall be remitted to the Market Participant.  </w:t>
      </w:r>
      <w:r w:rsidR="006B2812" w:rsidRPr="002D2785">
        <w:t xml:space="preserve">If ERCOT receives no </w:t>
      </w:r>
      <w:r w:rsidR="00EF495A">
        <w:t xml:space="preserve">positive </w:t>
      </w:r>
      <w:r w:rsidR="006B2812" w:rsidRPr="002D2785">
        <w:t xml:space="preserve">bids for </w:t>
      </w:r>
      <w:r w:rsidR="00EF495A">
        <w:rPr>
          <w:iCs w:val="0"/>
        </w:rPr>
        <w:t xml:space="preserve">the portfolio of </w:t>
      </w:r>
      <w:r w:rsidR="006B2812" w:rsidRPr="002D2785">
        <w:t>CRR</w:t>
      </w:r>
      <w:r w:rsidR="00EF495A">
        <w:t>s</w:t>
      </w:r>
      <w:r w:rsidR="006B2812" w:rsidRPr="002D2785">
        <w:t xml:space="preserve"> in th</w:t>
      </w:r>
      <w:r w:rsidR="00EF495A">
        <w:t>e</w:t>
      </w:r>
      <w:r w:rsidR="006B2812" w:rsidRPr="002D2785">
        <w:t xml:space="preserve"> </w:t>
      </w:r>
      <w:r w:rsidR="00EF495A">
        <w:t xml:space="preserve">one-time </w:t>
      </w:r>
      <w:r w:rsidR="006B2812" w:rsidRPr="002D2785">
        <w:t xml:space="preserve">auction, ERCOT shall void </w:t>
      </w:r>
      <w:r w:rsidR="00EF495A">
        <w:rPr>
          <w:iCs w:val="0"/>
        </w:rPr>
        <w:t xml:space="preserve">all of </w:t>
      </w:r>
      <w:r w:rsidR="006B2812" w:rsidRPr="002D2785">
        <w:t xml:space="preserve">the </w:t>
      </w:r>
      <w:r w:rsidR="00EF495A">
        <w:rPr>
          <w:iCs w:val="0"/>
        </w:rPr>
        <w:t>repossessed</w:t>
      </w:r>
      <w:r w:rsidR="00EF495A" w:rsidRPr="002D2785">
        <w:t xml:space="preserve"> </w:t>
      </w:r>
      <w:r w:rsidR="006B2812" w:rsidRPr="002D2785">
        <w:t>CRR</w:t>
      </w:r>
      <w:r w:rsidR="00EF495A">
        <w:t>s</w:t>
      </w:r>
      <w:r w:rsidR="006B2812" w:rsidRPr="002D2785">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055D1F4" w14:textId="77777777" w:rsidTr="004E603E">
        <w:tc>
          <w:tcPr>
            <w:tcW w:w="9558" w:type="dxa"/>
            <w:shd w:val="pct12" w:color="auto" w:fill="auto"/>
          </w:tcPr>
          <w:p w14:paraId="3B32C8EE" w14:textId="07CE042D"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6532F99" w14:textId="11B9EB51" w:rsidR="004E603E" w:rsidRPr="008D69E1" w:rsidRDefault="004E603E" w:rsidP="004E603E">
            <w:pPr>
              <w:pStyle w:val="BodyText"/>
              <w:ind w:left="720" w:hanging="720"/>
            </w:pPr>
            <w:r>
              <w:t>(1)</w:t>
            </w:r>
            <w:r>
              <w:tab/>
            </w:r>
            <w:r w:rsidRPr="002D2785">
              <w:t xml:space="preserve">ERCOT, at its sole discretion, may repossess CRRs held by a Market Participant </w:t>
            </w:r>
            <w:r>
              <w:t>in</w:t>
            </w:r>
            <w:r w:rsidRPr="002D2785">
              <w:t xml:space="preserve"> </w:t>
            </w:r>
            <w:r>
              <w:t>Default under an Agreement with ERCOT</w:t>
            </w:r>
            <w:r w:rsidRPr="002D2785">
              <w:t xml:space="preserve">.  ERCOT shall effect that repossession by sending a written notice to the Market Participant of the repossession and by removing </w:t>
            </w:r>
            <w:r w:rsidRPr="002D2785">
              <w:lastRenderedPageBreak/>
              <w:t xml:space="preserve">the Market Participant’s </w:t>
            </w:r>
            <w:r>
              <w:t>access to the repossessed CRRs.</w:t>
            </w:r>
            <w:r w:rsidRPr="002D2785">
              <w:t xml:space="preserve">  </w:t>
            </w:r>
            <w:r>
              <w:t>The repossessed CRRs will be handled as specified in Section 16.11.6.1.6, Liquidation of Repossessed or Forfeited CRRs.</w:t>
            </w:r>
          </w:p>
        </w:tc>
      </w:tr>
    </w:tbl>
    <w:p w14:paraId="38377848" w14:textId="77777777" w:rsidR="00FC1C5F" w:rsidRDefault="00727E32" w:rsidP="00974AFC">
      <w:pPr>
        <w:pStyle w:val="H5"/>
        <w:spacing w:before="480"/>
      </w:pPr>
      <w:bookmarkStart w:id="599" w:name="_Toc390438982"/>
      <w:bookmarkStart w:id="600" w:name="_Toc405897685"/>
      <w:bookmarkStart w:id="601" w:name="_Toc415055785"/>
      <w:bookmarkStart w:id="602" w:name="_Toc415055911"/>
      <w:bookmarkStart w:id="603" w:name="_Toc415056010"/>
      <w:bookmarkStart w:id="604" w:name="_Toc415056110"/>
      <w:bookmarkStart w:id="605" w:name="_Toc184623050"/>
      <w:r>
        <w:lastRenderedPageBreak/>
        <w:t>16.11.6.1.5</w:t>
      </w:r>
      <w:r>
        <w:tab/>
        <w:t>Declaration of Forfeit of CRRs</w:t>
      </w:r>
      <w:bookmarkEnd w:id="599"/>
      <w:bookmarkEnd w:id="600"/>
      <w:bookmarkEnd w:id="601"/>
      <w:bookmarkEnd w:id="602"/>
      <w:bookmarkEnd w:id="603"/>
      <w:bookmarkEnd w:id="604"/>
      <w:bookmarkEnd w:id="605"/>
    </w:p>
    <w:p w14:paraId="4D2CE207" w14:textId="77777777" w:rsidR="004E603E" w:rsidRDefault="00727E32">
      <w:pPr>
        <w:pStyle w:val="BodyText"/>
        <w:ind w:left="720" w:hanging="720"/>
      </w:pPr>
      <w:r>
        <w:t>(1)</w:t>
      </w:r>
      <w:r>
        <w:tab/>
        <w:t xml:space="preserve">At ERCOT’s sole discretion, if it does not receive full payment on the due date of a CRR Auction Invoice,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of not delivering the CRRs or PCRRs to the </w:t>
      </w:r>
      <w:r>
        <w:rPr>
          <w:color w:val="000000"/>
        </w:rPr>
        <w:t>Market Participant</w:t>
      </w:r>
      <w:r>
        <w:t xml:space="preserve">’s CRR account.  ERCOT shall </w:t>
      </w:r>
      <w:r w:rsidR="00EF495A">
        <w:rPr>
          <w:iCs w:val="0"/>
        </w:rPr>
        <w:t xml:space="preserve">either (a) </w:t>
      </w:r>
      <w:r>
        <w:t xml:space="preserve">offer all forfeited CRRs, with each forfeited CRR in its existing configuration, in a one-time auction to Market Participants (other than the </w:t>
      </w:r>
      <w:r>
        <w:rPr>
          <w:color w:val="000000"/>
        </w:rPr>
        <w:t>Market Participant(s)</w:t>
      </w:r>
      <w:r>
        <w:t xml:space="preserve"> in Payment Breach</w:t>
      </w:r>
      <w:r w:rsidR="00EF495A">
        <w:rPr>
          <w:iCs w:val="0"/>
        </w:rPr>
        <w:t xml:space="preserve"> or other Default</w:t>
      </w:r>
      <w:r>
        <w:t xml:space="preserve">) for sale to the highest bidder </w:t>
      </w:r>
      <w:r w:rsidR="00EF495A">
        <w:rPr>
          <w:iCs w:val="0"/>
        </w:rPr>
        <w:t>with a positive bid price</w:t>
      </w:r>
      <w:r w:rsidR="00EF495A" w:rsidRPr="00646059">
        <w:rPr>
          <w:iCs w:val="0"/>
        </w:rPr>
        <w:t xml:space="preserve"> </w:t>
      </w:r>
      <w:r>
        <w:t xml:space="preserve">or </w:t>
      </w:r>
      <w:r w:rsidR="00EF495A">
        <w:t xml:space="preserve">(b) </w:t>
      </w:r>
      <w:r>
        <w:t xml:space="preserve">ERCOT shall make the related capacity available in subsequent CRR Auctions.  Revenue from that sale shall be considered as CRR Auction revenue and distributed to QSEs based on Load Ratio Share as specified in </w:t>
      </w:r>
      <w:bookmarkStart w:id="606" w:name="_Toc149469980"/>
      <w:r>
        <w:t xml:space="preserve">Section 7.5.7, Method for Distributing </w:t>
      </w:r>
      <w:smartTag w:uri="urn:schemas-microsoft-com:office:smarttags" w:element="stockticker">
        <w:r>
          <w:t>CRR</w:t>
        </w:r>
      </w:smartTag>
      <w:r>
        <w:t xml:space="preserve"> Auction Revenues</w:t>
      </w:r>
      <w:bookmarkEnd w:id="606"/>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2CFD33D" w14:textId="77777777" w:rsidTr="004E603E">
        <w:tc>
          <w:tcPr>
            <w:tcW w:w="9558" w:type="dxa"/>
            <w:shd w:val="pct12" w:color="auto" w:fill="auto"/>
          </w:tcPr>
          <w:p w14:paraId="4DE7FF68" w14:textId="77777777"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583E22F4" w14:textId="235890D4" w:rsidR="004E603E" w:rsidRPr="008D69E1" w:rsidRDefault="004E603E" w:rsidP="004E603E">
            <w:pPr>
              <w:pStyle w:val="BodyText"/>
              <w:ind w:left="720" w:hanging="720"/>
            </w:pPr>
            <w:r>
              <w:t>(1)</w:t>
            </w:r>
            <w:r>
              <w:tab/>
              <w:t xml:space="preserve">At ERCOT’s sole discretion, if it does not receive full payment on the due date of a CRR Auction Invoice, it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by not delivering the CRRs or PCRRs to the </w:t>
            </w:r>
            <w:r>
              <w:rPr>
                <w:color w:val="000000"/>
              </w:rPr>
              <w:t>Market Participant</w:t>
            </w:r>
            <w:r>
              <w:t>’s CRR account.  The forfeited CRRs or PCRRs will be liquidated as specified in Section 16.11.6.1.6, Liquidation of Repossessed or Forfeited CRRs.</w:t>
            </w:r>
          </w:p>
        </w:tc>
      </w:tr>
    </w:tbl>
    <w:p w14:paraId="13FB18FE" w14:textId="77777777" w:rsidR="00FC1C5F" w:rsidRDefault="00727E32" w:rsidP="00974AFC">
      <w:pPr>
        <w:pStyle w:val="BodyText"/>
        <w:spacing w:before="240"/>
        <w:ind w:left="720" w:hanging="720"/>
      </w:pPr>
      <w:r>
        <w:t>(2)</w:t>
      </w:r>
      <w:r>
        <w:tab/>
        <w:t xml:space="preserve">ERCOT may also, at its sole discretion, honor any of the offers from Market Participants that were cleared in the CRR Auction by removing the CRRs from the Market Participant’s CRR account.  ERCOT shall offset net revenues due to the Market Participant from CRRs offered and cleared against amounts owed to ERCOT by the </w:t>
      </w:r>
      <w:r>
        <w:rPr>
          <w:color w:val="000000"/>
        </w:rPr>
        <w:t>Market Participant</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D184061" w14:textId="77777777" w:rsidTr="004E603E">
        <w:tc>
          <w:tcPr>
            <w:tcW w:w="9558" w:type="dxa"/>
            <w:shd w:val="pct12" w:color="auto" w:fill="auto"/>
          </w:tcPr>
          <w:p w14:paraId="49139DB6" w14:textId="5699EA02" w:rsidR="004E603E" w:rsidRPr="0002450E" w:rsidRDefault="004E603E" w:rsidP="004E603E">
            <w:pPr>
              <w:pStyle w:val="Instructions"/>
              <w:spacing w:before="120"/>
              <w:rPr>
                <w:iCs/>
              </w:rPr>
            </w:pPr>
            <w:bookmarkStart w:id="607" w:name="_Toc390438983"/>
            <w:bookmarkStart w:id="608" w:name="_Toc405897686"/>
            <w:bookmarkStart w:id="609" w:name="_Toc415055786"/>
            <w:bookmarkStart w:id="610" w:name="_Toc415055912"/>
            <w:bookmarkStart w:id="611" w:name="_Toc415056011"/>
            <w:bookmarkStart w:id="612" w:name="_Toc415056111"/>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10963267" w14:textId="1C6316A1" w:rsidR="004E603E" w:rsidRPr="008D69E1" w:rsidRDefault="004E603E" w:rsidP="004E603E">
            <w:pPr>
              <w:pStyle w:val="BodyText"/>
              <w:ind w:left="720" w:hanging="720"/>
            </w:pPr>
            <w:r>
              <w:t>(2)</w:t>
            </w:r>
            <w:r>
              <w:tab/>
              <w:t xml:space="preserve">ERCOT may also, at its sole discretion, honor any of the sell offers that were cleared in the CRR Auction made by a Market Participant who fails to fully pay the CRR Auction Invoice when due.  ERCOT shall offset net revenues due to the Market </w:t>
            </w:r>
            <w:r>
              <w:lastRenderedPageBreak/>
              <w:t xml:space="preserve">Participant from CRRs offered and cleared against amounts owed to ERCOT by the </w:t>
            </w:r>
            <w:r>
              <w:rPr>
                <w:color w:val="000000"/>
              </w:rPr>
              <w:t>Market Participant</w:t>
            </w:r>
            <w:r>
              <w:t>.</w:t>
            </w:r>
          </w:p>
        </w:tc>
      </w:tr>
    </w:tbl>
    <w:p w14:paraId="566A6FBC" w14:textId="77777777" w:rsidR="004E603E" w:rsidRDefault="004E603E" w:rsidP="004E603E">
      <w:pPr>
        <w:pStyle w:val="H5"/>
        <w:spacing w:before="0" w:after="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35E4FEF6" w14:textId="77777777" w:rsidTr="004E603E">
        <w:tc>
          <w:tcPr>
            <w:tcW w:w="9558" w:type="dxa"/>
            <w:shd w:val="pct12" w:color="auto" w:fill="auto"/>
          </w:tcPr>
          <w:p w14:paraId="46676B98" w14:textId="605251F2" w:rsidR="004E603E" w:rsidRPr="0002450E" w:rsidRDefault="004E603E" w:rsidP="004E603E">
            <w:pPr>
              <w:pStyle w:val="Instructions"/>
              <w:spacing w:before="120"/>
              <w:rPr>
                <w:iCs/>
              </w:rPr>
            </w:pPr>
            <w:r>
              <w:rPr>
                <w:iCs/>
              </w:rPr>
              <w:t>[NPRR1023</w:t>
            </w:r>
            <w:r w:rsidRPr="0002450E">
              <w:rPr>
                <w:iCs/>
              </w:rPr>
              <w:t xml:space="preserve">:  </w:t>
            </w:r>
            <w:r>
              <w:rPr>
                <w:iCs/>
              </w:rPr>
              <w:t>Insert Section 16.11.6.1.6 below</w:t>
            </w:r>
            <w:r w:rsidRPr="0002450E">
              <w:rPr>
                <w:iCs/>
              </w:rPr>
              <w:t xml:space="preserve"> upon system implementation</w:t>
            </w:r>
            <w:r>
              <w:rPr>
                <w:iCs/>
              </w:rPr>
              <w:t xml:space="preserve"> and renumber accordingly</w:t>
            </w:r>
            <w:r w:rsidRPr="0002450E">
              <w:rPr>
                <w:iCs/>
              </w:rPr>
              <w:t xml:space="preserve">:] </w:t>
            </w:r>
          </w:p>
          <w:p w14:paraId="0F4C41C5" w14:textId="77777777" w:rsidR="004E603E" w:rsidRPr="004E603E" w:rsidRDefault="004E603E" w:rsidP="004E603E">
            <w:pPr>
              <w:keepNext/>
              <w:tabs>
                <w:tab w:val="left" w:pos="1620"/>
              </w:tabs>
              <w:spacing w:after="240"/>
              <w:ind w:left="1620" w:hanging="1620"/>
              <w:outlineLvl w:val="4"/>
              <w:rPr>
                <w:b/>
                <w:bCs/>
                <w:i/>
                <w:iCs/>
                <w:szCs w:val="26"/>
              </w:rPr>
            </w:pPr>
            <w:bookmarkStart w:id="613" w:name="_Toc85094702"/>
            <w:bookmarkStart w:id="614" w:name="_Toc91061018"/>
            <w:bookmarkStart w:id="615" w:name="_Toc134442868"/>
            <w:bookmarkStart w:id="616" w:name="_Toc146274809"/>
            <w:bookmarkStart w:id="617" w:name="_Toc148960891"/>
            <w:bookmarkStart w:id="618" w:name="_Toc175159183"/>
            <w:bookmarkStart w:id="619" w:name="_Toc184623051"/>
            <w:r w:rsidRPr="004E603E">
              <w:rPr>
                <w:b/>
                <w:bCs/>
                <w:i/>
                <w:iCs/>
                <w:szCs w:val="26"/>
              </w:rPr>
              <w:t>16.11.6.1.6</w:t>
            </w:r>
            <w:r w:rsidRPr="004E603E">
              <w:rPr>
                <w:b/>
                <w:bCs/>
                <w:i/>
                <w:iCs/>
                <w:szCs w:val="26"/>
              </w:rPr>
              <w:tab/>
              <w:t>Liquidation of Repossessed or Forfeited CRRs</w:t>
            </w:r>
            <w:bookmarkEnd w:id="613"/>
            <w:bookmarkEnd w:id="614"/>
            <w:bookmarkEnd w:id="615"/>
            <w:bookmarkEnd w:id="616"/>
            <w:bookmarkEnd w:id="617"/>
            <w:bookmarkEnd w:id="618"/>
            <w:bookmarkEnd w:id="619"/>
          </w:p>
          <w:p w14:paraId="7B83ED0B" w14:textId="77777777" w:rsidR="004E603E" w:rsidRPr="004E603E" w:rsidRDefault="004E603E" w:rsidP="004E603E">
            <w:pPr>
              <w:spacing w:before="120" w:after="120"/>
              <w:ind w:left="720" w:hanging="720"/>
              <w:rPr>
                <w:szCs w:val="24"/>
              </w:rPr>
            </w:pPr>
            <w:r w:rsidRPr="004E603E">
              <w:rPr>
                <w:szCs w:val="24"/>
              </w:rPr>
              <w:t>(1)</w:t>
            </w:r>
            <w:r w:rsidRPr="004E603E">
              <w:rPr>
                <w:szCs w:val="24"/>
              </w:rPr>
              <w:tab/>
              <w:t>If any repossessed or forfeited CRRs have the following characteristics, they will be irrevocably voided, the capacity will be dissolved, and they will not settle in the DAM beyond the effective date of the repossession or forfeiture nor be offered into any future CRR Auctions:</w:t>
            </w:r>
          </w:p>
          <w:p w14:paraId="0F29ADF8"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 xml:space="preserve">PTP Options with Refund and PTP Obligations with Refund; </w:t>
            </w:r>
          </w:p>
          <w:p w14:paraId="4D03B705"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Awarded PCRRs that have not yet been priced in a CRR Auction and paid for by the breaching or defaulting Market Participant; and</w:t>
            </w:r>
          </w:p>
          <w:p w14:paraId="22910FF0" w14:textId="77777777" w:rsidR="004E603E" w:rsidRPr="004E603E" w:rsidRDefault="004E603E" w:rsidP="004E603E">
            <w:pPr>
              <w:spacing w:before="120" w:after="120"/>
              <w:ind w:left="1440" w:hanging="720"/>
              <w:rPr>
                <w:szCs w:val="24"/>
              </w:rPr>
            </w:pPr>
            <w:r w:rsidRPr="004E603E">
              <w:rPr>
                <w:szCs w:val="24"/>
              </w:rPr>
              <w:t>(c)</w:t>
            </w:r>
            <w:r w:rsidRPr="004E603E">
              <w:rPr>
                <w:szCs w:val="24"/>
              </w:rPr>
              <w:tab/>
              <w:t>Partial-month CRRs resulting from bilateral trades.</w:t>
            </w:r>
          </w:p>
          <w:p w14:paraId="321D2ADA" w14:textId="77777777" w:rsidR="004E603E" w:rsidRPr="004E603E" w:rsidRDefault="004E603E" w:rsidP="004E603E">
            <w:pPr>
              <w:spacing w:before="120" w:after="120"/>
              <w:ind w:left="720" w:hanging="720"/>
              <w:rPr>
                <w:szCs w:val="24"/>
              </w:rPr>
            </w:pPr>
            <w:r w:rsidRPr="004E603E">
              <w:rPr>
                <w:szCs w:val="24"/>
              </w:rPr>
              <w:t>(2)</w:t>
            </w:r>
            <w:r w:rsidRPr="004E603E">
              <w:rPr>
                <w:szCs w:val="24"/>
              </w:rPr>
              <w:tab/>
              <w:t>The remaining unvoided CRRs in the repossessed or forfeited portfolio will be liquidated in the following manner, based on the characteristics of the CRRs:</w:t>
            </w:r>
          </w:p>
          <w:p w14:paraId="2401BDAC"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For CRRs that settle in the same month as the effective date of the repossession or forfeiture, for CRRs where the timing of the Market Participant Payment Breach or Default does not allow for the repossessed or forfeited CRRs to be offered into the CRR Monthly Auction in the calendar month following the Payment Breach or Default, for forfeited CRRs that were awarded in a CRR Monthly Auction, and for repossessed CRRs that have been offered into every available auction but were not fully awarded, the CRRs will settle in the DAM and may result in net payments or charges accruing for Operating Days throughout the month, as follows:</w:t>
            </w:r>
          </w:p>
          <w:p w14:paraId="71D6261B" w14:textId="77777777" w:rsidR="004E603E" w:rsidRPr="004E603E" w:rsidRDefault="004E603E" w:rsidP="004E603E">
            <w:pPr>
              <w:spacing w:before="120" w:after="120"/>
              <w:ind w:left="2160" w:hanging="720"/>
              <w:rPr>
                <w:szCs w:val="24"/>
              </w:rPr>
            </w:pPr>
            <w:r w:rsidRPr="004E603E">
              <w:rPr>
                <w:szCs w:val="24"/>
              </w:rPr>
              <w:t>(i)</w:t>
            </w:r>
            <w:r w:rsidRPr="004E603E">
              <w:rPr>
                <w:szCs w:val="24"/>
              </w:rPr>
              <w:tab/>
              <w:t>If the CRR portfolio results in a net charge in the DAM, the payment will, to the extent possible, be made by drawing on any available Financial Security of the Market Participant from whom the CRRs were repossessed or forfeited.  If this is insufficient to pay the charge in full, the remainder due will be short-paid for the Operating Day in accordance with Section 9.7.3, Enforcing the Financial Security of a Short-Paying Invoice Recipient.  Regardless of the short pay, any Market Participant from whom CRRs were repossessed or forfeited shall remain liable for any charges associated with the liquidation of its CRRs in accordance with paragraph (4) of Section 16.11.6.1.7, Revocation of a Market Participant’s Rights and Termination of Agreements.</w:t>
            </w:r>
          </w:p>
          <w:p w14:paraId="3F80C39C" w14:textId="77777777" w:rsidR="004E603E" w:rsidRPr="004E603E" w:rsidRDefault="004E603E" w:rsidP="004E603E">
            <w:pPr>
              <w:spacing w:before="120" w:after="120"/>
              <w:ind w:left="2160" w:hanging="720"/>
              <w:rPr>
                <w:szCs w:val="24"/>
              </w:rPr>
            </w:pPr>
            <w:r w:rsidRPr="004E603E">
              <w:rPr>
                <w:szCs w:val="24"/>
              </w:rPr>
              <w:lastRenderedPageBreak/>
              <w:t>(ii)</w:t>
            </w:r>
            <w:r w:rsidRPr="004E603E">
              <w:rPr>
                <w:szCs w:val="24"/>
              </w:rPr>
              <w:tab/>
              <w:t xml:space="preserve">If the CRR portfolio results in a net payment in the DAM, the payment amount will be added to the cash collateral held by ERCOT for the Market Participant from whom the CRRs were repossessed or forfeited. </w:t>
            </w:r>
          </w:p>
          <w:p w14:paraId="49DCFD6E"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 xml:space="preserve">For any remaining unvoided repossessed or forfeited CRRs for one-month or multi-month strips, ERCOT will offer each CRR into the next available auction for the effective time period of the repossessed or forfeited CRR.   </w:t>
            </w:r>
          </w:p>
          <w:p w14:paraId="3DF342EC" w14:textId="77777777" w:rsidR="004E603E" w:rsidRPr="004E603E" w:rsidRDefault="004E603E" w:rsidP="004E603E">
            <w:pPr>
              <w:spacing w:before="120" w:after="120"/>
              <w:ind w:left="2160" w:hanging="720"/>
              <w:rPr>
                <w:szCs w:val="24"/>
              </w:rPr>
            </w:pPr>
            <w:r w:rsidRPr="004E603E">
              <w:rPr>
                <w:szCs w:val="24"/>
              </w:rPr>
              <w:t>(i)</w:t>
            </w:r>
            <w:r w:rsidRPr="004E603E">
              <w:rPr>
                <w:szCs w:val="24"/>
              </w:rPr>
              <w:tab/>
              <w:t>CRRs will be offered into auctions at -$0.01 for PTP Options and -$500.00 for PTP Obligations.</w:t>
            </w:r>
          </w:p>
          <w:p w14:paraId="385B2908" w14:textId="77777777" w:rsidR="004E603E" w:rsidRPr="004E603E" w:rsidRDefault="004E603E" w:rsidP="004E603E">
            <w:pPr>
              <w:spacing w:before="120" w:after="120"/>
              <w:ind w:left="2160" w:hanging="720"/>
              <w:rPr>
                <w:szCs w:val="24"/>
              </w:rPr>
            </w:pPr>
            <w:r w:rsidRPr="004E603E">
              <w:rPr>
                <w:szCs w:val="24"/>
              </w:rPr>
              <w:t>(ii)</w:t>
            </w:r>
            <w:r w:rsidRPr="004E603E">
              <w:rPr>
                <w:szCs w:val="24"/>
              </w:rPr>
              <w:tab/>
              <w:t>If a CRR is offered into an auction but is not fully awarded, the remaining MW of the CRR will be offered into the next available auction for the effective time period of the repossessed or forfeited CRR.  ERCOT may adjust the offer price for a PTP Obligation in subsequent auctions to increase the likelihood of the sell offer being fully awarded.</w:t>
            </w:r>
          </w:p>
          <w:p w14:paraId="1C41F4D2" w14:textId="77777777" w:rsidR="004E603E" w:rsidRPr="004E603E" w:rsidRDefault="004E603E" w:rsidP="004E603E">
            <w:pPr>
              <w:spacing w:before="120" w:after="120"/>
              <w:ind w:left="2160"/>
              <w:rPr>
                <w:szCs w:val="24"/>
              </w:rPr>
            </w:pPr>
            <w:r w:rsidRPr="004E603E">
              <w:rPr>
                <w:szCs w:val="24"/>
              </w:rPr>
              <w:t xml:space="preserve">If another auction will not be held for the effective time period of the repossessed or forfeited CRRs, the remaining unawarded MW of each CRR will settle in the DAM and may result in net payments or charges accruing for Operating Days throughout the month, as noted in paragraph (2)(a) above. </w:t>
            </w:r>
          </w:p>
          <w:p w14:paraId="2959D8C2" w14:textId="77777777" w:rsidR="004E603E" w:rsidRPr="004E603E" w:rsidRDefault="004E603E" w:rsidP="004E603E">
            <w:pPr>
              <w:spacing w:before="120" w:after="120"/>
              <w:ind w:left="2160" w:hanging="720"/>
              <w:rPr>
                <w:szCs w:val="24"/>
              </w:rPr>
            </w:pPr>
            <w:r w:rsidRPr="004E603E">
              <w:rPr>
                <w:szCs w:val="24"/>
              </w:rPr>
              <w:t>(iii)</w:t>
            </w:r>
            <w:r w:rsidRPr="004E603E">
              <w:rPr>
                <w:szCs w:val="24"/>
              </w:rPr>
              <w:tab/>
              <w:t xml:space="preserve">Prior to offering repossessed or forfeited CRRs into an auction, ERCOT will calculate the value of all PTP Obligations for each CRR Account Holder associated with the defaulting Counter-Party by summing the value of all existing PTP Obligations for which the most recent auction clearing price for the effective time period of the auction was negative.  The value of each CRR will be calculated per the following formula: (MW amount) x (TOU hours) x (auction clearing price).  The total value of the PTP Obligations for the defaulting Counter-Party will be evaluated to determine if it exceeds 10% of the value of all existing PTP Obligations for which the most recent auction clearing prices for the effective time period of the auction were negative.  If the total value of the PTP Obligations for the defaulting Counter-Party to be offered into an auction exceeds the 10% threshold, ERCOT will prorate the CRR MW amounts to be offered into the auction to reduce the total portfolio value to be below the 10% threshold.  The remaining CRR MW will be offered into the next available auction for the effective time period of the repossessed or forfeited CRRs or will settle in DAM if there will not be another auction for the effective time period. </w:t>
            </w:r>
            <w:r w:rsidRPr="004E603E" w:rsidDel="00FD6948">
              <w:rPr>
                <w:szCs w:val="24"/>
              </w:rPr>
              <w:t xml:space="preserve"> </w:t>
            </w:r>
          </w:p>
          <w:p w14:paraId="76DD545A" w14:textId="77777777" w:rsidR="004E603E" w:rsidRPr="004E603E" w:rsidRDefault="004E603E" w:rsidP="004E603E">
            <w:pPr>
              <w:spacing w:before="120" w:after="120"/>
              <w:ind w:left="2160" w:hanging="720"/>
              <w:rPr>
                <w:szCs w:val="24"/>
              </w:rPr>
            </w:pPr>
            <w:r w:rsidRPr="004E603E">
              <w:rPr>
                <w:szCs w:val="24"/>
              </w:rPr>
              <w:t>(iv)</w:t>
            </w:r>
            <w:r w:rsidRPr="004E603E">
              <w:rPr>
                <w:szCs w:val="24"/>
              </w:rPr>
              <w:tab/>
              <w:t xml:space="preserve">A charge resulting from the sale of the CRRs into an auction will, to the extent possible, be paid by drawing on any available Financial Security of the Market Participant from whom the CRRs were repossessed or forfeited.  If this is insufficient to pay the charge in full, the remainder </w:t>
            </w:r>
            <w:r w:rsidRPr="004E603E">
              <w:rPr>
                <w:szCs w:val="24"/>
              </w:rPr>
              <w:lastRenderedPageBreak/>
              <w:t>due will be short-paid in accordance with Section 9.7.3.  Regardless of the short pay, any Market Participant from whom CRRs were repossessed or forfeited shall remain liable for any charges associated with the liquidation of its CRRs in accordance with paragraph (4) of Section 16.11.6.1.7.</w:t>
            </w:r>
          </w:p>
          <w:p w14:paraId="0897780B" w14:textId="499102D6" w:rsidR="004E603E" w:rsidRPr="004E603E" w:rsidRDefault="004E603E" w:rsidP="004E603E">
            <w:pPr>
              <w:spacing w:before="120" w:after="120"/>
              <w:ind w:left="2160" w:hanging="720"/>
              <w:rPr>
                <w:szCs w:val="24"/>
              </w:rPr>
            </w:pPr>
            <w:r w:rsidRPr="004E603E">
              <w:rPr>
                <w:szCs w:val="24"/>
              </w:rPr>
              <w:t>(v)</w:t>
            </w:r>
            <w:r w:rsidRPr="004E603E">
              <w:rPr>
                <w:szCs w:val="24"/>
              </w:rPr>
              <w:tab/>
              <w:t xml:space="preserve">A payment resulting from the sale of the CRRs into an auction will be added to the Financial Security of the Market Participant from whom the CRRs were repossessed or forfeited. </w:t>
            </w:r>
          </w:p>
        </w:tc>
      </w:tr>
    </w:tbl>
    <w:p w14:paraId="22FA8A83" w14:textId="77777777" w:rsidR="00FC1C5F" w:rsidRDefault="00727E32" w:rsidP="00974AFC">
      <w:pPr>
        <w:pStyle w:val="H5"/>
        <w:spacing w:before="480"/>
      </w:pPr>
      <w:bookmarkStart w:id="620" w:name="_Toc70591655"/>
      <w:bookmarkStart w:id="621" w:name="_Toc184623052"/>
      <w:r>
        <w:lastRenderedPageBreak/>
        <w:t>16.11.6.1.6</w:t>
      </w:r>
      <w:r>
        <w:tab/>
        <w:t>Revocation of a Market Participant’s Rights and Termination of Agreements</w:t>
      </w:r>
      <w:bookmarkEnd w:id="607"/>
      <w:bookmarkEnd w:id="608"/>
      <w:bookmarkEnd w:id="609"/>
      <w:bookmarkEnd w:id="610"/>
      <w:bookmarkEnd w:id="611"/>
      <w:bookmarkEnd w:id="612"/>
      <w:bookmarkEnd w:id="620"/>
      <w:bookmarkEnd w:id="621"/>
    </w:p>
    <w:p w14:paraId="00A08CF3" w14:textId="77777777" w:rsidR="00FC1C5F" w:rsidRDefault="00727E32">
      <w:pPr>
        <w:pStyle w:val="BodyTextNumbered"/>
      </w:pPr>
      <w:r>
        <w:t>(1)</w:t>
      </w:r>
      <w:r>
        <w:tab/>
        <w:t xml:space="preserve">ERCOT may revoke a breaching Market Participant’s rights to conduct activities </w:t>
      </w:r>
      <w:r>
        <w:rPr>
          <w:szCs w:val="24"/>
        </w:rPr>
        <w:t>under these Protocols</w:t>
      </w:r>
      <w:r>
        <w:t xml:space="preserve">.  ERCOT </w:t>
      </w:r>
      <w:r>
        <w:rPr>
          <w:szCs w:val="24"/>
        </w:rPr>
        <w:t xml:space="preserve">may also </w:t>
      </w:r>
      <w:r>
        <w:t>terminate the breaching Market Participant’s agreements with ERCOT.</w:t>
      </w:r>
    </w:p>
    <w:p w14:paraId="2A4BF316" w14:textId="5F4525E7" w:rsidR="00FC1C5F" w:rsidRDefault="00727E32">
      <w:pPr>
        <w:pStyle w:val="BodyTextNumbered"/>
      </w:pPr>
      <w:r>
        <w:t>(2)</w:t>
      </w:r>
      <w:r>
        <w:tab/>
        <w:t xml:space="preserve">If ERCOT revokes a Market Participant’s rights or terminates the Market Participant’s agreements, then the provisions of Section 16.2.5, Suspended </w:t>
      </w:r>
      <w:r w:rsidR="00826ED4">
        <w:t xml:space="preserve">or Terminated </w:t>
      </w:r>
      <w:r>
        <w:t>Qualified Scheduling Entity – Notification to LSEs and Resource Entities Represented, and Section 16.2.6.1, Designation as an Emergency Qualified Scheduling Entity or Virtual Qualified Scheduling Entity, apply.</w:t>
      </w:r>
    </w:p>
    <w:p w14:paraId="3EB95E4C" w14:textId="77777777" w:rsidR="006B2812" w:rsidRPr="002D2785" w:rsidRDefault="006B2812" w:rsidP="006B2812">
      <w:pPr>
        <w:spacing w:after="240"/>
        <w:ind w:left="720" w:hanging="720"/>
      </w:pPr>
      <w:r w:rsidRPr="002D2785">
        <w:t>(3)</w:t>
      </w:r>
      <w:r w:rsidRPr="002D2785">
        <w:tab/>
        <w:t>If a breaching Market Participant is also an LSE (whether or not the Default occurred pursuant to the Market Participant’s activities as an LSE), then:</w:t>
      </w:r>
    </w:p>
    <w:p w14:paraId="68635DA4" w14:textId="0D8F203F" w:rsidR="006B2812" w:rsidRPr="002D2785" w:rsidRDefault="006B2812" w:rsidP="006B2812">
      <w:pPr>
        <w:spacing w:after="240"/>
        <w:ind w:left="1440" w:hanging="720"/>
      </w:pPr>
      <w:r w:rsidRPr="002D2785">
        <w:t xml:space="preserve">(a) </w:t>
      </w:r>
      <w:r w:rsidRPr="002D2785">
        <w:tab/>
        <w:t xml:space="preserve">Within 24 hours of receiving notice of the Payment Breach, the Market Participant shall provide to ERCOT all the information regarding its ESI IDs set forth in the ERCOT Retail Market Guide; and </w:t>
      </w:r>
    </w:p>
    <w:p w14:paraId="470C3E6F" w14:textId="77777777" w:rsidR="00FC1C5F" w:rsidRDefault="006B2812">
      <w:pPr>
        <w:pStyle w:val="BodyTextNumbered"/>
        <w:ind w:left="1440"/>
      </w:pPr>
      <w:r w:rsidRPr="002D2785">
        <w:t>(b)</w:t>
      </w:r>
      <w:r w:rsidRPr="002D2785">
        <w:tab/>
        <w:t xml:space="preserve">On revocation of some or all of the Market Participant’s rights or termination of the Market Participant’s agreements and on notice to the Market Participant and the Public Utility Commission of Texas (PUCT), ERCOT shall initiate a Mass Transition of the Market Participant’s ESI IDs pursuant to Section 15.1.3.1, Mass Transition Process, without the necessity of obtaining any order from or other action by the PUCT.  </w:t>
      </w:r>
    </w:p>
    <w:p w14:paraId="3BC40AB5" w14:textId="77777777" w:rsidR="00FC1C5F" w:rsidRDefault="00727E32" w:rsidP="00FC544E">
      <w:pPr>
        <w:pStyle w:val="BodyTextNumbered"/>
      </w:pPr>
      <w:r>
        <w:t>(4)</w:t>
      </w:r>
      <w:r>
        <w:tab/>
        <w:t>After revocation of its rights or termination of its Agreement with ERCOT, the Market Participant will remain liable for all charges or costs associated with any continued activity related to the Counter-Party’s relationship with ERCOT and any expenses arising from the consequences of such termination or revocation.</w:t>
      </w:r>
    </w:p>
    <w:p w14:paraId="6ADB882F" w14:textId="77777777" w:rsidR="00FC1C5F" w:rsidRPr="00D63F95" w:rsidRDefault="00727E32">
      <w:pPr>
        <w:pStyle w:val="H4"/>
        <w:rPr>
          <w:b/>
        </w:rPr>
      </w:pPr>
      <w:bookmarkStart w:id="622" w:name="_Toc390438984"/>
      <w:bookmarkStart w:id="623" w:name="_Toc405897687"/>
      <w:bookmarkStart w:id="624" w:name="_Toc415055787"/>
      <w:bookmarkStart w:id="625" w:name="_Toc415055913"/>
      <w:bookmarkStart w:id="626" w:name="_Toc415056012"/>
      <w:bookmarkStart w:id="627" w:name="_Toc415056112"/>
      <w:bookmarkStart w:id="628" w:name="_Toc184623053"/>
      <w:r w:rsidRPr="00D63F95">
        <w:rPr>
          <w:b/>
        </w:rPr>
        <w:t>16.11.6.2</w:t>
      </w:r>
      <w:r w:rsidRPr="00D63F95">
        <w:rPr>
          <w:b/>
        </w:rPr>
        <w:tab/>
        <w:t>ERCOT’s Remedies for Late Payments by a Market Participant</w:t>
      </w:r>
      <w:bookmarkEnd w:id="622"/>
      <w:bookmarkEnd w:id="623"/>
      <w:bookmarkEnd w:id="624"/>
      <w:bookmarkEnd w:id="625"/>
      <w:bookmarkEnd w:id="626"/>
      <w:bookmarkEnd w:id="627"/>
      <w:bookmarkEnd w:id="628"/>
    </w:p>
    <w:p w14:paraId="03046964" w14:textId="77777777" w:rsidR="006B2812" w:rsidRPr="002D2785" w:rsidRDefault="00853D39" w:rsidP="003E09AF">
      <w:pPr>
        <w:spacing w:after="240"/>
        <w:ind w:left="720" w:hanging="720"/>
        <w:rPr>
          <w:szCs w:val="24"/>
        </w:rPr>
      </w:pPr>
      <w:r>
        <w:rPr>
          <w:szCs w:val="24"/>
        </w:rPr>
        <w:t>(1)</w:t>
      </w:r>
      <w:r>
        <w:rPr>
          <w:szCs w:val="24"/>
        </w:rPr>
        <w:tab/>
      </w:r>
      <w:r w:rsidR="006B2812" w:rsidRPr="002D2785">
        <w:rPr>
          <w:szCs w:val="24"/>
        </w:rPr>
        <w:t xml:space="preserve">If a Market Participant makes any Late Payments, and even if ERCOT does not immediately implement the above-referenced remedies for any Payment Breach by a </w:t>
      </w:r>
      <w:r w:rsidR="006B2812" w:rsidRPr="002D2785">
        <w:rPr>
          <w:szCs w:val="24"/>
        </w:rPr>
        <w:lastRenderedPageBreak/>
        <w:t>Market Participant, the Market Participant is subject to the actions enumerated in this Section.</w:t>
      </w:r>
    </w:p>
    <w:p w14:paraId="5B4BCD9C" w14:textId="77777777" w:rsidR="00FC1C5F" w:rsidRDefault="00853D39" w:rsidP="003E09AF">
      <w:pPr>
        <w:pStyle w:val="BodyText"/>
        <w:ind w:left="720" w:hanging="720"/>
        <w:rPr>
          <w:szCs w:val="24"/>
        </w:rPr>
      </w:pPr>
      <w:r>
        <w:rPr>
          <w:szCs w:val="24"/>
        </w:rPr>
        <w:t>(2)</w:t>
      </w:r>
      <w:r>
        <w:rPr>
          <w:szCs w:val="24"/>
        </w:rPr>
        <w:tab/>
      </w:r>
      <w:r w:rsidR="006B2812" w:rsidRPr="002D2785">
        <w:rPr>
          <w:szCs w:val="24"/>
        </w:rPr>
        <w:t>This Section does not waive ERCOT’s right to impose remedies for Payment Breach, as set forth in Section 16.11.6.1,</w:t>
      </w:r>
      <w:r w:rsidR="00FC544E" w:rsidRPr="00FC544E">
        <w:rPr>
          <w:szCs w:val="24"/>
        </w:rPr>
        <w:t xml:space="preserve"> </w:t>
      </w:r>
      <w:r w:rsidR="00FC544E">
        <w:rPr>
          <w:szCs w:val="24"/>
        </w:rPr>
        <w:t>ERCOT’s Remedies,</w:t>
      </w:r>
      <w:r w:rsidR="006B2812" w:rsidRPr="002D2785">
        <w:rPr>
          <w:szCs w:val="24"/>
        </w:rPr>
        <w:t xml:space="preserve"> in addition to any other rights or remedies ERCOT has under any agreement, these Protocols, or at common law, for any Payment Breach by the Market Participant in each rolling 12-month period for purposes of imposing the Late Payment remedies set forth in this Section.</w:t>
      </w:r>
    </w:p>
    <w:p w14:paraId="3EBC25F6" w14:textId="72651B12" w:rsidR="00FC1C5F" w:rsidRDefault="00727E32">
      <w:pPr>
        <w:pStyle w:val="H5"/>
      </w:pPr>
      <w:bookmarkStart w:id="629" w:name="_Toc390438986"/>
      <w:bookmarkStart w:id="630" w:name="_Toc405897691"/>
      <w:bookmarkStart w:id="631" w:name="_Toc415055789"/>
      <w:bookmarkStart w:id="632" w:name="_Toc415055915"/>
      <w:bookmarkStart w:id="633" w:name="_Toc415056014"/>
      <w:bookmarkStart w:id="634" w:name="_Toc415056114"/>
      <w:bookmarkStart w:id="635" w:name="_Toc184623054"/>
      <w:r>
        <w:t>16.11.6.2.</w:t>
      </w:r>
      <w:r w:rsidR="002F409F">
        <w:t>1</w:t>
      </w:r>
      <w:r>
        <w:tab/>
      </w:r>
      <w:r w:rsidR="002F409F">
        <w:t>First</w:t>
      </w:r>
      <w:r>
        <w:t xml:space="preserve"> Late Payment in Any Rolling 12-Month Period</w:t>
      </w:r>
      <w:bookmarkEnd w:id="629"/>
      <w:bookmarkEnd w:id="630"/>
      <w:bookmarkEnd w:id="631"/>
      <w:bookmarkEnd w:id="632"/>
      <w:bookmarkEnd w:id="633"/>
      <w:bookmarkEnd w:id="634"/>
      <w:bookmarkEnd w:id="635"/>
    </w:p>
    <w:p w14:paraId="530936D1" w14:textId="36DC9F0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first</w:t>
      </w:r>
      <w:r w:rsidRPr="002D2785">
        <w:rPr>
          <w:iCs/>
        </w:rPr>
        <w:t xml:space="preserve"> Late Payment in any rolling 12-month period, ERCOT shall take </w:t>
      </w:r>
      <w:r w:rsidR="002F409F">
        <w:rPr>
          <w:iCs/>
        </w:rPr>
        <w:t>Level 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16.11.6.2.5, Level I Enforcement.</w:t>
      </w:r>
    </w:p>
    <w:p w14:paraId="3F94842D" w14:textId="75D85A40"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 Enforcement.</w:t>
      </w:r>
    </w:p>
    <w:p w14:paraId="3F9F81EC" w14:textId="352A4C29" w:rsidR="00FC1C5F" w:rsidRDefault="00727E32">
      <w:pPr>
        <w:pStyle w:val="H5"/>
      </w:pPr>
      <w:bookmarkStart w:id="636" w:name="_Toc390438987"/>
      <w:bookmarkStart w:id="637" w:name="_Toc405897693"/>
      <w:bookmarkStart w:id="638" w:name="_Toc415055790"/>
      <w:bookmarkStart w:id="639" w:name="_Toc415055916"/>
      <w:bookmarkStart w:id="640" w:name="_Toc415056015"/>
      <w:bookmarkStart w:id="641" w:name="_Toc415056115"/>
      <w:bookmarkStart w:id="642" w:name="_Toc184623055"/>
      <w:r>
        <w:t>16.11.6.2.</w:t>
      </w:r>
      <w:r w:rsidR="002F409F">
        <w:t>2</w:t>
      </w:r>
      <w:r>
        <w:tab/>
      </w:r>
      <w:r w:rsidR="002F409F">
        <w:t>Second</w:t>
      </w:r>
      <w:r>
        <w:t xml:space="preserve"> Late Payment in Any Rolling 12-Month Period</w:t>
      </w:r>
      <w:bookmarkEnd w:id="636"/>
      <w:bookmarkEnd w:id="637"/>
      <w:bookmarkEnd w:id="638"/>
      <w:bookmarkEnd w:id="639"/>
      <w:bookmarkEnd w:id="640"/>
      <w:bookmarkEnd w:id="641"/>
      <w:bookmarkEnd w:id="642"/>
    </w:p>
    <w:p w14:paraId="654810D3" w14:textId="63B249A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second</w:t>
      </w:r>
      <w:r w:rsidRPr="002D2785">
        <w:rPr>
          <w:iCs/>
        </w:rPr>
        <w:t xml:space="preserve"> Late Payment in any rolling 12-month period, ERCOT shall take </w:t>
      </w:r>
      <w:r w:rsidR="002F409F">
        <w:rPr>
          <w:iCs/>
        </w:rPr>
        <w:t>Level II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16.11.6.2.6, Level II Enforcement.</w:t>
      </w:r>
      <w:r w:rsidRPr="002D2785">
        <w:rPr>
          <w:iCs/>
        </w:rPr>
        <w:t>:</w:t>
      </w:r>
    </w:p>
    <w:p w14:paraId="54E9D055" w14:textId="29CBB889"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II Enforcement.</w:t>
      </w:r>
    </w:p>
    <w:p w14:paraId="270C6959" w14:textId="77777777" w:rsidR="002F409F" w:rsidRDefault="002F409F" w:rsidP="0078184C">
      <w:pPr>
        <w:pStyle w:val="H5"/>
      </w:pPr>
      <w:bookmarkStart w:id="643" w:name="_Toc184623056"/>
      <w:bookmarkStart w:id="644" w:name="_Toc390438988"/>
      <w:bookmarkStart w:id="645" w:name="_Toc405897695"/>
      <w:bookmarkStart w:id="646" w:name="_Toc415055791"/>
      <w:bookmarkStart w:id="647" w:name="_Toc415055917"/>
      <w:bookmarkStart w:id="648" w:name="_Toc415056016"/>
      <w:bookmarkStart w:id="649" w:name="_Toc415056116"/>
      <w:r>
        <w:t>16.11.6.2.3</w:t>
      </w:r>
      <w:r>
        <w:tab/>
        <w:t>Third Late Payment in Any Rolling 12-Month Period</w:t>
      </w:r>
      <w:bookmarkEnd w:id="643"/>
    </w:p>
    <w:p w14:paraId="22324104" w14:textId="77777777" w:rsidR="002F409F" w:rsidRDefault="002F409F" w:rsidP="002F409F">
      <w:pPr>
        <w:pStyle w:val="BodyTextNumbered"/>
      </w:pPr>
      <w:r>
        <w:t>(1)</w:t>
      </w:r>
      <w:r>
        <w:tab/>
        <w:t>For the third Late Payment in any rolling 12-month period, ERCOT shall take Level III Enforcement action, as described in Section 16.11.6.2.7, Level III Enforcement.</w:t>
      </w:r>
    </w:p>
    <w:p w14:paraId="7CF50D71" w14:textId="77777777" w:rsidR="002F409F" w:rsidRPr="002F74AF" w:rsidRDefault="002F409F" w:rsidP="002F409F">
      <w:pPr>
        <w:pStyle w:val="BodyTextNumbered"/>
      </w:pPr>
      <w:r>
        <w:t>(2)</w:t>
      </w:r>
      <w:r>
        <w:tab/>
        <w:t xml:space="preserve">ERCOT shall send written notice to the Market Participant’s Authorized Representative and/or Credit Contact via email, advising the Market Participant of the action required under Level III Enforcement, and informing the Market Participant that a fourth Late Payment in any rolling 12-month period shall result in ERCOT taking action under Section 16.11.6.1.6, Revocation of a Market Participant’s Rights and Termination of Agreements.  </w:t>
      </w:r>
    </w:p>
    <w:p w14:paraId="28EA2F43" w14:textId="77777777" w:rsidR="00FC1C5F" w:rsidRDefault="00727E32">
      <w:pPr>
        <w:pStyle w:val="H5"/>
      </w:pPr>
      <w:bookmarkStart w:id="650" w:name="_Toc184623057"/>
      <w:r>
        <w:t>16.11.6.2.4</w:t>
      </w:r>
      <w:r>
        <w:tab/>
        <w:t>Fourth Late Payment in Any Rolling 12-Month Period</w:t>
      </w:r>
      <w:bookmarkEnd w:id="644"/>
      <w:bookmarkEnd w:id="645"/>
      <w:bookmarkEnd w:id="646"/>
      <w:bookmarkEnd w:id="647"/>
      <w:bookmarkEnd w:id="648"/>
      <w:bookmarkEnd w:id="649"/>
      <w:bookmarkEnd w:id="650"/>
    </w:p>
    <w:p w14:paraId="3B23E3C6" w14:textId="77777777" w:rsidR="00FC1C5F" w:rsidRDefault="00853D39" w:rsidP="003E09AF">
      <w:pPr>
        <w:pStyle w:val="BodyTextNumbered"/>
      </w:pPr>
      <w:r>
        <w:t>(1)</w:t>
      </w:r>
      <w:r>
        <w:tab/>
      </w:r>
      <w:r w:rsidR="006B2812">
        <w:t>For the fourth Late Payment resulting from a Payment Breach in any rolling 12-month period, ERCOT</w:t>
      </w:r>
      <w:r w:rsidR="006B2812">
        <w:rPr>
          <w:szCs w:val="24"/>
        </w:rPr>
        <w:t xml:space="preserve"> shall take</w:t>
      </w:r>
      <w:r w:rsidR="006B2812">
        <w:t xml:space="preserve"> </w:t>
      </w:r>
      <w:r w:rsidR="006B2812" w:rsidRPr="00BF0D35">
        <w:t>action under Section 16.11.6.1.6, Revocation of a Market Participant’s Rights and Termination of Agreements</w:t>
      </w:r>
      <w:r w:rsidR="006B2812">
        <w:t>.</w:t>
      </w:r>
    </w:p>
    <w:p w14:paraId="6AE5F2E0" w14:textId="77777777" w:rsidR="00FC1C5F" w:rsidRDefault="00727E32">
      <w:pPr>
        <w:pStyle w:val="H5"/>
      </w:pPr>
      <w:bookmarkStart w:id="651" w:name="_Toc390438989"/>
      <w:bookmarkStart w:id="652" w:name="_Toc405897697"/>
      <w:bookmarkStart w:id="653" w:name="_Toc415055792"/>
      <w:bookmarkStart w:id="654" w:name="_Toc415055918"/>
      <w:bookmarkStart w:id="655" w:name="_Toc415056017"/>
      <w:bookmarkStart w:id="656" w:name="_Toc415056117"/>
      <w:bookmarkStart w:id="657" w:name="_Toc184623058"/>
      <w:r>
        <w:lastRenderedPageBreak/>
        <w:t>16.11.6.2.5</w:t>
      </w:r>
      <w:r>
        <w:tab/>
        <w:t>Level I Enforcement</w:t>
      </w:r>
      <w:bookmarkEnd w:id="651"/>
      <w:bookmarkEnd w:id="652"/>
      <w:bookmarkEnd w:id="653"/>
      <w:bookmarkEnd w:id="654"/>
      <w:bookmarkEnd w:id="655"/>
      <w:bookmarkEnd w:id="656"/>
      <w:bookmarkEnd w:id="657"/>
    </w:p>
    <w:p w14:paraId="4EBB5D09" w14:textId="77777777" w:rsidR="005C04D0" w:rsidRPr="002D2785" w:rsidRDefault="005C04D0" w:rsidP="005C04D0">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04ECF37F" w14:textId="77777777" w:rsidR="005C04D0" w:rsidRPr="002D2785" w:rsidRDefault="005C04D0" w:rsidP="005C04D0">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 or any other liability to ERCOT that the Market Participant has or is expected to have for activity in the ERCOT Region, whichever applies.</w:t>
      </w:r>
    </w:p>
    <w:p w14:paraId="06AA848F" w14:textId="77777777" w:rsidR="005C04D0" w:rsidRDefault="005C04D0" w:rsidP="005C04D0">
      <w:pPr>
        <w:spacing w:after="240"/>
        <w:ind w:left="1440" w:hanging="720"/>
        <w:rPr>
          <w:iCs/>
        </w:rPr>
      </w:pPr>
      <w:r w:rsidRPr="002D2785">
        <w:t>(b)</w:t>
      </w:r>
      <w:r w:rsidRPr="002D2785">
        <w:tab/>
        <w:t>If the Market Participant has already provided Financial Security, the Market Participant shall increase its Financial Security, within two Bank Business Days, to an amount at or above 110% of its TPE or any other liability to ERCOT that the Market Participant has or is expected to have for activity in the ERCOT Region, whichever applies.</w:t>
      </w:r>
    </w:p>
    <w:p w14:paraId="5388B59A" w14:textId="296C7F51" w:rsidR="00FC1C5F" w:rsidRDefault="006B2812" w:rsidP="00FB1643">
      <w:pPr>
        <w:autoSpaceDE w:val="0"/>
        <w:autoSpaceDN w:val="0"/>
        <w:adjustRightInd w:val="0"/>
        <w:spacing w:after="240"/>
        <w:ind w:left="720" w:hanging="720"/>
        <w:rPr>
          <w:color w:val="000000"/>
        </w:rPr>
      </w:pPr>
      <w:r w:rsidRPr="002D2785">
        <w:rPr>
          <w:color w:val="000000"/>
          <w:szCs w:val="24"/>
        </w:rPr>
        <w:t>(2)</w:t>
      </w:r>
      <w:r w:rsidRPr="002D2785">
        <w:rPr>
          <w:color w:val="000000"/>
          <w:szCs w:val="24"/>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3EABC437" w14:textId="77777777" w:rsidR="00FC1C5F" w:rsidRDefault="00727E32">
      <w:pPr>
        <w:pStyle w:val="H5"/>
      </w:pPr>
      <w:bookmarkStart w:id="658" w:name="_Toc390438990"/>
      <w:bookmarkStart w:id="659" w:name="_Toc405897699"/>
      <w:bookmarkStart w:id="660" w:name="_Toc415055793"/>
      <w:bookmarkStart w:id="661" w:name="_Toc415055919"/>
      <w:bookmarkStart w:id="662" w:name="_Toc415056018"/>
      <w:bookmarkStart w:id="663" w:name="_Toc415056118"/>
      <w:bookmarkStart w:id="664" w:name="_Toc184623059"/>
      <w:r>
        <w:t>16.11.6.2.6</w:t>
      </w:r>
      <w:r>
        <w:tab/>
        <w:t>Level II Enforcement</w:t>
      </w:r>
      <w:bookmarkEnd w:id="658"/>
      <w:bookmarkEnd w:id="659"/>
      <w:bookmarkEnd w:id="660"/>
      <w:bookmarkEnd w:id="661"/>
      <w:bookmarkEnd w:id="662"/>
      <w:bookmarkEnd w:id="663"/>
      <w:bookmarkEnd w:id="664"/>
    </w:p>
    <w:p w14:paraId="5E9341B4" w14:textId="0D38F35A" w:rsidR="006B2812" w:rsidRPr="006B7162" w:rsidRDefault="006B2812" w:rsidP="006B2812">
      <w:pPr>
        <w:autoSpaceDE w:val="0"/>
        <w:autoSpaceDN w:val="0"/>
        <w:adjustRightInd w:val="0"/>
        <w:spacing w:after="240"/>
        <w:ind w:left="720" w:hanging="720"/>
        <w:rPr>
          <w:szCs w:val="24"/>
        </w:rPr>
      </w:pPr>
      <w:r w:rsidRPr="006B7162">
        <w:rPr>
          <w:color w:val="000000"/>
          <w:szCs w:val="24"/>
        </w:rPr>
        <w:t>(1)</w:t>
      </w:r>
      <w:r w:rsidRPr="006B7162">
        <w:rPr>
          <w:color w:val="000000"/>
          <w:szCs w:val="24"/>
        </w:rPr>
        <w:tab/>
      </w:r>
      <w:r w:rsidR="005C04D0" w:rsidRPr="006B7162">
        <w:rPr>
          <w:color w:val="000000"/>
        </w:rPr>
        <w:t xml:space="preserve">Under Level II Enforcement, ERCOT shall notify the </w:t>
      </w:r>
      <w:r w:rsidR="005C04D0" w:rsidRPr="006B7162">
        <w:t>Market Participant</w:t>
      </w:r>
      <w:r w:rsidR="005C04D0" w:rsidRPr="006B7162">
        <w:rPr>
          <w:color w:val="000000"/>
        </w:rPr>
        <w:t xml:space="preserve"> that </w:t>
      </w:r>
      <w:r w:rsidR="005C04D0" w:rsidRPr="006B7162">
        <w:t xml:space="preserve">the Market Participant shall provide Financial Security, within two Bank Business </w:t>
      </w:r>
      <w:r w:rsidR="005C04D0">
        <w:t>D</w:t>
      </w:r>
      <w:r w:rsidR="005C04D0" w:rsidRPr="006B7162">
        <w:t>ays, in the form of a cash deposit or letter of credit, as chosen by ERCOT at its sole discretion, at 11</w:t>
      </w:r>
      <w:r w:rsidR="005C04D0">
        <w:t>5</w:t>
      </w:r>
      <w:r w:rsidR="005C04D0" w:rsidRPr="006B7162">
        <w:t>% of the Market Participant’s TPE or for any other liability to ERCOT that the Market Participant has or is expected to have for activity in the ERCOT Region</w:t>
      </w:r>
      <w:r w:rsidRPr="006B7162">
        <w:rPr>
          <w:szCs w:val="24"/>
        </w:rPr>
        <w:t xml:space="preserve">.   </w:t>
      </w:r>
    </w:p>
    <w:p w14:paraId="524C7A6B" w14:textId="21BFD995" w:rsidR="00FC1C5F" w:rsidRDefault="006B2812" w:rsidP="00FB1643">
      <w:pPr>
        <w:pStyle w:val="List"/>
        <w:ind w:left="720"/>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5B014784" w14:textId="77777777" w:rsidR="00FC1C5F" w:rsidRDefault="00727E32">
      <w:pPr>
        <w:pStyle w:val="H5"/>
      </w:pPr>
      <w:bookmarkStart w:id="665" w:name="_Toc390438991"/>
      <w:bookmarkStart w:id="666" w:name="_Toc405897701"/>
      <w:bookmarkStart w:id="667" w:name="_Toc415055794"/>
      <w:bookmarkStart w:id="668" w:name="_Toc415055920"/>
      <w:bookmarkStart w:id="669" w:name="_Toc415056019"/>
      <w:bookmarkStart w:id="670" w:name="_Toc415056119"/>
      <w:bookmarkStart w:id="671" w:name="_Toc184623060"/>
      <w:r>
        <w:t>16.11.6.2.7</w:t>
      </w:r>
      <w:r>
        <w:tab/>
        <w:t>Level III Enforcement</w:t>
      </w:r>
      <w:bookmarkEnd w:id="665"/>
      <w:bookmarkEnd w:id="666"/>
      <w:bookmarkEnd w:id="667"/>
      <w:bookmarkEnd w:id="668"/>
      <w:bookmarkEnd w:id="669"/>
      <w:bookmarkEnd w:id="670"/>
      <w:bookmarkEnd w:id="671"/>
    </w:p>
    <w:p w14:paraId="67BB6A7D" w14:textId="01CF789F" w:rsidR="002F409F" w:rsidRDefault="006B2812" w:rsidP="002F409F">
      <w:pPr>
        <w:keepNext/>
        <w:spacing w:after="240"/>
        <w:ind w:left="720" w:hanging="720"/>
        <w:rPr>
          <w:iCs/>
        </w:rPr>
      </w:pPr>
      <w:r w:rsidRPr="006B7162">
        <w:rPr>
          <w:iCs/>
        </w:rPr>
        <w:t>(1)</w:t>
      </w:r>
      <w:r w:rsidRPr="006B7162">
        <w:rPr>
          <w:iCs/>
        </w:rPr>
        <w:tab/>
      </w:r>
      <w:r w:rsidR="005C04D0" w:rsidRPr="006B7162">
        <w:rPr>
          <w:lang w:eastAsia="x-none"/>
        </w:rPr>
        <w:t xml:space="preserve">Under Level III Enforcement, </w:t>
      </w:r>
      <w:r w:rsidR="005C04D0" w:rsidRPr="006B7162">
        <w:rPr>
          <w:iCs/>
        </w:rPr>
        <w:t>ERCOT shall</w:t>
      </w:r>
      <w:r w:rsidR="005C04D0">
        <w:rPr>
          <w:iCs/>
        </w:rPr>
        <w:t xml:space="preserve"> notify the Market Participant that the Market Participant shall provide Financial Security within two Bank Business Days at 120% of the Market Participant’s TPE or for any other liability to ERCOT that the Market Participant has or is expected to have for activity in the ERCOT Region. Required Financial Security in excess of TPE must be in the form of a cash deposit</w:t>
      </w:r>
      <w:r w:rsidR="002F409F">
        <w:rPr>
          <w:iCs/>
        </w:rPr>
        <w:t>.</w:t>
      </w:r>
    </w:p>
    <w:p w14:paraId="5B217B54" w14:textId="0BA26F67" w:rsidR="006B2812" w:rsidRPr="006B7162" w:rsidRDefault="002F409F" w:rsidP="00FB1643">
      <w:pPr>
        <w:keepNext/>
        <w:spacing w:after="240"/>
        <w:ind w:left="720" w:hanging="720"/>
        <w:rPr>
          <w:iCs/>
        </w:rPr>
      </w:pPr>
      <w:r>
        <w:rPr>
          <w:iCs/>
        </w:rPr>
        <w:t>(2)</w:t>
      </w:r>
      <w:r>
        <w:rPr>
          <w:iCs/>
        </w:rPr>
        <w:tab/>
        <w:t xml:space="preserve">Increased Financial Security requirements under this Section remain in effect for a minimum of 90 days and remain in effect thereafter until ERCOT, at its sole discretion, </w:t>
      </w:r>
      <w:r>
        <w:rPr>
          <w:iCs/>
        </w:rPr>
        <w:lastRenderedPageBreak/>
        <w:t>determines to reduce such Financial Security requirements to the normally applicable levels.</w:t>
      </w:r>
    </w:p>
    <w:p w14:paraId="69F8BAE6" w14:textId="77777777" w:rsidR="00FC1C5F" w:rsidRDefault="00727E32" w:rsidP="00FC1C5F">
      <w:pPr>
        <w:pStyle w:val="H3"/>
      </w:pPr>
      <w:bookmarkStart w:id="672" w:name="_Toc98060312"/>
      <w:bookmarkStart w:id="673" w:name="_Toc390438992"/>
      <w:bookmarkStart w:id="674" w:name="_Toc405897703"/>
      <w:bookmarkStart w:id="675" w:name="_Toc415055795"/>
      <w:bookmarkStart w:id="676" w:name="_Toc415055921"/>
      <w:bookmarkStart w:id="677" w:name="_Toc415056020"/>
      <w:bookmarkStart w:id="678" w:name="_Toc415056120"/>
      <w:bookmarkStart w:id="679" w:name="_Toc184623061"/>
      <w:r>
        <w:t>16.11.7</w:t>
      </w:r>
      <w:r>
        <w:tab/>
        <w:t>Release of Market Participant’s Financial Security Requirement</w:t>
      </w:r>
      <w:bookmarkEnd w:id="672"/>
      <w:bookmarkEnd w:id="673"/>
      <w:bookmarkEnd w:id="674"/>
      <w:bookmarkEnd w:id="675"/>
      <w:bookmarkEnd w:id="676"/>
      <w:bookmarkEnd w:id="677"/>
      <w:bookmarkEnd w:id="678"/>
      <w:bookmarkEnd w:id="679"/>
    </w:p>
    <w:p w14:paraId="01790272" w14:textId="77777777" w:rsidR="005A2AD9" w:rsidRDefault="00853D39" w:rsidP="005A2AD9">
      <w:pPr>
        <w:pStyle w:val="BodyText"/>
        <w:ind w:left="720" w:hanging="720"/>
      </w:pPr>
      <w:r>
        <w:t>(1)</w:t>
      </w:r>
      <w:r>
        <w:tab/>
      </w:r>
      <w:r w:rsidR="00727E32">
        <w:t xml:space="preserve">Following the termination of a Market Participant’s </w:t>
      </w:r>
      <w:r w:rsidR="005A2AD9">
        <w:t>Standard Form Market Participant Agreement, ERCOT shall retain Financial Security to cover potential future obligations of the terminated Market Participant.  These obligations may include, but are not limited to, Resettlement Statements, Final or True-Up Settlements, and Default Uplift Invoices.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959551C" w14:textId="77777777" w:rsidTr="004E603E">
        <w:tc>
          <w:tcPr>
            <w:tcW w:w="9332" w:type="dxa"/>
            <w:shd w:val="pct12" w:color="auto" w:fill="auto"/>
          </w:tcPr>
          <w:p w14:paraId="32709083" w14:textId="54CD4420"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364B3FA" w14:textId="058F24FE" w:rsidR="004E603E" w:rsidRPr="008D69E1" w:rsidRDefault="004E603E" w:rsidP="004E603E">
            <w:pPr>
              <w:pStyle w:val="BodyText"/>
              <w:ind w:left="720" w:hanging="720"/>
            </w:pPr>
            <w:r>
              <w:t>(1)</w:t>
            </w:r>
            <w:r>
              <w:tab/>
              <w:t>Following the termination of a Market Participant’s Standard Form Market Participant Agreement, ERCOT shall retain Financial Security to cover potential future obligations of the terminated Market Participant.  These obligations may include, but are not limited to, the Invoices associated with the liquidation of repossessed or forfeited CRRs, Resettlement Statements, Final or True-Up Settlements, and Default Uplift Invoices.</w:t>
            </w:r>
          </w:p>
        </w:tc>
      </w:tr>
    </w:tbl>
    <w:p w14:paraId="06D72B74" w14:textId="77777777" w:rsidR="004E603E" w:rsidRDefault="004E603E"/>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0774F14F" w14:textId="77777777" w:rsidTr="004E603E">
        <w:tc>
          <w:tcPr>
            <w:tcW w:w="9332" w:type="dxa"/>
            <w:shd w:val="pct12" w:color="auto" w:fill="auto"/>
          </w:tcPr>
          <w:p w14:paraId="0666454C" w14:textId="6B12D8AE" w:rsidR="004E603E" w:rsidRPr="0002450E" w:rsidRDefault="004E603E" w:rsidP="004E603E">
            <w:pPr>
              <w:pStyle w:val="Instructions"/>
              <w:spacing w:before="120"/>
              <w:rPr>
                <w:iCs/>
              </w:rPr>
            </w:pPr>
            <w:r>
              <w:rPr>
                <w:iCs/>
              </w:rPr>
              <w:t>[NPRR1023</w:t>
            </w:r>
            <w:r w:rsidRPr="0002450E">
              <w:rPr>
                <w:iCs/>
              </w:rPr>
              <w:t xml:space="preserve">:  </w:t>
            </w:r>
            <w:r>
              <w:rPr>
                <w:iCs/>
              </w:rPr>
              <w:t>Insert</w:t>
            </w:r>
            <w:r w:rsidRPr="0002450E">
              <w:rPr>
                <w:iCs/>
              </w:rPr>
              <w:t xml:space="preserve"> </w:t>
            </w:r>
            <w:r>
              <w:rPr>
                <w:iCs/>
              </w:rPr>
              <w:t>paragraph (2) below</w:t>
            </w:r>
            <w:r w:rsidRPr="0002450E">
              <w:rPr>
                <w:iCs/>
              </w:rPr>
              <w:t xml:space="preserve"> upon system implementation</w:t>
            </w:r>
            <w:r>
              <w:rPr>
                <w:iCs/>
              </w:rPr>
              <w:t xml:space="preserve"> and renumber accordingly</w:t>
            </w:r>
            <w:r w:rsidRPr="0002450E">
              <w:rPr>
                <w:iCs/>
              </w:rPr>
              <w:t xml:space="preserve">:] </w:t>
            </w:r>
          </w:p>
          <w:p w14:paraId="1C7D2158" w14:textId="6CEAA74F" w:rsidR="004E603E" w:rsidRPr="008D69E1" w:rsidRDefault="004E603E" w:rsidP="004E603E">
            <w:pPr>
              <w:pStyle w:val="BodyText"/>
              <w:ind w:left="720" w:hanging="720"/>
            </w:pPr>
            <w:r>
              <w:t>(2)</w:t>
            </w:r>
            <w:r>
              <w:tab/>
              <w:t>R</w:t>
            </w:r>
            <w:r w:rsidRPr="00632DBE">
              <w:t>egardless of whether a Market Participant’s Agreement with ERCOT has been terminated, ERCOT shall not return or release any Financial Security of a Market Participant from whom CRRs were repossessed or forfeited until all such repossessed or forfeited CRRs have been voided, settled in the DAM, or sold in a CRR Auction in accordance with Section 16.11.6.1.6, Liquidation of Repossessed or Forfeited CRRs, and all Invoices associated with the liquidation have been paid in full</w:t>
            </w:r>
            <w:r>
              <w:t>.</w:t>
            </w:r>
          </w:p>
        </w:tc>
      </w:tr>
    </w:tbl>
    <w:p w14:paraId="1A5F8105" w14:textId="153E01C9" w:rsidR="005A2AD9" w:rsidRDefault="005A2AD9" w:rsidP="00974AFC">
      <w:pPr>
        <w:pStyle w:val="BodyText"/>
        <w:spacing w:before="240"/>
        <w:ind w:left="720" w:hanging="720"/>
      </w:pPr>
      <w:r>
        <w:t>(2)</w:t>
      </w:r>
      <w:r>
        <w:tab/>
        <w:t>Required Financial Security for potential future obligations of a terminated Market Participant will be the maximum of the Counter-Party’s TPE, as applicable, or $5,000.</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24161599" w14:textId="77777777" w:rsidTr="004E603E">
        <w:tc>
          <w:tcPr>
            <w:tcW w:w="9332" w:type="dxa"/>
            <w:shd w:val="pct12" w:color="auto" w:fill="auto"/>
          </w:tcPr>
          <w:p w14:paraId="425CCEC8" w14:textId="6E868A18"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7D759D07" w14:textId="2CD58C4E" w:rsidR="004E603E" w:rsidRPr="008D69E1" w:rsidRDefault="004E603E" w:rsidP="004E603E">
            <w:pPr>
              <w:pStyle w:val="BodyText"/>
              <w:ind w:left="720" w:hanging="720"/>
            </w:pPr>
            <w:r>
              <w:t>(3)</w:t>
            </w:r>
            <w:r>
              <w:tab/>
              <w:t>Except as specified in paragraph (2) above, required Financial Security for potential future obligations of a terminated Market Participant will be the maximum of the Counter-Party’s TPE, as applicable, or $5,000.</w:t>
            </w:r>
          </w:p>
        </w:tc>
      </w:tr>
    </w:tbl>
    <w:p w14:paraId="5CE559BC" w14:textId="09F4F4BD" w:rsidR="005A2AD9" w:rsidRDefault="005A2AD9" w:rsidP="00974AFC">
      <w:pPr>
        <w:pStyle w:val="BodyText"/>
        <w:spacing w:before="240"/>
        <w:ind w:left="720" w:hanging="720"/>
      </w:pPr>
      <w:r>
        <w:t>(3)</w:t>
      </w:r>
      <w:r>
        <w:tab/>
        <w:t xml:space="preserve">If a terminated Market Participant elects to withdraw non-cash Financial Security following termination, and ERCOT determines that Financial Security continues to be necessary to cover potential future obligations, then the terminated Market Participant </w:t>
      </w:r>
      <w:r>
        <w:lastRenderedPageBreak/>
        <w:t>must provide ERCOT with Cash Collateral in the amount determined by ERCOT under this section before ERCOT will return or release the non-cash Financial Security to the terminated Market Participant.</w:t>
      </w:r>
    </w:p>
    <w:p w14:paraId="06270304" w14:textId="45F72B5B" w:rsidR="00FC1C5F" w:rsidRDefault="005A2AD9" w:rsidP="005A2AD9">
      <w:pPr>
        <w:pStyle w:val="BodyText"/>
        <w:ind w:left="720" w:hanging="720"/>
      </w:pPr>
      <w:r>
        <w:t>(4)</w:t>
      </w:r>
      <w:r>
        <w:tab/>
        <w:t>Upon ERCOT’s sole determination that no sums remain owed or are necessary to cover potential future obligations to ERCOT by the terminated Market Participant, ERCOT shall return or release any Financial Security held by ERCOT to the terminated Market Participant</w:t>
      </w:r>
      <w:r w:rsidR="00727E32">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5C4B368B" w14:textId="77777777" w:rsidTr="004E603E">
        <w:tc>
          <w:tcPr>
            <w:tcW w:w="9558" w:type="dxa"/>
            <w:shd w:val="pct12" w:color="auto" w:fill="auto"/>
          </w:tcPr>
          <w:p w14:paraId="2654C09D" w14:textId="2EBCA051" w:rsidR="004E603E" w:rsidRPr="0002450E" w:rsidRDefault="004E603E" w:rsidP="004E603E">
            <w:pPr>
              <w:pStyle w:val="Instructions"/>
              <w:spacing w:before="120"/>
              <w:rPr>
                <w:iCs/>
              </w:rPr>
            </w:pPr>
            <w:bookmarkStart w:id="680" w:name="_Toc98060322"/>
            <w:bookmarkStart w:id="681" w:name="_Toc390438993"/>
            <w:bookmarkStart w:id="682" w:name="_Toc405897704"/>
            <w:bookmarkStart w:id="683" w:name="_Toc415055796"/>
            <w:bookmarkStart w:id="684" w:name="_Toc415055922"/>
            <w:bookmarkStart w:id="685" w:name="_Toc415056021"/>
            <w:bookmarkStart w:id="686" w:name="_Toc415056121"/>
            <w:r>
              <w:rPr>
                <w:iCs/>
              </w:rPr>
              <w:t>[NPRR1023</w:t>
            </w:r>
            <w:r w:rsidRPr="0002450E">
              <w:rPr>
                <w:iCs/>
              </w:rPr>
              <w:t xml:space="preserve">:  </w:t>
            </w:r>
            <w:r>
              <w:rPr>
                <w:iCs/>
              </w:rPr>
              <w:t>Insert Section 16.11.8 below</w:t>
            </w:r>
            <w:r w:rsidRPr="0002450E">
              <w:rPr>
                <w:iCs/>
              </w:rPr>
              <w:t xml:space="preserve"> upon system implementation</w:t>
            </w:r>
            <w:r>
              <w:rPr>
                <w:iCs/>
              </w:rPr>
              <w:t xml:space="preserve"> and renumber accordingly</w:t>
            </w:r>
            <w:r w:rsidRPr="0002450E">
              <w:rPr>
                <w:iCs/>
              </w:rPr>
              <w:t xml:space="preserve">:] </w:t>
            </w:r>
          </w:p>
          <w:p w14:paraId="13697806" w14:textId="501E96DE" w:rsidR="004E603E" w:rsidRPr="00084505" w:rsidRDefault="004E603E" w:rsidP="004E603E">
            <w:pPr>
              <w:pStyle w:val="BodyText"/>
              <w:rPr>
                <w:b/>
              </w:rPr>
            </w:pPr>
            <w:r w:rsidRPr="00084505">
              <w:rPr>
                <w:b/>
                <w:i/>
              </w:rPr>
              <w:t>16.11.</w:t>
            </w:r>
            <w:r>
              <w:rPr>
                <w:b/>
                <w:i/>
              </w:rPr>
              <w:t>8</w:t>
            </w:r>
            <w:r>
              <w:rPr>
                <w:b/>
                <w:i/>
              </w:rPr>
              <w:tab/>
            </w:r>
            <w:r w:rsidRPr="00084505">
              <w:rPr>
                <w:b/>
                <w:i/>
              </w:rPr>
              <w:t xml:space="preserve">Conversion of </w:t>
            </w:r>
            <w:r>
              <w:rPr>
                <w:b/>
                <w:i/>
              </w:rPr>
              <w:t>Letters of Credit and Surety Bonds</w:t>
            </w:r>
            <w:r w:rsidRPr="00084505">
              <w:rPr>
                <w:b/>
                <w:i/>
              </w:rPr>
              <w:t xml:space="preserve"> to Cash</w:t>
            </w:r>
            <w:r>
              <w:rPr>
                <w:b/>
                <w:i/>
              </w:rPr>
              <w:t xml:space="preserve"> Collateral</w:t>
            </w:r>
          </w:p>
          <w:p w14:paraId="73DF65A4" w14:textId="777AAE29" w:rsidR="004E603E" w:rsidRPr="004E603E" w:rsidRDefault="004E603E" w:rsidP="004E603E">
            <w:pPr>
              <w:pStyle w:val="BodyText"/>
              <w:ind w:left="720" w:hanging="720"/>
            </w:pPr>
            <w:r>
              <w:t>(1)</w:t>
            </w:r>
            <w:r>
              <w:tab/>
              <w:t>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letters of credit, or surety bonds held as Financial Security to cash collateral.</w:t>
            </w:r>
          </w:p>
        </w:tc>
      </w:tr>
    </w:tbl>
    <w:p w14:paraId="21AB74CA" w14:textId="77777777" w:rsidR="00FC1C5F" w:rsidRDefault="00727E32" w:rsidP="00974AFC">
      <w:pPr>
        <w:pStyle w:val="H3"/>
        <w:spacing w:before="480"/>
      </w:pPr>
      <w:bookmarkStart w:id="687" w:name="_Toc184623062"/>
      <w:r>
        <w:t>16.11.8</w:t>
      </w:r>
      <w:r>
        <w:tab/>
        <w:t>Acceleration</w:t>
      </w:r>
      <w:bookmarkEnd w:id="680"/>
      <w:bookmarkEnd w:id="681"/>
      <w:bookmarkEnd w:id="682"/>
      <w:bookmarkEnd w:id="683"/>
      <w:bookmarkEnd w:id="684"/>
      <w:bookmarkEnd w:id="685"/>
      <w:bookmarkEnd w:id="686"/>
      <w:bookmarkEnd w:id="687"/>
    </w:p>
    <w:p w14:paraId="49AC3609" w14:textId="77777777" w:rsidR="00FC1C5F" w:rsidRDefault="00853D39" w:rsidP="003E09AF">
      <w:pPr>
        <w:pStyle w:val="BodyText"/>
        <w:ind w:left="720" w:hanging="720"/>
      </w:pPr>
      <w:r>
        <w:t>(1)</w:t>
      </w:r>
      <w:r>
        <w:tab/>
      </w:r>
      <w:r w:rsidR="00727E32">
        <w:t>Upon termination of a Market Participant’s rights as a Market Participant and any other agreement(s) between ERCOT and the Market Participant, all sums owed to ERCOT are immediately accelerated and are immediately due and owing in full.  At that time, ERCOT may immediately draw upon the Market Participant’s Financial Security and shall use those funds to offset or recoup all amounts due to ERCOT.</w:t>
      </w:r>
      <w:bookmarkEnd w:id="438"/>
      <w:bookmarkEnd w:id="439"/>
      <w:bookmarkEnd w:id="440"/>
    </w:p>
    <w:p w14:paraId="6EA1CA23" w14:textId="77777777" w:rsidR="00C2117B" w:rsidRPr="002631D7" w:rsidRDefault="00C2117B" w:rsidP="00C2117B">
      <w:pPr>
        <w:pStyle w:val="H2"/>
        <w:rPr>
          <w:lang w:val="en-US" w:eastAsia="en-US"/>
        </w:rPr>
      </w:pPr>
      <w:bookmarkStart w:id="688" w:name="_Toc390438994"/>
      <w:bookmarkStart w:id="689" w:name="_Toc405897705"/>
      <w:bookmarkStart w:id="690" w:name="_Toc415055797"/>
      <w:bookmarkStart w:id="691" w:name="_Toc415055923"/>
      <w:bookmarkStart w:id="692" w:name="_Toc415056022"/>
      <w:bookmarkStart w:id="693" w:name="_Toc415056122"/>
      <w:bookmarkStart w:id="694" w:name="_Toc184623063"/>
      <w:r w:rsidRPr="002631D7">
        <w:rPr>
          <w:lang w:val="en-US" w:eastAsia="en-US"/>
        </w:rPr>
        <w:t>16.12</w:t>
      </w:r>
      <w:r w:rsidRPr="002631D7">
        <w:rPr>
          <w:lang w:val="en-US" w:eastAsia="en-US"/>
        </w:rPr>
        <w:tab/>
        <w:t>User Security Administrator and Digital Certificates</w:t>
      </w:r>
      <w:bookmarkEnd w:id="688"/>
      <w:bookmarkEnd w:id="689"/>
      <w:bookmarkEnd w:id="690"/>
      <w:bookmarkEnd w:id="691"/>
      <w:bookmarkEnd w:id="692"/>
      <w:bookmarkEnd w:id="693"/>
      <w:bookmarkEnd w:id="694"/>
    </w:p>
    <w:p w14:paraId="4FD49CDF" w14:textId="77777777" w:rsidR="00462B48" w:rsidRDefault="00462B48" w:rsidP="00462B48">
      <w:pPr>
        <w:pStyle w:val="H2"/>
        <w:tabs>
          <w:tab w:val="clear" w:pos="900"/>
        </w:tabs>
        <w:spacing w:before="0"/>
        <w:ind w:left="720" w:hanging="720"/>
        <w:outlineLvl w:val="9"/>
        <w:rPr>
          <w:b w:val="0"/>
        </w:rPr>
      </w:pPr>
      <w:bookmarkStart w:id="695"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ERCOT computer systems through the use of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2A92F01A" w14:textId="12488BB4" w:rsidR="00462B48" w:rsidRDefault="00462B48" w:rsidP="00520F89">
      <w:pPr>
        <w:pStyle w:val="H2"/>
        <w:tabs>
          <w:tab w:val="clear" w:pos="900"/>
        </w:tabs>
        <w:spacing w:before="0"/>
        <w:ind w:left="720" w:hanging="720"/>
        <w:outlineLvl w:val="9"/>
        <w:rPr>
          <w:b w:val="0"/>
        </w:rPr>
      </w:pPr>
      <w:r>
        <w:rPr>
          <w:b w:val="0"/>
        </w:rPr>
        <w:t>(2)</w:t>
      </w:r>
      <w:r>
        <w:rPr>
          <w:b w:val="0"/>
        </w:rPr>
        <w:tab/>
      </w:r>
      <w:r w:rsidR="005C5A94" w:rsidRPr="00F80DFA">
        <w:rPr>
          <w:b w:val="0"/>
        </w:rPr>
        <w:t xml:space="preserve">A User Security Administrator (USA) is responsible for managing the Market Participant’s access to </w:t>
      </w:r>
      <w:r w:rsidR="005C5A94">
        <w:rPr>
          <w:b w:val="0"/>
        </w:rPr>
        <w:t>non-public ERCOT</w:t>
      </w:r>
      <w:r w:rsidR="005C5A94" w:rsidRPr="00F80DFA">
        <w:rPr>
          <w:b w:val="0"/>
        </w:rPr>
        <w:t xml:space="preserve"> computer systems through Digital Certificates.  </w:t>
      </w:r>
      <w:r w:rsidR="005C5A94">
        <w:rPr>
          <w:b w:val="0"/>
        </w:rPr>
        <w:t xml:space="preserve">A USA may also be responsible for managing the </w:t>
      </w:r>
      <w:r w:rsidR="005C5A94" w:rsidRPr="00F80DFA">
        <w:rPr>
          <w:b w:val="0"/>
        </w:rPr>
        <w:t>Market Participant’s access</w:t>
      </w:r>
      <w:r w:rsidR="005C5A94">
        <w:rPr>
          <w:b w:val="0"/>
        </w:rPr>
        <w:t xml:space="preserve"> to </w:t>
      </w:r>
      <w:r w:rsidR="005C5A94" w:rsidRPr="005175C4">
        <w:rPr>
          <w:b w:val="0"/>
        </w:rPr>
        <w:t xml:space="preserve">the online </w:t>
      </w:r>
      <w:r w:rsidR="005C5A94">
        <w:rPr>
          <w:b w:val="0"/>
        </w:rPr>
        <w:t>Resource Integration and Ongoing Operations (“RIOO”)</w:t>
      </w:r>
      <w:r w:rsidR="005C5A94" w:rsidRPr="005175C4">
        <w:rPr>
          <w:b w:val="0"/>
        </w:rPr>
        <w:t xml:space="preserve"> system, which does not require a Digital Certificate</w:t>
      </w:r>
      <w:r w:rsidR="005C5A94">
        <w:rPr>
          <w:b w:val="0"/>
        </w:rPr>
        <w:t xml:space="preserve">.  </w:t>
      </w:r>
      <w:r w:rsidR="005C5A94" w:rsidRPr="00F80DFA">
        <w:rPr>
          <w:b w:val="0"/>
        </w:rPr>
        <w:t>Each Market Participant</w:t>
      </w:r>
      <w:r w:rsidR="005C5A94">
        <w:rPr>
          <w:b w:val="0"/>
        </w:rPr>
        <w:t xml:space="preserve"> that will receive Digital Certificate(s)</w:t>
      </w:r>
      <w:r w:rsidR="005C5A94" w:rsidRPr="00F80DFA">
        <w:rPr>
          <w:b w:val="0"/>
        </w:rPr>
        <w:t xml:space="preserve"> must, as part of the application for registration with ERCOT, designate an individual employee or authorized agent as its USA, and optionally, a </w:t>
      </w:r>
      <w:r w:rsidR="005C5A94">
        <w:rPr>
          <w:b w:val="0"/>
        </w:rPr>
        <w:t>backup</w:t>
      </w:r>
      <w:r w:rsidR="005C5A94" w:rsidRPr="00F80DFA">
        <w:rPr>
          <w:b w:val="0"/>
        </w:rPr>
        <w:t xml:space="preserve"> USA.  If a Market Participant has designated a </w:t>
      </w:r>
      <w:r w:rsidR="005C5A94">
        <w:rPr>
          <w:b w:val="0"/>
        </w:rPr>
        <w:t>backup</w:t>
      </w:r>
      <w:r w:rsidR="005C5A94" w:rsidRPr="00F80DFA">
        <w:rPr>
          <w:b w:val="0"/>
        </w:rPr>
        <w:t xml:space="preserve"> USA</w:t>
      </w:r>
      <w:r w:rsidR="005C5A94">
        <w:rPr>
          <w:b w:val="0"/>
        </w:rPr>
        <w:t xml:space="preserve"> and </w:t>
      </w:r>
      <w:r w:rsidR="005C5A94" w:rsidRPr="00F80DFA">
        <w:rPr>
          <w:b w:val="0"/>
        </w:rPr>
        <w:t>the primary USA</w:t>
      </w:r>
      <w:r w:rsidR="005C5A94">
        <w:rPr>
          <w:b w:val="0"/>
        </w:rPr>
        <w:t xml:space="preserve"> fails to perform, </w:t>
      </w:r>
      <w:r w:rsidR="005C5A94">
        <w:rPr>
          <w:b w:val="0"/>
        </w:rPr>
        <w:lastRenderedPageBreak/>
        <w:t>or is unable to</w:t>
      </w:r>
      <w:r w:rsidR="005C5A94" w:rsidRPr="000B18AC">
        <w:rPr>
          <w:b w:val="0"/>
        </w:rPr>
        <w:t xml:space="preserve"> perf</w:t>
      </w:r>
      <w:r w:rsidR="005C5A94">
        <w:rPr>
          <w:b w:val="0"/>
        </w:rPr>
        <w:t>orm, the functions required of a USA, then the backup USA shall perform any and all functions required of the primary USA</w:t>
      </w:r>
      <w:r w:rsidR="005C5A94" w:rsidRPr="000B18AC">
        <w:rPr>
          <w:b w:val="0"/>
        </w:rPr>
        <w:t>.</w:t>
      </w:r>
      <w:r w:rsidR="005C5A94"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r w:rsidR="005C5A94">
        <w:rPr>
          <w:b w:val="0"/>
        </w:rPr>
        <w:t xml:space="preserve">ERCOT Critical Energy Infrastructure Information (ECEII) posted on the Market Information System (MIS) Secure or Certified Area may be accessed only by those individuals that are issued ECEII-eligible Digital Certificates.  </w:t>
      </w:r>
      <w:r w:rsidR="005C5A94" w:rsidRPr="00276CA9">
        <w:rPr>
          <w:b w:val="0"/>
        </w:rPr>
        <w:t>Each</w:t>
      </w:r>
      <w:r w:rsidR="005C5A94" w:rsidRPr="00F80DFA">
        <w:rPr>
          <w:b w:val="0"/>
        </w:rPr>
        <w:t xml:space="preserve"> Market Participant </w:t>
      </w:r>
      <w:r w:rsidR="005C5A94">
        <w:rPr>
          <w:b w:val="0"/>
        </w:rPr>
        <w:t xml:space="preserve">that will receive Digital Certificates and </w:t>
      </w:r>
      <w:r w:rsidR="005C5A94" w:rsidRPr="00F80DFA">
        <w:rPr>
          <w:b w:val="0"/>
        </w:rPr>
        <w:t xml:space="preserve"> </w:t>
      </w:r>
      <w:r w:rsidR="005C5A94">
        <w:rPr>
          <w:b w:val="0"/>
        </w:rPr>
        <w:t>having</w:t>
      </w:r>
      <w:r w:rsidR="005C5A94"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sidR="005C5A94">
        <w:rPr>
          <w:b w:val="0"/>
        </w:rPr>
        <w:t xml:space="preserve"> the Digital Certificate user guide.</w:t>
      </w:r>
      <w:r>
        <w:rPr>
          <w:b w:val="0"/>
        </w:rPr>
        <w:t xml:space="preserve"> </w:t>
      </w:r>
    </w:p>
    <w:p w14:paraId="6211EE29" w14:textId="7DE936D1" w:rsidR="00462B48" w:rsidRPr="00DB1C2A" w:rsidRDefault="00462B48" w:rsidP="00C2150F">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p>
    <w:p w14:paraId="64EA7721" w14:textId="77777777" w:rsidR="00462B48" w:rsidRPr="00DB1C2A" w:rsidRDefault="00462B48" w:rsidP="00462B48">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lang w:val="en-US"/>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Digital Certificate will be subject to the same requirements applicable to the processing of an initial request by a new Market Participant. </w:t>
      </w:r>
    </w:p>
    <w:p w14:paraId="11E91DD5" w14:textId="77777777" w:rsidR="00462B48" w:rsidRPr="00DB1C2A" w:rsidRDefault="00462B48" w:rsidP="00462B48">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lang w:val="en-US"/>
        </w:rPr>
        <w:t xml:space="preserve"> </w:t>
      </w:r>
      <w:r w:rsidRPr="00DB1C2A">
        <w:rPr>
          <w:b w:val="0"/>
        </w:rPr>
        <w:t>out of designating a USA and receiving Digital Certificates are not excused from obligations under the ERCOT Protocols, other than the obligations required in this Section 16.12 regarding Digital Certificates.  Market Participants who opt</w:t>
      </w:r>
      <w:r w:rsidR="00DC3589" w:rsidRPr="00DB1C2A">
        <w:rPr>
          <w:b w:val="0"/>
        </w:rPr>
        <w:t xml:space="preserve"> </w:t>
      </w:r>
      <w:r w:rsidRPr="00DB1C2A">
        <w:rPr>
          <w:b w:val="0"/>
        </w:rPr>
        <w:t>out shall still be required to submit the 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Market Participant Audits of User Security Administrators and Digital Certificates, for the portion of the year, if any, during which they had a USA and Digital Certificate(s).</w:t>
      </w:r>
    </w:p>
    <w:p w14:paraId="372A3CFC" w14:textId="77777777" w:rsidR="00C2117B" w:rsidRPr="00F80DFA" w:rsidRDefault="00462B48" w:rsidP="00462B48">
      <w:pPr>
        <w:pStyle w:val="H2"/>
        <w:tabs>
          <w:tab w:val="clear" w:pos="900"/>
        </w:tabs>
        <w:spacing w:before="0"/>
        <w:ind w:left="720" w:hanging="720"/>
        <w:outlineLvl w:val="9"/>
        <w:rPr>
          <w:b w:val="0"/>
          <w:lang w:val="en-US"/>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lang w:val="en-US"/>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lang w:val="en-US"/>
        </w:rPr>
        <w:t xml:space="preserve"> </w:t>
      </w:r>
      <w:r w:rsidRPr="00273115">
        <w:rPr>
          <w:b w:val="0"/>
        </w:rPr>
        <w:t xml:space="preserve">out of designating a USA and receiving Digital </w:t>
      </w:r>
      <w:r w:rsidRPr="00273115">
        <w:rPr>
          <w:b w:val="0"/>
        </w:rPr>
        <w:lastRenderedPageBreak/>
        <w:t>Certificates may, at any time, cancel its opt-out status by submitting a</w:t>
      </w:r>
      <w:r>
        <w:rPr>
          <w:b w:val="0"/>
        </w:rPr>
        <w:t>n</w:t>
      </w:r>
      <w:r w:rsidRPr="00273115">
        <w:rPr>
          <w:b w:val="0"/>
        </w:rPr>
        <w:t xml:space="preserve"> NCI </w:t>
      </w:r>
      <w:r>
        <w:rPr>
          <w:b w:val="0"/>
        </w:rPr>
        <w:t>f</w:t>
      </w:r>
      <w:r w:rsidRPr="00273115">
        <w:rPr>
          <w:b w:val="0"/>
        </w:rPr>
        <w:t>orm (Section 23, Form E).</w:t>
      </w:r>
      <w:bookmarkEnd w:id="695"/>
    </w:p>
    <w:p w14:paraId="6A7269C2" w14:textId="77777777" w:rsidR="00FC1C5F" w:rsidRDefault="00727E32" w:rsidP="003E021A">
      <w:pPr>
        <w:pStyle w:val="H3"/>
      </w:pPr>
      <w:bookmarkStart w:id="696" w:name="_Toc390438995"/>
      <w:bookmarkStart w:id="697" w:name="_Toc405897706"/>
      <w:bookmarkStart w:id="698" w:name="_Toc415055798"/>
      <w:bookmarkStart w:id="699" w:name="_Toc415055924"/>
      <w:bookmarkStart w:id="700" w:name="_Toc415056023"/>
      <w:bookmarkStart w:id="701" w:name="_Toc415056123"/>
      <w:bookmarkStart w:id="702" w:name="_Toc184623064"/>
      <w:r>
        <w:t>16.12.1</w:t>
      </w:r>
      <w:r>
        <w:tab/>
        <w:t>USA Responsibilities and Qualifications for Digital Certificate Holders</w:t>
      </w:r>
      <w:bookmarkEnd w:id="696"/>
      <w:bookmarkEnd w:id="697"/>
      <w:bookmarkEnd w:id="698"/>
      <w:bookmarkEnd w:id="699"/>
      <w:bookmarkEnd w:id="700"/>
      <w:bookmarkEnd w:id="701"/>
      <w:bookmarkEnd w:id="702"/>
    </w:p>
    <w:p w14:paraId="42502BFE" w14:textId="77777777" w:rsidR="00FC1C5F" w:rsidRDefault="00853D39" w:rsidP="003E09AF">
      <w:pPr>
        <w:pStyle w:val="BodyText"/>
        <w:ind w:left="720" w:hanging="720"/>
      </w:pPr>
      <w:r>
        <w:t>(1)</w:t>
      </w:r>
      <w:r>
        <w:tab/>
      </w:r>
      <w:r w:rsidR="00727E32">
        <w:t>The USA and the Market Participant are responsible for the following:</w:t>
      </w:r>
    </w:p>
    <w:p w14:paraId="18B4740F" w14:textId="77777777" w:rsidR="00462B48" w:rsidRDefault="00462B48" w:rsidP="00462B48">
      <w:pPr>
        <w:pStyle w:val="List"/>
      </w:pPr>
      <w:r>
        <w:t>(a)</w:t>
      </w:r>
      <w:r>
        <w:tab/>
        <w:t>Requesting Digital Certificates for authorized Certificate Holders (either persons or programmatic interfaces) that the USA has qualified through an appropriate screening process requiring confirmation that the Certificate Holder is an employee or authorized agent (including third parties) of the Market Participant.  A Certificate Holder (including the USA) must be qualified as set forth below.  The Market Participant shall be liable for ensuring that each of its Certificate Holder(s) meets the requirements of (i) – (v) below.</w:t>
      </w:r>
    </w:p>
    <w:p w14:paraId="5DD5338C" w14:textId="77777777" w:rsidR="00462B48" w:rsidRDefault="00462B48" w:rsidP="00462B48">
      <w:pPr>
        <w:pStyle w:val="List2"/>
      </w:pPr>
      <w:r>
        <w:t>(i)</w:t>
      </w:r>
      <w:r>
        <w:tab/>
        <w:t xml:space="preserve">For any employee or authorized agent receiving a Digital Certificate, the Market Participant shall confirm that the employee or authorized agent satisfies reasonable background review sufficient for employment or contract with the Market Participant so as to reasonably limit threat(s) to ERCOT’s market or computer systems.  The Market Participant may not request that Digital Certificates be issued to any employee or authorized agent that it determines, after reasonable background review, poses a threat to ERCOT’s market or computer systems.  </w:t>
      </w:r>
    </w:p>
    <w:p w14:paraId="5727625E" w14:textId="77777777" w:rsidR="00462B48" w:rsidRDefault="00462B48" w:rsidP="00462B48">
      <w:pPr>
        <w:pStyle w:val="List2"/>
      </w:pPr>
      <w:r>
        <w:t>(ii)</w:t>
      </w:r>
      <w:r>
        <w:tab/>
        <w:t xml:space="preserve">The Certificate Holder is aware of the rules and restrictions relating to the use of Digital Certificates.  </w:t>
      </w:r>
    </w:p>
    <w:p w14:paraId="1CF58831" w14:textId="77777777" w:rsidR="00462B48" w:rsidRDefault="00462B48" w:rsidP="00462B48">
      <w:pPr>
        <w:pStyle w:val="List2"/>
        <w:rPr>
          <w:b/>
          <w:i/>
        </w:rPr>
      </w:pPr>
      <w:r>
        <w:t>(iii)</w:t>
      </w:r>
      <w:r>
        <w:tab/>
        <w:t xml:space="preserve">The Certificate Holder is eligible to review and receive technology and software under applicable export control laws and regulations.  ERCOT shall post links to such laws and regulations on the ERCOT website. </w:t>
      </w:r>
    </w:p>
    <w:p w14:paraId="127683B0" w14:textId="77777777" w:rsidR="00462B48" w:rsidRDefault="00462B48" w:rsidP="00462B48">
      <w:pPr>
        <w:pStyle w:val="List2"/>
      </w:pPr>
      <w:r>
        <w:t>(iv)</w:t>
      </w:r>
      <w:r>
        <w:tab/>
        <w:t xml:space="preserve">The Market Participant has conducted a reasonable review of the Certificate Holder and has confirmed that the Certificate Holder is not on any U.S. terrorist threat lists such as the Consolidated Screening List or the Federal Bureau of Investigation Most Wanted Terrorists List.  ERCOT will post links to relevant lists on the ERCOT website.  </w:t>
      </w:r>
    </w:p>
    <w:p w14:paraId="67A6C024" w14:textId="77777777" w:rsidR="00462B48" w:rsidRDefault="00462B48" w:rsidP="00462B48">
      <w:pPr>
        <w:pStyle w:val="List2"/>
      </w:pPr>
      <w:r>
        <w:t>(v)</w:t>
      </w:r>
      <w:r>
        <w:tab/>
        <w:t>The Certificate Holder does not violate the conditions of use specified by the software vendor that provides the Digital Certificates for the Market Participant’s use and provided to the Certificate Holder.  ERCOT will post links to relevant conditions of use on the ERCOT website</w:t>
      </w:r>
      <w:r w:rsidR="00DC3589">
        <w:t>.</w:t>
      </w:r>
    </w:p>
    <w:p w14:paraId="032610AE" w14:textId="77777777" w:rsidR="00462B48" w:rsidRDefault="00462B48" w:rsidP="00462B48">
      <w:pPr>
        <w:pStyle w:val="List"/>
      </w:pPr>
      <w:r>
        <w:t>(b)</w:t>
      </w:r>
      <w:r>
        <w:tab/>
        <w:t xml:space="preserve">Requesting revocation of Digital Certificates.  </w:t>
      </w:r>
      <w:r w:rsidRPr="00ED1058">
        <w:t xml:space="preserve">The Market Participant or USA shall request revocation </w:t>
      </w:r>
      <w:r>
        <w:t xml:space="preserve">of Digital Certificates </w:t>
      </w:r>
      <w:r w:rsidRPr="00ED1058">
        <w:t xml:space="preserve">by proceeding with the ERCOT </w:t>
      </w:r>
      <w:r>
        <w:t>Digital Certificate</w:t>
      </w:r>
      <w:r w:rsidRPr="00ED1058">
        <w:t xml:space="preserve"> revocation process</w:t>
      </w:r>
      <w:r>
        <w:t xml:space="preserve"> as described in the Digital Certificate User Guide</w:t>
      </w:r>
      <w:r w:rsidRPr="00ED1058">
        <w:t xml:space="preserve">. </w:t>
      </w:r>
      <w:r>
        <w:t xml:space="preserve"> The Market Participant or USA shall request revocation of a Digital Certificate under any of the following conditions:</w:t>
      </w:r>
    </w:p>
    <w:p w14:paraId="665A9064" w14:textId="77777777" w:rsidR="00462B48" w:rsidRDefault="00462B48" w:rsidP="00462B48">
      <w:pPr>
        <w:pStyle w:val="List2"/>
      </w:pPr>
      <w:r>
        <w:lastRenderedPageBreak/>
        <w:t>(i)</w:t>
      </w:r>
      <w:r>
        <w:tab/>
        <w:t>As soon as possible but no later than three Business Days after:</w:t>
      </w:r>
    </w:p>
    <w:p w14:paraId="3B623A7A" w14:textId="77777777" w:rsidR="00462B48" w:rsidRDefault="00462B48" w:rsidP="00462B48">
      <w:pPr>
        <w:pStyle w:val="List2"/>
        <w:ind w:left="2880"/>
      </w:pPr>
      <w:r>
        <w:t>(A)</w:t>
      </w:r>
      <w:r>
        <w:tab/>
        <w:t>A Certificate Holder ceases employment with the Market Participant; or</w:t>
      </w:r>
    </w:p>
    <w:p w14:paraId="426A2540" w14:textId="77777777" w:rsidR="00462B48" w:rsidRDefault="00462B48" w:rsidP="00462B48">
      <w:pPr>
        <w:pStyle w:val="List2"/>
        <w:ind w:left="2880"/>
      </w:pPr>
      <w:r>
        <w:t>(B)</w:t>
      </w:r>
      <w:r>
        <w:tab/>
        <w:t xml:space="preserve">The Market Participant becomes aware that a Certificate Holder is changing job functions (pursuant to a reasonable process for identifying when job function changes occur) so that the Certificate Holder no longer needs the Digital Certificate; </w:t>
      </w:r>
    </w:p>
    <w:p w14:paraId="7D23D44C" w14:textId="77777777" w:rsidR="00462B48" w:rsidRDefault="00462B48" w:rsidP="00462B48">
      <w:pPr>
        <w:pStyle w:val="List2"/>
      </w:pPr>
      <w:r>
        <w:t>(ii)</w:t>
      </w:r>
      <w:r>
        <w:tab/>
        <w:t xml:space="preserve">As soon as possible, but no later than five Business Days, after the Market Participant becomes aware (pursuant to a reasonable process for identifying violations) that the Certificate Holder has violated any of the following conditions of use of a Digital Certificate: </w:t>
      </w:r>
    </w:p>
    <w:p w14:paraId="629475D2" w14:textId="77777777" w:rsidR="00462B48" w:rsidRDefault="00462B48" w:rsidP="00462B48">
      <w:pPr>
        <w:pStyle w:val="List3"/>
      </w:pPr>
      <w:r>
        <w:t>(A)</w:t>
      </w:r>
      <w:r>
        <w:tab/>
        <w:t>Violating the requirements if any of paragraph (1)(a)(i) – (v) above;</w:t>
      </w:r>
    </w:p>
    <w:p w14:paraId="7478F033" w14:textId="77777777" w:rsidR="00462B48" w:rsidRDefault="00462B48" w:rsidP="00462B48">
      <w:pPr>
        <w:pStyle w:val="List3"/>
      </w:pPr>
      <w:r>
        <w:t>(B)</w:t>
      </w:r>
      <w:r>
        <w:tab/>
        <w:t xml:space="preserve">Using the Digital Certificate for any unauthorized purpose; or </w:t>
      </w:r>
    </w:p>
    <w:p w14:paraId="5EA3B87B" w14:textId="77777777" w:rsidR="00462B48" w:rsidRDefault="00462B48" w:rsidP="00462B48">
      <w:pPr>
        <w:pStyle w:val="List3"/>
      </w:pPr>
      <w:r>
        <w:t>(C)</w:t>
      </w:r>
      <w:r>
        <w:tab/>
        <w:t xml:space="preserve">Allowing any person other than the Certificate Holder to use the Digital Certificate. </w:t>
      </w:r>
    </w:p>
    <w:p w14:paraId="49E92C83" w14:textId="77777777" w:rsidR="00FC1C5F" w:rsidRDefault="00727E32" w:rsidP="003E021A">
      <w:pPr>
        <w:pStyle w:val="List"/>
      </w:pPr>
      <w:r>
        <w:t>(c)</w:t>
      </w:r>
      <w:r>
        <w:tab/>
        <w:t>Managing the level of access for each Certificate Holder by assigning and maintaining Digital Certificate roles for each authorized user in accordance with the process set forth in</w:t>
      </w:r>
      <w:r w:rsidR="00B96953">
        <w:t xml:space="preserve"> ERCOT’s Digital Certificate user guide.</w:t>
      </w:r>
    </w:p>
    <w:p w14:paraId="115D71AA" w14:textId="77777777" w:rsidR="00FC1C5F" w:rsidRDefault="00727E32">
      <w:pPr>
        <w:pStyle w:val="List"/>
        <w:tabs>
          <w:tab w:val="left" w:pos="720"/>
          <w:tab w:val="left" w:pos="1440"/>
          <w:tab w:val="left" w:pos="2160"/>
          <w:tab w:val="left" w:pos="2880"/>
          <w:tab w:val="left" w:pos="3600"/>
          <w:tab w:val="left" w:pos="4320"/>
          <w:tab w:val="left" w:pos="5040"/>
          <w:tab w:val="left" w:pos="5760"/>
          <w:tab w:val="left" w:pos="8112"/>
        </w:tabs>
      </w:pPr>
      <w:r>
        <w:t>(d)</w:t>
      </w:r>
      <w:r>
        <w:tab/>
        <w:t>Requesting annual renewal of Digital Certificates.</w:t>
      </w:r>
      <w:r>
        <w:tab/>
      </w:r>
    </w:p>
    <w:p w14:paraId="48DE3297" w14:textId="77777777" w:rsidR="00FC1C5F" w:rsidRDefault="00727E32">
      <w:pPr>
        <w:pStyle w:val="List"/>
      </w:pPr>
      <w:r>
        <w:t>(e)</w:t>
      </w:r>
      <w:r>
        <w:tab/>
        <w:t xml:space="preserve">If needed, issuing Digital Certificates for use by electronic systems not limited to servers. </w:t>
      </w:r>
    </w:p>
    <w:p w14:paraId="0F47AEAA" w14:textId="77777777" w:rsidR="00FC1C5F" w:rsidRDefault="00727E32">
      <w:pPr>
        <w:pStyle w:val="List"/>
        <w:numPr>
          <w:ilvl w:val="0"/>
          <w:numId w:val="6"/>
        </w:numPr>
        <w:tabs>
          <w:tab w:val="clear" w:pos="1080"/>
        </w:tabs>
        <w:ind w:left="1440" w:hanging="720"/>
      </w:pPr>
      <w:r>
        <w:t xml:space="preserve">Maintaining the integrity of the administration of Digital Certificates through consistent, sound and reasonable business practices. </w:t>
      </w:r>
    </w:p>
    <w:p w14:paraId="4C046123" w14:textId="77777777" w:rsidR="00FC1C5F" w:rsidRDefault="00727E32">
      <w:pPr>
        <w:pStyle w:val="H3"/>
      </w:pPr>
      <w:bookmarkStart w:id="703" w:name="_Toc390438996"/>
      <w:bookmarkStart w:id="704" w:name="_Toc405897707"/>
      <w:bookmarkStart w:id="705" w:name="_Toc415055799"/>
      <w:bookmarkStart w:id="706" w:name="_Toc415055925"/>
      <w:bookmarkStart w:id="707" w:name="_Toc415056024"/>
      <w:bookmarkStart w:id="708" w:name="_Toc415056124"/>
      <w:bookmarkStart w:id="709" w:name="_Toc184623065"/>
      <w:r>
        <w:t>16.12.2</w:t>
      </w:r>
      <w:r>
        <w:tab/>
        <w:t>Requirements for Use of Digital Certificates</w:t>
      </w:r>
      <w:bookmarkEnd w:id="703"/>
      <w:bookmarkEnd w:id="704"/>
      <w:bookmarkEnd w:id="705"/>
      <w:bookmarkEnd w:id="706"/>
      <w:bookmarkEnd w:id="707"/>
      <w:bookmarkEnd w:id="708"/>
      <w:bookmarkEnd w:id="709"/>
    </w:p>
    <w:p w14:paraId="5F0F4A17" w14:textId="77777777" w:rsidR="00FC1C5F" w:rsidRDefault="00853D39">
      <w:pPr>
        <w:pStyle w:val="List"/>
        <w:ind w:left="720"/>
      </w:pPr>
      <w:r>
        <w:t>(1)</w:t>
      </w:r>
      <w:r>
        <w:tab/>
      </w:r>
      <w:r w:rsidR="00727E32">
        <w:t>Use of Digital Certificates must comply with the following:</w:t>
      </w:r>
    </w:p>
    <w:p w14:paraId="689A2E0B" w14:textId="77777777" w:rsidR="00FC1C5F" w:rsidRDefault="00727E32">
      <w:pPr>
        <w:pStyle w:val="List"/>
      </w:pPr>
      <w:r>
        <w:t>(a)</w:t>
      </w:r>
      <w:r>
        <w:tab/>
        <w:t xml:space="preserve">A Digital Certificate shall be used by only one individual and may not be shared.  If multiple employees or authorized agents share a computer and each requires a Digital Certificate, the </w:t>
      </w:r>
      <w:smartTag w:uri="urn:schemas-microsoft-com:office:smarttags" w:element="place">
        <w:smartTag w:uri="urn:schemas-microsoft-com:office:smarttags" w:element="country-region">
          <w:r>
            <w:t>USA</w:t>
          </w:r>
        </w:smartTag>
      </w:smartTag>
      <w:r>
        <w:t xml:space="preserve"> shall request separate Digital Certificates for each. Multiple Digital Certificates may be installed and managed on a single computer.  ERCOT shall include instructions on how to manage multiple Digital Certificates in</w:t>
      </w:r>
      <w:r w:rsidR="00B96953">
        <w:t xml:space="preserve"> the Digital Certificate user guide.</w:t>
      </w:r>
    </w:p>
    <w:p w14:paraId="7DE54617" w14:textId="77777777" w:rsidR="00B96953" w:rsidRDefault="00727E32">
      <w:pPr>
        <w:pStyle w:val="List"/>
      </w:pPr>
      <w:r>
        <w:t>(b)</w:t>
      </w:r>
      <w:r>
        <w:tab/>
      </w:r>
      <w:r w:rsidR="00B96953">
        <w:t>A Digital Certificate may not be traded or sold.</w:t>
      </w:r>
    </w:p>
    <w:p w14:paraId="5FBEE859" w14:textId="77777777" w:rsidR="00FC1C5F" w:rsidRDefault="00B96953">
      <w:pPr>
        <w:pStyle w:val="List"/>
      </w:pPr>
      <w:r>
        <w:lastRenderedPageBreak/>
        <w:t>(c)</w:t>
      </w:r>
      <w:r>
        <w:tab/>
      </w:r>
      <w:r w:rsidR="00727E32">
        <w:t>Electronic equipment on which the Digital Certificate resides must be physically and electronically secured in a reasonable manner to prevent improper use of the Digital Certificate.</w:t>
      </w:r>
    </w:p>
    <w:p w14:paraId="39E4923F" w14:textId="77777777" w:rsidR="00FC1C5F" w:rsidRDefault="00727E32">
      <w:pPr>
        <w:pStyle w:val="List"/>
      </w:pPr>
      <w:r>
        <w:t>(</w:t>
      </w:r>
      <w:r w:rsidR="00B96953">
        <w:t>d</w:t>
      </w:r>
      <w:r>
        <w:t>)</w:t>
      </w:r>
      <w:r>
        <w:tab/>
        <w:t>The Market Participant is wholly responsible for any use of Digital Certificates issued by its USA.</w:t>
      </w:r>
    </w:p>
    <w:p w14:paraId="10CB54A7" w14:textId="77777777" w:rsidR="00FC1C5F" w:rsidRDefault="00727E32">
      <w:pPr>
        <w:pStyle w:val="H3"/>
      </w:pPr>
      <w:bookmarkStart w:id="710" w:name="_Toc390438997"/>
      <w:bookmarkStart w:id="711" w:name="_Toc405897708"/>
      <w:bookmarkStart w:id="712" w:name="_Toc415055800"/>
      <w:bookmarkStart w:id="713" w:name="_Toc415055926"/>
      <w:bookmarkStart w:id="714" w:name="_Toc415056025"/>
      <w:bookmarkStart w:id="715" w:name="_Toc415056125"/>
      <w:bookmarkStart w:id="716" w:name="_Toc184623066"/>
      <w:r>
        <w:t>16.12.3</w:t>
      </w:r>
      <w:r>
        <w:tab/>
        <w:t>Market Participant Audits of User Security Administrators and Digital Certificates</w:t>
      </w:r>
      <w:bookmarkEnd w:id="710"/>
      <w:bookmarkEnd w:id="711"/>
      <w:bookmarkEnd w:id="712"/>
      <w:bookmarkEnd w:id="713"/>
      <w:bookmarkEnd w:id="714"/>
      <w:bookmarkEnd w:id="715"/>
      <w:bookmarkEnd w:id="716"/>
    </w:p>
    <w:p w14:paraId="637B555F" w14:textId="77777777" w:rsidR="00462B48" w:rsidRDefault="00462B48" w:rsidP="00462B48">
      <w:pPr>
        <w:pStyle w:val="BodyText"/>
        <w:ind w:left="720" w:hanging="720"/>
      </w:pPr>
      <w:r>
        <w:t>(1)</w:t>
      </w:r>
      <w:r>
        <w:tab/>
        <w:t>During September of each year, each Market Participant that has been issued any Digital Certificates shall generate a list of its registered USA and Certificate Holders.  The Market Participant, through its USA or another authorized third party, shall perform an audit by reviewing the list and noting any inconsistencies or instances of non-compliance (including, for example, any Certificate Holder that may have changed job functions and no longer requires the Digital Certificate).  If the Market Participant or its USA or the authorized third party identifies discrepancies, the USA shall use the process for managing Digital Certificates as included in ERCOT’s Digital Certificate user guide to rectify the discrepancy. The audit must, at a minimum confirm that:</w:t>
      </w:r>
    </w:p>
    <w:p w14:paraId="0D86FB07" w14:textId="77777777" w:rsidR="00462B48" w:rsidRDefault="00462B48" w:rsidP="00462B48">
      <w:pPr>
        <w:pStyle w:val="List"/>
      </w:pPr>
      <w:r>
        <w:t>(a)</w:t>
      </w:r>
      <w:r>
        <w:tab/>
        <w:t xml:space="preserve">The Market Participant and each listed USA and Certificate Holder meet the applicable requirements of paragraph (1)(a) of </w:t>
      </w:r>
      <w:r w:rsidRPr="0085242C">
        <w:t>Section 16.12.1</w:t>
      </w:r>
      <w:r>
        <w:t>, USA Responsibilities and Qualifications for Digital Certificate Holders, and</w:t>
      </w:r>
      <w:r w:rsidRPr="00FD3C2B">
        <w:rPr>
          <w:szCs w:val="24"/>
        </w:rPr>
        <w:t xml:space="preserve"> </w:t>
      </w:r>
      <w:r>
        <w:rPr>
          <w:szCs w:val="24"/>
        </w:rPr>
        <w:t>are not subject to any of the conditions that would require revocation as described in paragraph (1)(b) of Section 16.12.1</w:t>
      </w:r>
      <w:r>
        <w:t xml:space="preserve">;  </w:t>
      </w:r>
    </w:p>
    <w:p w14:paraId="0E58E309" w14:textId="77777777" w:rsidR="00462B48" w:rsidRDefault="00462B48" w:rsidP="00462B48">
      <w:pPr>
        <w:pStyle w:val="List"/>
      </w:pPr>
      <w:r>
        <w:t>(b)</w:t>
      </w:r>
      <w:r>
        <w:tab/>
        <w:t xml:space="preserve">Each listed USA and Certificate Holder is currently employed by or is an authorized agent contracted with the Market Participant; </w:t>
      </w:r>
    </w:p>
    <w:p w14:paraId="030A792F" w14:textId="77777777" w:rsidR="00462B48" w:rsidRDefault="00462B48" w:rsidP="00462B48">
      <w:pPr>
        <w:pStyle w:val="List"/>
      </w:pPr>
      <w:r>
        <w:t>(c)</w:t>
      </w:r>
      <w:r>
        <w:tab/>
        <w:t xml:space="preserve">The Market Participant has verified that the listed USA is authorized to be the USA; </w:t>
      </w:r>
    </w:p>
    <w:p w14:paraId="43D7BA4B" w14:textId="77777777" w:rsidR="00462B48" w:rsidRDefault="00462B48" w:rsidP="00462B48">
      <w:pPr>
        <w:pStyle w:val="List"/>
      </w:pPr>
      <w:r>
        <w:t>(d)</w:t>
      </w:r>
      <w:r>
        <w:tab/>
        <w:t>Each Certificate Holder is authorized to retain and use the Digital Certificate; and</w:t>
      </w:r>
    </w:p>
    <w:p w14:paraId="4612AE42" w14:textId="77777777" w:rsidR="00462B48" w:rsidRDefault="00462B48" w:rsidP="00462B48">
      <w:pPr>
        <w:pStyle w:val="List"/>
      </w:pPr>
      <w:r>
        <w:t>(e)</w:t>
      </w:r>
      <w:r>
        <w:tab/>
        <w:t>Each listed Certificate Holder needs the Digital Certificate to perform his or her job functions.</w:t>
      </w:r>
    </w:p>
    <w:p w14:paraId="55B3F0BE" w14:textId="77777777" w:rsidR="00462B48" w:rsidRDefault="00462B48" w:rsidP="00462B48">
      <w:pPr>
        <w:pStyle w:val="ListIntroduction"/>
        <w:ind w:left="720" w:hanging="720"/>
      </w:pPr>
      <w:r>
        <w:t>(2)</w:t>
      </w:r>
      <w:r>
        <w:tab/>
        <w:t>By October 1 of each year, a Market Participant shall submit to ERCOT a DCAA</w:t>
      </w:r>
      <w:r w:rsidRPr="006D1846">
        <w:t xml:space="preserve"> </w:t>
      </w:r>
      <w:r>
        <w:t xml:space="preserve">(as provided for in </w:t>
      </w:r>
      <w:r w:rsidRPr="0085242C">
        <w:t>Section 23, Form L</w:t>
      </w:r>
      <w:r>
        <w:t>,</w:t>
      </w:r>
      <w:r w:rsidRPr="006D1846">
        <w:t xml:space="preserve"> </w:t>
      </w:r>
      <w:r>
        <w:t>Digital Certificate Audit Attestation</w:t>
      </w:r>
      <w:r w:rsidRPr="00F80DFA">
        <w:t>)</w:t>
      </w:r>
      <w:r>
        <w:t xml:space="preserve"> from </w:t>
      </w:r>
      <w:r>
        <w:rPr>
          <w:iCs w:val="0"/>
        </w:rPr>
        <w:t xml:space="preserve">an individual who: (a) is </w:t>
      </w:r>
      <w:r>
        <w:t xml:space="preserve">an officer, executive, or employee of the Market Participant or of an Affiliate of the Market Participant; and (b) has authority to bind the Market Participant.  The attestation shall certify that: </w:t>
      </w:r>
    </w:p>
    <w:p w14:paraId="73278FE6" w14:textId="77777777" w:rsidR="00462B48" w:rsidRDefault="00462B48" w:rsidP="00462B48">
      <w:pPr>
        <w:pStyle w:val="List"/>
      </w:pPr>
      <w:r>
        <w:t>(a)</w:t>
      </w:r>
      <w:r>
        <w:tab/>
        <w:t>The Market Participant has complied with the requirements of the audit;</w:t>
      </w:r>
    </w:p>
    <w:p w14:paraId="4FC85374" w14:textId="77777777" w:rsidR="00462B48" w:rsidRDefault="00462B48" w:rsidP="00462B48">
      <w:pPr>
        <w:pStyle w:val="List"/>
      </w:pPr>
      <w:r>
        <w:t>(b)</w:t>
      </w:r>
      <w:r>
        <w:tab/>
        <w:t xml:space="preserve">The Market Participant has verified that all assigned Digital Certificates belong to Certificate Holders authorized by the Market Participant’s USA.  If the Certificate Holders no longer meet the criteria in paragraph (1)(a) of </w:t>
      </w:r>
      <w:r w:rsidRPr="00ED741E">
        <w:t>Section 16.12.1</w:t>
      </w:r>
      <w:r>
        <w:t xml:space="preserve">, the </w:t>
      </w:r>
      <w:r>
        <w:lastRenderedPageBreak/>
        <w:t>USA shall inform ERCOT as described in paragraph (1)(b) of Section 16.12.1 and note the findings in the response; and</w:t>
      </w:r>
    </w:p>
    <w:p w14:paraId="53366E5E" w14:textId="77777777" w:rsidR="00462B48" w:rsidRDefault="00462B48" w:rsidP="00462B48">
      <w:pPr>
        <w:pStyle w:val="List"/>
      </w:pPr>
      <w:r>
        <w:t>(c)</w:t>
      </w:r>
      <w:r>
        <w:tab/>
        <w:t>The USA and all Certificate Holders have been qualified through a reasonable screening process and background review required by paragraph</w:t>
      </w:r>
      <w:r w:rsidR="00DC3589">
        <w:t>s</w:t>
      </w:r>
      <w:r>
        <w:t xml:space="preserve"> (1)(a)(i)-(v) of Section 16.12.1. </w:t>
      </w:r>
    </w:p>
    <w:p w14:paraId="6A34F532" w14:textId="77777777" w:rsidR="00FC1C5F" w:rsidRDefault="00727E32" w:rsidP="003E021A">
      <w:pPr>
        <w:pStyle w:val="List"/>
        <w:ind w:left="720"/>
      </w:pPr>
      <w:r>
        <w:t>(3)</w:t>
      </w:r>
      <w:r>
        <w:tab/>
        <w:t xml:space="preserve">If a Market Participant cannot comply with the October 1 deadline at the time this Section first applies to the Market Participant, the Market Participant shall request an extension of the deadline by providing ERCOT a written explanation of why it cannot meet the deadline.  The explanation must include a plan and timeline for compliance not to exceed six months from the original deadline. </w:t>
      </w:r>
      <w:r w:rsidR="004A65D8">
        <w:t xml:space="preserve"> </w:t>
      </w:r>
      <w:r>
        <w:t xml:space="preserve">ERCOT shall review that extension request and notify the Market Participant if the request is approved or denied.  ERCOT may approve no more than one extension request per Market Participant.  </w:t>
      </w:r>
    </w:p>
    <w:p w14:paraId="0CAF7255" w14:textId="77777777" w:rsidR="00FC1C5F" w:rsidRDefault="00727E32" w:rsidP="00355D7A">
      <w:pPr>
        <w:pStyle w:val="List"/>
        <w:ind w:left="720"/>
      </w:pPr>
      <w:r>
        <w:t>(4)</w:t>
      </w:r>
      <w:r>
        <w:tab/>
      </w:r>
      <w:r w:rsidR="00462B48" w:rsidRPr="00C92875">
        <w:t>By December 1 of each year, ERCOT shall acknowledge receipt of each DCAA audit received and indicate whether any required information is missing from the DCAA.</w:t>
      </w:r>
    </w:p>
    <w:p w14:paraId="41C1E153" w14:textId="77777777" w:rsidR="00FC1C5F" w:rsidRDefault="00727E32" w:rsidP="003E021A">
      <w:pPr>
        <w:pStyle w:val="BodyText"/>
        <w:spacing w:before="240"/>
        <w:rPr>
          <w:b/>
          <w:i/>
        </w:rPr>
      </w:pPr>
      <w:r>
        <w:rPr>
          <w:b/>
          <w:i/>
        </w:rPr>
        <w:t>16.12.4</w:t>
      </w:r>
      <w:r>
        <w:rPr>
          <w:b/>
          <w:i/>
        </w:rPr>
        <w:tab/>
        <w:t>ERCOT Audit - Consequences of Non-compliance</w:t>
      </w:r>
    </w:p>
    <w:p w14:paraId="45EDFAB4" w14:textId="77777777" w:rsidR="00462B48" w:rsidRDefault="00462B48" w:rsidP="00462B48">
      <w:pPr>
        <w:spacing w:after="240"/>
        <w:ind w:left="720" w:hanging="720"/>
      </w:pPr>
      <w:r>
        <w:t>(1)</w:t>
      </w:r>
      <w:r>
        <w:tab/>
        <w:t xml:space="preserve">ERCOT, or its designee, shall review the DCAA submitted under </w:t>
      </w:r>
      <w:r w:rsidRPr="0085242C">
        <w:t>Section 16.12.3</w:t>
      </w:r>
      <w:r>
        <w:t xml:space="preserve">, Market Participant Audits of User Security </w:t>
      </w:r>
      <w:r w:rsidR="00DC3589">
        <w:t>Administrators</w:t>
      </w:r>
      <w:r>
        <w:t xml:space="preserve"> and Digital Certificates, and may audit the Market Participant for compliance with the provisions of this </w:t>
      </w:r>
      <w:r w:rsidRPr="00ED741E">
        <w:t>Section 16.12</w:t>
      </w:r>
      <w:r>
        <w:t xml:space="preserve">, User Security Administrator and Digital Certificates. The Market Participant shall cooperate fully with ERCOT in such audits.  </w:t>
      </w:r>
    </w:p>
    <w:p w14:paraId="55B7A527" w14:textId="77777777" w:rsidR="00462B48" w:rsidRDefault="00462B48" w:rsidP="00462B48">
      <w:pPr>
        <w:spacing w:after="240"/>
        <w:ind w:left="720" w:hanging="720"/>
      </w:pPr>
      <w:r>
        <w:t>(2)</w:t>
      </w:r>
      <w:r>
        <w:tab/>
        <w:t xml:space="preserve">On or about December 15 of each year, ERCOT shall report to the Public Utility Commission of Texas (PUCT) all Market Participants failing to properly perform and/or submit complete DCAA(s) as described in Section 16.12.3 or non-compliance with Section 16.12.3.  </w:t>
      </w:r>
    </w:p>
    <w:p w14:paraId="0147BA3D" w14:textId="77777777" w:rsidR="00462B48" w:rsidRDefault="00462B48" w:rsidP="00462B48">
      <w:pPr>
        <w:spacing w:after="240"/>
        <w:ind w:left="720" w:hanging="720"/>
      </w:pPr>
      <w:r>
        <w:t>(3)</w:t>
      </w:r>
      <w:r>
        <w:tab/>
        <w:t>ERCOT, after providing notice to the Market Participant and PUCT Staff, may disqualify the Market Participant’s USA and/or revoke any or all Digital Certificates assigned to the Market Participant if:</w:t>
      </w:r>
    </w:p>
    <w:p w14:paraId="37C06D4F" w14:textId="77777777" w:rsidR="00462B48" w:rsidRDefault="00462B48" w:rsidP="00462B48">
      <w:pPr>
        <w:pStyle w:val="List"/>
      </w:pPr>
      <w:r>
        <w:t>(a)</w:t>
      </w:r>
      <w:r>
        <w:tab/>
        <w:t xml:space="preserve">The Market Participant does not properly and timely perform the audit; </w:t>
      </w:r>
    </w:p>
    <w:p w14:paraId="6C2E3D8C" w14:textId="77777777" w:rsidR="00462B48" w:rsidRDefault="00462B48" w:rsidP="00462B48">
      <w:pPr>
        <w:pStyle w:val="List"/>
      </w:pPr>
      <w:r>
        <w:t>(b)</w:t>
      </w:r>
      <w:r>
        <w:tab/>
        <w:t xml:space="preserve">ERCOT discovers non-compliance; or </w:t>
      </w:r>
    </w:p>
    <w:p w14:paraId="44FC24F6" w14:textId="77777777" w:rsidR="00462B48" w:rsidRDefault="00462B48" w:rsidP="00462B48">
      <w:pPr>
        <w:pStyle w:val="List"/>
      </w:pPr>
      <w:r>
        <w:t>(c)</w:t>
      </w:r>
      <w:r>
        <w:tab/>
        <w:t xml:space="preserve">The Market Participant does not timely request revocation of its Digital Certificates for unauthorized Certificate Holders. </w:t>
      </w:r>
    </w:p>
    <w:p w14:paraId="1822CA03" w14:textId="77777777" w:rsidR="00462B48" w:rsidRDefault="00462B48" w:rsidP="00462B48">
      <w:pPr>
        <w:pStyle w:val="ListIntroduction"/>
        <w:ind w:left="720" w:hanging="720"/>
      </w:pPr>
      <w:r>
        <w:lastRenderedPageBreak/>
        <w:t>(4)</w:t>
      </w:r>
      <w:r>
        <w:tab/>
        <w:t>ERCOT’s decision to disqualify a Market Participant’s USA or revoke a Market Participant’s Digital Certificates as described above is subject to the following:</w:t>
      </w:r>
    </w:p>
    <w:p w14:paraId="09AC8400" w14:textId="77777777" w:rsidR="00462B48" w:rsidRDefault="00462B48" w:rsidP="00462B48">
      <w:pPr>
        <w:pStyle w:val="List"/>
      </w:pPr>
      <w:r>
        <w:t xml:space="preserve">(a) </w:t>
      </w:r>
      <w:r>
        <w:tab/>
        <w:t>A Market Participant’s Digital Certificates may not be revoked unless the Market Participant is given a reasonable opportunity to work with ERCOT to resolve the reason for revocation;</w:t>
      </w:r>
    </w:p>
    <w:p w14:paraId="3A509C3D" w14:textId="77777777" w:rsidR="00462B48" w:rsidRDefault="00462B48" w:rsidP="00462B48">
      <w:pPr>
        <w:spacing w:after="240"/>
        <w:ind w:left="1440" w:hanging="720"/>
      </w:pPr>
      <w:r>
        <w:t xml:space="preserve">(b) </w:t>
      </w:r>
      <w:r>
        <w:tab/>
        <w:t>A Market Participant’s USA may not be disqualified unless it is given a reasonable opportunity to authorize a new USA and assign new Digital Certificates as necessary to prevent disruption of the Market Participant’s business; and</w:t>
      </w:r>
    </w:p>
    <w:p w14:paraId="41869864" w14:textId="77777777" w:rsidR="00462B48" w:rsidRDefault="00462B48" w:rsidP="00462B48">
      <w:pPr>
        <w:spacing w:after="240"/>
        <w:ind w:left="1440" w:hanging="720"/>
      </w:pPr>
      <w:r>
        <w:t xml:space="preserve">(c) </w:t>
      </w:r>
      <w:r>
        <w:tab/>
        <w:t>A Market Participant may dispute ERCOT’s decision to disqualify the Market Participant’s USA and/or revoke its Digital Certificates</w:t>
      </w:r>
      <w:r w:rsidRPr="00AA58F9">
        <w:t xml:space="preserve"> </w:t>
      </w:r>
      <w:r>
        <w:t>through the Alternative Dispute Resolution (</w:t>
      </w:r>
      <w:r w:rsidRPr="00A65B06">
        <w:t>ADR</w:t>
      </w:r>
      <w:r>
        <w:t xml:space="preserve">) Procedure in accordance with </w:t>
      </w:r>
      <w:r w:rsidRPr="0085242C">
        <w:t>Section 20</w:t>
      </w:r>
      <w:r>
        <w:t xml:space="preserve">, Alternative Dispute Resolution Procedure, and may appeal the result of the ADR process to the PUCT as provided in Section 20. </w:t>
      </w:r>
    </w:p>
    <w:p w14:paraId="63911210" w14:textId="77777777" w:rsidR="008B5EFD" w:rsidRPr="00C83EFD" w:rsidRDefault="008B5EFD" w:rsidP="003E021A">
      <w:pPr>
        <w:keepNext/>
        <w:tabs>
          <w:tab w:val="left" w:pos="900"/>
        </w:tabs>
        <w:spacing w:before="240" w:after="240"/>
        <w:ind w:left="900" w:hanging="900"/>
        <w:outlineLvl w:val="1"/>
        <w:rPr>
          <w:b/>
        </w:rPr>
      </w:pPr>
      <w:bookmarkStart w:id="717" w:name="_Toc390438998"/>
      <w:bookmarkStart w:id="718" w:name="_Toc405897709"/>
      <w:bookmarkStart w:id="719" w:name="_Toc415055801"/>
      <w:bookmarkStart w:id="720" w:name="_Toc415055927"/>
      <w:bookmarkStart w:id="721" w:name="_Toc415056026"/>
      <w:bookmarkStart w:id="722" w:name="_Toc415056126"/>
      <w:bookmarkStart w:id="723" w:name="_Toc184623067"/>
      <w:r w:rsidRPr="00C83EFD">
        <w:rPr>
          <w:b/>
        </w:rPr>
        <w:t>16.13</w:t>
      </w:r>
      <w:r w:rsidRPr="00C83EFD">
        <w:rPr>
          <w:b/>
        </w:rPr>
        <w:tab/>
        <w:t>Registration of Emergency Response Service Resources</w:t>
      </w:r>
      <w:bookmarkEnd w:id="717"/>
      <w:bookmarkEnd w:id="718"/>
      <w:bookmarkEnd w:id="719"/>
      <w:bookmarkEnd w:id="720"/>
      <w:bookmarkEnd w:id="721"/>
      <w:bookmarkEnd w:id="722"/>
      <w:bookmarkEnd w:id="723"/>
    </w:p>
    <w:p w14:paraId="4F6ED291" w14:textId="77777777" w:rsidR="00FC1C5F" w:rsidRDefault="00D20B3F" w:rsidP="003E09AF">
      <w:pPr>
        <w:pStyle w:val="BodyText"/>
        <w:ind w:left="720" w:hanging="720"/>
      </w:pPr>
      <w:r>
        <w:t>(1)</w:t>
      </w:r>
      <w:r>
        <w:tab/>
      </w:r>
      <w:r w:rsidR="008B5EFD" w:rsidRPr="008B5EFD">
        <w:t>An Emergency Response Service (ERS) Resource shall be deemed to have registered with ERCOT when its duly authorized Qualified Scheduling Entity (QSE) submits an offer on behalf of the Resource in accordance with Section 3.14.3.1, Emergency Response Service Procurement.</w:t>
      </w:r>
    </w:p>
    <w:p w14:paraId="6990EDF3" w14:textId="77777777" w:rsidR="008C0A8E" w:rsidRDefault="002B3DDF" w:rsidP="008B5EFD">
      <w:pPr>
        <w:pStyle w:val="H2"/>
        <w:ind w:left="907" w:hanging="907"/>
      </w:pPr>
      <w:bookmarkStart w:id="724" w:name="_Toc390438999"/>
      <w:bookmarkStart w:id="725" w:name="_Toc405897710"/>
      <w:bookmarkStart w:id="726" w:name="_Toc415055802"/>
      <w:bookmarkStart w:id="727" w:name="_Toc415055928"/>
      <w:bookmarkStart w:id="728" w:name="_Toc415056027"/>
      <w:bookmarkStart w:id="729" w:name="_Toc415056127"/>
      <w:bookmarkStart w:id="730" w:name="_Toc184623068"/>
      <w:r>
        <w:t>16.14</w:t>
      </w:r>
      <w:r>
        <w:tab/>
        <w:t>Termination of Access Privileges to Restricted Computer Systems and Control Systems</w:t>
      </w:r>
      <w:bookmarkEnd w:id="724"/>
      <w:bookmarkEnd w:id="725"/>
      <w:bookmarkEnd w:id="726"/>
      <w:bookmarkEnd w:id="727"/>
      <w:bookmarkEnd w:id="728"/>
      <w:bookmarkEnd w:id="729"/>
      <w:bookmarkEnd w:id="730"/>
    </w:p>
    <w:p w14:paraId="780564FB" w14:textId="77777777" w:rsidR="00D629DE" w:rsidRDefault="002B3DDF">
      <w:pPr>
        <w:pStyle w:val="List"/>
        <w:ind w:left="720"/>
      </w:pPr>
      <w:r>
        <w:t>(1)</w:t>
      </w:r>
      <w:r>
        <w:tab/>
      </w:r>
      <w:r w:rsidRPr="006C61CC">
        <w:t xml:space="preserve">All </w:t>
      </w:r>
      <w:r>
        <w:t>M</w:t>
      </w:r>
      <w:r w:rsidRPr="006C61CC">
        <w:t>arket</w:t>
      </w:r>
      <w:r>
        <w:t xml:space="preserve"> Participants and ERCOT </w:t>
      </w:r>
      <w:r w:rsidRPr="006C61CC">
        <w:t xml:space="preserve">are required to have processes in place to </w:t>
      </w:r>
      <w:r>
        <w:t>terminate a</w:t>
      </w:r>
      <w:r w:rsidRPr="006C61CC">
        <w:t>ccess</w:t>
      </w:r>
      <w:r>
        <w:t xml:space="preserve"> privileges, as soon as practicable, </w:t>
      </w:r>
      <w:r w:rsidRPr="006C61CC">
        <w:t xml:space="preserve">to </w:t>
      </w:r>
      <w:r>
        <w:t>R</w:t>
      </w:r>
      <w:r w:rsidRPr="006C61CC">
        <w:t xml:space="preserve">estricted </w:t>
      </w:r>
      <w:r>
        <w:t>S</w:t>
      </w:r>
      <w:r w:rsidRPr="006C61CC">
        <w:t xml:space="preserve">ystems </w:t>
      </w:r>
      <w:r>
        <w:t>for</w:t>
      </w:r>
      <w:r w:rsidRPr="006C61CC">
        <w:t xml:space="preserve"> any employee</w:t>
      </w:r>
      <w:r>
        <w:t>, consultant, or contractor, upon t</w:t>
      </w:r>
      <w:r w:rsidRPr="006C61CC">
        <w:t>ermination</w:t>
      </w:r>
      <w:r>
        <w:t xml:space="preserve"> of employment or where access is no longer required. </w:t>
      </w:r>
    </w:p>
    <w:p w14:paraId="01FFEBFF" w14:textId="77777777" w:rsidR="00D629DE" w:rsidRDefault="002B3DDF">
      <w:pPr>
        <w:pStyle w:val="List"/>
        <w:ind w:left="720"/>
      </w:pPr>
      <w:r>
        <w:t>(2)</w:t>
      </w:r>
      <w:r>
        <w:tab/>
        <w:t>“</w:t>
      </w:r>
      <w:r w:rsidRPr="006C61CC">
        <w:t xml:space="preserve">Restricted </w:t>
      </w:r>
      <w:r>
        <w:t>S</w:t>
      </w:r>
      <w:r w:rsidRPr="006C61CC">
        <w:t>ystems</w:t>
      </w:r>
      <w:r>
        <w:t>”</w:t>
      </w:r>
      <w:r w:rsidRPr="006C61CC">
        <w:t xml:space="preserve"> </w:t>
      </w:r>
      <w:r w:rsidRPr="004F4418">
        <w:t xml:space="preserve">include </w:t>
      </w:r>
      <w:r w:rsidRPr="006C61CC">
        <w:t>computer or control systems that</w:t>
      </w:r>
      <w:r>
        <w:t xml:space="preserve"> are essential to the operation of Restricted Facilities.</w:t>
      </w:r>
      <w:r w:rsidRPr="004E6F7D">
        <w:t xml:space="preserve"> </w:t>
      </w:r>
      <w:r>
        <w:t xml:space="preserve"> </w:t>
      </w:r>
    </w:p>
    <w:p w14:paraId="520D3E06" w14:textId="77777777" w:rsidR="00D629DE" w:rsidRDefault="002B3DDF">
      <w:pPr>
        <w:pStyle w:val="List"/>
        <w:ind w:left="720"/>
      </w:pPr>
      <w:r>
        <w:t>(3)</w:t>
      </w:r>
      <w:r>
        <w:tab/>
        <w:t>“</w:t>
      </w:r>
      <w:r w:rsidRPr="006C61CC">
        <w:t xml:space="preserve">Restricted </w:t>
      </w:r>
      <w:r>
        <w:t>F</w:t>
      </w:r>
      <w:r w:rsidRPr="006C61CC">
        <w:t>acilities</w:t>
      </w:r>
      <w:r>
        <w:t>”</w:t>
      </w:r>
      <w:r w:rsidRPr="006C61CC">
        <w:t xml:space="preserve"> include </w:t>
      </w:r>
      <w:r>
        <w:t>F</w:t>
      </w:r>
      <w:r w:rsidRPr="006C61CC">
        <w:t>acilities and assets that support the reliable operation of the</w:t>
      </w:r>
      <w:r>
        <w:t xml:space="preserve"> bulk</w:t>
      </w:r>
      <w:r w:rsidRPr="006C61CC">
        <w:t xml:space="preserve"> ERCOT </w:t>
      </w:r>
      <w:r>
        <w:t>System (100 kV and above)</w:t>
      </w:r>
      <w:r w:rsidRPr="006C61CC">
        <w:t>,</w:t>
      </w:r>
      <w:r>
        <w:t xml:space="preserve"> such as </w:t>
      </w:r>
      <w:r w:rsidRPr="006C61CC">
        <w:t>but</w:t>
      </w:r>
      <w:r>
        <w:t xml:space="preserve"> </w:t>
      </w:r>
      <w:r w:rsidRPr="006C61CC">
        <w:t>not limited to</w:t>
      </w:r>
      <w:r>
        <w:t>:</w:t>
      </w:r>
    </w:p>
    <w:p w14:paraId="61114259" w14:textId="77777777" w:rsidR="00D629DE" w:rsidRDefault="002B3DDF">
      <w:pPr>
        <w:pStyle w:val="List2"/>
        <w:tabs>
          <w:tab w:val="num" w:pos="1620"/>
        </w:tabs>
        <w:ind w:left="1440"/>
      </w:pPr>
      <w:r>
        <w:t>(a)</w:t>
      </w:r>
      <w:r>
        <w:tab/>
        <w:t>G</w:t>
      </w:r>
      <w:r w:rsidRPr="006C61CC">
        <w:t xml:space="preserve">eneration </w:t>
      </w:r>
      <w:r>
        <w:t>R</w:t>
      </w:r>
      <w:r w:rsidRPr="006C61CC">
        <w:t xml:space="preserve">esources; </w:t>
      </w:r>
    </w:p>
    <w:p w14:paraId="6E2B3CD3" w14:textId="77777777" w:rsidR="00D629DE" w:rsidRDefault="002B3DDF">
      <w:pPr>
        <w:pStyle w:val="List2"/>
        <w:tabs>
          <w:tab w:val="num" w:pos="1620"/>
        </w:tabs>
        <w:ind w:left="1440"/>
      </w:pPr>
      <w:r>
        <w:t>(b)</w:t>
      </w:r>
      <w:r>
        <w:tab/>
        <w:t>T</w:t>
      </w:r>
      <w:r w:rsidRPr="006C61CC">
        <w:t xml:space="preserve">ransmission substations; </w:t>
      </w:r>
    </w:p>
    <w:p w14:paraId="0BC96B75" w14:textId="77777777" w:rsidR="00D629DE" w:rsidRDefault="002B3DDF">
      <w:pPr>
        <w:pStyle w:val="List2"/>
        <w:tabs>
          <w:tab w:val="num" w:pos="1620"/>
        </w:tabs>
        <w:ind w:left="1440"/>
      </w:pPr>
      <w:r>
        <w:t>(c)</w:t>
      </w:r>
      <w:r>
        <w:tab/>
        <w:t>C</w:t>
      </w:r>
      <w:r w:rsidRPr="006C61CC">
        <w:t xml:space="preserve">ontrol/dispatch centers and backup control/dispatch </w:t>
      </w:r>
      <w:r>
        <w:t>centers related to items (a) and (b) above</w:t>
      </w:r>
      <w:r w:rsidRPr="006C61CC">
        <w:t xml:space="preserve">; </w:t>
      </w:r>
    </w:p>
    <w:p w14:paraId="492C2445" w14:textId="77777777" w:rsidR="00D629DE" w:rsidRDefault="002B3DDF">
      <w:pPr>
        <w:pStyle w:val="List2"/>
        <w:tabs>
          <w:tab w:val="num" w:pos="1620"/>
        </w:tabs>
        <w:ind w:left="1440"/>
      </w:pPr>
      <w:r>
        <w:lastRenderedPageBreak/>
        <w:t>(d)</w:t>
      </w:r>
      <w:r>
        <w:tab/>
        <w:t>S</w:t>
      </w:r>
      <w:r w:rsidRPr="006C61CC">
        <w:t xml:space="preserve">ystems and </w:t>
      </w:r>
      <w:r>
        <w:t>F</w:t>
      </w:r>
      <w:r w:rsidRPr="006C61CC">
        <w:t xml:space="preserve">acilities critical to system restoration (including but not limited to </w:t>
      </w:r>
      <w:r>
        <w:t>B</w:t>
      </w:r>
      <w:r w:rsidRPr="006C61CC">
        <w:t>lack</w:t>
      </w:r>
      <w:r>
        <w:t xml:space="preserve"> S</w:t>
      </w:r>
      <w:r w:rsidRPr="006C61CC">
        <w:t xml:space="preserve">tart generators and substations); </w:t>
      </w:r>
      <w:r>
        <w:t>and</w:t>
      </w:r>
    </w:p>
    <w:p w14:paraId="3D7850D2" w14:textId="77777777" w:rsidR="00DB7FFB" w:rsidRDefault="002B3DDF">
      <w:pPr>
        <w:pStyle w:val="List"/>
      </w:pPr>
      <w:r>
        <w:t>(e)</w:t>
      </w:r>
      <w:r>
        <w:tab/>
        <w:t>S</w:t>
      </w:r>
      <w:r w:rsidRPr="006C61CC">
        <w:t xml:space="preserve">ystems and </w:t>
      </w:r>
      <w:r>
        <w:t>F</w:t>
      </w:r>
      <w:r w:rsidRPr="006C61CC">
        <w:t xml:space="preserve">acilities critical to automatic </w:t>
      </w:r>
      <w:r>
        <w:t xml:space="preserve">firm </w:t>
      </w:r>
      <w:r w:rsidRPr="006C61CC">
        <w:t>load shedding</w:t>
      </w:r>
      <w:r>
        <w:t>.</w:t>
      </w:r>
    </w:p>
    <w:p w14:paraId="4BC15564" w14:textId="77777777" w:rsidR="00D629DE" w:rsidRDefault="002B3DDF">
      <w:pPr>
        <w:pStyle w:val="List"/>
        <w:ind w:left="720"/>
      </w:pPr>
      <w:r>
        <w:t>(4)</w:t>
      </w:r>
      <w:r>
        <w:tab/>
        <w:t>Access privilege is defined to include computer and</w:t>
      </w:r>
      <w:r w:rsidRPr="00DE251E">
        <w:t xml:space="preserve"> electronic access.</w:t>
      </w:r>
    </w:p>
    <w:p w14:paraId="52F5B3A5" w14:textId="77777777" w:rsidR="00D629DE" w:rsidRDefault="002B3DDF">
      <w:pPr>
        <w:pStyle w:val="List"/>
        <w:ind w:left="720"/>
      </w:pPr>
      <w:r>
        <w:t>(5)</w:t>
      </w:r>
      <w:r>
        <w:tab/>
        <w:t>Each</w:t>
      </w:r>
      <w:r w:rsidRPr="00DE251E">
        <w:t xml:space="preserve"> Market </w:t>
      </w:r>
      <w:r>
        <w:t>Participant and ERCOT</w:t>
      </w:r>
      <w:r w:rsidRPr="00DE251E">
        <w:t xml:space="preserve"> </w:t>
      </w:r>
      <w:r>
        <w:t>shall have internal controls in place to ensure these processes are reviewed at least on an annual basis.</w:t>
      </w:r>
    </w:p>
    <w:p w14:paraId="36F9A45F" w14:textId="77777777" w:rsidR="00D629DE" w:rsidRDefault="002B3DDF">
      <w:pPr>
        <w:pStyle w:val="List"/>
        <w:ind w:left="720"/>
      </w:pPr>
      <w:r>
        <w:t>(6)</w:t>
      </w:r>
      <w:r>
        <w:tab/>
      </w:r>
      <w:r w:rsidRPr="00797F52">
        <w:t xml:space="preserve">Each Market </w:t>
      </w:r>
      <w:r>
        <w:t xml:space="preserve">Participant and ERCOT are required to notify the compliance monitoring authority within two Business Days after the discovery </w:t>
      </w:r>
      <w:r w:rsidRPr="00797F52">
        <w:t>of any incident where a terminated employee, contractor or</w:t>
      </w:r>
      <w:r>
        <w:t xml:space="preserve"> employee of a contractor</w:t>
      </w:r>
      <w:r w:rsidRPr="00797F52">
        <w:t xml:space="preserve"> has accessed a </w:t>
      </w:r>
      <w:r>
        <w:t>R</w:t>
      </w:r>
      <w:r w:rsidRPr="00797F52">
        <w:t xml:space="preserve">estricted </w:t>
      </w:r>
      <w:r>
        <w:t>S</w:t>
      </w:r>
      <w:r w:rsidRPr="00797F52">
        <w:t xml:space="preserve">ystem </w:t>
      </w:r>
      <w:r>
        <w:t>when access privileges have been or should have been revoked.</w:t>
      </w:r>
    </w:p>
    <w:p w14:paraId="2223ABC7" w14:textId="77777777" w:rsidR="00D629DE" w:rsidRDefault="002B3DDF">
      <w:pPr>
        <w:pStyle w:val="List"/>
        <w:ind w:left="720"/>
      </w:pPr>
      <w:r>
        <w:t>(7)</w:t>
      </w:r>
      <w:r>
        <w:tab/>
        <w:t>Failure by a Market Participant or ERCOT to follow its processes that results in a</w:t>
      </w:r>
      <w:r w:rsidRPr="00797F52">
        <w:t xml:space="preserve">ccess to any </w:t>
      </w:r>
      <w:r>
        <w:t>Restricted Systems</w:t>
      </w:r>
      <w:r w:rsidRPr="00797F52">
        <w:t xml:space="preserve"> by any</w:t>
      </w:r>
      <w:r w:rsidRPr="006C61CC">
        <w:t xml:space="preserve"> </w:t>
      </w:r>
      <w:r w:rsidRPr="00797F52">
        <w:t xml:space="preserve">employee, consultant, contractor or affiliate after his or her termination will be considered a violation of </w:t>
      </w:r>
      <w:r>
        <w:t>these</w:t>
      </w:r>
      <w:r w:rsidRPr="00797F52">
        <w:t xml:space="preserve"> </w:t>
      </w:r>
      <w:r>
        <w:t>P</w:t>
      </w:r>
      <w:r w:rsidRPr="00797F52">
        <w:t>rotocol</w:t>
      </w:r>
      <w:r>
        <w:t>s.</w:t>
      </w:r>
    </w:p>
    <w:p w14:paraId="4D81ADE9" w14:textId="77777777" w:rsidR="00C2117B" w:rsidRPr="002631D7" w:rsidRDefault="00C2117B" w:rsidP="00C2117B">
      <w:pPr>
        <w:pStyle w:val="H2"/>
        <w:rPr>
          <w:lang w:val="en-US" w:eastAsia="en-US"/>
        </w:rPr>
      </w:pPr>
      <w:bookmarkStart w:id="731" w:name="_Toc390439000"/>
      <w:bookmarkStart w:id="732" w:name="_Toc405897711"/>
      <w:bookmarkStart w:id="733" w:name="_Toc415055803"/>
      <w:bookmarkStart w:id="734" w:name="_Toc415055929"/>
      <w:bookmarkStart w:id="735" w:name="_Toc415056028"/>
      <w:bookmarkStart w:id="736" w:name="_Toc415056128"/>
      <w:bookmarkStart w:id="737" w:name="_Toc184623069"/>
      <w:r w:rsidRPr="002631D7">
        <w:rPr>
          <w:lang w:val="en-US" w:eastAsia="en-US"/>
        </w:rPr>
        <w:t>16.15</w:t>
      </w:r>
      <w:r w:rsidRPr="002631D7">
        <w:rPr>
          <w:lang w:val="en-US" w:eastAsia="en-US"/>
        </w:rPr>
        <w:tab/>
        <w:t>Registration of Independent Market Information System Registered Entity</w:t>
      </w:r>
      <w:bookmarkEnd w:id="731"/>
      <w:bookmarkEnd w:id="732"/>
      <w:bookmarkEnd w:id="733"/>
      <w:bookmarkEnd w:id="734"/>
      <w:bookmarkEnd w:id="735"/>
      <w:bookmarkEnd w:id="736"/>
      <w:bookmarkEnd w:id="737"/>
    </w:p>
    <w:p w14:paraId="02F99B77" w14:textId="77777777" w:rsidR="00C2117B" w:rsidRDefault="00C2117B" w:rsidP="00D56FC4">
      <w:pPr>
        <w:pStyle w:val="List"/>
        <w:ind w:left="720"/>
      </w:pPr>
      <w:r>
        <w:t>(1)</w:t>
      </w:r>
      <w:r>
        <w:tab/>
        <w:t>Each Entity intending to qualify to access ERCOT’s Market Information System (MIS) Secure Area, independent of any other Market Participant role, shall register with ERCOT, including any applicable fees, designating Authorized Representatives, contacts, and a User Security Administrator (USA) (per the Application for Registration as an Independent Market Information System Registered Entity (IMRE)), and execute a Standard Form Market Participant Agreement (as provided in Section 22, Attachment A, Standard Form Market Participant Agreement) prior to receiving a USA Digital Certificate for setting access to ERCOT’s MIS Secure Area.</w:t>
      </w:r>
    </w:p>
    <w:p w14:paraId="67D3BC1D" w14:textId="4D352B97" w:rsidR="00B22CBC" w:rsidRDefault="00B22CBC" w:rsidP="00B22CBC">
      <w:pPr>
        <w:spacing w:after="240"/>
        <w:ind w:left="720" w:hanging="720"/>
      </w:pPr>
      <w:r w:rsidRPr="003A2715">
        <w:t>(2)</w:t>
      </w:r>
      <w:r w:rsidRPr="003A2715">
        <w:tab/>
      </w:r>
      <w:r>
        <w:t>An Entity must have a genuine professional or business purpose for obtaining access to the MIS Secure Area to</w:t>
      </w:r>
      <w:r w:rsidRPr="009717E8">
        <w:t xml:space="preserve"> </w:t>
      </w:r>
      <w:r>
        <w:t>qualify for registration as an IMRE.  ERCOT may determine, in its sole discretion, whether the Entity’s purpose qualifies for registration.</w:t>
      </w:r>
    </w:p>
    <w:p w14:paraId="3CCDD336" w14:textId="6D357BF0" w:rsidR="00C2117B" w:rsidRDefault="00C2117B" w:rsidP="00C2117B">
      <w:pPr>
        <w:pStyle w:val="List"/>
        <w:ind w:left="720"/>
      </w:pPr>
      <w:r>
        <w:t>(</w:t>
      </w:r>
      <w:r w:rsidR="00B22CBC">
        <w:t>3</w:t>
      </w:r>
      <w:r>
        <w:t>)</w:t>
      </w:r>
      <w:r>
        <w:tab/>
        <w:t>Continued status as an IMRE is contingent upon compliance with all applicable requirements in these Protocols.  ERCOT may suspend a</w:t>
      </w:r>
      <w:r w:rsidRPr="00205BF3">
        <w:t>n</w:t>
      </w:r>
      <w:r>
        <w:t xml:space="preserve"> IMRE</w:t>
      </w:r>
      <w:r w:rsidRPr="00205BF3">
        <w:t>’s</w:t>
      </w:r>
      <w:r>
        <w:t xml:space="preserve"> rights as a Market Participant when ERCOT reasonably determines that it is an appropriate remedy for the Entity’s failure to satisfy any applicable requirement.</w:t>
      </w:r>
    </w:p>
    <w:p w14:paraId="3F2C9430" w14:textId="77777777" w:rsidR="00770ABB" w:rsidRPr="002631D7" w:rsidRDefault="00770ABB" w:rsidP="00F80DFA">
      <w:pPr>
        <w:pStyle w:val="H2"/>
        <w:ind w:left="907" w:hanging="907"/>
        <w:rPr>
          <w:szCs w:val="24"/>
          <w:lang w:val="en-US" w:eastAsia="en-US"/>
        </w:rPr>
      </w:pPr>
      <w:bookmarkStart w:id="738" w:name="_Toc390439001"/>
      <w:bookmarkStart w:id="739" w:name="_Toc405897712"/>
      <w:bookmarkStart w:id="740" w:name="_Toc415055804"/>
      <w:bookmarkStart w:id="741" w:name="_Toc415055930"/>
      <w:bookmarkStart w:id="742" w:name="_Toc415056029"/>
      <w:bookmarkStart w:id="743" w:name="_Toc415056129"/>
      <w:bookmarkStart w:id="744" w:name="_Toc184623070"/>
      <w:r w:rsidRPr="002631D7">
        <w:rPr>
          <w:szCs w:val="24"/>
          <w:lang w:val="en-US" w:eastAsia="en-US"/>
        </w:rPr>
        <w:t>16.16</w:t>
      </w:r>
      <w:r w:rsidRPr="002631D7">
        <w:rPr>
          <w:szCs w:val="24"/>
          <w:lang w:val="en-US" w:eastAsia="en-US"/>
        </w:rPr>
        <w:tab/>
        <w:t>Additional Counter-Party Qualification Requirements</w:t>
      </w:r>
      <w:bookmarkEnd w:id="738"/>
      <w:bookmarkEnd w:id="739"/>
      <w:bookmarkEnd w:id="740"/>
      <w:bookmarkEnd w:id="741"/>
      <w:bookmarkEnd w:id="742"/>
      <w:bookmarkEnd w:id="743"/>
      <w:bookmarkEnd w:id="744"/>
      <w:r w:rsidRPr="002631D7">
        <w:rPr>
          <w:szCs w:val="24"/>
          <w:lang w:val="en-US" w:eastAsia="en-US"/>
        </w:rPr>
        <w:t xml:space="preserve"> </w:t>
      </w:r>
    </w:p>
    <w:p w14:paraId="2C3DD08D" w14:textId="77777777" w:rsidR="00770ABB" w:rsidRDefault="00770ABB" w:rsidP="00770ABB">
      <w:pPr>
        <w:pStyle w:val="H3"/>
      </w:pPr>
      <w:bookmarkStart w:id="745" w:name="_Toc390439002"/>
      <w:bookmarkStart w:id="746" w:name="_Toc405897713"/>
      <w:bookmarkStart w:id="747" w:name="_Toc415055805"/>
      <w:bookmarkStart w:id="748" w:name="_Toc415055931"/>
      <w:bookmarkStart w:id="749" w:name="_Toc415056030"/>
      <w:bookmarkStart w:id="750" w:name="_Toc415056130"/>
      <w:bookmarkStart w:id="751" w:name="_Toc184623071"/>
      <w:r>
        <w:t>16.16.1</w:t>
      </w:r>
      <w:r>
        <w:tab/>
      </w:r>
      <w:r>
        <w:rPr>
          <w:szCs w:val="24"/>
        </w:rPr>
        <w:t>Counter-Party Criteria</w:t>
      </w:r>
      <w:bookmarkEnd w:id="745"/>
      <w:bookmarkEnd w:id="746"/>
      <w:bookmarkEnd w:id="747"/>
      <w:bookmarkEnd w:id="748"/>
      <w:bookmarkEnd w:id="749"/>
      <w:bookmarkEnd w:id="750"/>
      <w:bookmarkEnd w:id="751"/>
    </w:p>
    <w:p w14:paraId="5A768644" w14:textId="77777777" w:rsidR="00770ABB" w:rsidRDefault="00770ABB" w:rsidP="00770ABB">
      <w:pPr>
        <w:pStyle w:val="List"/>
        <w:ind w:left="720"/>
      </w:pPr>
      <w:r w:rsidRPr="002C3290">
        <w:t>(1)</w:t>
      </w:r>
      <w:r w:rsidRPr="002C3290">
        <w:tab/>
        <w:t xml:space="preserve">In order to participate in the ERCOT Real-Time, Day-Ahead and Congestion Revenue Right (CRR) markets, in addition to satisfying any other eligibility requirements set forth </w:t>
      </w:r>
      <w:r w:rsidRPr="002C3290">
        <w:lastRenderedPageBreak/>
        <w:t xml:space="preserve">in the ERCOT Protocols, each Counter-Party must satisfy, and at all times remain in compliance with, the following requirements: </w:t>
      </w:r>
    </w:p>
    <w:p w14:paraId="1009BEC4" w14:textId="77777777" w:rsidR="00770ABB" w:rsidRPr="000F17D7" w:rsidRDefault="00770ABB" w:rsidP="000F17D7">
      <w:pPr>
        <w:pStyle w:val="List"/>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60E8136F" w14:textId="77777777" w:rsidR="00A71039" w:rsidRPr="000F17D7" w:rsidRDefault="00770ABB" w:rsidP="000F17D7">
      <w:pPr>
        <w:pStyle w:val="List"/>
      </w:pPr>
      <w:r w:rsidRPr="000F17D7">
        <w:t>(b)</w:t>
      </w:r>
      <w:r w:rsidRPr="000F17D7">
        <w:tab/>
      </w:r>
      <w:r w:rsidRPr="000F17D7">
        <w:rPr>
          <w:b/>
          <w:u w:val="single"/>
        </w:rPr>
        <w:t>Market Operational Capabilities</w:t>
      </w:r>
      <w:r w:rsidRPr="000F17D7">
        <w:t>.  Counter-Party has appropriate market operating procedures and technical abilities to promptly and effectively respond to all ERCOT market communications.</w:t>
      </w:r>
    </w:p>
    <w:p w14:paraId="423E65F0" w14:textId="77777777" w:rsidR="00A71039" w:rsidRDefault="00A71039" w:rsidP="000F17D7">
      <w:pPr>
        <w:pStyle w:val="List"/>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6ED96F24" w14:textId="78336607" w:rsidR="00A71039" w:rsidRPr="000F17D7" w:rsidRDefault="00A71039" w:rsidP="000F17D7">
      <w:pPr>
        <w:pStyle w:val="List"/>
        <w:ind w:left="2160"/>
      </w:pPr>
      <w:r>
        <w:rPr>
          <w:szCs w:val="24"/>
        </w:rPr>
        <w:t>(i</w:t>
      </w:r>
      <w:r w:rsidRPr="00AC31BC">
        <w:rPr>
          <w:szCs w:val="24"/>
        </w:rPr>
        <w:t>)</w:t>
      </w:r>
      <w:r>
        <w:rPr>
          <w:szCs w:val="24"/>
        </w:rPr>
        <w:tab/>
      </w:r>
      <w:r w:rsidRPr="000F17D7">
        <w:t xml:space="preserve">An “Appropriate Person” as defined in sections 4(c)(3)(A) through (J) of the Commodity Exchange Act (7 U.S.C. § 6(c)(3)(A)-(J)); </w:t>
      </w:r>
    </w:p>
    <w:p w14:paraId="2689B8CF" w14:textId="397B86F7" w:rsidR="00A71039" w:rsidRPr="000F17D7" w:rsidRDefault="00A71039" w:rsidP="000F17D7">
      <w:pPr>
        <w:pStyle w:val="List"/>
        <w:ind w:left="2160"/>
      </w:pPr>
      <w:r w:rsidRPr="000F17D7">
        <w:t>(ii)</w:t>
      </w:r>
      <w:r w:rsidRPr="000F17D7">
        <w:tab/>
        <w:t xml:space="preserve">An “Eligible Contract Participant,” as defined in section 1a(18)(A) of the Commodity Exchange Act (7 U.S.C. § 1a(18)(A)) and in Commodity Futures Trading Commission (CFTC) regulation 1.3(m) (17 C.F.R. § 1.3(m)); or </w:t>
      </w:r>
    </w:p>
    <w:p w14:paraId="0C839313" w14:textId="64938F7E" w:rsidR="00A71039" w:rsidRPr="000F17D7" w:rsidRDefault="00A71039" w:rsidP="000F17D7">
      <w:pPr>
        <w:pStyle w:val="List"/>
        <w:ind w:left="2160"/>
      </w:pPr>
      <w:r w:rsidRPr="000F17D7">
        <w:t>(iii)</w:t>
      </w:r>
      <w:r w:rsidRPr="000F17D7">
        <w:tab/>
        <w:t>A “person who actively participates in the generation, transmission, or distribution of electric energy,” as that term is defined in the CFTC’s final exemption order (78 Fed. Reg. 19,879).</w:t>
      </w:r>
    </w:p>
    <w:p w14:paraId="2EAE0A62" w14:textId="77777777" w:rsidR="00770ABB" w:rsidRPr="000F17D7" w:rsidRDefault="00A71039" w:rsidP="000F17D7">
      <w:pPr>
        <w:pStyle w:val="List"/>
      </w:pPr>
      <w:r w:rsidRPr="000F17D7">
        <w:tab/>
        <w:t>ERCOT may request necessary information to verify compliance with this requirement.</w:t>
      </w:r>
    </w:p>
    <w:p w14:paraId="6448828F" w14:textId="77777777" w:rsidR="00B55C27" w:rsidRPr="00723BC4" w:rsidRDefault="00B55C27" w:rsidP="00B55C27">
      <w:pPr>
        <w:spacing w:after="240"/>
        <w:ind w:left="1440" w:hanging="720"/>
      </w:pPr>
      <w:r w:rsidRPr="00723BC4">
        <w:t>(d)</w:t>
      </w:r>
      <w:r w:rsidRPr="00723BC4">
        <w:tab/>
      </w:r>
      <w:r w:rsidRPr="00723BC4">
        <w:rPr>
          <w:b/>
          <w:u w:val="single"/>
        </w:rPr>
        <w:t>Independent Amount</w:t>
      </w:r>
      <w:r w:rsidRPr="00723BC4">
        <w:t>.  Counter-Party shall provide an Independent Amount as follows:</w:t>
      </w:r>
    </w:p>
    <w:p w14:paraId="4CC59784" w14:textId="77777777" w:rsidR="00B55C27" w:rsidRPr="00723BC4" w:rsidRDefault="00B55C27" w:rsidP="00B55C27">
      <w:pPr>
        <w:spacing w:after="240"/>
        <w:ind w:left="2160" w:hanging="720"/>
      </w:pPr>
      <w:r w:rsidRPr="00723BC4">
        <w:t>(i)</w:t>
      </w:r>
      <w:r w:rsidRPr="00723BC4">
        <w:tab/>
        <w:t>For a Counter-Party seeking authorization to participate or participating in all ERCOT markets, $500,000 Independent Amount.</w:t>
      </w:r>
    </w:p>
    <w:p w14:paraId="53528E8D" w14:textId="77777777" w:rsidR="00B55C27" w:rsidRPr="00723BC4" w:rsidRDefault="00B55C27" w:rsidP="00B55C27">
      <w:pPr>
        <w:spacing w:after="240"/>
        <w:ind w:left="2160" w:hanging="720"/>
      </w:pPr>
      <w:r w:rsidRPr="00723BC4">
        <w:t>(ii)</w:t>
      </w:r>
      <w:r w:rsidRPr="00723BC4">
        <w:tab/>
        <w:t xml:space="preserve">For a Counter-Party seeking authorization to participate or participating in all ERCOT markets except for the CRR market, $200,000 Independent Amount.  </w:t>
      </w:r>
    </w:p>
    <w:p w14:paraId="21338AC5" w14:textId="77777777" w:rsidR="00B55C27" w:rsidRPr="00723BC4" w:rsidRDefault="00B55C27" w:rsidP="00B55C27">
      <w:pPr>
        <w:spacing w:after="240"/>
        <w:ind w:left="2160" w:hanging="720"/>
        <w:rPr>
          <w:i/>
          <w:iCs/>
        </w:rPr>
      </w:pPr>
      <w:r w:rsidRPr="00723BC4">
        <w:t>(iii)</w:t>
      </w:r>
      <w:r w:rsidRPr="00723BC4">
        <w:tab/>
        <w:t xml:space="preserve">For purposes of assessment of the Independent Amount, ERCOT will deem a Counter-Party that is or is applying to be a CRR Account Holder as having a desire to participate in all ERCOT markets. </w:t>
      </w:r>
    </w:p>
    <w:p w14:paraId="515F6F59" w14:textId="77777777" w:rsidR="00B55C27" w:rsidRPr="00723BC4" w:rsidRDefault="00B55C27" w:rsidP="00B55C27">
      <w:pPr>
        <w:spacing w:after="240"/>
        <w:ind w:left="2160" w:hanging="720"/>
        <w:rPr>
          <w:i/>
          <w:iCs/>
        </w:rPr>
      </w:pPr>
      <w:r w:rsidRPr="00723BC4">
        <w:t>(iv)</w:t>
      </w:r>
      <w:r w:rsidRPr="00723BC4">
        <w:tab/>
        <w:t xml:space="preserve">Financial Security posted pursuant to this section is fully available to ERCOT in the event of the Counter-Party’s Payment Breach.  </w:t>
      </w:r>
    </w:p>
    <w:p w14:paraId="553F839F" w14:textId="77777777" w:rsidR="00B55C27" w:rsidRPr="00723BC4" w:rsidRDefault="00B55C27" w:rsidP="00B55C27">
      <w:pPr>
        <w:spacing w:after="240"/>
        <w:ind w:left="2160" w:hanging="720"/>
        <w:rPr>
          <w:i/>
          <w:iCs/>
        </w:rPr>
      </w:pPr>
      <w:r w:rsidRPr="00723BC4">
        <w:t>(v)</w:t>
      </w:r>
      <w:r w:rsidRPr="00723BC4">
        <w:tab/>
        <w:t xml:space="preserve">ERCOT shall add the Independent Amount to that Counter-Party’s Total Potential Exposure Secured (TPES) pursuant to Section 16.11 and </w:t>
      </w:r>
      <w:r w:rsidRPr="00723BC4">
        <w:lastRenderedPageBreak/>
        <w:t>designate it as the Independent Amount.  ERCOT will require Financial Security for the Independent Amount in the same way as it does for other TPES elements.</w:t>
      </w:r>
      <w:r w:rsidRPr="00723BC4" w:rsidDel="00425237">
        <w:t xml:space="preserve"> </w:t>
      </w:r>
    </w:p>
    <w:p w14:paraId="61F901F0" w14:textId="1B575B0F" w:rsidR="00770ABB" w:rsidRDefault="00B55C27" w:rsidP="00D9080F">
      <w:pPr>
        <w:pStyle w:val="List"/>
        <w:ind w:left="2160"/>
        <w:rPr>
          <w:i/>
          <w:iCs/>
          <w:szCs w:val="24"/>
        </w:rPr>
      </w:pPr>
      <w:r w:rsidRPr="00723BC4">
        <w:t>(vi)</w:t>
      </w:r>
      <w:r w:rsidRPr="00723BC4">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28CC3F43" w14:textId="6E5AF107" w:rsidR="00770ABB" w:rsidRDefault="00770ABB" w:rsidP="00D9080F">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sidR="00A71039">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3EA3B678" w14:textId="77777777" w:rsidR="00770ABB" w:rsidRDefault="00770ABB" w:rsidP="00F80DFA">
      <w:pPr>
        <w:pStyle w:val="H3"/>
      </w:pPr>
      <w:bookmarkStart w:id="752" w:name="_Toc390439003"/>
      <w:bookmarkStart w:id="753" w:name="_Toc405897714"/>
      <w:bookmarkStart w:id="754" w:name="_Toc415055806"/>
      <w:bookmarkStart w:id="755" w:name="_Toc415055932"/>
      <w:bookmarkStart w:id="756" w:name="_Toc415056031"/>
      <w:bookmarkStart w:id="757" w:name="_Toc415056131"/>
      <w:bookmarkStart w:id="758" w:name="_Toc184623072"/>
      <w:r>
        <w:t>16.16.2</w:t>
      </w:r>
      <w:r>
        <w:tab/>
        <w:t>Annual Certification</w:t>
      </w:r>
      <w:bookmarkEnd w:id="752"/>
      <w:bookmarkEnd w:id="753"/>
      <w:bookmarkEnd w:id="754"/>
      <w:bookmarkEnd w:id="755"/>
      <w:bookmarkEnd w:id="756"/>
      <w:bookmarkEnd w:id="757"/>
      <w:bookmarkEnd w:id="758"/>
      <w:r w:rsidRPr="00137DB4">
        <w:rPr>
          <w:szCs w:val="24"/>
        </w:rPr>
        <w:t xml:space="preserve">  </w:t>
      </w:r>
    </w:p>
    <w:p w14:paraId="299BFE39" w14:textId="77777777" w:rsidR="00770ABB" w:rsidRPr="002C3290" w:rsidRDefault="00770ABB" w:rsidP="00770ABB">
      <w:pPr>
        <w:pStyle w:val="List"/>
        <w:ind w:left="720"/>
      </w:pPr>
      <w:r w:rsidRPr="002C3290">
        <w:t>(1)</w:t>
      </w:r>
      <w:r w:rsidRPr="002C3290">
        <w:tab/>
        <w:t>Each Counter-Party must submit to ERCOT annually a notarized certificate, signed by an officer or executive with authority to bind the Counter-Party, in the form of Section 22, Attachment J, Annual Certification Form to Meet ERCOT Additional Minimum Participation Requirement</w:t>
      </w:r>
      <w:r>
        <w:t>s</w:t>
      </w:r>
      <w:r w:rsidRPr="002C3290">
        <w:t xml:space="preserve">, certifying that the Counter-Party is in compliance with each of the Counter-Party criteria and agrees to procedures for verification of its risk management framework as described in Section 16.16.3, Verification of Risk Management Framework.  </w:t>
      </w:r>
    </w:p>
    <w:p w14:paraId="6074A85F" w14:textId="4CD9B7CC" w:rsidR="00770ABB" w:rsidRPr="002C3290" w:rsidRDefault="00770ABB" w:rsidP="00770ABB">
      <w:pPr>
        <w:pStyle w:val="List"/>
        <w:ind w:left="720"/>
      </w:pPr>
      <w:r w:rsidRPr="002C3290">
        <w:t>(2)</w:t>
      </w:r>
      <w:r w:rsidRPr="002C3290">
        <w:tab/>
      </w:r>
      <w:r w:rsidR="00B55C27" w:rsidRPr="002C3290">
        <w:t xml:space="preserve">The certificate must be received by ERCOT no later than 120 days after the close of the fiscal year of the Counter-Party or its </w:t>
      </w:r>
      <w:r w:rsidR="00B55C27">
        <w:t>parent</w:t>
      </w:r>
      <w:r w:rsidR="00B55C27" w:rsidRPr="002C3290">
        <w:t>.  ERCOT may extend the period for providing the certificate on a case-by-case basis.</w:t>
      </w:r>
    </w:p>
    <w:p w14:paraId="766C3247" w14:textId="3228FE87" w:rsidR="00770ABB" w:rsidRPr="002C3290" w:rsidRDefault="00770ABB" w:rsidP="00D9080F">
      <w:pPr>
        <w:pStyle w:val="List"/>
        <w:ind w:left="720"/>
      </w:pPr>
      <w:r w:rsidRPr="002C3290">
        <w:t>(3)</w:t>
      </w:r>
      <w:r w:rsidRPr="002C3290">
        <w:tab/>
        <w:t>For new entry Counter-Parties, the certificate must be received by ERCOT prior to participation in any ERCOT markets.</w:t>
      </w:r>
    </w:p>
    <w:p w14:paraId="2FD1D1F8" w14:textId="77777777" w:rsidR="00770ABB" w:rsidRDefault="00770ABB" w:rsidP="00770ABB">
      <w:pPr>
        <w:pStyle w:val="List"/>
        <w:ind w:left="720"/>
      </w:pPr>
      <w:r>
        <w:t>(4)</w:t>
      </w:r>
      <w:r>
        <w:tab/>
      </w:r>
      <w:r w:rsidRPr="00137DB4">
        <w:t xml:space="preserve">A Counter-Party shall </w:t>
      </w:r>
      <w:r>
        <w:t xml:space="preserve">notify </w:t>
      </w:r>
      <w:r w:rsidRPr="00137DB4">
        <w:t xml:space="preserve">ERCOT within one </w:t>
      </w:r>
      <w:r>
        <w:t>d</w:t>
      </w:r>
      <w:r w:rsidRPr="00137DB4">
        <w:t xml:space="preserve">ay if it has experienced a material adverse change that would make its most recent </w:t>
      </w:r>
      <w:r>
        <w:t>a</w:t>
      </w:r>
      <w:r w:rsidRPr="00137DB4">
        <w:t xml:space="preserve">nnual </w:t>
      </w:r>
      <w:r>
        <w:t>c</w:t>
      </w:r>
      <w:r w:rsidRPr="00137DB4">
        <w:t>ertifica</w:t>
      </w:r>
      <w:r>
        <w:t>te</w:t>
      </w:r>
      <w:r w:rsidRPr="00137DB4">
        <w:t xml:space="preserve"> inaccurate. </w:t>
      </w:r>
    </w:p>
    <w:p w14:paraId="1F70DA75" w14:textId="77777777" w:rsidR="00770ABB" w:rsidRPr="00951B55" w:rsidRDefault="00770ABB" w:rsidP="00770ABB">
      <w:pPr>
        <w:pStyle w:val="H3"/>
        <w:rPr>
          <w:b w:val="0"/>
        </w:rPr>
      </w:pPr>
      <w:bookmarkStart w:id="759" w:name="_Toc390439004"/>
      <w:bookmarkStart w:id="760" w:name="_Toc405897715"/>
      <w:bookmarkStart w:id="761" w:name="_Toc415055807"/>
      <w:bookmarkStart w:id="762" w:name="_Toc415055933"/>
      <w:bookmarkStart w:id="763" w:name="_Toc415056032"/>
      <w:bookmarkStart w:id="764" w:name="_Toc415056132"/>
      <w:bookmarkStart w:id="765" w:name="_Toc184623073"/>
      <w:r>
        <w:t>16.16.3</w:t>
      </w:r>
      <w:r>
        <w:tab/>
      </w:r>
      <w:r w:rsidRPr="00945FF8">
        <w:rPr>
          <w:szCs w:val="24"/>
        </w:rPr>
        <w:t>Verification of Risk Management Framework</w:t>
      </w:r>
      <w:bookmarkEnd w:id="759"/>
      <w:bookmarkEnd w:id="760"/>
      <w:bookmarkEnd w:id="761"/>
      <w:bookmarkEnd w:id="762"/>
      <w:bookmarkEnd w:id="763"/>
      <w:bookmarkEnd w:id="764"/>
      <w:bookmarkEnd w:id="765"/>
      <w:r w:rsidRPr="00137DB4">
        <w:rPr>
          <w:szCs w:val="24"/>
        </w:rPr>
        <w:t xml:space="preserve"> </w:t>
      </w:r>
    </w:p>
    <w:p w14:paraId="4779794B" w14:textId="77777777" w:rsidR="00770ABB" w:rsidRPr="00951B55" w:rsidRDefault="00770ABB" w:rsidP="00770ABB">
      <w:pPr>
        <w:pStyle w:val="List"/>
        <w:ind w:left="720"/>
      </w:pPr>
      <w:r w:rsidRPr="002C3290">
        <w:t>(1)</w:t>
      </w:r>
      <w:r w:rsidRPr="002C3290">
        <w:tab/>
        <w:t xml:space="preserve">ERCOT will periodically perform or cause to be performed procedures to assess the risk management framework of Counter-Parties, including its implementation.  </w:t>
      </w:r>
    </w:p>
    <w:p w14:paraId="1A2F1454" w14:textId="77777777" w:rsidR="00770ABB" w:rsidRPr="002C3290" w:rsidRDefault="00770ABB" w:rsidP="00770ABB">
      <w:pPr>
        <w:pStyle w:val="List"/>
        <w:ind w:left="720"/>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w:t>
      </w:r>
      <w:r w:rsidRPr="002C3290">
        <w:lastRenderedPageBreak/>
        <w:t xml:space="preserve">frequency to the volume of transactions and the nature and extent of risk taken by the Counter-Party.  </w:t>
      </w:r>
    </w:p>
    <w:p w14:paraId="1B2BAB71" w14:textId="77777777" w:rsidR="00770ABB" w:rsidRPr="002C3290" w:rsidRDefault="00770ABB" w:rsidP="00770ABB">
      <w:pPr>
        <w:pStyle w:val="List"/>
        <w:ind w:left="720"/>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755CC81E" w14:textId="77777777" w:rsidR="00770ABB" w:rsidRPr="007A2A43" w:rsidRDefault="00770ABB" w:rsidP="00770ABB">
      <w:pPr>
        <w:pStyle w:val="List2"/>
        <w:tabs>
          <w:tab w:val="num" w:pos="1620"/>
        </w:tabs>
        <w:ind w:left="1440"/>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03761E57" w14:textId="77777777" w:rsidR="00770ABB" w:rsidRPr="007A2A43" w:rsidRDefault="00770ABB" w:rsidP="00770ABB">
      <w:pPr>
        <w:pStyle w:val="List2"/>
        <w:tabs>
          <w:tab w:val="num" w:pos="1620"/>
        </w:tabs>
        <w:ind w:left="1440"/>
      </w:pPr>
      <w:r>
        <w:t>(b)</w:t>
      </w:r>
      <w:r>
        <w:tab/>
      </w:r>
      <w:r w:rsidRPr="007A2A43">
        <w:t xml:space="preserve">A Counter-Party maintains an organizational structure with clearly defined roles and responsibilities that clearly segregate trading and risk control functions. </w:t>
      </w:r>
    </w:p>
    <w:p w14:paraId="65769165" w14:textId="77777777" w:rsidR="00770ABB" w:rsidRPr="007A2A43" w:rsidRDefault="00770ABB" w:rsidP="00770ABB">
      <w:pPr>
        <w:pStyle w:val="List2"/>
        <w:tabs>
          <w:tab w:val="num" w:pos="1620"/>
        </w:tabs>
        <w:ind w:left="1440"/>
      </w:pPr>
      <w:r>
        <w:t>(c)</w:t>
      </w:r>
      <w:r>
        <w:tab/>
      </w:r>
      <w:r w:rsidRPr="007A2A43">
        <w:t>There is clarity of authority specifying the transactions into which traders are allowed to enter.</w:t>
      </w:r>
    </w:p>
    <w:p w14:paraId="10B4CCD3" w14:textId="77777777" w:rsidR="00770ABB" w:rsidRPr="007A2A43" w:rsidRDefault="00770ABB" w:rsidP="00770ABB">
      <w:pPr>
        <w:pStyle w:val="List2"/>
        <w:tabs>
          <w:tab w:val="num" w:pos="1620"/>
        </w:tabs>
        <w:ind w:left="1440"/>
      </w:pPr>
      <w:r>
        <w:t>(d)</w:t>
      </w:r>
      <w:r>
        <w:tab/>
      </w:r>
      <w:r w:rsidRPr="007A2A43">
        <w:t>A Counter-Party ensures that traders have adequate training and/or experience relative to their delegations of authority in systems and the markets in which they transact.</w:t>
      </w:r>
    </w:p>
    <w:p w14:paraId="03227B2B" w14:textId="77777777" w:rsidR="00770ABB" w:rsidRPr="007A2A43" w:rsidRDefault="00770ABB" w:rsidP="00770ABB">
      <w:pPr>
        <w:pStyle w:val="List2"/>
        <w:tabs>
          <w:tab w:val="num" w:pos="1620"/>
        </w:tabs>
        <w:ind w:left="1440"/>
      </w:pPr>
      <w:r>
        <w:t>(e)</w:t>
      </w:r>
      <w:r>
        <w:tab/>
      </w:r>
      <w:r w:rsidRPr="007A2A43">
        <w:t>As appropriate, a Counter-Party has risk limits in place to control risk exposures.</w:t>
      </w:r>
    </w:p>
    <w:p w14:paraId="5CDBE328" w14:textId="77777777" w:rsidR="00770ABB" w:rsidRPr="007A2A43" w:rsidRDefault="00770ABB" w:rsidP="00770ABB">
      <w:pPr>
        <w:pStyle w:val="List2"/>
        <w:tabs>
          <w:tab w:val="num" w:pos="1620"/>
        </w:tabs>
        <w:ind w:left="1440"/>
      </w:pPr>
      <w:r>
        <w:t>(f)</w:t>
      </w:r>
      <w:r>
        <w:tab/>
      </w:r>
      <w:r w:rsidRPr="007A2A43">
        <w:t>A Counter-Party has reporting in place to ensure risks are adequately communicated throughout the organization.</w:t>
      </w:r>
    </w:p>
    <w:p w14:paraId="7AA65AC2" w14:textId="77777777" w:rsidR="00770ABB" w:rsidRPr="007A2A43" w:rsidRDefault="00770ABB" w:rsidP="00770ABB">
      <w:pPr>
        <w:pStyle w:val="List2"/>
        <w:tabs>
          <w:tab w:val="num" w:pos="1620"/>
        </w:tabs>
        <w:ind w:left="1440"/>
      </w:pPr>
      <w:r>
        <w:t>(g)</w:t>
      </w:r>
      <w:r>
        <w:tab/>
      </w:r>
      <w:r w:rsidRPr="007A2A43">
        <w:t>A Counter-Party has processes in place for independent confirmation of executed transactions.</w:t>
      </w:r>
    </w:p>
    <w:p w14:paraId="5AF4C487" w14:textId="77777777" w:rsidR="00770ABB" w:rsidRPr="007A2A43" w:rsidRDefault="00770ABB" w:rsidP="00770ABB">
      <w:pPr>
        <w:pStyle w:val="List2"/>
        <w:tabs>
          <w:tab w:val="num" w:pos="1620"/>
        </w:tabs>
        <w:ind w:left="1440"/>
      </w:pPr>
      <w:r w:rsidRPr="007A2A43">
        <w:t>(h)</w:t>
      </w:r>
      <w:r w:rsidRPr="007A2A43">
        <w:tab/>
        <w:t>A Counter-Party performs a periodic valuation or mark-to-market of risk positions, as appropriate.</w:t>
      </w:r>
    </w:p>
    <w:p w14:paraId="7B245937" w14:textId="0429BDF8" w:rsidR="00770ABB" w:rsidRDefault="00770ABB" w:rsidP="0034759E">
      <w:pPr>
        <w:pStyle w:val="List"/>
        <w:ind w:left="720"/>
      </w:pPr>
      <w:r w:rsidRPr="00FB4E57">
        <w:t>(</w:t>
      </w:r>
      <w:r w:rsidR="00554675">
        <w:t>4</w:t>
      </w:r>
      <w:r w:rsidRPr="00FB4E57">
        <w:t>)</w:t>
      </w:r>
      <w:r>
        <w:tab/>
        <w:t xml:space="preserve">The ERCOT Board may approve minimum standards under an Other Binding Document. </w:t>
      </w:r>
    </w:p>
    <w:p w14:paraId="3C7F7B95" w14:textId="50697962" w:rsidR="00770ABB" w:rsidRPr="008E27A2" w:rsidRDefault="00770ABB" w:rsidP="00770ABB">
      <w:pPr>
        <w:pStyle w:val="List"/>
        <w:ind w:left="720"/>
      </w:pPr>
      <w:r>
        <w:t>(</w:t>
      </w:r>
      <w:r w:rsidR="00554675">
        <w:t>5</w:t>
      </w:r>
      <w:r>
        <w:t>)</w:t>
      </w:r>
      <w:r>
        <w:tab/>
      </w:r>
      <w:r w:rsidRPr="002C3290">
        <w:t xml:space="preserve">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w:t>
      </w:r>
      <w:r w:rsidRPr="002C3290">
        <w:lastRenderedPageBreak/>
        <w:t>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01B4CC7D" w14:textId="79627778" w:rsidR="00770ABB" w:rsidRPr="002C3290" w:rsidRDefault="00770ABB" w:rsidP="00770ABB">
      <w:pPr>
        <w:pStyle w:val="List"/>
        <w:ind w:left="720"/>
      </w:pPr>
      <w:r w:rsidRPr="002C3290">
        <w:t>(</w:t>
      </w:r>
      <w:r w:rsidR="00554675">
        <w:t>6</w:t>
      </w:r>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10158438" w14:textId="62A0AD03" w:rsidR="00770ABB" w:rsidRPr="002C3290" w:rsidRDefault="00770ABB" w:rsidP="00770ABB">
      <w:pPr>
        <w:pStyle w:val="List"/>
        <w:ind w:left="720"/>
      </w:pPr>
      <w:r w:rsidRPr="002C3290">
        <w:t>(</w:t>
      </w:r>
      <w:r w:rsidR="00554675">
        <w:t>7</w:t>
      </w:r>
      <w:r w:rsidRPr="002C3290">
        <w:t>)</w:t>
      </w:r>
      <w:r w:rsidRPr="002C3290">
        <w:tab/>
      </w:r>
      <w:r w:rsidR="00B55C27" w:rsidRPr="00723BC4">
        <w:t>ERCOT will perform procedures to verify the risk management framework at least annually for any Counter-Party if that Counter-Party or its parent:</w:t>
      </w:r>
    </w:p>
    <w:p w14:paraId="247E23A7" w14:textId="18BA793A" w:rsidR="00770ABB" w:rsidRDefault="00770ABB" w:rsidP="00D9080F">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r w:rsidR="005C04D0" w:rsidRPr="00F40D99">
        <w:rPr>
          <w:rFonts w:ascii="Times New Roman" w:hAnsi="Times New Roman"/>
          <w:sz w:val="24"/>
          <w:szCs w:val="24"/>
        </w:rPr>
        <w:t xml:space="preserve">Has had one or more late payments or represents a </w:t>
      </w:r>
      <w:r w:rsidR="005C04D0">
        <w:rPr>
          <w:rFonts w:ascii="Times New Roman" w:hAnsi="Times New Roman"/>
          <w:sz w:val="24"/>
          <w:szCs w:val="24"/>
        </w:rPr>
        <w:t>Qualified Scheduling Entity (</w:t>
      </w:r>
      <w:r w:rsidR="005C04D0" w:rsidRPr="00F40D99">
        <w:rPr>
          <w:rFonts w:ascii="Times New Roman" w:hAnsi="Times New Roman"/>
          <w:sz w:val="24"/>
          <w:szCs w:val="24"/>
        </w:rPr>
        <w:t>QSE</w:t>
      </w:r>
      <w:r w:rsidR="005C04D0">
        <w:rPr>
          <w:rFonts w:ascii="Times New Roman" w:hAnsi="Times New Roman"/>
          <w:sz w:val="24"/>
          <w:szCs w:val="24"/>
        </w:rPr>
        <w:t>)</w:t>
      </w:r>
      <w:r w:rsidR="005C04D0" w:rsidRPr="00F40D99">
        <w:rPr>
          <w:rFonts w:ascii="Times New Roman" w:hAnsi="Times New Roman"/>
          <w:sz w:val="24"/>
          <w:szCs w:val="24"/>
        </w:rPr>
        <w:t xml:space="preserve"> or CRR</w:t>
      </w:r>
      <w:r w:rsidR="005C04D0">
        <w:rPr>
          <w:rFonts w:ascii="Times New Roman" w:hAnsi="Times New Roman"/>
          <w:sz w:val="24"/>
          <w:szCs w:val="24"/>
        </w:rPr>
        <w:t xml:space="preserve"> </w:t>
      </w:r>
      <w:r w:rsidR="005C04D0" w:rsidRPr="00F40D99">
        <w:rPr>
          <w:rFonts w:ascii="Times New Roman" w:hAnsi="Times New Roman"/>
          <w:sz w:val="24"/>
          <w:szCs w:val="24"/>
        </w:rPr>
        <w:t>A</w:t>
      </w:r>
      <w:r w:rsidR="005C04D0">
        <w:rPr>
          <w:rFonts w:ascii="Times New Roman" w:hAnsi="Times New Roman"/>
          <w:sz w:val="24"/>
          <w:szCs w:val="24"/>
        </w:rPr>
        <w:t xml:space="preserve">ccount </w:t>
      </w:r>
      <w:r w:rsidR="005C04D0" w:rsidRPr="00F40D99">
        <w:rPr>
          <w:rFonts w:ascii="Times New Roman" w:hAnsi="Times New Roman"/>
          <w:sz w:val="24"/>
          <w:szCs w:val="24"/>
        </w:rPr>
        <w:t>H</w:t>
      </w:r>
      <w:r w:rsidR="005C04D0">
        <w:rPr>
          <w:rFonts w:ascii="Times New Roman" w:hAnsi="Times New Roman"/>
          <w:sz w:val="24"/>
          <w:szCs w:val="24"/>
        </w:rPr>
        <w:t>older</w:t>
      </w:r>
      <w:r w:rsidR="005C04D0" w:rsidRPr="00F40D99">
        <w:rPr>
          <w:rFonts w:ascii="Times New Roman" w:hAnsi="Times New Roman"/>
          <w:sz w:val="24"/>
          <w:szCs w:val="24"/>
        </w:rPr>
        <w:t xml:space="preserve"> that has short-paid Settlement Invoices in the year preceding the date of the annual certificate</w:t>
      </w:r>
      <w:r w:rsidR="005C04D0">
        <w:rPr>
          <w:rFonts w:ascii="Times New Roman" w:hAnsi="Times New Roman"/>
          <w:sz w:val="24"/>
          <w:szCs w:val="24"/>
        </w:rPr>
        <w:t xml:space="preserve">; </w:t>
      </w:r>
      <w:r w:rsidR="005C04D0" w:rsidRPr="00C37DC7">
        <w:rPr>
          <w:rFonts w:ascii="Times New Roman" w:hAnsi="Times New Roman"/>
          <w:sz w:val="24"/>
          <w:szCs w:val="24"/>
        </w:rPr>
        <w:t>and</w:t>
      </w:r>
    </w:p>
    <w:p w14:paraId="162A76D7" w14:textId="48493383" w:rsidR="00770ABB" w:rsidRDefault="00770ABB" w:rsidP="00FB1643">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761DE048" w14:textId="77777777" w:rsidR="00770ABB" w:rsidRDefault="00770ABB" w:rsidP="00770ABB">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7332239D" w14:textId="7F152C86"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658D28CE" w14:textId="6A5A0198"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736360E4" w14:textId="19FC1A3C"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10</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468906E9" w14:textId="7787267E"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(1</w:t>
      </w:r>
      <w:r w:rsidR="00554675">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11DAEAB2" w14:textId="16DCA08B"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sidR="00554675">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 xml:space="preserve">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w:t>
      </w:r>
      <w:r w:rsidR="005839D0">
        <w:rPr>
          <w:rFonts w:ascii="Times New Roman" w:hAnsi="Times New Roman"/>
          <w:sz w:val="24"/>
          <w:szCs w:val="24"/>
        </w:rPr>
        <w:t>24-</w:t>
      </w:r>
      <w:r>
        <w:rPr>
          <w:rFonts w:ascii="Times New Roman" w:hAnsi="Times New Roman"/>
          <w:sz w:val="24"/>
          <w:szCs w:val="24"/>
        </w:rPr>
        <w:t>month period.</w:t>
      </w:r>
    </w:p>
    <w:p w14:paraId="166A5E2C" w14:textId="203F7473" w:rsidR="00233DE1" w:rsidRPr="00233DE1" w:rsidRDefault="00233DE1" w:rsidP="00233DE1">
      <w:pPr>
        <w:pStyle w:val="H2"/>
        <w:ind w:left="907" w:hanging="907"/>
        <w:rPr>
          <w:szCs w:val="24"/>
          <w:lang w:val="en-US" w:eastAsia="en-US"/>
        </w:rPr>
      </w:pPr>
      <w:bookmarkStart w:id="766" w:name="_Toc184623074"/>
      <w:r w:rsidRPr="00233DE1">
        <w:rPr>
          <w:szCs w:val="24"/>
          <w:lang w:val="en-US" w:eastAsia="en-US"/>
        </w:rPr>
        <w:t>16.17</w:t>
      </w:r>
      <w:r w:rsidRPr="00233DE1">
        <w:rPr>
          <w:szCs w:val="24"/>
          <w:lang w:val="en-US" w:eastAsia="en-US"/>
        </w:rPr>
        <w:tab/>
        <w:t>Exemption for Qualified Scheduling Entities Participating Only in Emergency Response Service</w:t>
      </w:r>
      <w:bookmarkEnd w:id="766"/>
    </w:p>
    <w:p w14:paraId="09AB779C" w14:textId="77777777" w:rsidR="00233DE1" w:rsidRPr="00233DE1" w:rsidRDefault="00233DE1" w:rsidP="00233DE1">
      <w:pPr>
        <w:pStyle w:val="BodyTextNumbered"/>
        <w:rPr>
          <w:szCs w:val="24"/>
        </w:rPr>
      </w:pPr>
      <w:r w:rsidRPr="00233DE1">
        <w:rPr>
          <w:szCs w:val="24"/>
        </w:rPr>
        <w:t>(1)</w:t>
      </w:r>
      <w:r w:rsidRPr="00233DE1">
        <w:rPr>
          <w:szCs w:val="24"/>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121842F0" w14:textId="77777777" w:rsidR="00233DE1" w:rsidRPr="00233DE1" w:rsidRDefault="00233DE1" w:rsidP="00233DE1">
      <w:pPr>
        <w:pStyle w:val="BodyTextNumbered"/>
        <w:rPr>
          <w:szCs w:val="24"/>
        </w:rPr>
      </w:pPr>
      <w:r w:rsidRPr="00233DE1">
        <w:rPr>
          <w:szCs w:val="24"/>
        </w:rPr>
        <w:t>(2)</w:t>
      </w:r>
      <w:r w:rsidRPr="00233DE1">
        <w:rPr>
          <w:szCs w:val="24"/>
        </w:rPr>
        <w:tab/>
        <w:t xml:space="preserve">A QSE must submit a written request for designation as an ERS-only QSE at least five Business Days before the desired effective date of the designation.  </w:t>
      </w:r>
    </w:p>
    <w:p w14:paraId="47CCAB8E" w14:textId="77777777" w:rsidR="00233DE1" w:rsidRPr="00233DE1" w:rsidRDefault="00233DE1" w:rsidP="00233DE1">
      <w:pPr>
        <w:pStyle w:val="BodyTextNumbered"/>
        <w:rPr>
          <w:szCs w:val="24"/>
        </w:rPr>
      </w:pPr>
      <w:r w:rsidRPr="00233DE1">
        <w:rPr>
          <w:szCs w:val="24"/>
        </w:rPr>
        <w:t>(3)</w:t>
      </w:r>
      <w:r w:rsidRPr="00233DE1">
        <w:rPr>
          <w:szCs w:val="24"/>
        </w:rPr>
        <w:tab/>
        <w:t>Upon determining that the QSE has addressed all financial risk to ERCOT’s satisfaction, ERCOT shall designate the QSE as an ERS-only QSE, and shall notify the QSE of that designation in writing.</w:t>
      </w:r>
    </w:p>
    <w:p w14:paraId="11DE5389" w14:textId="77777777" w:rsidR="00233DE1" w:rsidRPr="00233DE1" w:rsidRDefault="00233DE1" w:rsidP="00233DE1">
      <w:pPr>
        <w:pStyle w:val="BodyTextNumbered"/>
        <w:rPr>
          <w:szCs w:val="24"/>
        </w:rPr>
      </w:pPr>
      <w:r w:rsidRPr="00233DE1">
        <w:rPr>
          <w:szCs w:val="24"/>
        </w:rPr>
        <w:t>(4)</w:t>
      </w:r>
      <w:r w:rsidRPr="00233DE1">
        <w:rPr>
          <w:szCs w:val="24"/>
        </w:rPr>
        <w:tab/>
        <w:t xml:space="preserve">Except as provided in paragraph (5) below, an ERS-only QSE is exempt from the following requirements: </w:t>
      </w:r>
    </w:p>
    <w:p w14:paraId="1937664B" w14:textId="77777777" w:rsidR="00233DE1" w:rsidRPr="00233DE1" w:rsidRDefault="00233DE1" w:rsidP="00233DE1">
      <w:pPr>
        <w:pStyle w:val="List"/>
        <w:rPr>
          <w:szCs w:val="24"/>
        </w:rPr>
      </w:pPr>
      <w:r w:rsidRPr="00233DE1">
        <w:rPr>
          <w:szCs w:val="24"/>
        </w:rPr>
        <w:t>(a)</w:t>
      </w:r>
      <w:r w:rsidRPr="00233DE1">
        <w:rPr>
          <w:szCs w:val="24"/>
        </w:rPr>
        <w:tab/>
        <w:t>The requirement to maintain sufficient collateral under Sections 16.11.1, ERCOT Creditworthiness Requirements for Counter-Parties, and 16.11.5, Monitoring of a Counter-Party’s Creditworthiness and Credit Exposure by ERCOT;</w:t>
      </w:r>
    </w:p>
    <w:p w14:paraId="7D5C1592" w14:textId="77777777" w:rsidR="00233DE1" w:rsidRPr="00233DE1" w:rsidRDefault="00233DE1" w:rsidP="00233DE1">
      <w:pPr>
        <w:pStyle w:val="List"/>
        <w:rPr>
          <w:szCs w:val="24"/>
        </w:rPr>
      </w:pPr>
      <w:r w:rsidRPr="00233DE1">
        <w:rPr>
          <w:szCs w:val="24"/>
        </w:rPr>
        <w:t>(b)</w:t>
      </w:r>
      <w:r w:rsidRPr="00233DE1">
        <w:rPr>
          <w:szCs w:val="24"/>
        </w:rPr>
        <w:tab/>
        <w:t>The requirement to submit financial statements and any notice of material changes under paragraph (1) of Section 16.11.5; and</w:t>
      </w:r>
    </w:p>
    <w:p w14:paraId="50B4896F" w14:textId="77777777" w:rsidR="00233DE1" w:rsidRPr="00233DE1" w:rsidRDefault="00233DE1" w:rsidP="00233DE1">
      <w:pPr>
        <w:pStyle w:val="List"/>
        <w:rPr>
          <w:szCs w:val="24"/>
        </w:rPr>
      </w:pPr>
      <w:r w:rsidRPr="00233DE1">
        <w:rPr>
          <w:szCs w:val="24"/>
        </w:rPr>
        <w:t>(c)</w:t>
      </w:r>
      <w:r w:rsidRPr="00233DE1">
        <w:rPr>
          <w:szCs w:val="24"/>
        </w:rPr>
        <w:tab/>
        <w:t>All requirements under Section 16.16, Additional Counter-Party Qualification Requirements.</w:t>
      </w:r>
    </w:p>
    <w:p w14:paraId="390949DB" w14:textId="77777777" w:rsidR="00233DE1" w:rsidRPr="00233DE1" w:rsidRDefault="00233DE1" w:rsidP="00233DE1">
      <w:pPr>
        <w:pStyle w:val="List"/>
        <w:ind w:left="720"/>
        <w:rPr>
          <w:szCs w:val="24"/>
        </w:rPr>
      </w:pPr>
      <w:r w:rsidRPr="00233DE1">
        <w:rPr>
          <w:szCs w:val="24"/>
        </w:rPr>
        <w:t>(5)</w:t>
      </w:r>
      <w:r w:rsidRPr="00233DE1">
        <w:rPr>
          <w:szCs w:val="24"/>
        </w:rPr>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34632AEE" w14:textId="77777777" w:rsidR="00233DE1" w:rsidRPr="00233DE1" w:rsidRDefault="00233DE1" w:rsidP="00233DE1">
      <w:pPr>
        <w:pStyle w:val="List"/>
        <w:ind w:left="720"/>
        <w:rPr>
          <w:szCs w:val="24"/>
        </w:rPr>
      </w:pPr>
      <w:r w:rsidRPr="00233DE1">
        <w:rPr>
          <w:szCs w:val="24"/>
        </w:rPr>
        <w:lastRenderedPageBreak/>
        <w:t>(6)</w:t>
      </w:r>
      <w:r w:rsidRPr="00233DE1">
        <w:rPr>
          <w:szCs w:val="24"/>
        </w:rPr>
        <w:tab/>
        <w:t>ERCOT shall ensure that its systems prevent participation by ERS-only QSEs in the DAM and RTM.</w:t>
      </w:r>
    </w:p>
    <w:p w14:paraId="5B72B42A" w14:textId="563F1865" w:rsidR="00233DE1" w:rsidRPr="00233DE1" w:rsidRDefault="00233DE1" w:rsidP="00233DE1">
      <w:pPr>
        <w:pStyle w:val="List"/>
        <w:ind w:left="720"/>
        <w:rPr>
          <w:szCs w:val="24"/>
        </w:rPr>
      </w:pPr>
      <w:r w:rsidRPr="00233DE1">
        <w:rPr>
          <w:szCs w:val="24"/>
        </w:rPr>
        <w:t>(7)</w:t>
      </w:r>
      <w:r w:rsidRPr="00233DE1">
        <w:rPr>
          <w:szCs w:val="24"/>
        </w:rPr>
        <w:tab/>
      </w:r>
      <w:r w:rsidR="00B55C27" w:rsidRPr="00233DE1">
        <w:rPr>
          <w:szCs w:val="24"/>
        </w:rPr>
        <w:t>A QSE must request termination of its ERS-only status in writing.  Termination of ERS-only status will be effective only upon ERCOT’s written confirmation that the QSE has satisfied all creditworthiness requirements applicable to QSEs.</w:t>
      </w:r>
    </w:p>
    <w:p w14:paraId="5A76A8F1" w14:textId="105521EC" w:rsidR="00233DE1" w:rsidRPr="00233DE1" w:rsidRDefault="00233DE1" w:rsidP="00D9080F">
      <w:pPr>
        <w:pStyle w:val="ListParagraph"/>
        <w:spacing w:after="240" w:line="240" w:lineRule="auto"/>
        <w:ind w:hanging="720"/>
        <w:contextualSpacing w:val="0"/>
        <w:rPr>
          <w:rFonts w:ascii="Times New Roman" w:hAnsi="Times New Roman"/>
          <w:sz w:val="24"/>
          <w:szCs w:val="24"/>
        </w:rPr>
      </w:pPr>
      <w:r w:rsidRPr="00233DE1">
        <w:rPr>
          <w:rFonts w:ascii="Times New Roman" w:hAnsi="Times New Roman"/>
          <w:sz w:val="24"/>
          <w:szCs w:val="24"/>
        </w:rPr>
        <w:t>(8)</w:t>
      </w:r>
      <w:r w:rsidRPr="00233DE1">
        <w:rPr>
          <w:rFonts w:ascii="Times New Roman" w:hAnsi="Times New Roman"/>
          <w:sz w:val="24"/>
          <w:szCs w:val="24"/>
        </w:rPr>
        <w:tab/>
        <w:t xml:space="preserve">Nothing in this </w:t>
      </w:r>
      <w:r w:rsidR="00A01AC4">
        <w:rPr>
          <w:rFonts w:ascii="Times New Roman" w:hAnsi="Times New Roman"/>
          <w:sz w:val="24"/>
          <w:szCs w:val="24"/>
        </w:rPr>
        <w:t>S</w:t>
      </w:r>
      <w:r w:rsidRPr="00233DE1">
        <w:rPr>
          <w:rFonts w:ascii="Times New Roman" w:hAnsi="Times New Roman"/>
          <w:sz w:val="24"/>
          <w:szCs w:val="24"/>
        </w:rPr>
        <w:t>ection affects an ERS-only QSE’s obligation under paragraph (</w:t>
      </w:r>
      <w:r w:rsidR="000475FE">
        <w:rPr>
          <w:rFonts w:ascii="Times New Roman" w:hAnsi="Times New Roman"/>
          <w:sz w:val="24"/>
          <w:szCs w:val="24"/>
        </w:rPr>
        <w:t>6</w:t>
      </w:r>
      <w:r w:rsidRPr="00233DE1">
        <w:rPr>
          <w:rFonts w:ascii="Times New Roman" w:hAnsi="Times New Roman"/>
          <w:sz w:val="24"/>
          <w:szCs w:val="24"/>
        </w:rPr>
        <w:t>) of Section 16.2.1, Criteria for Qualification as a Qualified Scheduling Entity, to provide ERCOT notice of any material change that could adversely affect the reliability or safety 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B7BC8" w14:paraId="34E8D6EF" w14:textId="77777777" w:rsidTr="005716FA">
        <w:tc>
          <w:tcPr>
            <w:tcW w:w="9332" w:type="dxa"/>
            <w:shd w:val="pct12" w:color="auto" w:fill="auto"/>
          </w:tcPr>
          <w:p w14:paraId="153BFECB" w14:textId="22591FFA" w:rsidR="003B7BC8" w:rsidRPr="0002450E" w:rsidRDefault="003B7BC8" w:rsidP="001D1B26">
            <w:pPr>
              <w:pStyle w:val="Instructions"/>
              <w:spacing w:before="120"/>
              <w:rPr>
                <w:iCs/>
              </w:rPr>
            </w:pPr>
            <w:r w:rsidRPr="0002450E">
              <w:rPr>
                <w:iCs/>
              </w:rPr>
              <w:t>[NPRR</w:t>
            </w:r>
            <w:r>
              <w:rPr>
                <w:iCs/>
              </w:rPr>
              <w:t>857</w:t>
            </w:r>
            <w:r w:rsidRPr="0002450E">
              <w:rPr>
                <w:iCs/>
              </w:rPr>
              <w:t xml:space="preserve">:  </w:t>
            </w:r>
            <w:r>
              <w:rPr>
                <w:iCs/>
              </w:rPr>
              <w:t>Insert Section 16.18 below</w:t>
            </w:r>
            <w:r w:rsidRPr="0002450E">
              <w:rPr>
                <w:iCs/>
              </w:rPr>
              <w:t xml:space="preserve"> upon system implementation</w:t>
            </w:r>
            <w:r w:rsidR="00D611BB">
              <w:rPr>
                <w:iCs/>
              </w:rPr>
              <w:t xml:space="preserve"> </w:t>
            </w:r>
            <w:r w:rsidR="002C3748">
              <w:rPr>
                <w:iCs/>
              </w:rPr>
              <w:t xml:space="preserve">and </w:t>
            </w:r>
            <w:r w:rsidR="002C3748" w:rsidRPr="00060F77">
              <w:rPr>
                <w:iCs/>
              </w:rPr>
              <w:t xml:space="preserve">satisfying the following conditions: </w:t>
            </w:r>
            <w:r w:rsidR="002C3748">
              <w:rPr>
                <w:iCs/>
              </w:rPr>
              <w:t xml:space="preserve"> </w:t>
            </w:r>
            <w:r w:rsidR="002C3748" w:rsidRPr="00060F77">
              <w:rPr>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2C3748">
              <w:rPr>
                <w:iCs/>
              </w:rPr>
              <w:t xml:space="preserve">; </w:t>
            </w:r>
            <w:r w:rsidR="00D611BB">
              <w:rPr>
                <w:iCs/>
              </w:rPr>
              <w:t>and renumber accordingly</w:t>
            </w:r>
            <w:r w:rsidRPr="0002450E">
              <w:rPr>
                <w:iCs/>
              </w:rPr>
              <w:t xml:space="preserve">:] </w:t>
            </w:r>
          </w:p>
          <w:p w14:paraId="39AA7209" w14:textId="77777777" w:rsidR="003B7BC8" w:rsidRPr="00E55E72" w:rsidRDefault="003B7BC8" w:rsidP="003B7BC8">
            <w:pPr>
              <w:keepNext/>
              <w:tabs>
                <w:tab w:val="left" w:pos="900"/>
              </w:tabs>
              <w:spacing w:before="240" w:after="240"/>
              <w:ind w:left="900" w:hanging="900"/>
              <w:outlineLvl w:val="1"/>
              <w:rPr>
                <w:b/>
              </w:rPr>
            </w:pPr>
            <w:bookmarkStart w:id="767" w:name="_Toc10024122"/>
            <w:bookmarkStart w:id="768" w:name="_Toc11053083"/>
            <w:bookmarkStart w:id="769" w:name="_Toc34728550"/>
            <w:bookmarkStart w:id="770" w:name="_Toc44403983"/>
            <w:bookmarkStart w:id="771" w:name="_Toc54882179"/>
            <w:bookmarkStart w:id="772" w:name="_Toc54882284"/>
            <w:bookmarkStart w:id="773" w:name="_Toc85094726"/>
            <w:bookmarkStart w:id="774" w:name="_Toc91061042"/>
            <w:bookmarkStart w:id="775" w:name="_Toc134442892"/>
            <w:bookmarkStart w:id="776" w:name="_Toc146274833"/>
            <w:bookmarkStart w:id="777" w:name="_Toc184623075"/>
            <w:r w:rsidRPr="00E55E72">
              <w:rPr>
                <w:b/>
              </w:rPr>
              <w:t>16.1</w:t>
            </w:r>
            <w:r>
              <w:rPr>
                <w:b/>
              </w:rPr>
              <w:t>8</w:t>
            </w:r>
            <w:r w:rsidRPr="003B7BC8">
              <w:rPr>
                <w:b/>
              </w:rPr>
              <w:tab/>
            </w:r>
            <w:r w:rsidRPr="00E55E72">
              <w:rPr>
                <w:b/>
              </w:rPr>
              <w:t>Registration of a Direct Current Tie Operator</w:t>
            </w:r>
            <w:bookmarkEnd w:id="767"/>
            <w:bookmarkEnd w:id="768"/>
            <w:bookmarkEnd w:id="769"/>
            <w:bookmarkEnd w:id="770"/>
            <w:bookmarkEnd w:id="771"/>
            <w:bookmarkEnd w:id="772"/>
            <w:bookmarkEnd w:id="773"/>
            <w:bookmarkEnd w:id="774"/>
            <w:bookmarkEnd w:id="775"/>
            <w:bookmarkEnd w:id="776"/>
            <w:bookmarkEnd w:id="777"/>
          </w:p>
          <w:p w14:paraId="5AE59743" w14:textId="77777777" w:rsidR="003B7BC8" w:rsidRPr="008C7774" w:rsidRDefault="003B7BC8" w:rsidP="003B7BC8">
            <w:pPr>
              <w:spacing w:after="240"/>
              <w:ind w:left="720" w:hanging="720"/>
            </w:pPr>
            <w:r w:rsidRPr="00E55E72">
              <w:t>(1)</w:t>
            </w:r>
            <w:r w:rsidRPr="00E55E72">
              <w:tab/>
              <w:t xml:space="preserve">Each Entity that operates a Direct Current Tie </w:t>
            </w:r>
            <w:r>
              <w:t xml:space="preserve">(DC Tie) </w:t>
            </w:r>
            <w:r w:rsidRPr="00E55E72">
              <w:t xml:space="preserve">shall register as a Direct Current Tie Operator (DCTO) with ERCOT.  To register as a DCTO, an Entity must execute a Standard Form Market Participant Agreement (using the form provided in Section 22, Attachment A, Standard Form Market Participant Agreement), designate a DCTO Authorized Representative and contacts, confirm </w:t>
            </w:r>
            <w:r>
              <w:t>that it is either registered with ERCOT as a Transmission Service Provider (TSP) that is subject</w:t>
            </w:r>
            <w:r w:rsidRPr="00E55E72">
              <w:t xml:space="preserve"> to a Public Utility Commission of Texas (PUCT)-approved code of conduct or</w:t>
            </w:r>
            <w:r>
              <w:t xml:space="preserve"> is subject to</w:t>
            </w:r>
            <w:r w:rsidRPr="00E55E72">
              <w:t xml:space="preserve"> Federal Energy Regulatory Commission (FERC)-approved standards of conduct, and be capable of performing the functions of a DCTO, as applicable, as described in these Protocols.</w:t>
            </w:r>
          </w:p>
        </w:tc>
      </w:tr>
    </w:tbl>
    <w:p w14:paraId="7D0BC41E" w14:textId="7038486D" w:rsidR="005716FA" w:rsidRPr="009A08C4" w:rsidRDefault="005716FA" w:rsidP="00D611BB">
      <w:pPr>
        <w:pStyle w:val="H2"/>
        <w:spacing w:before="480"/>
      </w:pPr>
      <w:bookmarkStart w:id="778" w:name="_Toc70591679"/>
      <w:bookmarkStart w:id="779" w:name="_Toc148960916"/>
      <w:bookmarkStart w:id="780" w:name="_Toc175159208"/>
      <w:bookmarkStart w:id="781" w:name="_Toc184623076"/>
      <w:r w:rsidRPr="009A08C4">
        <w:t>16.1</w:t>
      </w:r>
      <w:r w:rsidR="00D611BB">
        <w:rPr>
          <w:lang w:val="en-US"/>
        </w:rPr>
        <w:t>8</w:t>
      </w:r>
      <w:r w:rsidRPr="009A08C4">
        <w:tab/>
        <w:t>Cybersecurity Incident Notification</w:t>
      </w:r>
      <w:bookmarkEnd w:id="778"/>
      <w:bookmarkEnd w:id="779"/>
      <w:bookmarkEnd w:id="780"/>
      <w:bookmarkEnd w:id="781"/>
    </w:p>
    <w:p w14:paraId="476FB19A" w14:textId="77777777" w:rsidR="005716FA" w:rsidRDefault="005716FA" w:rsidP="005716FA">
      <w:pPr>
        <w:pStyle w:val="BodyText"/>
        <w:ind w:left="720" w:hanging="720"/>
      </w:pPr>
      <w:r>
        <w:rPr>
          <w:lang w:eastAsia="x-none"/>
        </w:rPr>
        <w:t>(1)</w:t>
      </w:r>
      <w:r>
        <w:rPr>
          <w:lang w:eastAsia="x-none"/>
        </w:rPr>
        <w:tab/>
        <w:t xml:space="preserve">Each Market Participant </w:t>
      </w:r>
      <w:r>
        <w:t>shall designate and maintain a Cybersecurity Contact for communications with ERCOT with respect to Cybersecurity Incidents.  Registered Market Participants shall use the Notice of Change of Information form, as provided for in Section 23, Form E, Notice of Change of Information, to designate a Cybersecurity Contact, and maintain updated Cybersecurity Contact information.</w:t>
      </w:r>
    </w:p>
    <w:p w14:paraId="12236532" w14:textId="77777777" w:rsidR="00067F7E" w:rsidRDefault="00067F7E" w:rsidP="00067F7E">
      <w:pPr>
        <w:pStyle w:val="BodyText"/>
        <w:ind w:left="720" w:hanging="720"/>
      </w:pPr>
      <w:r>
        <w:lastRenderedPageBreak/>
        <w:t>(2)</w:t>
      </w:r>
      <w:r>
        <w:tab/>
        <w:t>As soon as practicable upon determination of a Cybersecurity Incident on a Market Participant’s</w:t>
      </w:r>
      <w:r w:rsidRPr="000C5CB3">
        <w:t xml:space="preserve"> </w:t>
      </w:r>
      <w:r w:rsidRPr="004F3B65">
        <w:t>computer network or system that interfaces with an ERCOT computer network or system</w:t>
      </w:r>
      <w:r>
        <w:t>, the Market Participant shall notify ERCOT</w:t>
      </w:r>
      <w:r w:rsidRPr="004F3B65">
        <w:t xml:space="preserve">. </w:t>
      </w:r>
    </w:p>
    <w:p w14:paraId="72EDE496" w14:textId="5DF1DD16" w:rsidR="00067F7E" w:rsidRDefault="00067F7E" w:rsidP="00067F7E">
      <w:pPr>
        <w:pStyle w:val="BodyText"/>
        <w:ind w:left="720" w:hanging="720"/>
      </w:pPr>
      <w:r>
        <w:t>(3)</w:t>
      </w:r>
      <w:r>
        <w:tab/>
        <w:t xml:space="preserve">For purposes of this section, in the event a Market Participant delegates authority to an agent, the Market Participant shall ensure that the agent is obligated to notify the Market Participant, as soon as practicable, upon the agent’s discovery of a Cybersecurity Incident on the agent’s computer network or system that interfaces with an ERCOT computer network or system. </w:t>
      </w:r>
    </w:p>
    <w:p w14:paraId="2B673BE4" w14:textId="22BB73C7" w:rsidR="00067F7E" w:rsidRDefault="00067F7E" w:rsidP="00067F7E">
      <w:pPr>
        <w:pStyle w:val="BodyText"/>
        <w:ind w:left="720" w:hanging="720"/>
      </w:pPr>
      <w:r>
        <w:t>(4)</w:t>
      </w:r>
      <w:r>
        <w:tab/>
      </w:r>
      <w:r w:rsidRPr="004F3B65">
        <w:t xml:space="preserve">A Market Participant shall notify ERCOT, as soon as practicable, upon </w:t>
      </w:r>
      <w:r>
        <w:t>the agent’s notification to the Market Participant</w:t>
      </w:r>
      <w:r w:rsidRPr="004F3B65">
        <w:t xml:space="preserve"> of a Cybersecurity Incident on </w:t>
      </w:r>
      <w:r>
        <w:t>the</w:t>
      </w:r>
      <w:r w:rsidRPr="004F3B65">
        <w:t xml:space="preserve"> agent’s computer network or system that interfaces with an ERCOT computer network or system for the purpose of transacting with ERCOT on behalf of the Market Participant.</w:t>
      </w:r>
      <w:r>
        <w:t xml:space="preserve">  If a Market Participant’s agent is also registered with ERCOT as a Market Participant, only the agent is required to report a Cybersecurity Incident on its computer network or system that interfaces with an ERCOT computer network or system to ERCOT.  The failure of an agent to notify the Market Participant of a Cybersecurity Incident shall not constitute a violation of this section if the Market Participant can demonstrate that a reporting mandate exists in a contract between the Market Participant and its agent.</w:t>
      </w:r>
    </w:p>
    <w:p w14:paraId="327154CC" w14:textId="77777777" w:rsidR="00067F7E" w:rsidRDefault="00067F7E" w:rsidP="00067F7E">
      <w:pPr>
        <w:pStyle w:val="BodyText"/>
        <w:ind w:left="720" w:hanging="720"/>
        <w:rPr>
          <w:lang w:eastAsia="x-none"/>
        </w:rPr>
      </w:pPr>
      <w:r>
        <w:rPr>
          <w:lang w:eastAsia="x-none"/>
        </w:rPr>
        <w:t>(5)</w:t>
      </w:r>
      <w:r>
        <w:rPr>
          <w:lang w:eastAsia="x-none"/>
        </w:rPr>
        <w:tab/>
        <w:t>In order to notify ERCOT of a Cybersecurity Incident, Market Participants shall submit a Notice of Cybersecurity Incident</w:t>
      </w:r>
      <w:r w:rsidDel="00AC3DDC">
        <w:rPr>
          <w:lang w:eastAsia="x-none"/>
        </w:rPr>
        <w:t xml:space="preserve"> </w:t>
      </w:r>
      <w:r>
        <w:rPr>
          <w:lang w:eastAsia="x-none"/>
        </w:rPr>
        <w:t xml:space="preserve">(Section 23, Form O, Notice of Cybersecurity Incident) to </w:t>
      </w:r>
      <w:hyperlink r:id="rId22" w:history="1">
        <w:r w:rsidRPr="00574AB5">
          <w:rPr>
            <w:rStyle w:val="Hyperlink"/>
            <w:lang w:eastAsia="x-none"/>
          </w:rPr>
          <w:t>NCSI@ercot.com</w:t>
        </w:r>
      </w:hyperlink>
      <w:r>
        <w:rPr>
          <w:lang w:eastAsia="x-none"/>
        </w:rPr>
        <w:t>.  If, as a result of the Cybersecurity Incident, a Market Participant is unable to securely send the Notice of Cybersecurity Incident</w:t>
      </w:r>
      <w:r w:rsidDel="00AC3DDC">
        <w:rPr>
          <w:lang w:eastAsia="x-none"/>
        </w:rPr>
        <w:t xml:space="preserve"> </w:t>
      </w:r>
      <w:r>
        <w:rPr>
          <w:lang w:eastAsia="x-none"/>
        </w:rPr>
        <w:t xml:space="preserve">to ERCOT, the Market Participant shall call the ERCOT HelpDesk </w:t>
      </w:r>
      <w:r w:rsidRPr="006C6BC1">
        <w:rPr>
          <w:lang w:eastAsia="x-none"/>
        </w:rPr>
        <w:t>at (512) 248-6800</w:t>
      </w:r>
      <w:r>
        <w:rPr>
          <w:lang w:eastAsia="x-none"/>
        </w:rPr>
        <w:t xml:space="preserve"> and/or its Client Service Representative to request a secure means for sending the Notice of Cybersecurity Incident to ERCOT.</w:t>
      </w:r>
    </w:p>
    <w:p w14:paraId="40CEEE13" w14:textId="77777777" w:rsidR="00067F7E" w:rsidRDefault="00067F7E" w:rsidP="00067F7E">
      <w:pPr>
        <w:pStyle w:val="BodyText"/>
        <w:ind w:left="1440" w:hanging="720"/>
        <w:rPr>
          <w:lang w:eastAsia="x-none"/>
        </w:rPr>
      </w:pPr>
      <w:r>
        <w:rPr>
          <w:lang w:eastAsia="x-none"/>
        </w:rPr>
        <w:t>(a)</w:t>
      </w:r>
      <w:r>
        <w:rPr>
          <w:lang w:eastAsia="x-none"/>
        </w:rPr>
        <w:tab/>
        <w:t xml:space="preserve">A Market Participant </w:t>
      </w:r>
      <w:r w:rsidRPr="002031AC">
        <w:rPr>
          <w:lang w:eastAsia="x-none"/>
        </w:rPr>
        <w:t xml:space="preserve">may designate a temporary </w:t>
      </w:r>
      <w:r>
        <w:rPr>
          <w:lang w:eastAsia="x-none"/>
        </w:rPr>
        <w:t>cybersecurity c</w:t>
      </w:r>
      <w:r w:rsidRPr="002031AC">
        <w:rPr>
          <w:lang w:eastAsia="x-none"/>
        </w:rPr>
        <w:t xml:space="preserve">ontact for a particular </w:t>
      </w:r>
      <w:r>
        <w:rPr>
          <w:lang w:eastAsia="x-none"/>
        </w:rPr>
        <w:t>Cybersecurity Incident</w:t>
      </w:r>
      <w:r w:rsidDel="00AC3DDC">
        <w:rPr>
          <w:lang w:eastAsia="x-none"/>
        </w:rPr>
        <w:t xml:space="preserve"> </w:t>
      </w:r>
      <w:r w:rsidRPr="002031AC">
        <w:rPr>
          <w:lang w:eastAsia="x-none"/>
        </w:rPr>
        <w:t xml:space="preserve">by </w:t>
      </w:r>
      <w:r>
        <w:rPr>
          <w:lang w:eastAsia="x-none"/>
        </w:rPr>
        <w:t>providing contact information for such individual in the Notice of Cybersecurity Incident form submitted to ERCOT.</w:t>
      </w:r>
      <w:r w:rsidRPr="002031AC">
        <w:rPr>
          <w:lang w:eastAsia="x-none"/>
        </w:rPr>
        <w:t xml:space="preserve"> </w:t>
      </w:r>
      <w:r>
        <w:rPr>
          <w:lang w:eastAsia="x-none"/>
        </w:rPr>
        <w:t xml:space="preserve">Should a Market Participant designate a temporary cybersecurity contact in its Notice of Cybersecurity Incident, </w:t>
      </w:r>
      <w:r w:rsidRPr="002031AC">
        <w:rPr>
          <w:lang w:eastAsia="x-none"/>
        </w:rPr>
        <w:t xml:space="preserve">ERCOT will direct communications </w:t>
      </w:r>
      <w:r>
        <w:rPr>
          <w:lang w:eastAsia="x-none"/>
        </w:rPr>
        <w:t>concerning that particular Cybersecurity Incident</w:t>
      </w:r>
      <w:r w:rsidDel="00AC3DDC">
        <w:rPr>
          <w:lang w:eastAsia="x-none"/>
        </w:rPr>
        <w:t xml:space="preserve"> </w:t>
      </w:r>
      <w:r>
        <w:rPr>
          <w:lang w:eastAsia="x-none"/>
        </w:rPr>
        <w:t>to the te</w:t>
      </w:r>
      <w:r w:rsidRPr="002031AC">
        <w:rPr>
          <w:lang w:eastAsia="x-none"/>
        </w:rPr>
        <w:t xml:space="preserve">mporary </w:t>
      </w:r>
      <w:r>
        <w:rPr>
          <w:lang w:eastAsia="x-none"/>
        </w:rPr>
        <w:t>cybersecurity c</w:t>
      </w:r>
      <w:r w:rsidRPr="002031AC">
        <w:rPr>
          <w:lang w:eastAsia="x-none"/>
        </w:rPr>
        <w:t>ontact.</w:t>
      </w:r>
    </w:p>
    <w:p w14:paraId="5D90322E" w14:textId="77777777" w:rsidR="00067F7E" w:rsidRDefault="00067F7E" w:rsidP="00067F7E">
      <w:pPr>
        <w:pStyle w:val="BodyText"/>
        <w:ind w:left="1440" w:hanging="720"/>
        <w:rPr>
          <w:lang w:eastAsia="x-none"/>
        </w:rPr>
      </w:pPr>
      <w:r>
        <w:t>(b)</w:t>
      </w:r>
      <w:r>
        <w:tab/>
        <w:t>Following initial notification, Market Participant shall provide ERCOT with updated information concerning the Cybersecurity</w:t>
      </w:r>
      <w:r>
        <w:rPr>
          <w:lang w:eastAsia="x-none"/>
        </w:rPr>
        <w:t xml:space="preserve"> Incident</w:t>
      </w:r>
      <w:r w:rsidDel="00AC3DDC">
        <w:t xml:space="preserve"> </w:t>
      </w:r>
      <w:r>
        <w:t>as it becomes available, and upon ERCOT’s request, until ERCOT provides notice to Market Participant that information regarding the Cybersecurity</w:t>
      </w:r>
      <w:r>
        <w:rPr>
          <w:lang w:eastAsia="x-none"/>
        </w:rPr>
        <w:t xml:space="preserve"> Incident</w:t>
      </w:r>
      <w:r w:rsidDel="00AC3DDC">
        <w:t xml:space="preserve"> </w:t>
      </w:r>
      <w:r>
        <w:t xml:space="preserve">is no longer needed.  To the extent practicable, the </w:t>
      </w:r>
      <w:r>
        <w:rPr>
          <w:lang w:eastAsia="x-none"/>
        </w:rPr>
        <w:t>Notice of Cybersecurity Incident</w:t>
      </w:r>
      <w:r w:rsidDel="00AC3DDC">
        <w:rPr>
          <w:lang w:eastAsia="x-none"/>
        </w:rPr>
        <w:t xml:space="preserve"> </w:t>
      </w:r>
      <w:r>
        <w:rPr>
          <w:lang w:eastAsia="x-none"/>
        </w:rPr>
        <w:t>form shall be used to provide ERCOT with updated information.</w:t>
      </w:r>
    </w:p>
    <w:p w14:paraId="22181D29" w14:textId="0B58E2AA" w:rsidR="00067F7E" w:rsidRDefault="00067F7E" w:rsidP="00067F7E">
      <w:pPr>
        <w:pStyle w:val="BodyText"/>
        <w:ind w:left="720" w:hanging="720"/>
      </w:pPr>
      <w:r w:rsidRPr="00E25D10">
        <w:t>(</w:t>
      </w:r>
      <w:r>
        <w:t>6</w:t>
      </w:r>
      <w:r w:rsidRPr="00E25D10">
        <w:t>)</w:t>
      </w:r>
      <w:r w:rsidRPr="00E25D10">
        <w:tab/>
        <w:t xml:space="preserve">In the event ERCOT determines that a Cybersecurity Incident </w:t>
      </w:r>
      <w:r>
        <w:t>may</w:t>
      </w:r>
      <w:r w:rsidRPr="00E25D10">
        <w:t xml:space="preserve"> </w:t>
      </w:r>
      <w:r>
        <w:t xml:space="preserve">materially </w:t>
      </w:r>
      <w:r w:rsidRPr="00E25D10">
        <w:t xml:space="preserve">impact computer networks or systems of ERCOT and/or Market Participants, ERCOT </w:t>
      </w:r>
      <w:r>
        <w:t>shall</w:t>
      </w:r>
      <w:r w:rsidRPr="00E25D10">
        <w:t xml:space="preserve"> issue a Market </w:t>
      </w:r>
      <w:r w:rsidRPr="0081684A">
        <w:rPr>
          <w:szCs w:val="24"/>
        </w:rPr>
        <w:t xml:space="preserve">Notice to all Market Participants with general information concerning the Cybersecurity Incident.  ERCOT may utilize the information contained in a Notice of </w:t>
      </w:r>
      <w:r w:rsidRPr="007D280D">
        <w:rPr>
          <w:szCs w:val="24"/>
        </w:rPr>
        <w:lastRenderedPageBreak/>
        <w:t xml:space="preserve">Cybersecurity Incident, except that in no event shall the Market Notice contain information identifiable to a specific Market Participant or </w:t>
      </w:r>
      <w:r w:rsidR="00E32319">
        <w:rPr>
          <w:szCs w:val="24"/>
        </w:rPr>
        <w:t xml:space="preserve">ERCOT </w:t>
      </w:r>
      <w:r w:rsidRPr="007D280D">
        <w:rPr>
          <w:szCs w:val="24"/>
        </w:rPr>
        <w:t>Critical Energy Infrastructure Information (</w:t>
      </w:r>
      <w:r w:rsidR="00E32319">
        <w:rPr>
          <w:szCs w:val="24"/>
        </w:rPr>
        <w:t>E</w:t>
      </w:r>
      <w:r w:rsidRPr="007D280D">
        <w:rPr>
          <w:szCs w:val="24"/>
        </w:rPr>
        <w:t>CEII).</w:t>
      </w:r>
    </w:p>
    <w:p w14:paraId="39FD7E6F" w14:textId="77777777" w:rsidR="006C277F" w:rsidRPr="006C277F" w:rsidRDefault="006C277F" w:rsidP="00974AFC">
      <w:pPr>
        <w:pStyle w:val="H2"/>
        <w:rPr>
          <w:b w:val="0"/>
          <w:bCs/>
          <w:snapToGrid w:val="0"/>
        </w:rPr>
      </w:pPr>
      <w:bookmarkStart w:id="782" w:name="_Toc184623077"/>
      <w:r w:rsidRPr="006C277F">
        <w:rPr>
          <w:bCs/>
          <w:snapToGrid w:val="0"/>
        </w:rPr>
        <w:t>16.19</w:t>
      </w:r>
      <w:r w:rsidRPr="006C277F">
        <w:rPr>
          <w:bCs/>
          <w:snapToGrid w:val="0"/>
        </w:rPr>
        <w:tab/>
      </w:r>
      <w:r w:rsidRPr="00974AFC">
        <w:t>Designation</w:t>
      </w:r>
      <w:r w:rsidRPr="006C277F">
        <w:rPr>
          <w:bCs/>
          <w:snapToGrid w:val="0"/>
        </w:rPr>
        <w:t xml:space="preserve"> of Transmission Operators</w:t>
      </w:r>
      <w:bookmarkEnd w:id="782"/>
      <w:r w:rsidRPr="006C277F">
        <w:rPr>
          <w:bCs/>
          <w:snapToGrid w:val="0"/>
        </w:rPr>
        <w:t xml:space="preserve"> </w:t>
      </w:r>
    </w:p>
    <w:p w14:paraId="4CE82F5B" w14:textId="0E564F23"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Each Transmission Service Provider (TSP) shall either register as a Transmission Operator (TO) or designate one or more other</w:t>
      </w:r>
      <w:r w:rsidR="00087B14" w:rsidRPr="006C277F">
        <w:rPr>
          <w:iCs/>
          <w:color w:val="000000"/>
          <w:szCs w:val="24"/>
        </w:rPr>
        <w:t xml:space="preserve">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w:t>
      </w:r>
      <w:r w:rsidRPr="006C277F">
        <w:rPr>
          <w:iCs/>
          <w:color w:val="000000"/>
          <w:szCs w:val="24"/>
        </w:rPr>
        <w:t xml:space="preserve">as its TO for each Transmission Facility owned by the TSP.  Each DSP shall either register as a TO or designate another TDSP as its TO.  A TDSP shall designate another Entity as its TO only with the written consent of that other Entity.  </w:t>
      </w:r>
    </w:p>
    <w:p w14:paraId="026D9765" w14:textId="77777777" w:rsidR="006C277F" w:rsidRPr="006C277F" w:rsidRDefault="006C277F" w:rsidP="006C277F">
      <w:pPr>
        <w:spacing w:after="240"/>
        <w:ind w:left="720" w:hanging="720"/>
        <w:rPr>
          <w:iCs/>
          <w:color w:val="000000"/>
          <w:szCs w:val="24"/>
        </w:rPr>
      </w:pPr>
      <w:r w:rsidRPr="006C277F">
        <w:rPr>
          <w:iCs/>
          <w:color w:val="000000"/>
          <w:szCs w:val="24"/>
        </w:rPr>
        <w:t>(2)</w:t>
      </w:r>
      <w:r w:rsidRPr="006C277F">
        <w:rPr>
          <w:iCs/>
          <w:color w:val="000000"/>
          <w:szCs w:val="24"/>
        </w:rPr>
        <w:tab/>
        <w:t xml:space="preserve">A TO shall have full authority to act on behalf of the designating TDSP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4155AF4B" w14:textId="127CA0CD"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 </w:t>
      </w:r>
      <w:r w:rsidR="00747E08">
        <w:rPr>
          <w:iCs/>
          <w:color w:val="000000"/>
          <w:szCs w:val="24"/>
        </w:rPr>
        <w:t xml:space="preserve"> </w:t>
      </w:r>
      <w:r w:rsidR="00747E08">
        <w:rPr>
          <w:iCs/>
          <w:color w:val="000000"/>
        </w:rPr>
        <w:t>A TO has a responsibility to answer each TO Hotline call.</w:t>
      </w:r>
    </w:p>
    <w:p w14:paraId="0F32B388"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shall enter a TO designation for each Transmission Facility it owns in the Network Operations Model.  Any designation or change to that designation shall be 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TSP’s facilities may unilaterally reject or resign from that designation </w:t>
      </w:r>
      <w:r w:rsidRPr="006C277F">
        <w:rPr>
          <w:iCs/>
          <w:color w:val="000000"/>
          <w:szCs w:val="24"/>
        </w:rPr>
        <w:t xml:space="preserve">by providing written notice to the designating TSP and the TSP shall promptly update the TO designation in the Network Operations Model for the affected Transmission Facility.  </w:t>
      </w:r>
    </w:p>
    <w:p w14:paraId="271E2660" w14:textId="4EE450FC" w:rsidR="006C277F" w:rsidRPr="006C277F" w:rsidRDefault="006C277F" w:rsidP="006C277F">
      <w:pPr>
        <w:spacing w:after="240"/>
        <w:ind w:left="720" w:hanging="720"/>
        <w:rPr>
          <w:iCs/>
          <w:color w:val="000000"/>
          <w:szCs w:val="24"/>
        </w:rPr>
      </w:pPr>
      <w:r w:rsidRPr="006C277F">
        <w:rPr>
          <w:iCs/>
          <w:color w:val="000000"/>
          <w:szCs w:val="24"/>
        </w:rPr>
        <w:t>(5)</w:t>
      </w:r>
      <w:r w:rsidRPr="006C277F">
        <w:rPr>
          <w:iCs/>
          <w:color w:val="000000"/>
          <w:szCs w:val="24"/>
        </w:rPr>
        <w:tab/>
        <w:t xml:space="preserve">ERCOT shall post a Transmission Operator Designation Form on the ERCOT website.  </w:t>
      </w:r>
      <w:r w:rsidR="00087B14" w:rsidRPr="006C277F">
        <w:rPr>
          <w:iCs/>
          <w:color w:val="000000"/>
          <w:szCs w:val="24"/>
        </w:rPr>
        <w:t xml:space="preserve">A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w:t>
      </w:r>
      <w:r w:rsidRPr="006C277F">
        <w:rPr>
          <w:iCs/>
          <w:color w:val="000000"/>
          <w:szCs w:val="24"/>
        </w:rPr>
        <w:t xml:space="preserve">may designate a TO or make any change to its designation, including revoking a TO designation, by properly completing the Transmission Operator Designation Form and submitting it via email to ERCOT with a 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other Authorized Representative of the designating DSP and the TDSP designated as TO.  </w:t>
      </w:r>
    </w:p>
    <w:p w14:paraId="4AB2ECAB"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4D2E3403" w14:textId="77777777" w:rsidR="006C277F" w:rsidRPr="006C277F" w:rsidRDefault="006C277F" w:rsidP="006C277F">
      <w:pPr>
        <w:spacing w:after="240"/>
        <w:ind w:left="720" w:hanging="720"/>
        <w:rPr>
          <w:iCs/>
          <w:color w:val="000000"/>
          <w:szCs w:val="24"/>
        </w:rPr>
      </w:pPr>
      <w:r w:rsidRPr="006C277F">
        <w:rPr>
          <w:iCs/>
          <w:color w:val="000000"/>
          <w:szCs w:val="24"/>
        </w:rPr>
        <w:lastRenderedPageBreak/>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6C277F" w:rsidRPr="006C277F" w14:paraId="28B6F8D7" w14:textId="77777777" w:rsidTr="006C277F">
        <w:trPr>
          <w:trHeight w:val="476"/>
        </w:trPr>
        <w:tc>
          <w:tcPr>
            <w:tcW w:w="9350" w:type="dxa"/>
            <w:tcBorders>
              <w:top w:val="single" w:sz="4" w:space="0" w:color="auto"/>
              <w:bottom w:val="single" w:sz="4" w:space="0" w:color="auto"/>
            </w:tcBorders>
            <w:shd w:val="clear" w:color="auto" w:fill="E0E0E0"/>
          </w:tcPr>
          <w:p w14:paraId="6A56C7DD" w14:textId="67BB3A5F" w:rsidR="006C277F" w:rsidRPr="006C277F" w:rsidRDefault="006C277F" w:rsidP="006C277F">
            <w:pPr>
              <w:spacing w:before="120" w:after="240"/>
              <w:rPr>
                <w:b/>
                <w:i/>
                <w:iCs/>
                <w:color w:val="000000"/>
                <w:szCs w:val="24"/>
              </w:rPr>
            </w:pPr>
            <w:r w:rsidRPr="006C277F">
              <w:rPr>
                <w:b/>
                <w:i/>
                <w:iCs/>
                <w:color w:val="000000"/>
                <w:szCs w:val="24"/>
              </w:rPr>
              <w:t>[NPRR1045:  Replace Section 16.19 above with the following upon system implementation of NPRR857:]</w:t>
            </w:r>
          </w:p>
          <w:p w14:paraId="1E3E5423" w14:textId="77777777" w:rsidR="006C277F" w:rsidRPr="006C277F" w:rsidRDefault="006C277F" w:rsidP="00974AFC">
            <w:pPr>
              <w:pStyle w:val="H2"/>
              <w:rPr>
                <w:b w:val="0"/>
                <w:bCs/>
                <w:snapToGrid w:val="0"/>
              </w:rPr>
            </w:pPr>
            <w:bookmarkStart w:id="783" w:name="_Toc70591681"/>
            <w:bookmarkStart w:id="784" w:name="_Toc91061045"/>
            <w:bookmarkStart w:id="785" w:name="_Toc134442895"/>
            <w:bookmarkStart w:id="786" w:name="_Toc146274836"/>
            <w:bookmarkStart w:id="787" w:name="_Toc148960918"/>
            <w:bookmarkStart w:id="788" w:name="_Toc175159210"/>
            <w:bookmarkStart w:id="789" w:name="_Toc184623078"/>
            <w:r w:rsidRPr="006C277F">
              <w:rPr>
                <w:bCs/>
                <w:snapToGrid w:val="0"/>
              </w:rPr>
              <w:t>16.19</w:t>
            </w:r>
            <w:r w:rsidRPr="006C277F">
              <w:rPr>
                <w:bCs/>
                <w:snapToGrid w:val="0"/>
              </w:rPr>
              <w:tab/>
              <w:t>Designation of Transmission Operators</w:t>
            </w:r>
            <w:bookmarkEnd w:id="783"/>
            <w:bookmarkEnd w:id="784"/>
            <w:bookmarkEnd w:id="785"/>
            <w:bookmarkEnd w:id="786"/>
            <w:bookmarkEnd w:id="787"/>
            <w:bookmarkEnd w:id="788"/>
            <w:bookmarkEnd w:id="789"/>
            <w:r w:rsidRPr="006C277F">
              <w:rPr>
                <w:bCs/>
                <w:snapToGrid w:val="0"/>
              </w:rPr>
              <w:t xml:space="preserve"> </w:t>
            </w:r>
          </w:p>
          <w:p w14:paraId="582E8267" w14:textId="2DC9F832"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 xml:space="preserve">Each Transmission Service Provider (TSP) </w:t>
            </w:r>
            <w:r w:rsidR="00087B14" w:rsidRPr="006C277F">
              <w:rPr>
                <w:iCs/>
                <w:color w:val="000000"/>
                <w:szCs w:val="24"/>
              </w:rPr>
              <w:t xml:space="preserve">shall either register as a Transmission Operator (TO) or designate one or more other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as its TO for each Transmission Facility owned by the TSP.  Each Direct Current Tie Operator (DCTO) shall designate a TDSP as its TO for each DC Tie it operates.  Each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shall either register as a TO or designate another TDSP as its TO.  A TDSP or DCTO shall designate another Entity as its TO only with the written consent of that other Entity.  </w:t>
            </w:r>
          </w:p>
          <w:p w14:paraId="0B4D9265" w14:textId="77777777" w:rsidR="006C277F" w:rsidRPr="006C277F" w:rsidRDefault="006C277F" w:rsidP="006C277F">
            <w:pPr>
              <w:spacing w:after="240"/>
              <w:ind w:left="720" w:hanging="720"/>
              <w:rPr>
                <w:iCs/>
                <w:color w:val="000000"/>
                <w:szCs w:val="24"/>
              </w:rPr>
            </w:pPr>
            <w:r w:rsidRPr="006C277F">
              <w:rPr>
                <w:iCs/>
                <w:color w:val="000000"/>
                <w:szCs w:val="24"/>
              </w:rPr>
              <w:t>(2)</w:t>
            </w:r>
            <w:r w:rsidRPr="006C277F">
              <w:rPr>
                <w:iCs/>
                <w:color w:val="000000"/>
                <w:szCs w:val="24"/>
              </w:rPr>
              <w:tab/>
              <w:t xml:space="preserve">A TO shall have full authority to act on behalf of the designating TDSP or DCTO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39F5F286" w14:textId="5231A2A7"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w:t>
            </w:r>
            <w:r w:rsidR="00747E08">
              <w:rPr>
                <w:iCs/>
                <w:color w:val="000000"/>
              </w:rPr>
              <w:t xml:space="preserve">  A TO has a responsibility to answer each TO Hotline call.</w:t>
            </w:r>
            <w:r w:rsidRPr="006C277F">
              <w:rPr>
                <w:iCs/>
                <w:color w:val="000000"/>
                <w:szCs w:val="24"/>
              </w:rPr>
              <w:t xml:space="preserve"> </w:t>
            </w:r>
          </w:p>
          <w:p w14:paraId="2B65E39C"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or DCTO shall enter a TO designation for each Transmission Facility it owns in the Network Operations Model.  Any designation or change to that designation shall be 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 or DCTO’s facilities may unilaterally reject or resign from that designation </w:t>
            </w:r>
            <w:r w:rsidRPr="006C277F">
              <w:rPr>
                <w:iCs/>
                <w:color w:val="000000"/>
                <w:szCs w:val="24"/>
              </w:rPr>
              <w:t xml:space="preserve">by providing written notice to the designating TSP and the TSP shall promptly update the TO designation in the Network Operations Model for the affected Transmission Facility.  </w:t>
            </w:r>
          </w:p>
          <w:p w14:paraId="7ED9A4D8" w14:textId="55991B82" w:rsidR="006C277F" w:rsidRPr="006C277F" w:rsidRDefault="006C277F" w:rsidP="006C277F">
            <w:pPr>
              <w:spacing w:after="240"/>
              <w:ind w:left="720" w:hanging="720"/>
              <w:rPr>
                <w:iCs/>
                <w:color w:val="000000"/>
                <w:szCs w:val="24"/>
              </w:rPr>
            </w:pPr>
            <w:r w:rsidRPr="006C277F">
              <w:rPr>
                <w:iCs/>
                <w:color w:val="000000"/>
                <w:szCs w:val="24"/>
              </w:rPr>
              <w:t>(5)</w:t>
            </w:r>
            <w:r w:rsidRPr="006C277F">
              <w:rPr>
                <w:iCs/>
                <w:color w:val="000000"/>
                <w:szCs w:val="24"/>
              </w:rPr>
              <w:tab/>
              <w:t xml:space="preserve">ERCOT shall post a Transmission Operator Designation Form on the ERCOT website.  A DSP may designate a TO or make any change to its designation, including revoking a TO designation, by properly completing the Transmission Operator Designation Form and submitting it via email to ERCOT with a 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w:t>
            </w:r>
            <w:r w:rsidRPr="006C277F">
              <w:rPr>
                <w:iCs/>
                <w:color w:val="000000"/>
                <w:szCs w:val="24"/>
              </w:rPr>
              <w:lastRenderedPageBreak/>
              <w:t xml:space="preserve">other Authorized Representative of the designating DSP or DCTO and the TDSP designated as TO.  </w:t>
            </w:r>
          </w:p>
          <w:p w14:paraId="7E95F61D"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5A0FBC48" w14:textId="77777777" w:rsidR="006C277F" w:rsidRPr="006C277F" w:rsidRDefault="006C277F" w:rsidP="006C277F">
            <w:pPr>
              <w:spacing w:after="240"/>
              <w:ind w:left="720" w:hanging="720"/>
              <w:rPr>
                <w:iCs/>
                <w:color w:val="000000"/>
                <w:szCs w:val="24"/>
              </w:rPr>
            </w:pPr>
            <w:r w:rsidRPr="006C277F">
              <w:rPr>
                <w:iCs/>
                <w:color w:val="000000"/>
                <w:szCs w:val="24"/>
              </w:rPr>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c>
      </w:tr>
    </w:tbl>
    <w:p w14:paraId="7E9177BE" w14:textId="77777777" w:rsidR="0081684A" w:rsidRDefault="0081684A" w:rsidP="00CC002A">
      <w:pPr>
        <w:pStyle w:val="BodyText"/>
      </w:pPr>
    </w:p>
    <w:sectPr w:rsidR="0081684A" w:rsidSect="00FC1C5F">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40CD" w14:textId="77777777" w:rsidR="000E65BB" w:rsidRDefault="000E65BB">
      <w:r>
        <w:separator/>
      </w:r>
    </w:p>
  </w:endnote>
  <w:endnote w:type="continuationSeparator" w:id="0">
    <w:p w14:paraId="1F7556DF" w14:textId="77777777" w:rsidR="000E65BB" w:rsidRDefault="000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A2F7"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DD457" w14:textId="77777777" w:rsidR="00743263" w:rsidRDefault="007432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4EAD" w14:textId="77777777" w:rsidR="00743263" w:rsidRDefault="00743263">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CC5E"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B75E" w14:textId="11F81A25" w:rsidR="00743263" w:rsidRDefault="00743263">
    <w:pPr>
      <w:pStyle w:val="Footer"/>
      <w:tabs>
        <w:tab w:val="right" w:pos="9450"/>
      </w:tabs>
      <w:spacing w:before="0" w:after="0"/>
    </w:pPr>
    <w:r>
      <w:t xml:space="preserve">ERCOT Nodal Protocols – </w:t>
    </w:r>
    <w:r w:rsidR="00B57B60">
      <w:t>January</w:t>
    </w:r>
    <w:r w:rsidR="00B55C27">
      <w:t xml:space="preserve"> 1</w:t>
    </w:r>
    <w:r>
      <w:t>, 202</w:t>
    </w:r>
    <w:r w:rsidR="00B57B60">
      <w:t>5</w:t>
    </w:r>
  </w:p>
  <w:p w14:paraId="47D279AC" w14:textId="77777777" w:rsidR="00743263" w:rsidRDefault="00743263">
    <w:pPr>
      <w:pStyle w:val="Footer"/>
      <w:tabs>
        <w:tab w:val="right" w:pos="9450"/>
      </w:tabs>
      <w:spacing w:before="0" w:after="0"/>
      <w:jc w:val="center"/>
    </w:pPr>
    <w: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3672"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178C"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1725BC" w14:textId="77777777" w:rsidR="00743263" w:rsidRDefault="0074326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23F6" w14:textId="475142F7" w:rsidR="00743263" w:rsidRDefault="00743263">
    <w:pPr>
      <w:pStyle w:val="Footer"/>
      <w:tabs>
        <w:tab w:val="right" w:pos="9450"/>
      </w:tabs>
      <w:spacing w:before="0" w:after="0"/>
      <w:rPr>
        <w:rStyle w:val="PageNumber"/>
      </w:rPr>
    </w:pPr>
    <w:r>
      <w:t xml:space="preserve">ERCOT Nodal Protocols – </w:t>
    </w:r>
    <w:r w:rsidR="00B57B60">
      <w:t>January</w:t>
    </w:r>
    <w:r w:rsidR="00B55C27">
      <w:t xml:space="preserve"> 1</w:t>
    </w:r>
    <w:r>
      <w:t>, 202</w:t>
    </w:r>
    <w:r w:rsidR="00B57B60">
      <w:t>5</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22C85721" w14:textId="77777777" w:rsidR="00743263" w:rsidRDefault="00743263">
    <w:pPr>
      <w:pStyle w:val="Footer"/>
      <w:tabs>
        <w:tab w:val="right" w:pos="9450"/>
      </w:tabs>
      <w:spacing w:before="0" w:after="0"/>
      <w:jc w:val="center"/>
    </w:pPr>
    <w:r>
      <w:rPr>
        <w:rStyle w:val="PageNumber"/>
      </w:rPr>
      <w:t>PUBLIC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5D31" w14:textId="77777777" w:rsidR="00743263" w:rsidRDefault="00743263">
    <w:pPr>
      <w:pStyle w:val="Footer"/>
      <w:framePr w:wrap="around" w:vAnchor="text" w:hAnchor="margin" w:xAlign="right" w:y="1"/>
      <w:rPr>
        <w:rStyle w:val="PageNumber"/>
      </w:rPr>
    </w:pPr>
  </w:p>
  <w:p w14:paraId="721CD2C6" w14:textId="77777777" w:rsidR="00743263" w:rsidRDefault="00743263">
    <w:pPr>
      <w:pStyle w:val="Footer"/>
    </w:pPr>
    <w:r>
      <w:t xml:space="preserve">ERCOT Nodal Protocols – Draft </w:t>
    </w:r>
    <w:smartTag w:uri="urn:schemas-microsoft-com:office:smarttags" w:element="date">
      <w:smartTagPr>
        <w:attr w:name="Year" w:val="2004"/>
        <w:attr w:name="Day" w:val="26"/>
        <w:attr w:name="Month" w:val="5"/>
        <w:attr w:name="ls" w:val="trans"/>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506D" w14:textId="77777777" w:rsidR="000E65BB" w:rsidRDefault="000E65BB">
      <w:r>
        <w:separator/>
      </w:r>
    </w:p>
  </w:footnote>
  <w:footnote w:type="continuationSeparator" w:id="0">
    <w:p w14:paraId="45CB6CFE" w14:textId="77777777" w:rsidR="000E65BB" w:rsidRDefault="000E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EF5A" w14:textId="77777777" w:rsidR="00743263" w:rsidRDefault="00743263">
    <w:pPr>
      <w:pStyle w:val="Header"/>
      <w:pBdr>
        <w:bottom w:val="none" w:sz="0" w:space="0"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7F8E" w14:textId="77777777" w:rsidR="00743263" w:rsidRDefault="00743263">
    <w:pPr>
      <w:pStyle w:val="Header"/>
    </w:pPr>
    <w:r>
      <w:t>Table of Contents:  Section 16</w:t>
    </w:r>
  </w:p>
  <w:p w14:paraId="1E6632AB" w14:textId="77777777" w:rsidR="00743263" w:rsidRDefault="00743263">
    <w:pPr>
      <w:pStyle w:val="Header"/>
      <w:pBdr>
        <w:bottom w:val="none" w:sz="0" w:space="0" w:color="auto"/>
      </w:pBd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6917" w14:textId="77777777" w:rsidR="00743263" w:rsidRDefault="00743263">
    <w:pPr>
      <w:pStyle w:val="Header"/>
    </w:pPr>
    <w:r>
      <w:t>Section 16: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96F"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p w14:paraId="2F584375" w14:textId="77777777" w:rsidR="00743263" w:rsidRDefault="00743263">
    <w:pPr>
      <w:pStyle w:val="Header"/>
      <w:pBdr>
        <w:bottom w:val="none" w:sz="0" w:space="0" w:color="auto"/>
      </w:pBd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CF2A"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6"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66510064"/>
    <w:multiLevelType w:val="multilevel"/>
    <w:tmpl w:val="DBDC0E34"/>
    <w:lvl w:ilvl="0">
      <w:start w:val="1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5801217">
    <w:abstractNumId w:val="17"/>
  </w:num>
  <w:num w:numId="2" w16cid:durableId="419064234">
    <w:abstractNumId w:val="19"/>
  </w:num>
  <w:num w:numId="3" w16cid:durableId="2028017912">
    <w:abstractNumId w:val="0"/>
  </w:num>
  <w:num w:numId="4" w16cid:durableId="1569226112">
    <w:abstractNumId w:val="14"/>
  </w:num>
  <w:num w:numId="5" w16cid:durableId="170871631">
    <w:abstractNumId w:val="13"/>
  </w:num>
  <w:num w:numId="6" w16cid:durableId="1075780549">
    <w:abstractNumId w:val="8"/>
  </w:num>
  <w:num w:numId="7" w16cid:durableId="1641105810">
    <w:abstractNumId w:val="7"/>
  </w:num>
  <w:num w:numId="8" w16cid:durableId="330304825">
    <w:abstractNumId w:val="16"/>
  </w:num>
  <w:num w:numId="9" w16cid:durableId="580021196">
    <w:abstractNumId w:val="15"/>
  </w:num>
  <w:num w:numId="10" w16cid:durableId="334505247">
    <w:abstractNumId w:val="22"/>
  </w:num>
  <w:num w:numId="11" w16cid:durableId="1778022888">
    <w:abstractNumId w:val="1"/>
  </w:num>
  <w:num w:numId="12" w16cid:durableId="953486547">
    <w:abstractNumId w:val="5"/>
  </w:num>
  <w:num w:numId="13" w16cid:durableId="1215700576">
    <w:abstractNumId w:val="11"/>
  </w:num>
  <w:num w:numId="14" w16cid:durableId="1919289813">
    <w:abstractNumId w:val="18"/>
  </w:num>
  <w:num w:numId="15" w16cid:durableId="2072922151">
    <w:abstractNumId w:val="3"/>
  </w:num>
  <w:num w:numId="16" w16cid:durableId="86195807">
    <w:abstractNumId w:val="4"/>
  </w:num>
  <w:num w:numId="17" w16cid:durableId="651912598">
    <w:abstractNumId w:val="6"/>
  </w:num>
  <w:num w:numId="18" w16cid:durableId="2030909065">
    <w:abstractNumId w:val="17"/>
  </w:num>
  <w:num w:numId="19" w16cid:durableId="1148211589">
    <w:abstractNumId w:val="21"/>
  </w:num>
  <w:num w:numId="20" w16cid:durableId="1941065261">
    <w:abstractNumId w:val="10"/>
  </w:num>
  <w:num w:numId="21" w16cid:durableId="665472804">
    <w:abstractNumId w:val="2"/>
  </w:num>
  <w:num w:numId="22" w16cid:durableId="866600187">
    <w:abstractNumId w:val="12"/>
  </w:num>
  <w:num w:numId="23" w16cid:durableId="161167462">
    <w:abstractNumId w:val="20"/>
  </w:num>
  <w:num w:numId="24" w16cid:durableId="758529171">
    <w:abstractNumId w:val="9"/>
  </w:num>
  <w:num w:numId="25" w16cid:durableId="30843920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5F"/>
    <w:rsid w:val="00000D77"/>
    <w:rsid w:val="00002A11"/>
    <w:rsid w:val="00002B03"/>
    <w:rsid w:val="00002F41"/>
    <w:rsid w:val="0000582A"/>
    <w:rsid w:val="000121AD"/>
    <w:rsid w:val="00013289"/>
    <w:rsid w:val="0001588A"/>
    <w:rsid w:val="000160E0"/>
    <w:rsid w:val="0001661E"/>
    <w:rsid w:val="00017145"/>
    <w:rsid w:val="000174CD"/>
    <w:rsid w:val="00022A2E"/>
    <w:rsid w:val="00023149"/>
    <w:rsid w:val="000232E6"/>
    <w:rsid w:val="0002345B"/>
    <w:rsid w:val="00023AB4"/>
    <w:rsid w:val="00023D5B"/>
    <w:rsid w:val="0002450E"/>
    <w:rsid w:val="00024BE1"/>
    <w:rsid w:val="00026476"/>
    <w:rsid w:val="00027ABD"/>
    <w:rsid w:val="00030891"/>
    <w:rsid w:val="00030EC9"/>
    <w:rsid w:val="00032A46"/>
    <w:rsid w:val="00036EC4"/>
    <w:rsid w:val="000370C5"/>
    <w:rsid w:val="000376C9"/>
    <w:rsid w:val="00040698"/>
    <w:rsid w:val="00042D82"/>
    <w:rsid w:val="00046F88"/>
    <w:rsid w:val="000475FE"/>
    <w:rsid w:val="000479AE"/>
    <w:rsid w:val="00052835"/>
    <w:rsid w:val="00053F81"/>
    <w:rsid w:val="0005725D"/>
    <w:rsid w:val="00062400"/>
    <w:rsid w:val="00062769"/>
    <w:rsid w:val="00062C56"/>
    <w:rsid w:val="00062E50"/>
    <w:rsid w:val="00063CFE"/>
    <w:rsid w:val="0006626C"/>
    <w:rsid w:val="00067F7E"/>
    <w:rsid w:val="000723E8"/>
    <w:rsid w:val="00072418"/>
    <w:rsid w:val="00073866"/>
    <w:rsid w:val="00074C2B"/>
    <w:rsid w:val="00077067"/>
    <w:rsid w:val="0007756C"/>
    <w:rsid w:val="00077E23"/>
    <w:rsid w:val="000812B4"/>
    <w:rsid w:val="0008133B"/>
    <w:rsid w:val="00081A43"/>
    <w:rsid w:val="00082575"/>
    <w:rsid w:val="00082B5B"/>
    <w:rsid w:val="00086624"/>
    <w:rsid w:val="000870C9"/>
    <w:rsid w:val="00087B14"/>
    <w:rsid w:val="00090786"/>
    <w:rsid w:val="00090BA5"/>
    <w:rsid w:val="000929F0"/>
    <w:rsid w:val="00093A94"/>
    <w:rsid w:val="00094062"/>
    <w:rsid w:val="00095419"/>
    <w:rsid w:val="00097EA5"/>
    <w:rsid w:val="000A063B"/>
    <w:rsid w:val="000A08CF"/>
    <w:rsid w:val="000A0A43"/>
    <w:rsid w:val="000A7B2B"/>
    <w:rsid w:val="000B23CB"/>
    <w:rsid w:val="000B27F0"/>
    <w:rsid w:val="000B3DA3"/>
    <w:rsid w:val="000B3F7F"/>
    <w:rsid w:val="000B55EF"/>
    <w:rsid w:val="000B5BEC"/>
    <w:rsid w:val="000B62AE"/>
    <w:rsid w:val="000B62BB"/>
    <w:rsid w:val="000B6F80"/>
    <w:rsid w:val="000B6FE0"/>
    <w:rsid w:val="000B7636"/>
    <w:rsid w:val="000C0A5D"/>
    <w:rsid w:val="000C1414"/>
    <w:rsid w:val="000C22D2"/>
    <w:rsid w:val="000C3577"/>
    <w:rsid w:val="000C3CFF"/>
    <w:rsid w:val="000C5AE0"/>
    <w:rsid w:val="000C7043"/>
    <w:rsid w:val="000C7415"/>
    <w:rsid w:val="000C76A4"/>
    <w:rsid w:val="000D00F4"/>
    <w:rsid w:val="000D36D7"/>
    <w:rsid w:val="000D71F8"/>
    <w:rsid w:val="000E23B0"/>
    <w:rsid w:val="000E3528"/>
    <w:rsid w:val="000E49BB"/>
    <w:rsid w:val="000E4B76"/>
    <w:rsid w:val="000E65BB"/>
    <w:rsid w:val="000E695C"/>
    <w:rsid w:val="000E72B5"/>
    <w:rsid w:val="000E7458"/>
    <w:rsid w:val="000F0BE1"/>
    <w:rsid w:val="000F17D7"/>
    <w:rsid w:val="000F1E71"/>
    <w:rsid w:val="000F24BA"/>
    <w:rsid w:val="000F40DF"/>
    <w:rsid w:val="000F5E03"/>
    <w:rsid w:val="000F619B"/>
    <w:rsid w:val="001037E0"/>
    <w:rsid w:val="001067AB"/>
    <w:rsid w:val="001075EF"/>
    <w:rsid w:val="0011177E"/>
    <w:rsid w:val="00113057"/>
    <w:rsid w:val="001139F7"/>
    <w:rsid w:val="00115C4F"/>
    <w:rsid w:val="001168CD"/>
    <w:rsid w:val="00116F52"/>
    <w:rsid w:val="0011779D"/>
    <w:rsid w:val="00122597"/>
    <w:rsid w:val="001229DC"/>
    <w:rsid w:val="00122A47"/>
    <w:rsid w:val="00122AC9"/>
    <w:rsid w:val="0012314B"/>
    <w:rsid w:val="00125912"/>
    <w:rsid w:val="00126ABB"/>
    <w:rsid w:val="0012720F"/>
    <w:rsid w:val="001277A1"/>
    <w:rsid w:val="00130062"/>
    <w:rsid w:val="00130D6C"/>
    <w:rsid w:val="0013104B"/>
    <w:rsid w:val="00131A66"/>
    <w:rsid w:val="00135A5B"/>
    <w:rsid w:val="001414F9"/>
    <w:rsid w:val="00142152"/>
    <w:rsid w:val="00143445"/>
    <w:rsid w:val="00144199"/>
    <w:rsid w:val="001475C2"/>
    <w:rsid w:val="001525EC"/>
    <w:rsid w:val="00152E4B"/>
    <w:rsid w:val="00156B07"/>
    <w:rsid w:val="00160197"/>
    <w:rsid w:val="0016049E"/>
    <w:rsid w:val="001613F1"/>
    <w:rsid w:val="001617F7"/>
    <w:rsid w:val="00161E0E"/>
    <w:rsid w:val="001641C4"/>
    <w:rsid w:val="00164C18"/>
    <w:rsid w:val="00165F10"/>
    <w:rsid w:val="00170B18"/>
    <w:rsid w:val="00173006"/>
    <w:rsid w:val="001736B0"/>
    <w:rsid w:val="00173C35"/>
    <w:rsid w:val="00174B30"/>
    <w:rsid w:val="00174F6C"/>
    <w:rsid w:val="0017700F"/>
    <w:rsid w:val="00177995"/>
    <w:rsid w:val="001802C7"/>
    <w:rsid w:val="001805F6"/>
    <w:rsid w:val="0018288A"/>
    <w:rsid w:val="00183BC3"/>
    <w:rsid w:val="00184B4B"/>
    <w:rsid w:val="001856AB"/>
    <w:rsid w:val="001856C4"/>
    <w:rsid w:val="001868F9"/>
    <w:rsid w:val="00193BF2"/>
    <w:rsid w:val="00194EEE"/>
    <w:rsid w:val="001A085D"/>
    <w:rsid w:val="001A1224"/>
    <w:rsid w:val="001A1562"/>
    <w:rsid w:val="001A17DD"/>
    <w:rsid w:val="001A55B7"/>
    <w:rsid w:val="001A683A"/>
    <w:rsid w:val="001A738B"/>
    <w:rsid w:val="001A7AB9"/>
    <w:rsid w:val="001B30AF"/>
    <w:rsid w:val="001B3DAE"/>
    <w:rsid w:val="001B4A1F"/>
    <w:rsid w:val="001B5901"/>
    <w:rsid w:val="001C15BC"/>
    <w:rsid w:val="001C2322"/>
    <w:rsid w:val="001C2FDE"/>
    <w:rsid w:val="001C3D6D"/>
    <w:rsid w:val="001C46D9"/>
    <w:rsid w:val="001C6988"/>
    <w:rsid w:val="001C7165"/>
    <w:rsid w:val="001C739C"/>
    <w:rsid w:val="001D00A8"/>
    <w:rsid w:val="001D1905"/>
    <w:rsid w:val="001D1931"/>
    <w:rsid w:val="001D19E3"/>
    <w:rsid w:val="001D1B26"/>
    <w:rsid w:val="001D1D2D"/>
    <w:rsid w:val="001D374E"/>
    <w:rsid w:val="001D3EB6"/>
    <w:rsid w:val="001D554C"/>
    <w:rsid w:val="001D6445"/>
    <w:rsid w:val="001D6FDB"/>
    <w:rsid w:val="001E0A81"/>
    <w:rsid w:val="001E1629"/>
    <w:rsid w:val="001E2553"/>
    <w:rsid w:val="001E41FD"/>
    <w:rsid w:val="001E52BE"/>
    <w:rsid w:val="001E5A7E"/>
    <w:rsid w:val="001E6046"/>
    <w:rsid w:val="001F126B"/>
    <w:rsid w:val="001F13B8"/>
    <w:rsid w:val="001F44D0"/>
    <w:rsid w:val="001F775A"/>
    <w:rsid w:val="0020488A"/>
    <w:rsid w:val="00206023"/>
    <w:rsid w:val="00206C6A"/>
    <w:rsid w:val="0020706C"/>
    <w:rsid w:val="0020748E"/>
    <w:rsid w:val="002148BB"/>
    <w:rsid w:val="0021565F"/>
    <w:rsid w:val="00216388"/>
    <w:rsid w:val="002166E7"/>
    <w:rsid w:val="00216776"/>
    <w:rsid w:val="00216B4F"/>
    <w:rsid w:val="002206AD"/>
    <w:rsid w:val="00221C60"/>
    <w:rsid w:val="00222D7B"/>
    <w:rsid w:val="00230BAE"/>
    <w:rsid w:val="00233DE1"/>
    <w:rsid w:val="002349CD"/>
    <w:rsid w:val="00234DC8"/>
    <w:rsid w:val="002403C3"/>
    <w:rsid w:val="002424BD"/>
    <w:rsid w:val="002475CE"/>
    <w:rsid w:val="002534B1"/>
    <w:rsid w:val="00262EEB"/>
    <w:rsid w:val="002631D7"/>
    <w:rsid w:val="002635D3"/>
    <w:rsid w:val="002639A4"/>
    <w:rsid w:val="00264712"/>
    <w:rsid w:val="00267FB2"/>
    <w:rsid w:val="00270D6A"/>
    <w:rsid w:val="00271A97"/>
    <w:rsid w:val="00271ED3"/>
    <w:rsid w:val="00275EFD"/>
    <w:rsid w:val="00277384"/>
    <w:rsid w:val="00277F36"/>
    <w:rsid w:val="00280035"/>
    <w:rsid w:val="0028005C"/>
    <w:rsid w:val="002803BF"/>
    <w:rsid w:val="00280B6F"/>
    <w:rsid w:val="0028136E"/>
    <w:rsid w:val="0028363C"/>
    <w:rsid w:val="00284BF0"/>
    <w:rsid w:val="002864A5"/>
    <w:rsid w:val="002877C9"/>
    <w:rsid w:val="00290196"/>
    <w:rsid w:val="00296FC2"/>
    <w:rsid w:val="002A15C4"/>
    <w:rsid w:val="002A209E"/>
    <w:rsid w:val="002A20D9"/>
    <w:rsid w:val="002A5374"/>
    <w:rsid w:val="002A5591"/>
    <w:rsid w:val="002A61C4"/>
    <w:rsid w:val="002A6390"/>
    <w:rsid w:val="002A7728"/>
    <w:rsid w:val="002B06F8"/>
    <w:rsid w:val="002B0F9B"/>
    <w:rsid w:val="002B1C61"/>
    <w:rsid w:val="002B1F67"/>
    <w:rsid w:val="002B20DD"/>
    <w:rsid w:val="002B286A"/>
    <w:rsid w:val="002B2C07"/>
    <w:rsid w:val="002B3DDF"/>
    <w:rsid w:val="002B43B7"/>
    <w:rsid w:val="002B49F7"/>
    <w:rsid w:val="002B565A"/>
    <w:rsid w:val="002B668C"/>
    <w:rsid w:val="002B72D0"/>
    <w:rsid w:val="002C19E5"/>
    <w:rsid w:val="002C3290"/>
    <w:rsid w:val="002C3748"/>
    <w:rsid w:val="002C64F9"/>
    <w:rsid w:val="002C653A"/>
    <w:rsid w:val="002C787B"/>
    <w:rsid w:val="002D0B2E"/>
    <w:rsid w:val="002D0D49"/>
    <w:rsid w:val="002D20F3"/>
    <w:rsid w:val="002D23B1"/>
    <w:rsid w:val="002D2785"/>
    <w:rsid w:val="002D2799"/>
    <w:rsid w:val="002D332F"/>
    <w:rsid w:val="002D4566"/>
    <w:rsid w:val="002D6ABD"/>
    <w:rsid w:val="002E0A9C"/>
    <w:rsid w:val="002E0E66"/>
    <w:rsid w:val="002E18F8"/>
    <w:rsid w:val="002E1E52"/>
    <w:rsid w:val="002E2051"/>
    <w:rsid w:val="002E2641"/>
    <w:rsid w:val="002E68F9"/>
    <w:rsid w:val="002E6C8C"/>
    <w:rsid w:val="002E76DA"/>
    <w:rsid w:val="002F03A7"/>
    <w:rsid w:val="002F2328"/>
    <w:rsid w:val="002F2A6A"/>
    <w:rsid w:val="002F309C"/>
    <w:rsid w:val="002F409F"/>
    <w:rsid w:val="002F50F2"/>
    <w:rsid w:val="002F6EC9"/>
    <w:rsid w:val="002F7F47"/>
    <w:rsid w:val="0030023B"/>
    <w:rsid w:val="00300E30"/>
    <w:rsid w:val="00301E78"/>
    <w:rsid w:val="00304032"/>
    <w:rsid w:val="00305093"/>
    <w:rsid w:val="0030579C"/>
    <w:rsid w:val="0030612E"/>
    <w:rsid w:val="003062A3"/>
    <w:rsid w:val="00310113"/>
    <w:rsid w:val="0031049E"/>
    <w:rsid w:val="00311559"/>
    <w:rsid w:val="003126BC"/>
    <w:rsid w:val="00312F55"/>
    <w:rsid w:val="003135AE"/>
    <w:rsid w:val="00313674"/>
    <w:rsid w:val="00314DBD"/>
    <w:rsid w:val="0031594F"/>
    <w:rsid w:val="0031595F"/>
    <w:rsid w:val="003167F7"/>
    <w:rsid w:val="00324551"/>
    <w:rsid w:val="0032725A"/>
    <w:rsid w:val="00331248"/>
    <w:rsid w:val="003317F7"/>
    <w:rsid w:val="00331D8A"/>
    <w:rsid w:val="0033224D"/>
    <w:rsid w:val="0033404D"/>
    <w:rsid w:val="0033459A"/>
    <w:rsid w:val="00335647"/>
    <w:rsid w:val="003367E9"/>
    <w:rsid w:val="0033728C"/>
    <w:rsid w:val="0033760D"/>
    <w:rsid w:val="00340001"/>
    <w:rsid w:val="00341131"/>
    <w:rsid w:val="003430B1"/>
    <w:rsid w:val="00345245"/>
    <w:rsid w:val="00345584"/>
    <w:rsid w:val="00345E2E"/>
    <w:rsid w:val="00346051"/>
    <w:rsid w:val="00346CF6"/>
    <w:rsid w:val="003470FF"/>
    <w:rsid w:val="0034759E"/>
    <w:rsid w:val="00350FB0"/>
    <w:rsid w:val="003532D1"/>
    <w:rsid w:val="00355A24"/>
    <w:rsid w:val="00355D7A"/>
    <w:rsid w:val="003573E3"/>
    <w:rsid w:val="00360E2C"/>
    <w:rsid w:val="00362E3D"/>
    <w:rsid w:val="00363641"/>
    <w:rsid w:val="00364DE6"/>
    <w:rsid w:val="003651B3"/>
    <w:rsid w:val="00365293"/>
    <w:rsid w:val="00367720"/>
    <w:rsid w:val="00367889"/>
    <w:rsid w:val="003711E0"/>
    <w:rsid w:val="00373358"/>
    <w:rsid w:val="003747A8"/>
    <w:rsid w:val="00375C78"/>
    <w:rsid w:val="00375D5D"/>
    <w:rsid w:val="00380985"/>
    <w:rsid w:val="0038379B"/>
    <w:rsid w:val="00383F37"/>
    <w:rsid w:val="003845B8"/>
    <w:rsid w:val="00386628"/>
    <w:rsid w:val="00391A70"/>
    <w:rsid w:val="00394A28"/>
    <w:rsid w:val="003A234E"/>
    <w:rsid w:val="003A36DF"/>
    <w:rsid w:val="003A38A3"/>
    <w:rsid w:val="003A5AEB"/>
    <w:rsid w:val="003B0D6B"/>
    <w:rsid w:val="003B2CA7"/>
    <w:rsid w:val="003B2D6F"/>
    <w:rsid w:val="003B4253"/>
    <w:rsid w:val="003B4662"/>
    <w:rsid w:val="003B47DA"/>
    <w:rsid w:val="003B5A82"/>
    <w:rsid w:val="003B6728"/>
    <w:rsid w:val="003B76F6"/>
    <w:rsid w:val="003B7BC8"/>
    <w:rsid w:val="003B7CFE"/>
    <w:rsid w:val="003C0C18"/>
    <w:rsid w:val="003C1ED7"/>
    <w:rsid w:val="003C2CC8"/>
    <w:rsid w:val="003C2F8D"/>
    <w:rsid w:val="003C2F9B"/>
    <w:rsid w:val="003C371E"/>
    <w:rsid w:val="003C539E"/>
    <w:rsid w:val="003C6EAD"/>
    <w:rsid w:val="003C6F50"/>
    <w:rsid w:val="003D2D45"/>
    <w:rsid w:val="003D3A4F"/>
    <w:rsid w:val="003D76D8"/>
    <w:rsid w:val="003D7970"/>
    <w:rsid w:val="003E021A"/>
    <w:rsid w:val="003E09AF"/>
    <w:rsid w:val="003E1243"/>
    <w:rsid w:val="003E1CB9"/>
    <w:rsid w:val="003E3E50"/>
    <w:rsid w:val="003E475D"/>
    <w:rsid w:val="003E7FD4"/>
    <w:rsid w:val="003F13E9"/>
    <w:rsid w:val="003F1980"/>
    <w:rsid w:val="003F3142"/>
    <w:rsid w:val="003F41DA"/>
    <w:rsid w:val="003F5244"/>
    <w:rsid w:val="003F530B"/>
    <w:rsid w:val="003F5FE0"/>
    <w:rsid w:val="003F60BE"/>
    <w:rsid w:val="003F6E4E"/>
    <w:rsid w:val="003F77D3"/>
    <w:rsid w:val="004000C1"/>
    <w:rsid w:val="00400902"/>
    <w:rsid w:val="004011EC"/>
    <w:rsid w:val="004032AE"/>
    <w:rsid w:val="004033D4"/>
    <w:rsid w:val="00403872"/>
    <w:rsid w:val="00406383"/>
    <w:rsid w:val="0040645E"/>
    <w:rsid w:val="00406893"/>
    <w:rsid w:val="00406A47"/>
    <w:rsid w:val="004077E1"/>
    <w:rsid w:val="0041089D"/>
    <w:rsid w:val="00410F09"/>
    <w:rsid w:val="00413194"/>
    <w:rsid w:val="00413864"/>
    <w:rsid w:val="004171B4"/>
    <w:rsid w:val="00417FC4"/>
    <w:rsid w:val="00425EC8"/>
    <w:rsid w:val="00436ECE"/>
    <w:rsid w:val="00437E04"/>
    <w:rsid w:val="004411CA"/>
    <w:rsid w:val="00443D81"/>
    <w:rsid w:val="0044531C"/>
    <w:rsid w:val="00445B12"/>
    <w:rsid w:val="00445EDD"/>
    <w:rsid w:val="00451058"/>
    <w:rsid w:val="0045278E"/>
    <w:rsid w:val="0045424F"/>
    <w:rsid w:val="00454BC0"/>
    <w:rsid w:val="004551DD"/>
    <w:rsid w:val="004569B6"/>
    <w:rsid w:val="00456C37"/>
    <w:rsid w:val="00461B44"/>
    <w:rsid w:val="00461E7A"/>
    <w:rsid w:val="004628C3"/>
    <w:rsid w:val="00462B48"/>
    <w:rsid w:val="00463FB0"/>
    <w:rsid w:val="00466B3B"/>
    <w:rsid w:val="00466F24"/>
    <w:rsid w:val="00470392"/>
    <w:rsid w:val="00470627"/>
    <w:rsid w:val="00471783"/>
    <w:rsid w:val="00471909"/>
    <w:rsid w:val="004770C1"/>
    <w:rsid w:val="00480102"/>
    <w:rsid w:val="004809A4"/>
    <w:rsid w:val="00483ECB"/>
    <w:rsid w:val="004842DD"/>
    <w:rsid w:val="00484E48"/>
    <w:rsid w:val="004855F1"/>
    <w:rsid w:val="00487B3A"/>
    <w:rsid w:val="00487D48"/>
    <w:rsid w:val="00490E71"/>
    <w:rsid w:val="00491D4C"/>
    <w:rsid w:val="00492866"/>
    <w:rsid w:val="004953FF"/>
    <w:rsid w:val="0049638D"/>
    <w:rsid w:val="00497503"/>
    <w:rsid w:val="00497B7E"/>
    <w:rsid w:val="004A13E5"/>
    <w:rsid w:val="004A1A20"/>
    <w:rsid w:val="004A233E"/>
    <w:rsid w:val="004A2C80"/>
    <w:rsid w:val="004A37B9"/>
    <w:rsid w:val="004A3EB0"/>
    <w:rsid w:val="004A403A"/>
    <w:rsid w:val="004A501E"/>
    <w:rsid w:val="004A51F6"/>
    <w:rsid w:val="004A65D8"/>
    <w:rsid w:val="004A6DF4"/>
    <w:rsid w:val="004A751B"/>
    <w:rsid w:val="004B0BDA"/>
    <w:rsid w:val="004B1A7F"/>
    <w:rsid w:val="004B1C32"/>
    <w:rsid w:val="004B638C"/>
    <w:rsid w:val="004B70A5"/>
    <w:rsid w:val="004B7458"/>
    <w:rsid w:val="004C1750"/>
    <w:rsid w:val="004C20EE"/>
    <w:rsid w:val="004C2D2E"/>
    <w:rsid w:val="004C4936"/>
    <w:rsid w:val="004C5640"/>
    <w:rsid w:val="004C627A"/>
    <w:rsid w:val="004D0BB6"/>
    <w:rsid w:val="004D10E4"/>
    <w:rsid w:val="004D245C"/>
    <w:rsid w:val="004D36E3"/>
    <w:rsid w:val="004D5E09"/>
    <w:rsid w:val="004E101F"/>
    <w:rsid w:val="004E20CE"/>
    <w:rsid w:val="004E2CBB"/>
    <w:rsid w:val="004E4491"/>
    <w:rsid w:val="004E450B"/>
    <w:rsid w:val="004E4F3F"/>
    <w:rsid w:val="004E5204"/>
    <w:rsid w:val="004E5434"/>
    <w:rsid w:val="004E603E"/>
    <w:rsid w:val="004E6267"/>
    <w:rsid w:val="004F1296"/>
    <w:rsid w:val="004F16FC"/>
    <w:rsid w:val="004F217C"/>
    <w:rsid w:val="004F25FC"/>
    <w:rsid w:val="004F59D3"/>
    <w:rsid w:val="004F5CBD"/>
    <w:rsid w:val="004F6C57"/>
    <w:rsid w:val="004F6DC4"/>
    <w:rsid w:val="0050013B"/>
    <w:rsid w:val="00500741"/>
    <w:rsid w:val="00502BFE"/>
    <w:rsid w:val="005045BA"/>
    <w:rsid w:val="00504E97"/>
    <w:rsid w:val="0050531A"/>
    <w:rsid w:val="00505AE3"/>
    <w:rsid w:val="0050618D"/>
    <w:rsid w:val="00510619"/>
    <w:rsid w:val="00510CB6"/>
    <w:rsid w:val="00511DFB"/>
    <w:rsid w:val="00512B05"/>
    <w:rsid w:val="00512B0E"/>
    <w:rsid w:val="00513648"/>
    <w:rsid w:val="00513A73"/>
    <w:rsid w:val="00513F1B"/>
    <w:rsid w:val="005146E7"/>
    <w:rsid w:val="00516305"/>
    <w:rsid w:val="00516719"/>
    <w:rsid w:val="005169F2"/>
    <w:rsid w:val="00520F89"/>
    <w:rsid w:val="00521FE5"/>
    <w:rsid w:val="005220DB"/>
    <w:rsid w:val="00522CB8"/>
    <w:rsid w:val="005250EA"/>
    <w:rsid w:val="005252C8"/>
    <w:rsid w:val="00526601"/>
    <w:rsid w:val="00530F8C"/>
    <w:rsid w:val="00532FED"/>
    <w:rsid w:val="00535550"/>
    <w:rsid w:val="00537326"/>
    <w:rsid w:val="00541022"/>
    <w:rsid w:val="00542F56"/>
    <w:rsid w:val="005444D9"/>
    <w:rsid w:val="005473F9"/>
    <w:rsid w:val="00547C9D"/>
    <w:rsid w:val="00554675"/>
    <w:rsid w:val="005548A2"/>
    <w:rsid w:val="005551AD"/>
    <w:rsid w:val="00556A2A"/>
    <w:rsid w:val="005610DA"/>
    <w:rsid w:val="00561BB7"/>
    <w:rsid w:val="00562641"/>
    <w:rsid w:val="00562B70"/>
    <w:rsid w:val="005672E5"/>
    <w:rsid w:val="00570A1E"/>
    <w:rsid w:val="005716FA"/>
    <w:rsid w:val="00572466"/>
    <w:rsid w:val="00573E18"/>
    <w:rsid w:val="00573F3C"/>
    <w:rsid w:val="00574116"/>
    <w:rsid w:val="00574F81"/>
    <w:rsid w:val="00575DA9"/>
    <w:rsid w:val="005760E6"/>
    <w:rsid w:val="0058051D"/>
    <w:rsid w:val="00583752"/>
    <w:rsid w:val="005839D0"/>
    <w:rsid w:val="005858F9"/>
    <w:rsid w:val="005874B4"/>
    <w:rsid w:val="005900F1"/>
    <w:rsid w:val="005918BE"/>
    <w:rsid w:val="00592980"/>
    <w:rsid w:val="00592FF0"/>
    <w:rsid w:val="00594F28"/>
    <w:rsid w:val="005962F1"/>
    <w:rsid w:val="00596FCF"/>
    <w:rsid w:val="005A2AD9"/>
    <w:rsid w:val="005A32AC"/>
    <w:rsid w:val="005A657E"/>
    <w:rsid w:val="005A6DFE"/>
    <w:rsid w:val="005B394D"/>
    <w:rsid w:val="005B3FC0"/>
    <w:rsid w:val="005B5D98"/>
    <w:rsid w:val="005B5E24"/>
    <w:rsid w:val="005B5F12"/>
    <w:rsid w:val="005B62E1"/>
    <w:rsid w:val="005B6316"/>
    <w:rsid w:val="005B6D42"/>
    <w:rsid w:val="005C0302"/>
    <w:rsid w:val="005C04D0"/>
    <w:rsid w:val="005C0D79"/>
    <w:rsid w:val="005C2B65"/>
    <w:rsid w:val="005C33FD"/>
    <w:rsid w:val="005C4DAF"/>
    <w:rsid w:val="005C5A94"/>
    <w:rsid w:val="005C655C"/>
    <w:rsid w:val="005C70BE"/>
    <w:rsid w:val="005C7370"/>
    <w:rsid w:val="005D0D2C"/>
    <w:rsid w:val="005D2A84"/>
    <w:rsid w:val="005D36D8"/>
    <w:rsid w:val="005D4020"/>
    <w:rsid w:val="005D6933"/>
    <w:rsid w:val="005E001D"/>
    <w:rsid w:val="005E2071"/>
    <w:rsid w:val="005E2523"/>
    <w:rsid w:val="005E2EB8"/>
    <w:rsid w:val="005E4854"/>
    <w:rsid w:val="005E6212"/>
    <w:rsid w:val="005E7DFD"/>
    <w:rsid w:val="005F0286"/>
    <w:rsid w:val="005F0794"/>
    <w:rsid w:val="005F0847"/>
    <w:rsid w:val="005F17D7"/>
    <w:rsid w:val="005F4AF1"/>
    <w:rsid w:val="005F7B90"/>
    <w:rsid w:val="006004A9"/>
    <w:rsid w:val="0060096C"/>
    <w:rsid w:val="006024F1"/>
    <w:rsid w:val="00604018"/>
    <w:rsid w:val="00605123"/>
    <w:rsid w:val="00605187"/>
    <w:rsid w:val="00605B1F"/>
    <w:rsid w:val="006075E4"/>
    <w:rsid w:val="00611264"/>
    <w:rsid w:val="006116EE"/>
    <w:rsid w:val="00613686"/>
    <w:rsid w:val="00613851"/>
    <w:rsid w:val="00614484"/>
    <w:rsid w:val="00622227"/>
    <w:rsid w:val="006228BB"/>
    <w:rsid w:val="006234E9"/>
    <w:rsid w:val="00624A1F"/>
    <w:rsid w:val="00624AEB"/>
    <w:rsid w:val="00624C96"/>
    <w:rsid w:val="006251B0"/>
    <w:rsid w:val="0062670A"/>
    <w:rsid w:val="00627A8D"/>
    <w:rsid w:val="00631551"/>
    <w:rsid w:val="00634F5C"/>
    <w:rsid w:val="00635A03"/>
    <w:rsid w:val="00636329"/>
    <w:rsid w:val="0064086E"/>
    <w:rsid w:val="00640B38"/>
    <w:rsid w:val="00642E33"/>
    <w:rsid w:val="00643A57"/>
    <w:rsid w:val="00644274"/>
    <w:rsid w:val="00644C98"/>
    <w:rsid w:val="0064702E"/>
    <w:rsid w:val="00650C66"/>
    <w:rsid w:val="00650D06"/>
    <w:rsid w:val="00651F88"/>
    <w:rsid w:val="0065206B"/>
    <w:rsid w:val="006520F5"/>
    <w:rsid w:val="006623FA"/>
    <w:rsid w:val="00662A93"/>
    <w:rsid w:val="00662CE1"/>
    <w:rsid w:val="006646CD"/>
    <w:rsid w:val="00665DAD"/>
    <w:rsid w:val="00666351"/>
    <w:rsid w:val="006677AF"/>
    <w:rsid w:val="00673A1A"/>
    <w:rsid w:val="00677F98"/>
    <w:rsid w:val="006817E2"/>
    <w:rsid w:val="00681A79"/>
    <w:rsid w:val="006835F1"/>
    <w:rsid w:val="00683945"/>
    <w:rsid w:val="006847F4"/>
    <w:rsid w:val="006868C6"/>
    <w:rsid w:val="0068709B"/>
    <w:rsid w:val="006907B3"/>
    <w:rsid w:val="0069182F"/>
    <w:rsid w:val="006928C8"/>
    <w:rsid w:val="006962E1"/>
    <w:rsid w:val="00696404"/>
    <w:rsid w:val="00697EF2"/>
    <w:rsid w:val="006A0711"/>
    <w:rsid w:val="006A191D"/>
    <w:rsid w:val="006A535F"/>
    <w:rsid w:val="006A5D2B"/>
    <w:rsid w:val="006A6079"/>
    <w:rsid w:val="006B256F"/>
    <w:rsid w:val="006B2812"/>
    <w:rsid w:val="006B2E4D"/>
    <w:rsid w:val="006B3926"/>
    <w:rsid w:val="006B39C7"/>
    <w:rsid w:val="006B3C70"/>
    <w:rsid w:val="006B4520"/>
    <w:rsid w:val="006B4A4C"/>
    <w:rsid w:val="006B620C"/>
    <w:rsid w:val="006B7162"/>
    <w:rsid w:val="006C1BD3"/>
    <w:rsid w:val="006C2726"/>
    <w:rsid w:val="006C277F"/>
    <w:rsid w:val="006C2E36"/>
    <w:rsid w:val="006C31C7"/>
    <w:rsid w:val="006C461F"/>
    <w:rsid w:val="006D1063"/>
    <w:rsid w:val="006D15A4"/>
    <w:rsid w:val="006D661D"/>
    <w:rsid w:val="006D73AD"/>
    <w:rsid w:val="006D7B51"/>
    <w:rsid w:val="006E0440"/>
    <w:rsid w:val="006E388E"/>
    <w:rsid w:val="006E469D"/>
    <w:rsid w:val="006E497F"/>
    <w:rsid w:val="006E63A2"/>
    <w:rsid w:val="006F0344"/>
    <w:rsid w:val="006F1A53"/>
    <w:rsid w:val="006F1E0B"/>
    <w:rsid w:val="006F253D"/>
    <w:rsid w:val="006F2D2A"/>
    <w:rsid w:val="006F38FD"/>
    <w:rsid w:val="006F4056"/>
    <w:rsid w:val="006F4CA1"/>
    <w:rsid w:val="006F5322"/>
    <w:rsid w:val="006F5FAC"/>
    <w:rsid w:val="006F6630"/>
    <w:rsid w:val="006F689F"/>
    <w:rsid w:val="006F78AD"/>
    <w:rsid w:val="006F7F4A"/>
    <w:rsid w:val="007004EA"/>
    <w:rsid w:val="00700EE1"/>
    <w:rsid w:val="007015F3"/>
    <w:rsid w:val="00701639"/>
    <w:rsid w:val="0070362A"/>
    <w:rsid w:val="0070380B"/>
    <w:rsid w:val="0070469A"/>
    <w:rsid w:val="00705029"/>
    <w:rsid w:val="00705103"/>
    <w:rsid w:val="00705882"/>
    <w:rsid w:val="007066E2"/>
    <w:rsid w:val="00706CCB"/>
    <w:rsid w:val="00707317"/>
    <w:rsid w:val="00712065"/>
    <w:rsid w:val="00712AC3"/>
    <w:rsid w:val="00713B7A"/>
    <w:rsid w:val="00714287"/>
    <w:rsid w:val="007146EA"/>
    <w:rsid w:val="00720B51"/>
    <w:rsid w:val="00721DAB"/>
    <w:rsid w:val="00723F73"/>
    <w:rsid w:val="00725DCF"/>
    <w:rsid w:val="00727575"/>
    <w:rsid w:val="007276FC"/>
    <w:rsid w:val="00727761"/>
    <w:rsid w:val="00727E32"/>
    <w:rsid w:val="007349BB"/>
    <w:rsid w:val="00734DD3"/>
    <w:rsid w:val="00740809"/>
    <w:rsid w:val="00740987"/>
    <w:rsid w:val="00741340"/>
    <w:rsid w:val="00743192"/>
    <w:rsid w:val="00743263"/>
    <w:rsid w:val="007460BB"/>
    <w:rsid w:val="00747765"/>
    <w:rsid w:val="00747E08"/>
    <w:rsid w:val="00751D1C"/>
    <w:rsid w:val="00751EF0"/>
    <w:rsid w:val="00752123"/>
    <w:rsid w:val="00752418"/>
    <w:rsid w:val="00753977"/>
    <w:rsid w:val="0075410F"/>
    <w:rsid w:val="00755D31"/>
    <w:rsid w:val="00755FA0"/>
    <w:rsid w:val="00756282"/>
    <w:rsid w:val="007574C5"/>
    <w:rsid w:val="00757B8F"/>
    <w:rsid w:val="007615FC"/>
    <w:rsid w:val="00761805"/>
    <w:rsid w:val="00761894"/>
    <w:rsid w:val="00762BB5"/>
    <w:rsid w:val="00762CD1"/>
    <w:rsid w:val="00764109"/>
    <w:rsid w:val="007642DD"/>
    <w:rsid w:val="007642E6"/>
    <w:rsid w:val="00764928"/>
    <w:rsid w:val="007657EB"/>
    <w:rsid w:val="00765998"/>
    <w:rsid w:val="007661F6"/>
    <w:rsid w:val="00767EC3"/>
    <w:rsid w:val="00770ABB"/>
    <w:rsid w:val="00770F44"/>
    <w:rsid w:val="00771D6A"/>
    <w:rsid w:val="0077330E"/>
    <w:rsid w:val="00775F45"/>
    <w:rsid w:val="0078184C"/>
    <w:rsid w:val="007818FB"/>
    <w:rsid w:val="00782BD6"/>
    <w:rsid w:val="00783AD4"/>
    <w:rsid w:val="00784E29"/>
    <w:rsid w:val="00787E67"/>
    <w:rsid w:val="00790912"/>
    <w:rsid w:val="00791F39"/>
    <w:rsid w:val="007923E0"/>
    <w:rsid w:val="0079360E"/>
    <w:rsid w:val="0079442B"/>
    <w:rsid w:val="007952A8"/>
    <w:rsid w:val="00797281"/>
    <w:rsid w:val="007A2782"/>
    <w:rsid w:val="007A2A43"/>
    <w:rsid w:val="007A32E2"/>
    <w:rsid w:val="007A4FAF"/>
    <w:rsid w:val="007A687F"/>
    <w:rsid w:val="007B157A"/>
    <w:rsid w:val="007B2FC7"/>
    <w:rsid w:val="007B37EF"/>
    <w:rsid w:val="007B6516"/>
    <w:rsid w:val="007B6AF9"/>
    <w:rsid w:val="007B72E7"/>
    <w:rsid w:val="007C05DE"/>
    <w:rsid w:val="007C0CBF"/>
    <w:rsid w:val="007C0E99"/>
    <w:rsid w:val="007C0F43"/>
    <w:rsid w:val="007C3D02"/>
    <w:rsid w:val="007C6CFD"/>
    <w:rsid w:val="007D0909"/>
    <w:rsid w:val="007D1348"/>
    <w:rsid w:val="007D179C"/>
    <w:rsid w:val="007D222C"/>
    <w:rsid w:val="007D280D"/>
    <w:rsid w:val="007D2DA7"/>
    <w:rsid w:val="007D3565"/>
    <w:rsid w:val="007D37D4"/>
    <w:rsid w:val="007D6E02"/>
    <w:rsid w:val="007E08C9"/>
    <w:rsid w:val="007E15D9"/>
    <w:rsid w:val="007E1826"/>
    <w:rsid w:val="007E46F8"/>
    <w:rsid w:val="007E5719"/>
    <w:rsid w:val="007F2BD2"/>
    <w:rsid w:val="007F3EB6"/>
    <w:rsid w:val="007F6FDC"/>
    <w:rsid w:val="007F7012"/>
    <w:rsid w:val="00800210"/>
    <w:rsid w:val="008012E7"/>
    <w:rsid w:val="0080241C"/>
    <w:rsid w:val="00803167"/>
    <w:rsid w:val="00804491"/>
    <w:rsid w:val="00805649"/>
    <w:rsid w:val="00810680"/>
    <w:rsid w:val="008107C4"/>
    <w:rsid w:val="008115B2"/>
    <w:rsid w:val="00811E9B"/>
    <w:rsid w:val="008137B6"/>
    <w:rsid w:val="0081541F"/>
    <w:rsid w:val="008166F3"/>
    <w:rsid w:val="0081684A"/>
    <w:rsid w:val="00816A7E"/>
    <w:rsid w:val="00817BB0"/>
    <w:rsid w:val="00820087"/>
    <w:rsid w:val="00820FC4"/>
    <w:rsid w:val="0082163B"/>
    <w:rsid w:val="00822545"/>
    <w:rsid w:val="00823E5F"/>
    <w:rsid w:val="00825A48"/>
    <w:rsid w:val="00826ED4"/>
    <w:rsid w:val="00832389"/>
    <w:rsid w:val="00834D46"/>
    <w:rsid w:val="00835680"/>
    <w:rsid w:val="00835F1C"/>
    <w:rsid w:val="00836206"/>
    <w:rsid w:val="0083787A"/>
    <w:rsid w:val="00837E1E"/>
    <w:rsid w:val="00840653"/>
    <w:rsid w:val="0084081E"/>
    <w:rsid w:val="008421B7"/>
    <w:rsid w:val="008458E2"/>
    <w:rsid w:val="00846B94"/>
    <w:rsid w:val="00850E01"/>
    <w:rsid w:val="00851767"/>
    <w:rsid w:val="0085242C"/>
    <w:rsid w:val="00853D39"/>
    <w:rsid w:val="008552F8"/>
    <w:rsid w:val="00856F40"/>
    <w:rsid w:val="00857548"/>
    <w:rsid w:val="00857E15"/>
    <w:rsid w:val="008620A1"/>
    <w:rsid w:val="00862457"/>
    <w:rsid w:val="00865CBD"/>
    <w:rsid w:val="00866318"/>
    <w:rsid w:val="0086658E"/>
    <w:rsid w:val="00867654"/>
    <w:rsid w:val="00867A6A"/>
    <w:rsid w:val="008702CB"/>
    <w:rsid w:val="0087337F"/>
    <w:rsid w:val="008753D7"/>
    <w:rsid w:val="00875803"/>
    <w:rsid w:val="00875E25"/>
    <w:rsid w:val="00876957"/>
    <w:rsid w:val="008779D4"/>
    <w:rsid w:val="00877B2F"/>
    <w:rsid w:val="0088125F"/>
    <w:rsid w:val="008823C1"/>
    <w:rsid w:val="00886D05"/>
    <w:rsid w:val="0088783B"/>
    <w:rsid w:val="00891D7E"/>
    <w:rsid w:val="00892FC2"/>
    <w:rsid w:val="008932A4"/>
    <w:rsid w:val="00893FB4"/>
    <w:rsid w:val="00896D89"/>
    <w:rsid w:val="008A0E79"/>
    <w:rsid w:val="008A5859"/>
    <w:rsid w:val="008A585D"/>
    <w:rsid w:val="008B0E6A"/>
    <w:rsid w:val="008B25DB"/>
    <w:rsid w:val="008B3585"/>
    <w:rsid w:val="008B5EFD"/>
    <w:rsid w:val="008B7956"/>
    <w:rsid w:val="008B7E55"/>
    <w:rsid w:val="008C0679"/>
    <w:rsid w:val="008C0A8E"/>
    <w:rsid w:val="008C11BB"/>
    <w:rsid w:val="008C3EF7"/>
    <w:rsid w:val="008C5701"/>
    <w:rsid w:val="008C7774"/>
    <w:rsid w:val="008D1477"/>
    <w:rsid w:val="008D1D4A"/>
    <w:rsid w:val="008D26F3"/>
    <w:rsid w:val="008D3D7F"/>
    <w:rsid w:val="008D49E7"/>
    <w:rsid w:val="008D6749"/>
    <w:rsid w:val="008D69E1"/>
    <w:rsid w:val="008D727E"/>
    <w:rsid w:val="008E0107"/>
    <w:rsid w:val="008E158D"/>
    <w:rsid w:val="008E27A2"/>
    <w:rsid w:val="008E39D6"/>
    <w:rsid w:val="008E3E19"/>
    <w:rsid w:val="008E4318"/>
    <w:rsid w:val="008E7AC8"/>
    <w:rsid w:val="008F2B28"/>
    <w:rsid w:val="008F375D"/>
    <w:rsid w:val="008F39F8"/>
    <w:rsid w:val="008F414D"/>
    <w:rsid w:val="008F574B"/>
    <w:rsid w:val="008F6D05"/>
    <w:rsid w:val="008F6DDC"/>
    <w:rsid w:val="00900AF4"/>
    <w:rsid w:val="00900D4E"/>
    <w:rsid w:val="00900F5C"/>
    <w:rsid w:val="00900F8C"/>
    <w:rsid w:val="009017C8"/>
    <w:rsid w:val="009019FA"/>
    <w:rsid w:val="00902283"/>
    <w:rsid w:val="009028A4"/>
    <w:rsid w:val="009032A1"/>
    <w:rsid w:val="009033D0"/>
    <w:rsid w:val="00903C9D"/>
    <w:rsid w:val="009055A4"/>
    <w:rsid w:val="00906156"/>
    <w:rsid w:val="00907C05"/>
    <w:rsid w:val="009105EF"/>
    <w:rsid w:val="00910A0B"/>
    <w:rsid w:val="009123E8"/>
    <w:rsid w:val="00913629"/>
    <w:rsid w:val="009163B3"/>
    <w:rsid w:val="009178A1"/>
    <w:rsid w:val="009200FE"/>
    <w:rsid w:val="009209AF"/>
    <w:rsid w:val="00925CF6"/>
    <w:rsid w:val="009271FC"/>
    <w:rsid w:val="00927F43"/>
    <w:rsid w:val="00931BE1"/>
    <w:rsid w:val="00935C90"/>
    <w:rsid w:val="00936A27"/>
    <w:rsid w:val="00941154"/>
    <w:rsid w:val="00941CD9"/>
    <w:rsid w:val="009443BF"/>
    <w:rsid w:val="009453A8"/>
    <w:rsid w:val="0094627F"/>
    <w:rsid w:val="009462B9"/>
    <w:rsid w:val="00950BC6"/>
    <w:rsid w:val="00951B55"/>
    <w:rsid w:val="009561AA"/>
    <w:rsid w:val="0095675E"/>
    <w:rsid w:val="00961231"/>
    <w:rsid w:val="00962B19"/>
    <w:rsid w:val="00962B8D"/>
    <w:rsid w:val="00962CB3"/>
    <w:rsid w:val="00963894"/>
    <w:rsid w:val="00964743"/>
    <w:rsid w:val="009648F5"/>
    <w:rsid w:val="009661DF"/>
    <w:rsid w:val="009662DD"/>
    <w:rsid w:val="0097211A"/>
    <w:rsid w:val="00972A93"/>
    <w:rsid w:val="00972D5D"/>
    <w:rsid w:val="00972F74"/>
    <w:rsid w:val="00974936"/>
    <w:rsid w:val="00974AFC"/>
    <w:rsid w:val="00975194"/>
    <w:rsid w:val="009774A2"/>
    <w:rsid w:val="009822E2"/>
    <w:rsid w:val="00983313"/>
    <w:rsid w:val="0098663E"/>
    <w:rsid w:val="00997369"/>
    <w:rsid w:val="0099753C"/>
    <w:rsid w:val="009A04A4"/>
    <w:rsid w:val="009A0D56"/>
    <w:rsid w:val="009A1098"/>
    <w:rsid w:val="009A38CD"/>
    <w:rsid w:val="009A3985"/>
    <w:rsid w:val="009B0932"/>
    <w:rsid w:val="009B0BEE"/>
    <w:rsid w:val="009B33DC"/>
    <w:rsid w:val="009B3E4D"/>
    <w:rsid w:val="009B5939"/>
    <w:rsid w:val="009C0763"/>
    <w:rsid w:val="009C0D78"/>
    <w:rsid w:val="009C1272"/>
    <w:rsid w:val="009C364C"/>
    <w:rsid w:val="009C3708"/>
    <w:rsid w:val="009C4DA3"/>
    <w:rsid w:val="009C52ED"/>
    <w:rsid w:val="009C5641"/>
    <w:rsid w:val="009C6332"/>
    <w:rsid w:val="009C675A"/>
    <w:rsid w:val="009C6D50"/>
    <w:rsid w:val="009C7B52"/>
    <w:rsid w:val="009D1E16"/>
    <w:rsid w:val="009D3451"/>
    <w:rsid w:val="009D70F4"/>
    <w:rsid w:val="009E1360"/>
    <w:rsid w:val="009E21E3"/>
    <w:rsid w:val="009E5B83"/>
    <w:rsid w:val="009F0904"/>
    <w:rsid w:val="009F10FE"/>
    <w:rsid w:val="009F2C2F"/>
    <w:rsid w:val="009F38E1"/>
    <w:rsid w:val="009F3DDE"/>
    <w:rsid w:val="009F570E"/>
    <w:rsid w:val="009F5854"/>
    <w:rsid w:val="009F7255"/>
    <w:rsid w:val="009F7CCE"/>
    <w:rsid w:val="00A00163"/>
    <w:rsid w:val="00A00BC1"/>
    <w:rsid w:val="00A01AC4"/>
    <w:rsid w:val="00A04127"/>
    <w:rsid w:val="00A11D70"/>
    <w:rsid w:val="00A12D75"/>
    <w:rsid w:val="00A135F8"/>
    <w:rsid w:val="00A13EEA"/>
    <w:rsid w:val="00A15FCC"/>
    <w:rsid w:val="00A17206"/>
    <w:rsid w:val="00A2075E"/>
    <w:rsid w:val="00A2125F"/>
    <w:rsid w:val="00A214CD"/>
    <w:rsid w:val="00A23A1D"/>
    <w:rsid w:val="00A23FC6"/>
    <w:rsid w:val="00A257BA"/>
    <w:rsid w:val="00A30349"/>
    <w:rsid w:val="00A325E3"/>
    <w:rsid w:val="00A327C2"/>
    <w:rsid w:val="00A34A95"/>
    <w:rsid w:val="00A35655"/>
    <w:rsid w:val="00A36A5A"/>
    <w:rsid w:val="00A37CA1"/>
    <w:rsid w:val="00A4088A"/>
    <w:rsid w:val="00A408BA"/>
    <w:rsid w:val="00A41575"/>
    <w:rsid w:val="00A439CB"/>
    <w:rsid w:val="00A44688"/>
    <w:rsid w:val="00A44D99"/>
    <w:rsid w:val="00A51DE4"/>
    <w:rsid w:val="00A52B9E"/>
    <w:rsid w:val="00A5311D"/>
    <w:rsid w:val="00A53560"/>
    <w:rsid w:val="00A55DAB"/>
    <w:rsid w:val="00A5763A"/>
    <w:rsid w:val="00A61A15"/>
    <w:rsid w:val="00A627EF"/>
    <w:rsid w:val="00A63004"/>
    <w:rsid w:val="00A64189"/>
    <w:rsid w:val="00A643DE"/>
    <w:rsid w:val="00A64F62"/>
    <w:rsid w:val="00A65B06"/>
    <w:rsid w:val="00A669A2"/>
    <w:rsid w:val="00A675A9"/>
    <w:rsid w:val="00A67E26"/>
    <w:rsid w:val="00A71039"/>
    <w:rsid w:val="00A723FE"/>
    <w:rsid w:val="00A7244B"/>
    <w:rsid w:val="00A81BF6"/>
    <w:rsid w:val="00A82DA2"/>
    <w:rsid w:val="00A8702E"/>
    <w:rsid w:val="00A9389C"/>
    <w:rsid w:val="00A93E8D"/>
    <w:rsid w:val="00A94A72"/>
    <w:rsid w:val="00A95E4E"/>
    <w:rsid w:val="00A95EE7"/>
    <w:rsid w:val="00A96B38"/>
    <w:rsid w:val="00A97A91"/>
    <w:rsid w:val="00A97D78"/>
    <w:rsid w:val="00AA0F13"/>
    <w:rsid w:val="00AA207C"/>
    <w:rsid w:val="00AA270D"/>
    <w:rsid w:val="00AA3246"/>
    <w:rsid w:val="00AA3583"/>
    <w:rsid w:val="00AA42E8"/>
    <w:rsid w:val="00AA5406"/>
    <w:rsid w:val="00AA570A"/>
    <w:rsid w:val="00AA6CF6"/>
    <w:rsid w:val="00AA6D6D"/>
    <w:rsid w:val="00AA7675"/>
    <w:rsid w:val="00AA794D"/>
    <w:rsid w:val="00AA7C75"/>
    <w:rsid w:val="00AB089F"/>
    <w:rsid w:val="00AB1DA0"/>
    <w:rsid w:val="00AB2D05"/>
    <w:rsid w:val="00AB68CC"/>
    <w:rsid w:val="00AB6BAD"/>
    <w:rsid w:val="00AB727D"/>
    <w:rsid w:val="00AC0153"/>
    <w:rsid w:val="00AC0942"/>
    <w:rsid w:val="00AC20AA"/>
    <w:rsid w:val="00AC2765"/>
    <w:rsid w:val="00AC38AD"/>
    <w:rsid w:val="00AC443B"/>
    <w:rsid w:val="00AC6018"/>
    <w:rsid w:val="00AD2B49"/>
    <w:rsid w:val="00AE0436"/>
    <w:rsid w:val="00AE0C90"/>
    <w:rsid w:val="00AE2678"/>
    <w:rsid w:val="00AE5E12"/>
    <w:rsid w:val="00AE708C"/>
    <w:rsid w:val="00AF0019"/>
    <w:rsid w:val="00AF167A"/>
    <w:rsid w:val="00AF3110"/>
    <w:rsid w:val="00AF314F"/>
    <w:rsid w:val="00AF4579"/>
    <w:rsid w:val="00AF4A46"/>
    <w:rsid w:val="00AF599D"/>
    <w:rsid w:val="00AF7C38"/>
    <w:rsid w:val="00B003BE"/>
    <w:rsid w:val="00B01378"/>
    <w:rsid w:val="00B0223E"/>
    <w:rsid w:val="00B026BB"/>
    <w:rsid w:val="00B036F6"/>
    <w:rsid w:val="00B03731"/>
    <w:rsid w:val="00B042DD"/>
    <w:rsid w:val="00B067D7"/>
    <w:rsid w:val="00B07CBC"/>
    <w:rsid w:val="00B07CDB"/>
    <w:rsid w:val="00B10A5F"/>
    <w:rsid w:val="00B119EB"/>
    <w:rsid w:val="00B12ADA"/>
    <w:rsid w:val="00B13257"/>
    <w:rsid w:val="00B13782"/>
    <w:rsid w:val="00B172EA"/>
    <w:rsid w:val="00B22008"/>
    <w:rsid w:val="00B22988"/>
    <w:rsid w:val="00B22CBC"/>
    <w:rsid w:val="00B262EF"/>
    <w:rsid w:val="00B274B8"/>
    <w:rsid w:val="00B307E7"/>
    <w:rsid w:val="00B32532"/>
    <w:rsid w:val="00B3490C"/>
    <w:rsid w:val="00B35117"/>
    <w:rsid w:val="00B35309"/>
    <w:rsid w:val="00B35DA1"/>
    <w:rsid w:val="00B37B79"/>
    <w:rsid w:val="00B44B8D"/>
    <w:rsid w:val="00B4755E"/>
    <w:rsid w:val="00B500DC"/>
    <w:rsid w:val="00B500F1"/>
    <w:rsid w:val="00B518E2"/>
    <w:rsid w:val="00B53ED7"/>
    <w:rsid w:val="00B54B1B"/>
    <w:rsid w:val="00B55518"/>
    <w:rsid w:val="00B557D2"/>
    <w:rsid w:val="00B55C27"/>
    <w:rsid w:val="00B55EFB"/>
    <w:rsid w:val="00B57B60"/>
    <w:rsid w:val="00B57E40"/>
    <w:rsid w:val="00B62928"/>
    <w:rsid w:val="00B63822"/>
    <w:rsid w:val="00B6428C"/>
    <w:rsid w:val="00B6693A"/>
    <w:rsid w:val="00B6750C"/>
    <w:rsid w:val="00B67540"/>
    <w:rsid w:val="00B7034E"/>
    <w:rsid w:val="00B707F4"/>
    <w:rsid w:val="00B70D89"/>
    <w:rsid w:val="00B70F31"/>
    <w:rsid w:val="00B72EDA"/>
    <w:rsid w:val="00B7359F"/>
    <w:rsid w:val="00B75303"/>
    <w:rsid w:val="00B76968"/>
    <w:rsid w:val="00B77A2A"/>
    <w:rsid w:val="00B80BB0"/>
    <w:rsid w:val="00B8113A"/>
    <w:rsid w:val="00B81B85"/>
    <w:rsid w:val="00B8248C"/>
    <w:rsid w:val="00B82E02"/>
    <w:rsid w:val="00B84002"/>
    <w:rsid w:val="00B84C5B"/>
    <w:rsid w:val="00B84D90"/>
    <w:rsid w:val="00B84F25"/>
    <w:rsid w:val="00B84F8F"/>
    <w:rsid w:val="00B85A78"/>
    <w:rsid w:val="00B87B1F"/>
    <w:rsid w:val="00B90581"/>
    <w:rsid w:val="00B91B01"/>
    <w:rsid w:val="00B93AE0"/>
    <w:rsid w:val="00B93E20"/>
    <w:rsid w:val="00B96795"/>
    <w:rsid w:val="00B96953"/>
    <w:rsid w:val="00BA1BE1"/>
    <w:rsid w:val="00BA31A2"/>
    <w:rsid w:val="00BA4149"/>
    <w:rsid w:val="00BA4C23"/>
    <w:rsid w:val="00BA4CDE"/>
    <w:rsid w:val="00BA61CA"/>
    <w:rsid w:val="00BB1306"/>
    <w:rsid w:val="00BB13AF"/>
    <w:rsid w:val="00BB14B3"/>
    <w:rsid w:val="00BB20D2"/>
    <w:rsid w:val="00BB520F"/>
    <w:rsid w:val="00BC0078"/>
    <w:rsid w:val="00BC0B60"/>
    <w:rsid w:val="00BC0EAE"/>
    <w:rsid w:val="00BC3ACE"/>
    <w:rsid w:val="00BD36A5"/>
    <w:rsid w:val="00BD3713"/>
    <w:rsid w:val="00BD5225"/>
    <w:rsid w:val="00BD5D2E"/>
    <w:rsid w:val="00BD5E9D"/>
    <w:rsid w:val="00BD6527"/>
    <w:rsid w:val="00BD68F2"/>
    <w:rsid w:val="00BD7386"/>
    <w:rsid w:val="00BD75E2"/>
    <w:rsid w:val="00BE1878"/>
    <w:rsid w:val="00BE25B1"/>
    <w:rsid w:val="00BE2A8D"/>
    <w:rsid w:val="00BE3D6E"/>
    <w:rsid w:val="00BE4577"/>
    <w:rsid w:val="00BE523E"/>
    <w:rsid w:val="00BE5504"/>
    <w:rsid w:val="00BE61AA"/>
    <w:rsid w:val="00BE78C4"/>
    <w:rsid w:val="00BE7A46"/>
    <w:rsid w:val="00BF4143"/>
    <w:rsid w:val="00BF55F0"/>
    <w:rsid w:val="00BF5B1E"/>
    <w:rsid w:val="00BF6551"/>
    <w:rsid w:val="00BF70F1"/>
    <w:rsid w:val="00C01D93"/>
    <w:rsid w:val="00C0339E"/>
    <w:rsid w:val="00C0480F"/>
    <w:rsid w:val="00C07898"/>
    <w:rsid w:val="00C12A63"/>
    <w:rsid w:val="00C13694"/>
    <w:rsid w:val="00C13C33"/>
    <w:rsid w:val="00C14669"/>
    <w:rsid w:val="00C156FE"/>
    <w:rsid w:val="00C16582"/>
    <w:rsid w:val="00C20043"/>
    <w:rsid w:val="00C209D1"/>
    <w:rsid w:val="00C2117B"/>
    <w:rsid w:val="00C2150F"/>
    <w:rsid w:val="00C23651"/>
    <w:rsid w:val="00C23801"/>
    <w:rsid w:val="00C25DAF"/>
    <w:rsid w:val="00C2644C"/>
    <w:rsid w:val="00C27066"/>
    <w:rsid w:val="00C279DC"/>
    <w:rsid w:val="00C3054D"/>
    <w:rsid w:val="00C30CC0"/>
    <w:rsid w:val="00C31BC2"/>
    <w:rsid w:val="00C33516"/>
    <w:rsid w:val="00C34E9F"/>
    <w:rsid w:val="00C3582D"/>
    <w:rsid w:val="00C40F1B"/>
    <w:rsid w:val="00C418AC"/>
    <w:rsid w:val="00C420F0"/>
    <w:rsid w:val="00C42795"/>
    <w:rsid w:val="00C42CCF"/>
    <w:rsid w:val="00C44724"/>
    <w:rsid w:val="00C45FD3"/>
    <w:rsid w:val="00C5441E"/>
    <w:rsid w:val="00C553E7"/>
    <w:rsid w:val="00C558E8"/>
    <w:rsid w:val="00C62276"/>
    <w:rsid w:val="00C62706"/>
    <w:rsid w:val="00C65B25"/>
    <w:rsid w:val="00C70F2D"/>
    <w:rsid w:val="00C73E2F"/>
    <w:rsid w:val="00C74D7F"/>
    <w:rsid w:val="00C754FC"/>
    <w:rsid w:val="00C75C2A"/>
    <w:rsid w:val="00C776BD"/>
    <w:rsid w:val="00C779E6"/>
    <w:rsid w:val="00C77AE2"/>
    <w:rsid w:val="00C8011F"/>
    <w:rsid w:val="00C80236"/>
    <w:rsid w:val="00C8066C"/>
    <w:rsid w:val="00C84EA9"/>
    <w:rsid w:val="00C85E29"/>
    <w:rsid w:val="00C860C0"/>
    <w:rsid w:val="00C916AB"/>
    <w:rsid w:val="00C92875"/>
    <w:rsid w:val="00C934BD"/>
    <w:rsid w:val="00C9406C"/>
    <w:rsid w:val="00C944EA"/>
    <w:rsid w:val="00C978FB"/>
    <w:rsid w:val="00CA0057"/>
    <w:rsid w:val="00CA0CBA"/>
    <w:rsid w:val="00CA3CBB"/>
    <w:rsid w:val="00CA57B1"/>
    <w:rsid w:val="00CA5ACD"/>
    <w:rsid w:val="00CA61E0"/>
    <w:rsid w:val="00CA7018"/>
    <w:rsid w:val="00CA7D53"/>
    <w:rsid w:val="00CB0979"/>
    <w:rsid w:val="00CB2A95"/>
    <w:rsid w:val="00CB333A"/>
    <w:rsid w:val="00CB3E8F"/>
    <w:rsid w:val="00CB3ECD"/>
    <w:rsid w:val="00CB766B"/>
    <w:rsid w:val="00CB7F30"/>
    <w:rsid w:val="00CC002A"/>
    <w:rsid w:val="00CC1A7F"/>
    <w:rsid w:val="00CC2CAB"/>
    <w:rsid w:val="00CC511A"/>
    <w:rsid w:val="00CC5258"/>
    <w:rsid w:val="00CC7850"/>
    <w:rsid w:val="00CD1CCF"/>
    <w:rsid w:val="00CD1D2D"/>
    <w:rsid w:val="00CD360B"/>
    <w:rsid w:val="00CD51A8"/>
    <w:rsid w:val="00CE0790"/>
    <w:rsid w:val="00CE3055"/>
    <w:rsid w:val="00CE45A9"/>
    <w:rsid w:val="00CE5726"/>
    <w:rsid w:val="00CE612C"/>
    <w:rsid w:val="00CE7AEE"/>
    <w:rsid w:val="00CF0403"/>
    <w:rsid w:val="00CF08FB"/>
    <w:rsid w:val="00CF23D4"/>
    <w:rsid w:val="00CF2E53"/>
    <w:rsid w:val="00CF33FD"/>
    <w:rsid w:val="00CF5931"/>
    <w:rsid w:val="00CF5E19"/>
    <w:rsid w:val="00D0121A"/>
    <w:rsid w:val="00D01531"/>
    <w:rsid w:val="00D05976"/>
    <w:rsid w:val="00D05D25"/>
    <w:rsid w:val="00D06677"/>
    <w:rsid w:val="00D12B84"/>
    <w:rsid w:val="00D1459E"/>
    <w:rsid w:val="00D15697"/>
    <w:rsid w:val="00D1579B"/>
    <w:rsid w:val="00D169BA"/>
    <w:rsid w:val="00D20B3F"/>
    <w:rsid w:val="00D239AF"/>
    <w:rsid w:val="00D24867"/>
    <w:rsid w:val="00D24ED8"/>
    <w:rsid w:val="00D27228"/>
    <w:rsid w:val="00D30EDA"/>
    <w:rsid w:val="00D31ACE"/>
    <w:rsid w:val="00D31E07"/>
    <w:rsid w:val="00D329F1"/>
    <w:rsid w:val="00D339A9"/>
    <w:rsid w:val="00D33F03"/>
    <w:rsid w:val="00D34060"/>
    <w:rsid w:val="00D34CD1"/>
    <w:rsid w:val="00D35407"/>
    <w:rsid w:val="00D35C97"/>
    <w:rsid w:val="00D36347"/>
    <w:rsid w:val="00D36786"/>
    <w:rsid w:val="00D3712A"/>
    <w:rsid w:val="00D45B8F"/>
    <w:rsid w:val="00D47312"/>
    <w:rsid w:val="00D47AF7"/>
    <w:rsid w:val="00D524EF"/>
    <w:rsid w:val="00D53B21"/>
    <w:rsid w:val="00D54104"/>
    <w:rsid w:val="00D54B58"/>
    <w:rsid w:val="00D55672"/>
    <w:rsid w:val="00D56D45"/>
    <w:rsid w:val="00D56FC4"/>
    <w:rsid w:val="00D60B8F"/>
    <w:rsid w:val="00D611BB"/>
    <w:rsid w:val="00D629DE"/>
    <w:rsid w:val="00D62E7F"/>
    <w:rsid w:val="00D63194"/>
    <w:rsid w:val="00D63689"/>
    <w:rsid w:val="00D63F95"/>
    <w:rsid w:val="00D66A0A"/>
    <w:rsid w:val="00D729E3"/>
    <w:rsid w:val="00D74528"/>
    <w:rsid w:val="00D77426"/>
    <w:rsid w:val="00D77FC8"/>
    <w:rsid w:val="00D809AA"/>
    <w:rsid w:val="00D81C2C"/>
    <w:rsid w:val="00D85756"/>
    <w:rsid w:val="00D86381"/>
    <w:rsid w:val="00D867D9"/>
    <w:rsid w:val="00D868D3"/>
    <w:rsid w:val="00D9080F"/>
    <w:rsid w:val="00D90E72"/>
    <w:rsid w:val="00D9164C"/>
    <w:rsid w:val="00D91CDF"/>
    <w:rsid w:val="00D91E18"/>
    <w:rsid w:val="00D92BF8"/>
    <w:rsid w:val="00D93DB3"/>
    <w:rsid w:val="00D952FB"/>
    <w:rsid w:val="00DA00AA"/>
    <w:rsid w:val="00DA2867"/>
    <w:rsid w:val="00DA399A"/>
    <w:rsid w:val="00DA5D0A"/>
    <w:rsid w:val="00DA6EE1"/>
    <w:rsid w:val="00DB0C84"/>
    <w:rsid w:val="00DB0D79"/>
    <w:rsid w:val="00DB1C2A"/>
    <w:rsid w:val="00DB22C0"/>
    <w:rsid w:val="00DB4B8B"/>
    <w:rsid w:val="00DB6733"/>
    <w:rsid w:val="00DB7FFB"/>
    <w:rsid w:val="00DC25E1"/>
    <w:rsid w:val="00DC3589"/>
    <w:rsid w:val="00DC430D"/>
    <w:rsid w:val="00DC4643"/>
    <w:rsid w:val="00DC5294"/>
    <w:rsid w:val="00DC6B9D"/>
    <w:rsid w:val="00DC741B"/>
    <w:rsid w:val="00DD1960"/>
    <w:rsid w:val="00DD1F6F"/>
    <w:rsid w:val="00DD2208"/>
    <w:rsid w:val="00DD23A9"/>
    <w:rsid w:val="00DD32A5"/>
    <w:rsid w:val="00DD363C"/>
    <w:rsid w:val="00DD5BE9"/>
    <w:rsid w:val="00DE2134"/>
    <w:rsid w:val="00DE2B21"/>
    <w:rsid w:val="00DE2EAE"/>
    <w:rsid w:val="00DE3B6C"/>
    <w:rsid w:val="00DE5100"/>
    <w:rsid w:val="00DE5465"/>
    <w:rsid w:val="00DE694A"/>
    <w:rsid w:val="00DE715E"/>
    <w:rsid w:val="00DE7F3C"/>
    <w:rsid w:val="00DF0271"/>
    <w:rsid w:val="00DF0E16"/>
    <w:rsid w:val="00DF27BC"/>
    <w:rsid w:val="00DF298F"/>
    <w:rsid w:val="00DF3774"/>
    <w:rsid w:val="00DF67DA"/>
    <w:rsid w:val="00DF7125"/>
    <w:rsid w:val="00DF77BB"/>
    <w:rsid w:val="00E00BA1"/>
    <w:rsid w:val="00E019E9"/>
    <w:rsid w:val="00E01E12"/>
    <w:rsid w:val="00E02020"/>
    <w:rsid w:val="00E0227D"/>
    <w:rsid w:val="00E03A7D"/>
    <w:rsid w:val="00E06A3F"/>
    <w:rsid w:val="00E06DB2"/>
    <w:rsid w:val="00E1138C"/>
    <w:rsid w:val="00E11B09"/>
    <w:rsid w:val="00E12AFD"/>
    <w:rsid w:val="00E157A8"/>
    <w:rsid w:val="00E161E9"/>
    <w:rsid w:val="00E179DD"/>
    <w:rsid w:val="00E17FA1"/>
    <w:rsid w:val="00E218E6"/>
    <w:rsid w:val="00E2331B"/>
    <w:rsid w:val="00E272E8"/>
    <w:rsid w:val="00E27D3F"/>
    <w:rsid w:val="00E32319"/>
    <w:rsid w:val="00E34AA0"/>
    <w:rsid w:val="00E36324"/>
    <w:rsid w:val="00E36501"/>
    <w:rsid w:val="00E37B69"/>
    <w:rsid w:val="00E4228A"/>
    <w:rsid w:val="00E45A35"/>
    <w:rsid w:val="00E45FD4"/>
    <w:rsid w:val="00E46D62"/>
    <w:rsid w:val="00E471BC"/>
    <w:rsid w:val="00E510F4"/>
    <w:rsid w:val="00E511B2"/>
    <w:rsid w:val="00E529F6"/>
    <w:rsid w:val="00E53C77"/>
    <w:rsid w:val="00E53DA2"/>
    <w:rsid w:val="00E54D4B"/>
    <w:rsid w:val="00E5626D"/>
    <w:rsid w:val="00E6170C"/>
    <w:rsid w:val="00E61A60"/>
    <w:rsid w:val="00E627C9"/>
    <w:rsid w:val="00E636EE"/>
    <w:rsid w:val="00E64CAE"/>
    <w:rsid w:val="00E676B7"/>
    <w:rsid w:val="00E67AC3"/>
    <w:rsid w:val="00E67BE0"/>
    <w:rsid w:val="00E67C01"/>
    <w:rsid w:val="00E67CDF"/>
    <w:rsid w:val="00E67F1B"/>
    <w:rsid w:val="00E722AD"/>
    <w:rsid w:val="00E727D5"/>
    <w:rsid w:val="00E73EA2"/>
    <w:rsid w:val="00E76557"/>
    <w:rsid w:val="00E80589"/>
    <w:rsid w:val="00E80D94"/>
    <w:rsid w:val="00E8152E"/>
    <w:rsid w:val="00E8287D"/>
    <w:rsid w:val="00E849F2"/>
    <w:rsid w:val="00E8538E"/>
    <w:rsid w:val="00E90DE8"/>
    <w:rsid w:val="00E92CCF"/>
    <w:rsid w:val="00E94CD6"/>
    <w:rsid w:val="00E95B44"/>
    <w:rsid w:val="00E96474"/>
    <w:rsid w:val="00E97CAB"/>
    <w:rsid w:val="00E97D2C"/>
    <w:rsid w:val="00E97DBA"/>
    <w:rsid w:val="00EA02C7"/>
    <w:rsid w:val="00EA0E9B"/>
    <w:rsid w:val="00EA0EEB"/>
    <w:rsid w:val="00EA195D"/>
    <w:rsid w:val="00EA1A5F"/>
    <w:rsid w:val="00EA1F0A"/>
    <w:rsid w:val="00EA38A1"/>
    <w:rsid w:val="00EA57C1"/>
    <w:rsid w:val="00EA7776"/>
    <w:rsid w:val="00EB156E"/>
    <w:rsid w:val="00EB7546"/>
    <w:rsid w:val="00EC01AB"/>
    <w:rsid w:val="00EC2334"/>
    <w:rsid w:val="00EC3B71"/>
    <w:rsid w:val="00EC4F5C"/>
    <w:rsid w:val="00EC629B"/>
    <w:rsid w:val="00EC6DBF"/>
    <w:rsid w:val="00EC7099"/>
    <w:rsid w:val="00EC79AF"/>
    <w:rsid w:val="00ED1347"/>
    <w:rsid w:val="00ED1CA1"/>
    <w:rsid w:val="00ED2359"/>
    <w:rsid w:val="00ED35DE"/>
    <w:rsid w:val="00ED37D5"/>
    <w:rsid w:val="00ED39EF"/>
    <w:rsid w:val="00ED3F20"/>
    <w:rsid w:val="00ED47D9"/>
    <w:rsid w:val="00ED4D22"/>
    <w:rsid w:val="00ED5CBF"/>
    <w:rsid w:val="00ED611D"/>
    <w:rsid w:val="00ED741E"/>
    <w:rsid w:val="00ED7B00"/>
    <w:rsid w:val="00EE03E7"/>
    <w:rsid w:val="00EE1CAB"/>
    <w:rsid w:val="00EE4C28"/>
    <w:rsid w:val="00EE5E88"/>
    <w:rsid w:val="00EE65DD"/>
    <w:rsid w:val="00EE69C1"/>
    <w:rsid w:val="00EF495A"/>
    <w:rsid w:val="00EF56E0"/>
    <w:rsid w:val="00EF64C4"/>
    <w:rsid w:val="00F00E82"/>
    <w:rsid w:val="00F02F4A"/>
    <w:rsid w:val="00F03C07"/>
    <w:rsid w:val="00F05C29"/>
    <w:rsid w:val="00F05F16"/>
    <w:rsid w:val="00F06DB5"/>
    <w:rsid w:val="00F0741D"/>
    <w:rsid w:val="00F1166F"/>
    <w:rsid w:val="00F123D4"/>
    <w:rsid w:val="00F12D23"/>
    <w:rsid w:val="00F12E9A"/>
    <w:rsid w:val="00F13002"/>
    <w:rsid w:val="00F138AF"/>
    <w:rsid w:val="00F15E19"/>
    <w:rsid w:val="00F16E77"/>
    <w:rsid w:val="00F20B58"/>
    <w:rsid w:val="00F217E3"/>
    <w:rsid w:val="00F23066"/>
    <w:rsid w:val="00F23F00"/>
    <w:rsid w:val="00F2590E"/>
    <w:rsid w:val="00F2794E"/>
    <w:rsid w:val="00F27C53"/>
    <w:rsid w:val="00F303AC"/>
    <w:rsid w:val="00F3042D"/>
    <w:rsid w:val="00F325EB"/>
    <w:rsid w:val="00F36E83"/>
    <w:rsid w:val="00F37EEE"/>
    <w:rsid w:val="00F40DC7"/>
    <w:rsid w:val="00F44945"/>
    <w:rsid w:val="00F44BFC"/>
    <w:rsid w:val="00F45C96"/>
    <w:rsid w:val="00F46525"/>
    <w:rsid w:val="00F46B40"/>
    <w:rsid w:val="00F50D96"/>
    <w:rsid w:val="00F5272A"/>
    <w:rsid w:val="00F52CAC"/>
    <w:rsid w:val="00F5318F"/>
    <w:rsid w:val="00F544A8"/>
    <w:rsid w:val="00F557AB"/>
    <w:rsid w:val="00F563AA"/>
    <w:rsid w:val="00F563C1"/>
    <w:rsid w:val="00F56ABB"/>
    <w:rsid w:val="00F5754B"/>
    <w:rsid w:val="00F60B50"/>
    <w:rsid w:val="00F623D1"/>
    <w:rsid w:val="00F637D6"/>
    <w:rsid w:val="00F6594A"/>
    <w:rsid w:val="00F66DF8"/>
    <w:rsid w:val="00F66F3E"/>
    <w:rsid w:val="00F71A4D"/>
    <w:rsid w:val="00F7773B"/>
    <w:rsid w:val="00F80DFA"/>
    <w:rsid w:val="00F80EE9"/>
    <w:rsid w:val="00F85395"/>
    <w:rsid w:val="00F85523"/>
    <w:rsid w:val="00F85A6E"/>
    <w:rsid w:val="00F916A2"/>
    <w:rsid w:val="00F931A3"/>
    <w:rsid w:val="00F93749"/>
    <w:rsid w:val="00F95C4D"/>
    <w:rsid w:val="00F96AC4"/>
    <w:rsid w:val="00F97889"/>
    <w:rsid w:val="00FA18C9"/>
    <w:rsid w:val="00FA2BB8"/>
    <w:rsid w:val="00FA469C"/>
    <w:rsid w:val="00FA5D69"/>
    <w:rsid w:val="00FA6425"/>
    <w:rsid w:val="00FA7100"/>
    <w:rsid w:val="00FB1643"/>
    <w:rsid w:val="00FB1D0F"/>
    <w:rsid w:val="00FB1DA1"/>
    <w:rsid w:val="00FB61F7"/>
    <w:rsid w:val="00FB704A"/>
    <w:rsid w:val="00FC00E7"/>
    <w:rsid w:val="00FC07CD"/>
    <w:rsid w:val="00FC0F68"/>
    <w:rsid w:val="00FC13B1"/>
    <w:rsid w:val="00FC1C5F"/>
    <w:rsid w:val="00FC1E00"/>
    <w:rsid w:val="00FC39BA"/>
    <w:rsid w:val="00FC3BEC"/>
    <w:rsid w:val="00FC544E"/>
    <w:rsid w:val="00FC5682"/>
    <w:rsid w:val="00FC69C9"/>
    <w:rsid w:val="00FC6F25"/>
    <w:rsid w:val="00FC7AF1"/>
    <w:rsid w:val="00FD208C"/>
    <w:rsid w:val="00FD3CA3"/>
    <w:rsid w:val="00FD4AE0"/>
    <w:rsid w:val="00FD6B07"/>
    <w:rsid w:val="00FD7031"/>
    <w:rsid w:val="00FD7CF9"/>
    <w:rsid w:val="00FE0D99"/>
    <w:rsid w:val="00FE312D"/>
    <w:rsid w:val="00FE3617"/>
    <w:rsid w:val="00FE3E05"/>
    <w:rsid w:val="00FE413E"/>
    <w:rsid w:val="00FE4B56"/>
    <w:rsid w:val="00FE57D4"/>
    <w:rsid w:val="00FE610C"/>
    <w:rsid w:val="00FE6A71"/>
    <w:rsid w:val="00FE793F"/>
    <w:rsid w:val="00FF092F"/>
    <w:rsid w:val="00FF2317"/>
    <w:rsid w:val="00FF2844"/>
    <w:rsid w:val="00FF324B"/>
    <w:rsid w:val="00FF36D0"/>
    <w:rsid w:val="00FF4B5D"/>
    <w:rsid w:val="00FF5E09"/>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141313"/>
    <o:shapelayout v:ext="edit">
      <o:idmap v:ext="edit" data="1"/>
    </o:shapelayout>
  </w:shapeDefaults>
  <w:decimalSymbol w:val="."/>
  <w:listSeparator w:val=","/>
  <w14:docId w14:val="0FA22E11"/>
  <w15:chartTrackingRefBased/>
  <w15:docId w15:val="{F9466888-7762-4609-AA37-D2802668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D81"/>
    <w:rPr>
      <w:sz w:val="24"/>
    </w:rPr>
  </w:style>
  <w:style w:type="paragraph" w:styleId="Heading1">
    <w:name w:val="heading 1"/>
    <w:aliases w:val="h1"/>
    <w:basedOn w:val="Normal"/>
    <w:next w:val="BodyText"/>
    <w:qFormat/>
    <w:rsid w:val="00FC1C5F"/>
    <w:pPr>
      <w:keepNext/>
      <w:numPr>
        <w:numId w:val="1"/>
      </w:numPr>
      <w:spacing w:after="240"/>
      <w:outlineLvl w:val="0"/>
    </w:pPr>
    <w:rPr>
      <w:b/>
      <w:caps/>
    </w:rPr>
  </w:style>
  <w:style w:type="paragraph" w:styleId="Heading2">
    <w:name w:val="heading 2"/>
    <w:basedOn w:val="Normal"/>
    <w:next w:val="BodyText"/>
    <w:qFormat/>
    <w:rsid w:val="00FC1C5F"/>
    <w:pPr>
      <w:keepNext/>
      <w:numPr>
        <w:ilvl w:val="1"/>
        <w:numId w:val="1"/>
      </w:numPr>
      <w:tabs>
        <w:tab w:val="left" w:pos="720"/>
      </w:tabs>
      <w:spacing w:before="240" w:after="240"/>
      <w:outlineLvl w:val="1"/>
    </w:pPr>
    <w:rPr>
      <w:b/>
    </w:rPr>
  </w:style>
  <w:style w:type="paragraph" w:styleId="Heading3">
    <w:name w:val="heading 3"/>
    <w:basedOn w:val="Normal"/>
    <w:next w:val="BodyText"/>
    <w:link w:val="Heading3Char"/>
    <w:qFormat/>
    <w:rsid w:val="00FC1C5F"/>
    <w:pPr>
      <w:keepNext/>
      <w:numPr>
        <w:ilvl w:val="2"/>
        <w:numId w:val="1"/>
      </w:numPr>
      <w:tabs>
        <w:tab w:val="left" w:pos="1008"/>
      </w:tabs>
      <w:spacing w:before="240" w:after="240"/>
      <w:outlineLvl w:val="2"/>
    </w:pPr>
    <w:rPr>
      <w:b/>
      <w:bCs/>
      <w:i/>
    </w:rPr>
  </w:style>
  <w:style w:type="paragraph" w:styleId="Heading4">
    <w:name w:val="heading 4"/>
    <w:aliases w:val=" Char"/>
    <w:basedOn w:val="Normal"/>
    <w:next w:val="BodyText"/>
    <w:link w:val="Heading4Char"/>
    <w:qFormat/>
    <w:rsid w:val="00FC1C5F"/>
    <w:pPr>
      <w:keepNext/>
      <w:widowControl w:val="0"/>
      <w:numPr>
        <w:ilvl w:val="3"/>
        <w:numId w:val="1"/>
      </w:numPr>
      <w:tabs>
        <w:tab w:val="left" w:pos="1296"/>
      </w:tabs>
      <w:spacing w:before="240" w:after="240"/>
      <w:outlineLvl w:val="3"/>
    </w:pPr>
    <w:rPr>
      <w:b/>
      <w:bCs/>
      <w:snapToGrid w:val="0"/>
    </w:rPr>
  </w:style>
  <w:style w:type="paragraph" w:styleId="Heading5">
    <w:name w:val="heading 5"/>
    <w:basedOn w:val="Normal"/>
    <w:next w:val="BodyText"/>
    <w:qFormat/>
    <w:rsid w:val="00FC1C5F"/>
    <w:pPr>
      <w:keepNext/>
      <w:numPr>
        <w:ilvl w:val="4"/>
        <w:numId w:val="1"/>
      </w:numPr>
      <w:tabs>
        <w:tab w:val="left" w:pos="1440"/>
      </w:tabs>
      <w:spacing w:before="240" w:after="240"/>
      <w:outlineLvl w:val="4"/>
    </w:pPr>
    <w:rPr>
      <w:b/>
      <w:bCs/>
      <w:i/>
      <w:iCs/>
      <w:szCs w:val="26"/>
    </w:rPr>
  </w:style>
  <w:style w:type="paragraph" w:styleId="Heading6">
    <w:name w:val="heading 6"/>
    <w:basedOn w:val="Normal"/>
    <w:next w:val="BodyText"/>
    <w:qFormat/>
    <w:rsid w:val="00FC1C5F"/>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FC1C5F"/>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FC1C5F"/>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FC1C5F"/>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rsid w:val="00FC1C5F"/>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C1C5F"/>
    <w:rPr>
      <w:iCs/>
      <w:sz w:val="24"/>
      <w:lang w:val="en-US" w:eastAsia="en-US" w:bidi="ar-SA"/>
    </w:rPr>
  </w:style>
  <w:style w:type="character" w:customStyle="1" w:styleId="Heading4Char">
    <w:name w:val="Heading 4 Char"/>
    <w:aliases w:val=" Char Char"/>
    <w:link w:val="Heading4"/>
    <w:rsid w:val="00FC1C5F"/>
    <w:rPr>
      <w:b/>
      <w:bCs/>
      <w:snapToGrid w:val="0"/>
      <w:sz w:val="24"/>
      <w:lang w:val="en-US" w:eastAsia="en-US" w:bidi="ar-SA"/>
    </w:rPr>
  </w:style>
  <w:style w:type="paragraph" w:customStyle="1" w:styleId="Instructions">
    <w:name w:val="Instructions"/>
    <w:basedOn w:val="BodyText"/>
    <w:link w:val="InstructionsChar"/>
    <w:rsid w:val="00FC1C5F"/>
    <w:rPr>
      <w:b/>
      <w:i/>
      <w:iCs w:val="0"/>
      <w:szCs w:val="24"/>
    </w:rPr>
  </w:style>
  <w:style w:type="character" w:customStyle="1" w:styleId="InstructionsChar">
    <w:name w:val="Instructions Char"/>
    <w:link w:val="Instructions"/>
    <w:rsid w:val="00FC1C5F"/>
    <w:rPr>
      <w:b/>
      <w:i/>
      <w:iCs w:val="0"/>
      <w:sz w:val="24"/>
      <w:szCs w:val="24"/>
      <w:lang w:val="en-US" w:eastAsia="en-US" w:bidi="ar-SA"/>
    </w:rPr>
  </w:style>
  <w:style w:type="paragraph" w:styleId="List">
    <w:name w:val="List"/>
    <w:aliases w:val=" Char2 Char Char Char Char, Char2 Char"/>
    <w:basedOn w:val="Normal"/>
    <w:link w:val="ListChar"/>
    <w:rsid w:val="00FC1C5F"/>
    <w:pPr>
      <w:spacing w:after="240"/>
      <w:ind w:left="1440" w:hanging="720"/>
    </w:pPr>
  </w:style>
  <w:style w:type="character" w:customStyle="1" w:styleId="ListChar">
    <w:name w:val="List Char"/>
    <w:aliases w:val=" Char2 Char Char Char Char Char, Char2 Char Char"/>
    <w:link w:val="List"/>
    <w:rsid w:val="00FC1C5F"/>
    <w:rPr>
      <w:sz w:val="24"/>
      <w:lang w:val="en-US" w:eastAsia="en-US" w:bidi="ar-SA"/>
    </w:rPr>
  </w:style>
  <w:style w:type="paragraph" w:styleId="BodyTextIndent">
    <w:name w:val="Body Text Indent"/>
    <w:aliases w:val=" Char1"/>
    <w:basedOn w:val="Normal"/>
    <w:link w:val="BodyTextIndentChar"/>
    <w:rsid w:val="00FC1C5F"/>
    <w:pPr>
      <w:spacing w:after="240"/>
      <w:ind w:left="720"/>
    </w:pPr>
    <w:rPr>
      <w:iCs/>
    </w:rPr>
  </w:style>
  <w:style w:type="character" w:customStyle="1" w:styleId="BodyTextIndentChar">
    <w:name w:val="Body Text Indent Char"/>
    <w:aliases w:val=" Char1 Char"/>
    <w:link w:val="BodyTextIndent"/>
    <w:rsid w:val="00FC1C5F"/>
    <w:rPr>
      <w:iCs/>
      <w:sz w:val="24"/>
      <w:lang w:val="en-US" w:eastAsia="en-US" w:bidi="ar-SA"/>
    </w:rPr>
  </w:style>
  <w:style w:type="paragraph" w:customStyle="1" w:styleId="Bullet">
    <w:name w:val="Bullet"/>
    <w:basedOn w:val="Normal"/>
    <w:link w:val="BulletChar"/>
    <w:rsid w:val="00FC1C5F"/>
    <w:pPr>
      <w:tabs>
        <w:tab w:val="num" w:pos="1440"/>
      </w:tabs>
      <w:spacing w:after="180"/>
      <w:ind w:left="1440" w:hanging="360"/>
    </w:pPr>
  </w:style>
  <w:style w:type="character" w:customStyle="1" w:styleId="BulletChar">
    <w:name w:val="Bullet Char"/>
    <w:link w:val="Bullet"/>
    <w:rsid w:val="00FC1C5F"/>
    <w:rPr>
      <w:sz w:val="24"/>
      <w:lang w:val="en-US" w:eastAsia="en-US" w:bidi="ar-SA"/>
    </w:rPr>
  </w:style>
  <w:style w:type="paragraph" w:customStyle="1" w:styleId="BulletIndent">
    <w:name w:val="Bullet Indent"/>
    <w:basedOn w:val="Normal"/>
    <w:link w:val="BulletIndentChar"/>
    <w:rsid w:val="00FC1C5F"/>
    <w:pPr>
      <w:spacing w:after="180"/>
      <w:ind w:left="2340" w:hanging="547"/>
    </w:pPr>
  </w:style>
  <w:style w:type="character" w:customStyle="1" w:styleId="BulletIndentChar">
    <w:name w:val="Bullet Indent Char"/>
    <w:link w:val="BulletIndent"/>
    <w:rsid w:val="00FC1C5F"/>
    <w:rPr>
      <w:sz w:val="24"/>
      <w:lang w:val="en-US" w:eastAsia="en-US" w:bidi="ar-SA"/>
    </w:rPr>
  </w:style>
  <w:style w:type="paragraph" w:styleId="Footer">
    <w:name w:val="footer"/>
    <w:basedOn w:val="Normal"/>
    <w:rsid w:val="00FC1C5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C1C5F"/>
    <w:rPr>
      <w:sz w:val="18"/>
    </w:rPr>
  </w:style>
  <w:style w:type="paragraph" w:styleId="Header">
    <w:name w:val="header"/>
    <w:basedOn w:val="Normal"/>
    <w:link w:val="HeaderChar"/>
    <w:rsid w:val="00FC1C5F"/>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FC1C5F"/>
    <w:rPr>
      <w:color w:val="0000FF"/>
      <w:u w:val="single"/>
    </w:rPr>
  </w:style>
  <w:style w:type="paragraph" w:styleId="TOC1">
    <w:name w:val="toc 1"/>
    <w:basedOn w:val="Normal"/>
    <w:next w:val="Normal"/>
    <w:autoRedefine/>
    <w:uiPriority w:val="39"/>
    <w:rsid w:val="00D31E07"/>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373358"/>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E36324"/>
    <w:pPr>
      <w:tabs>
        <w:tab w:val="left" w:pos="1980"/>
        <w:tab w:val="right" w:leader="dot" w:pos="9360"/>
      </w:tabs>
      <w:ind w:left="1980" w:right="720" w:hanging="900"/>
    </w:pPr>
    <w:rPr>
      <w:i/>
      <w:iCs/>
      <w:sz w:val="20"/>
    </w:rPr>
  </w:style>
  <w:style w:type="character" w:styleId="PageNumber">
    <w:name w:val="page number"/>
    <w:basedOn w:val="DefaultParagraphFont"/>
    <w:rsid w:val="00FC1C5F"/>
  </w:style>
  <w:style w:type="table" w:styleId="TableGrid">
    <w:name w:val="Table Grid"/>
    <w:basedOn w:val="TableNormal"/>
    <w:rsid w:val="00FC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52CAC"/>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05725D"/>
    <w:pPr>
      <w:tabs>
        <w:tab w:val="left" w:pos="1440"/>
        <w:tab w:val="right" w:leader="dot" w:pos="9360"/>
      </w:tabs>
      <w:ind w:left="3614" w:right="720" w:hanging="1267"/>
    </w:pPr>
    <w:rPr>
      <w:i/>
      <w:noProof/>
      <w:sz w:val="18"/>
      <w:szCs w:val="24"/>
    </w:rPr>
  </w:style>
  <w:style w:type="paragraph" w:styleId="List2">
    <w:name w:val="List 2"/>
    <w:basedOn w:val="Normal"/>
    <w:rsid w:val="00FC1C5F"/>
    <w:pPr>
      <w:spacing w:after="240"/>
      <w:ind w:left="2160" w:hanging="720"/>
    </w:pPr>
  </w:style>
  <w:style w:type="paragraph" w:styleId="List3">
    <w:name w:val="List 3"/>
    <w:basedOn w:val="Normal"/>
    <w:rsid w:val="00FC1C5F"/>
    <w:pPr>
      <w:spacing w:after="240"/>
      <w:ind w:left="2880" w:hanging="720"/>
    </w:pPr>
  </w:style>
  <w:style w:type="paragraph" w:styleId="TOC6">
    <w:name w:val="toc 6"/>
    <w:basedOn w:val="Normal"/>
    <w:next w:val="Normal"/>
    <w:autoRedefine/>
    <w:uiPriority w:val="39"/>
    <w:rsid w:val="00FC1C5F"/>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FC1C5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C1C5F"/>
    <w:pPr>
      <w:ind w:left="1680"/>
    </w:pPr>
    <w:rPr>
      <w:sz w:val="18"/>
      <w:szCs w:val="18"/>
    </w:rPr>
  </w:style>
  <w:style w:type="paragraph" w:styleId="TOC9">
    <w:name w:val="toc 9"/>
    <w:basedOn w:val="Normal"/>
    <w:next w:val="Normal"/>
    <w:autoRedefine/>
    <w:uiPriority w:val="39"/>
    <w:rsid w:val="00FC1C5F"/>
    <w:pPr>
      <w:ind w:left="1920"/>
    </w:pPr>
    <w:rPr>
      <w:sz w:val="18"/>
      <w:szCs w:val="18"/>
    </w:rPr>
  </w:style>
  <w:style w:type="paragraph" w:customStyle="1" w:styleId="H5">
    <w:name w:val="H5"/>
    <w:basedOn w:val="Heading5"/>
    <w:next w:val="BodyText"/>
    <w:rsid w:val="00FC1C5F"/>
    <w:pPr>
      <w:numPr>
        <w:ilvl w:val="0"/>
        <w:numId w:val="0"/>
      </w:numPr>
      <w:tabs>
        <w:tab w:val="clear" w:pos="1440"/>
        <w:tab w:val="left" w:pos="1620"/>
      </w:tabs>
      <w:ind w:left="1620" w:hanging="1620"/>
    </w:pPr>
  </w:style>
  <w:style w:type="paragraph" w:customStyle="1" w:styleId="H2">
    <w:name w:val="H2"/>
    <w:basedOn w:val="Heading2"/>
    <w:next w:val="BodyText"/>
    <w:link w:val="H2Char"/>
    <w:rsid w:val="00FC1C5F"/>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FC1C5F"/>
    <w:pPr>
      <w:numPr>
        <w:ilvl w:val="0"/>
        <w:numId w:val="0"/>
      </w:numPr>
      <w:tabs>
        <w:tab w:val="clear" w:pos="1008"/>
        <w:tab w:val="left" w:pos="1080"/>
      </w:tabs>
      <w:ind w:left="1080" w:hanging="1080"/>
    </w:pPr>
  </w:style>
  <w:style w:type="paragraph" w:customStyle="1" w:styleId="H4">
    <w:name w:val="H4"/>
    <w:basedOn w:val="Heading4"/>
    <w:next w:val="BodyText"/>
    <w:link w:val="H4Char"/>
    <w:rsid w:val="00FC1C5F"/>
    <w:pPr>
      <w:numPr>
        <w:ilvl w:val="0"/>
        <w:numId w:val="0"/>
      </w:numPr>
      <w:tabs>
        <w:tab w:val="clear" w:pos="1296"/>
        <w:tab w:val="left" w:pos="1260"/>
      </w:tabs>
      <w:ind w:left="1260" w:hanging="1260"/>
    </w:pPr>
    <w:rPr>
      <w:b w:val="0"/>
      <w:bCs w:val="0"/>
    </w:rPr>
  </w:style>
  <w:style w:type="character" w:customStyle="1" w:styleId="H4Char">
    <w:name w:val="H4 Char"/>
    <w:link w:val="H4"/>
    <w:rsid w:val="00FC1C5F"/>
    <w:rPr>
      <w:b w:val="0"/>
      <w:bCs w:val="0"/>
      <w:snapToGrid w:val="0"/>
      <w:sz w:val="24"/>
      <w:lang w:val="en-US" w:eastAsia="en-US" w:bidi="ar-SA"/>
    </w:rPr>
  </w:style>
  <w:style w:type="paragraph" w:customStyle="1" w:styleId="H6">
    <w:name w:val="H6"/>
    <w:basedOn w:val="Heading6"/>
    <w:next w:val="BodyText"/>
    <w:rsid w:val="00FC1C5F"/>
    <w:pPr>
      <w:numPr>
        <w:ilvl w:val="0"/>
        <w:numId w:val="0"/>
      </w:numPr>
      <w:tabs>
        <w:tab w:val="clear" w:pos="1584"/>
        <w:tab w:val="left" w:pos="1800"/>
      </w:tabs>
      <w:ind w:left="1800" w:hanging="1800"/>
    </w:pPr>
  </w:style>
  <w:style w:type="paragraph" w:customStyle="1" w:styleId="H7">
    <w:name w:val="H7"/>
    <w:basedOn w:val="Heading7"/>
    <w:next w:val="BodyText"/>
    <w:rsid w:val="00FC1C5F"/>
    <w:pPr>
      <w:numPr>
        <w:ilvl w:val="0"/>
        <w:numId w:val="0"/>
      </w:numPr>
      <w:tabs>
        <w:tab w:val="clear" w:pos="1728"/>
        <w:tab w:val="left" w:pos="1980"/>
      </w:tabs>
      <w:ind w:left="1980" w:hanging="1980"/>
    </w:pPr>
    <w:rPr>
      <w:b/>
      <w:i/>
    </w:rPr>
  </w:style>
  <w:style w:type="paragraph" w:customStyle="1" w:styleId="H8">
    <w:name w:val="H8"/>
    <w:basedOn w:val="Heading8"/>
    <w:next w:val="BodyText"/>
    <w:rsid w:val="00FC1C5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C1C5F"/>
    <w:pPr>
      <w:numPr>
        <w:ilvl w:val="0"/>
        <w:numId w:val="0"/>
      </w:numPr>
      <w:tabs>
        <w:tab w:val="clear" w:pos="2160"/>
        <w:tab w:val="left" w:pos="2340"/>
      </w:tabs>
      <w:ind w:left="2340" w:hanging="2340"/>
    </w:pPr>
    <w:rPr>
      <w:i/>
    </w:rPr>
  </w:style>
  <w:style w:type="table" w:customStyle="1" w:styleId="BoxedLanguage">
    <w:name w:val="Boxed Language"/>
    <w:basedOn w:val="TableNormal"/>
    <w:rsid w:val="00FC1C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C1C5F"/>
  </w:style>
  <w:style w:type="paragraph" w:customStyle="1" w:styleId="ListIntroduction">
    <w:name w:val="List Introduction"/>
    <w:basedOn w:val="BodyText"/>
    <w:link w:val="ListIntroductionChar"/>
    <w:rsid w:val="00FC1C5F"/>
    <w:pPr>
      <w:keepNext/>
    </w:pPr>
    <w:rPr>
      <w:lang w:val="x-none" w:eastAsia="x-none"/>
    </w:rPr>
  </w:style>
  <w:style w:type="paragraph" w:customStyle="1" w:styleId="VariableDefinition">
    <w:name w:val="Variable Definition"/>
    <w:basedOn w:val="BodyTextIndent"/>
    <w:rsid w:val="00FC1C5F"/>
    <w:pPr>
      <w:tabs>
        <w:tab w:val="left" w:pos="2160"/>
      </w:tabs>
      <w:ind w:left="2160" w:hanging="1440"/>
      <w:contextualSpacing/>
    </w:pPr>
  </w:style>
  <w:style w:type="paragraph" w:customStyle="1" w:styleId="FormulaBold">
    <w:name w:val="Formula Bold"/>
    <w:basedOn w:val="Normal"/>
    <w:link w:val="FormulaBoldChar"/>
    <w:autoRedefine/>
    <w:rsid w:val="00FC1C5F"/>
    <w:pPr>
      <w:tabs>
        <w:tab w:val="left" w:pos="2340"/>
        <w:tab w:val="left" w:pos="2880"/>
      </w:tabs>
      <w:spacing w:after="240"/>
      <w:ind w:left="2880" w:hanging="1440"/>
    </w:pPr>
    <w:rPr>
      <w:b/>
      <w:bCs/>
      <w:szCs w:val="24"/>
    </w:rPr>
  </w:style>
  <w:style w:type="paragraph" w:customStyle="1" w:styleId="Formula">
    <w:name w:val="Formula"/>
    <w:basedOn w:val="Normal"/>
    <w:autoRedefine/>
    <w:rsid w:val="00FC1C5F"/>
    <w:pPr>
      <w:tabs>
        <w:tab w:val="left" w:pos="2340"/>
        <w:tab w:val="left" w:pos="3420"/>
      </w:tabs>
      <w:spacing w:after="240"/>
      <w:ind w:left="3420" w:hanging="2700"/>
    </w:pPr>
    <w:rPr>
      <w:bCs/>
      <w:szCs w:val="24"/>
    </w:rPr>
  </w:style>
  <w:style w:type="paragraph" w:customStyle="1" w:styleId="ListSub">
    <w:name w:val="List Sub"/>
    <w:basedOn w:val="List"/>
    <w:rsid w:val="00FC1C5F"/>
    <w:pPr>
      <w:ind w:firstLine="0"/>
    </w:pPr>
  </w:style>
  <w:style w:type="table" w:customStyle="1" w:styleId="VariableTable">
    <w:name w:val="Variable Table"/>
    <w:basedOn w:val="TableNormal"/>
    <w:rsid w:val="00FC1C5F"/>
    <w:tblPr/>
  </w:style>
  <w:style w:type="table" w:customStyle="1" w:styleId="FormulaVariableTable">
    <w:name w:val="Formula Variable Table"/>
    <w:basedOn w:val="TableNormal"/>
    <w:rsid w:val="00FC1C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C1C5F"/>
    <w:pPr>
      <w:keepNext/>
      <w:spacing w:before="240"/>
    </w:pPr>
    <w:rPr>
      <w:b/>
    </w:rPr>
  </w:style>
  <w:style w:type="paragraph" w:customStyle="1" w:styleId="TableBody">
    <w:name w:val="Table Body"/>
    <w:basedOn w:val="BodyText"/>
    <w:rsid w:val="00FC1C5F"/>
    <w:pPr>
      <w:spacing w:after="60"/>
    </w:pPr>
    <w:rPr>
      <w:sz w:val="20"/>
    </w:rPr>
  </w:style>
  <w:style w:type="paragraph" w:customStyle="1" w:styleId="TableHead">
    <w:name w:val="Table Head"/>
    <w:basedOn w:val="BodyText"/>
    <w:rsid w:val="00FC1C5F"/>
    <w:pPr>
      <w:spacing w:after="120"/>
    </w:pPr>
    <w:rPr>
      <w:b/>
      <w:sz w:val="20"/>
    </w:rPr>
  </w:style>
  <w:style w:type="paragraph" w:customStyle="1" w:styleId="TableBullet">
    <w:name w:val="Table Bullet"/>
    <w:basedOn w:val="TableBody"/>
    <w:rsid w:val="00FC1C5F"/>
    <w:pPr>
      <w:tabs>
        <w:tab w:val="num" w:pos="360"/>
      </w:tabs>
      <w:ind w:left="360" w:hanging="360"/>
    </w:pPr>
  </w:style>
  <w:style w:type="paragraph" w:styleId="BodyText2">
    <w:name w:val="Body Text 2"/>
    <w:basedOn w:val="Normal"/>
    <w:rsid w:val="00FC1C5F"/>
    <w:pPr>
      <w:spacing w:after="120" w:line="480" w:lineRule="auto"/>
      <w:ind w:left="1440" w:hanging="720"/>
    </w:pPr>
  </w:style>
  <w:style w:type="paragraph" w:customStyle="1" w:styleId="BodyTextNumbered">
    <w:name w:val="Body Text Numbered"/>
    <w:basedOn w:val="BodyText"/>
    <w:link w:val="BodyTextNumberedChar"/>
    <w:rsid w:val="00FC1C5F"/>
    <w:pPr>
      <w:ind w:left="720" w:hanging="720"/>
    </w:pPr>
  </w:style>
  <w:style w:type="character" w:customStyle="1" w:styleId="CharChar5">
    <w:name w:val="Char Char5"/>
    <w:rsid w:val="00FC1C5F"/>
    <w:rPr>
      <w:sz w:val="24"/>
      <w:lang w:val="en-US" w:eastAsia="en-US" w:bidi="ar-SA"/>
    </w:rPr>
  </w:style>
  <w:style w:type="paragraph" w:customStyle="1" w:styleId="Style1">
    <w:name w:val="Style1"/>
    <w:basedOn w:val="Formula"/>
    <w:rsid w:val="00FC1C5F"/>
    <w:pPr>
      <w:ind w:left="1440" w:hanging="720"/>
    </w:pPr>
  </w:style>
  <w:style w:type="character" w:customStyle="1" w:styleId="CharChar2">
    <w:name w:val="Char Char2"/>
    <w:rsid w:val="00FC1C5F"/>
    <w:rPr>
      <w:sz w:val="24"/>
      <w:lang w:val="en-US" w:eastAsia="en-US" w:bidi="ar-SA"/>
    </w:rPr>
  </w:style>
  <w:style w:type="character" w:customStyle="1" w:styleId="CharChar3">
    <w:name w:val="Char Char3"/>
    <w:rsid w:val="00FC1C5F"/>
    <w:rPr>
      <w:b/>
      <w:bCs/>
      <w:snapToGrid w:val="0"/>
      <w:sz w:val="24"/>
      <w:lang w:val="en-US" w:eastAsia="en-US" w:bidi="ar-SA"/>
    </w:rPr>
  </w:style>
  <w:style w:type="character" w:customStyle="1" w:styleId="CharChar1">
    <w:name w:val="Char Char1"/>
    <w:aliases w:val=" Char1 Char Char2"/>
    <w:rsid w:val="00FC1C5F"/>
    <w:rPr>
      <w:iCs/>
      <w:sz w:val="24"/>
      <w:lang w:val="en-US" w:eastAsia="en-US" w:bidi="ar-SA"/>
    </w:rPr>
  </w:style>
  <w:style w:type="character" w:customStyle="1" w:styleId="CharChar">
    <w:name w:val="Char Char"/>
    <w:aliases w:val=" Char1 Char Char1"/>
    <w:rsid w:val="00FC1C5F"/>
    <w:rPr>
      <w:iCs/>
      <w:sz w:val="24"/>
      <w:lang w:val="en-US" w:eastAsia="en-US" w:bidi="ar-SA"/>
    </w:rPr>
  </w:style>
  <w:style w:type="character" w:customStyle="1" w:styleId="newsummary">
    <w:name w:val="newsummary"/>
    <w:basedOn w:val="DefaultParagraphFont"/>
    <w:rsid w:val="00FC1C5F"/>
  </w:style>
  <w:style w:type="character" w:customStyle="1" w:styleId="CharCharCharChar1">
    <w:name w:val="Char Char Char Char1"/>
    <w:rsid w:val="00FC1C5F"/>
    <w:rPr>
      <w:sz w:val="24"/>
      <w:lang w:val="en-US" w:eastAsia="en-US" w:bidi="ar-SA"/>
    </w:rPr>
  </w:style>
  <w:style w:type="character" w:customStyle="1" w:styleId="BodyTextNumberedChar">
    <w:name w:val="Body Text Numbered Char"/>
    <w:link w:val="BodyTextNumbered"/>
    <w:rsid w:val="00FC1C5F"/>
    <w:rPr>
      <w:iCs/>
      <w:sz w:val="24"/>
      <w:lang w:val="en-US" w:eastAsia="en-US" w:bidi="ar-SA"/>
    </w:rPr>
  </w:style>
  <w:style w:type="character" w:styleId="CommentReference">
    <w:name w:val="annotation reference"/>
    <w:rsid w:val="00FC1C5F"/>
    <w:rPr>
      <w:sz w:val="16"/>
      <w:szCs w:val="16"/>
    </w:rPr>
  </w:style>
  <w:style w:type="paragraph" w:styleId="CommentText">
    <w:name w:val="annotation text"/>
    <w:basedOn w:val="Normal"/>
    <w:link w:val="CommentTextChar"/>
    <w:rsid w:val="00FC1C5F"/>
    <w:rPr>
      <w:sz w:val="20"/>
    </w:rPr>
  </w:style>
  <w:style w:type="paragraph" w:styleId="CommentSubject">
    <w:name w:val="annotation subject"/>
    <w:basedOn w:val="CommentText"/>
    <w:next w:val="CommentText"/>
    <w:rsid w:val="00FC1C5F"/>
    <w:rPr>
      <w:b/>
      <w:bCs/>
    </w:rPr>
  </w:style>
  <w:style w:type="paragraph" w:styleId="BalloonText">
    <w:name w:val="Balloon Text"/>
    <w:basedOn w:val="Normal"/>
    <w:rsid w:val="00FC1C5F"/>
    <w:rPr>
      <w:rFonts w:ascii="Tahoma" w:hAnsi="Tahoma" w:cs="Tahoma"/>
      <w:sz w:val="16"/>
      <w:szCs w:val="16"/>
    </w:rPr>
  </w:style>
  <w:style w:type="paragraph" w:customStyle="1" w:styleId="Style2">
    <w:name w:val="Style2"/>
    <w:basedOn w:val="BodyText2"/>
    <w:rsid w:val="00FC1C5F"/>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C1C5F"/>
    <w:rPr>
      <w:iCs/>
      <w:sz w:val="24"/>
      <w:lang w:val="en-US" w:eastAsia="en-US" w:bidi="ar-SA"/>
    </w:rPr>
  </w:style>
  <w:style w:type="character" w:customStyle="1" w:styleId="CharCharChar2">
    <w:name w:val="Char Char Char2"/>
    <w:rsid w:val="00FC1C5F"/>
    <w:rPr>
      <w:b/>
      <w:bCs/>
      <w:snapToGrid w:val="0"/>
      <w:sz w:val="24"/>
      <w:lang w:val="en-US" w:eastAsia="en-US" w:bidi="ar-SA"/>
    </w:rPr>
  </w:style>
  <w:style w:type="character" w:customStyle="1" w:styleId="CharCharChar1">
    <w:name w:val="Char Char Char1"/>
    <w:rsid w:val="00FC1C5F"/>
    <w:rPr>
      <w:sz w:val="24"/>
      <w:lang w:val="en-US" w:eastAsia="en-US" w:bidi="ar-SA"/>
    </w:rPr>
  </w:style>
  <w:style w:type="character" w:customStyle="1" w:styleId="H4CharChar">
    <w:name w:val="H4 Char Char"/>
    <w:rsid w:val="00FC1C5F"/>
    <w:rPr>
      <w:b w:val="0"/>
      <w:bCs w:val="0"/>
      <w:snapToGrid w:val="0"/>
      <w:sz w:val="24"/>
      <w:lang w:val="en-US" w:eastAsia="en-US" w:bidi="ar-SA"/>
    </w:rPr>
  </w:style>
  <w:style w:type="character" w:customStyle="1" w:styleId="Char1CharChar">
    <w:name w:val="Char1 Char Char"/>
    <w:rsid w:val="00FC1C5F"/>
    <w:rPr>
      <w:iCs/>
      <w:sz w:val="24"/>
      <w:lang w:val="en-US" w:eastAsia="en-US" w:bidi="ar-SA"/>
    </w:rPr>
  </w:style>
  <w:style w:type="paragraph" w:customStyle="1" w:styleId="NormalArial">
    <w:name w:val="Normal+Arial"/>
    <w:basedOn w:val="Normal"/>
    <w:link w:val="NormalArialChar"/>
    <w:rsid w:val="00FC1C5F"/>
    <w:rPr>
      <w:rFonts w:ascii="Arial" w:hAnsi="Arial"/>
      <w:szCs w:val="24"/>
    </w:rPr>
  </w:style>
  <w:style w:type="character" w:customStyle="1" w:styleId="BodyTextChar">
    <w:name w:val="Body Text Char"/>
    <w:aliases w:val=" Char Char Char Char,Body Text Char2 Char Char Char,Body Text Char2 Char Char Char Char Char Char Char Char Char Char Char Char,Body Text Char2 Char Char1"/>
    <w:rsid w:val="00FC1C5F"/>
    <w:rPr>
      <w:iCs/>
      <w:sz w:val="24"/>
      <w:lang w:val="en-US" w:eastAsia="en-US" w:bidi="ar-SA"/>
    </w:rPr>
  </w:style>
  <w:style w:type="character" w:customStyle="1" w:styleId="NormalArialChar">
    <w:name w:val="Normal+Arial Char"/>
    <w:link w:val="NormalArial"/>
    <w:rsid w:val="00FC1C5F"/>
    <w:rPr>
      <w:rFonts w:ascii="Arial" w:hAnsi="Arial"/>
      <w:sz w:val="24"/>
      <w:szCs w:val="24"/>
      <w:lang w:val="en-US" w:eastAsia="en-US" w:bidi="ar-SA"/>
    </w:rPr>
  </w:style>
  <w:style w:type="paragraph" w:styleId="DocumentMap">
    <w:name w:val="Document Map"/>
    <w:basedOn w:val="Normal"/>
    <w:rsid w:val="00FC1C5F"/>
    <w:pPr>
      <w:shd w:val="clear" w:color="auto" w:fill="000080"/>
    </w:pPr>
    <w:rPr>
      <w:rFonts w:ascii="Tahoma" w:hAnsi="Tahoma" w:cs="Tahoma"/>
      <w:sz w:val="20"/>
    </w:rPr>
  </w:style>
  <w:style w:type="character" w:customStyle="1" w:styleId="BodyTextNumberedChar1">
    <w:name w:val="Body Text Numbered Char1"/>
    <w:rsid w:val="00FC1C5F"/>
    <w:rPr>
      <w:sz w:val="24"/>
      <w:szCs w:val="24"/>
      <w:lang w:val="en-US" w:eastAsia="en-US" w:bidi="ar-SA"/>
    </w:rPr>
  </w:style>
  <w:style w:type="character" w:customStyle="1" w:styleId="Heading3Char">
    <w:name w:val="Heading 3 Char"/>
    <w:link w:val="Heading3"/>
    <w:rsid w:val="00FC1C5F"/>
    <w:rPr>
      <w:b/>
      <w:bCs/>
      <w:i/>
      <w:sz w:val="24"/>
      <w:lang w:val="en-US" w:eastAsia="en-US" w:bidi="ar-SA"/>
    </w:rPr>
  </w:style>
  <w:style w:type="paragraph" w:customStyle="1" w:styleId="Char3">
    <w:name w:val="Char3"/>
    <w:basedOn w:val="Normal"/>
    <w:rsid w:val="00FC1C5F"/>
    <w:pPr>
      <w:spacing w:after="160" w:line="240" w:lineRule="exact"/>
    </w:pPr>
    <w:rPr>
      <w:rFonts w:ascii="Verdana" w:hAnsi="Verdana"/>
      <w:sz w:val="16"/>
    </w:rPr>
  </w:style>
  <w:style w:type="character" w:customStyle="1" w:styleId="H3Char1">
    <w:name w:val="H3 Char1"/>
    <w:link w:val="H3"/>
    <w:rsid w:val="00FC1C5F"/>
    <w:rPr>
      <w:b/>
      <w:bCs/>
      <w:i/>
      <w:sz w:val="24"/>
      <w:lang w:val="en-US" w:eastAsia="en-US" w:bidi="ar-SA"/>
    </w:rPr>
  </w:style>
  <w:style w:type="character" w:customStyle="1" w:styleId="H2Char">
    <w:name w:val="H2 Char"/>
    <w:link w:val="H2"/>
    <w:rsid w:val="002B3DDF"/>
    <w:rPr>
      <w:b/>
      <w:sz w:val="24"/>
    </w:rPr>
  </w:style>
  <w:style w:type="character" w:customStyle="1" w:styleId="HeaderChar">
    <w:name w:val="Header Char"/>
    <w:link w:val="Header"/>
    <w:rsid w:val="00510CB6"/>
    <w:rPr>
      <w:smallCaps/>
    </w:rPr>
  </w:style>
  <w:style w:type="paragraph" w:styleId="Revision">
    <w:name w:val="Revision"/>
    <w:hidden/>
    <w:rsid w:val="00362E3D"/>
    <w:rPr>
      <w:sz w:val="24"/>
    </w:rPr>
  </w:style>
  <w:style w:type="paragraph" w:customStyle="1" w:styleId="TXUHeader">
    <w:name w:val="TXUHeader"/>
    <w:basedOn w:val="Normal"/>
    <w:rsid w:val="00AC2765"/>
    <w:pPr>
      <w:tabs>
        <w:tab w:val="right" w:pos="9360"/>
      </w:tabs>
    </w:pPr>
    <w:rPr>
      <w:noProof/>
      <w:sz w:val="16"/>
    </w:rPr>
  </w:style>
  <w:style w:type="character" w:customStyle="1" w:styleId="H3Char">
    <w:name w:val="H3 Char"/>
    <w:rsid w:val="00002B03"/>
    <w:rPr>
      <w:b/>
      <w:bCs/>
      <w:i/>
      <w:sz w:val="24"/>
      <w:lang w:val="en-US" w:eastAsia="en-US" w:bidi="ar-SA"/>
    </w:rPr>
  </w:style>
  <w:style w:type="paragraph" w:styleId="ListParagraph">
    <w:name w:val="List Paragraph"/>
    <w:basedOn w:val="Normal"/>
    <w:qFormat/>
    <w:rsid w:val="00002B03"/>
    <w:pPr>
      <w:spacing w:after="200" w:line="276" w:lineRule="auto"/>
      <w:ind w:left="720"/>
      <w:contextualSpacing/>
    </w:pPr>
    <w:rPr>
      <w:rFonts w:ascii="Calibri" w:hAnsi="Calibri"/>
      <w:sz w:val="22"/>
      <w:szCs w:val="22"/>
    </w:rPr>
  </w:style>
  <w:style w:type="paragraph" w:styleId="NoSpacing">
    <w:name w:val="No Spacing"/>
    <w:qFormat/>
    <w:rsid w:val="00002B03"/>
    <w:rPr>
      <w:rFonts w:ascii="Calibri" w:hAnsi="Calibri"/>
      <w:sz w:val="22"/>
      <w:szCs w:val="22"/>
    </w:rPr>
  </w:style>
  <w:style w:type="character" w:customStyle="1" w:styleId="ListIntroductionChar">
    <w:name w:val="List Introduction Char"/>
    <w:link w:val="ListIntroduction"/>
    <w:rsid w:val="004A751B"/>
    <w:rPr>
      <w:iCs/>
      <w:sz w:val="24"/>
    </w:rPr>
  </w:style>
  <w:style w:type="paragraph" w:customStyle="1" w:styleId="TXUSubject">
    <w:name w:val="TXUSubject"/>
    <w:basedOn w:val="Normal"/>
    <w:next w:val="Normal"/>
    <w:rsid w:val="002635D3"/>
    <w:pPr>
      <w:spacing w:after="240"/>
    </w:pPr>
    <w:rPr>
      <w:b/>
      <w:sz w:val="20"/>
    </w:rPr>
  </w:style>
  <w:style w:type="character" w:customStyle="1" w:styleId="FootnoteTextChar">
    <w:name w:val="Footnote Text Char"/>
    <w:link w:val="FootnoteText"/>
    <w:rsid w:val="0033404D"/>
    <w:rPr>
      <w:sz w:val="18"/>
    </w:rPr>
  </w:style>
  <w:style w:type="character" w:styleId="FootnoteReference">
    <w:name w:val="footnote reference"/>
    <w:rsid w:val="0033404D"/>
    <w:rPr>
      <w:vertAlign w:val="superscript"/>
    </w:rPr>
  </w:style>
  <w:style w:type="character" w:styleId="FollowedHyperlink">
    <w:name w:val="FollowedHyperlink"/>
    <w:rsid w:val="00D81C2C"/>
    <w:rPr>
      <w:color w:val="800080"/>
      <w:u w:val="single"/>
    </w:rPr>
  </w:style>
  <w:style w:type="character" w:customStyle="1" w:styleId="FormulaBoldChar">
    <w:name w:val="Formula Bold Char"/>
    <w:link w:val="FormulaBold"/>
    <w:rsid w:val="00823E5F"/>
    <w:rPr>
      <w:b/>
      <w:bCs/>
      <w:sz w:val="24"/>
      <w:szCs w:val="24"/>
    </w:rPr>
  </w:style>
  <w:style w:type="character" w:customStyle="1" w:styleId="CommentTextChar">
    <w:name w:val="Comment Text Char"/>
    <w:link w:val="CommentText"/>
    <w:rsid w:val="00972F74"/>
  </w:style>
  <w:style w:type="character" w:styleId="UnresolvedMention">
    <w:name w:val="Unresolved Mention"/>
    <w:basedOn w:val="DefaultParagraphFont"/>
    <w:uiPriority w:val="99"/>
    <w:semiHidden/>
    <w:unhideWhenUsed/>
    <w:rsid w:val="00F3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18272">
      <w:bodyDiv w:val="1"/>
      <w:marLeft w:val="0"/>
      <w:marRight w:val="0"/>
      <w:marTop w:val="0"/>
      <w:marBottom w:val="0"/>
      <w:divBdr>
        <w:top w:val="none" w:sz="0" w:space="0" w:color="auto"/>
        <w:left w:val="none" w:sz="0" w:space="0" w:color="auto"/>
        <w:bottom w:val="none" w:sz="0" w:space="0" w:color="auto"/>
        <w:right w:val="none" w:sz="0" w:space="0" w:color="auto"/>
      </w:divBdr>
    </w:div>
    <w:div w:id="612904259">
      <w:bodyDiv w:val="1"/>
      <w:marLeft w:val="0"/>
      <w:marRight w:val="0"/>
      <w:marTop w:val="0"/>
      <w:marBottom w:val="0"/>
      <w:divBdr>
        <w:top w:val="none" w:sz="0" w:space="0" w:color="auto"/>
        <w:left w:val="none" w:sz="0" w:space="0" w:color="auto"/>
        <w:bottom w:val="none" w:sz="0" w:space="0" w:color="auto"/>
        <w:right w:val="none" w:sz="0" w:space="0" w:color="auto"/>
      </w:divBdr>
    </w:div>
    <w:div w:id="1452936281">
      <w:bodyDiv w:val="1"/>
      <w:marLeft w:val="0"/>
      <w:marRight w:val="0"/>
      <w:marTop w:val="0"/>
      <w:marBottom w:val="0"/>
      <w:divBdr>
        <w:top w:val="none" w:sz="0" w:space="0" w:color="auto"/>
        <w:left w:val="none" w:sz="0" w:space="0" w:color="auto"/>
        <w:bottom w:val="none" w:sz="0" w:space="0" w:color="auto"/>
        <w:right w:val="none" w:sz="0" w:space="0" w:color="auto"/>
      </w:divBdr>
    </w:div>
    <w:div w:id="1854957093">
      <w:bodyDiv w:val="1"/>
      <w:marLeft w:val="0"/>
      <w:marRight w:val="0"/>
      <w:marTop w:val="0"/>
      <w:marBottom w:val="0"/>
      <w:divBdr>
        <w:top w:val="none" w:sz="0" w:space="0" w:color="auto"/>
        <w:left w:val="none" w:sz="0" w:space="0" w:color="auto"/>
        <w:bottom w:val="none" w:sz="0" w:space="0" w:color="auto"/>
        <w:right w:val="none" w:sz="0" w:space="0" w:color="auto"/>
      </w:divBdr>
    </w:div>
    <w:div w:id="1955556008">
      <w:bodyDiv w:val="1"/>
      <w:marLeft w:val="0"/>
      <w:marRight w:val="0"/>
      <w:marTop w:val="0"/>
      <w:marBottom w:val="0"/>
      <w:divBdr>
        <w:top w:val="none" w:sz="0" w:space="0" w:color="auto"/>
        <w:left w:val="none" w:sz="0" w:space="0" w:color="auto"/>
        <w:bottom w:val="none" w:sz="0" w:space="0" w:color="auto"/>
        <w:right w:val="none" w:sz="0" w:space="0" w:color="auto"/>
      </w:divBdr>
    </w:div>
    <w:div w:id="21275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rcot.com/mktrules/nprotocols/pir_process.html" TargetMode="External"/><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NCSI@ercot.com" TargetMode="Externa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4C19-5662-4ACF-8683-01CCCA54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4</TotalTime>
  <Pages>98</Pages>
  <Words>36430</Words>
  <Characters>207657</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243600</CharactersWithSpaces>
  <SharedDoc>false</SharedDoc>
  <HLinks>
    <vt:vector size="606" baseType="variant">
      <vt:variant>
        <vt:i4>1114170</vt:i4>
      </vt:variant>
      <vt:variant>
        <vt:i4>602</vt:i4>
      </vt:variant>
      <vt:variant>
        <vt:i4>0</vt:i4>
      </vt:variant>
      <vt:variant>
        <vt:i4>5</vt:i4>
      </vt:variant>
      <vt:variant>
        <vt:lpwstr/>
      </vt:variant>
      <vt:variant>
        <vt:lpwstr>_Toc11053082</vt:lpwstr>
      </vt:variant>
      <vt:variant>
        <vt:i4>1179706</vt:i4>
      </vt:variant>
      <vt:variant>
        <vt:i4>596</vt:i4>
      </vt:variant>
      <vt:variant>
        <vt:i4>0</vt:i4>
      </vt:variant>
      <vt:variant>
        <vt:i4>5</vt:i4>
      </vt:variant>
      <vt:variant>
        <vt:lpwstr/>
      </vt:variant>
      <vt:variant>
        <vt:lpwstr>_Toc11053081</vt:lpwstr>
      </vt:variant>
      <vt:variant>
        <vt:i4>1245242</vt:i4>
      </vt:variant>
      <vt:variant>
        <vt:i4>590</vt:i4>
      </vt:variant>
      <vt:variant>
        <vt:i4>0</vt:i4>
      </vt:variant>
      <vt:variant>
        <vt:i4>5</vt:i4>
      </vt:variant>
      <vt:variant>
        <vt:lpwstr/>
      </vt:variant>
      <vt:variant>
        <vt:lpwstr>_Toc11053080</vt:lpwstr>
      </vt:variant>
      <vt:variant>
        <vt:i4>1703989</vt:i4>
      </vt:variant>
      <vt:variant>
        <vt:i4>584</vt:i4>
      </vt:variant>
      <vt:variant>
        <vt:i4>0</vt:i4>
      </vt:variant>
      <vt:variant>
        <vt:i4>5</vt:i4>
      </vt:variant>
      <vt:variant>
        <vt:lpwstr/>
      </vt:variant>
      <vt:variant>
        <vt:lpwstr>_Toc11053079</vt:lpwstr>
      </vt:variant>
      <vt:variant>
        <vt:i4>1769525</vt:i4>
      </vt:variant>
      <vt:variant>
        <vt:i4>578</vt:i4>
      </vt:variant>
      <vt:variant>
        <vt:i4>0</vt:i4>
      </vt:variant>
      <vt:variant>
        <vt:i4>5</vt:i4>
      </vt:variant>
      <vt:variant>
        <vt:lpwstr/>
      </vt:variant>
      <vt:variant>
        <vt:lpwstr>_Toc11053078</vt:lpwstr>
      </vt:variant>
      <vt:variant>
        <vt:i4>1310773</vt:i4>
      </vt:variant>
      <vt:variant>
        <vt:i4>572</vt:i4>
      </vt:variant>
      <vt:variant>
        <vt:i4>0</vt:i4>
      </vt:variant>
      <vt:variant>
        <vt:i4>5</vt:i4>
      </vt:variant>
      <vt:variant>
        <vt:lpwstr/>
      </vt:variant>
      <vt:variant>
        <vt:lpwstr>_Toc11053077</vt:lpwstr>
      </vt:variant>
      <vt:variant>
        <vt:i4>1376309</vt:i4>
      </vt:variant>
      <vt:variant>
        <vt:i4>566</vt:i4>
      </vt:variant>
      <vt:variant>
        <vt:i4>0</vt:i4>
      </vt:variant>
      <vt:variant>
        <vt:i4>5</vt:i4>
      </vt:variant>
      <vt:variant>
        <vt:lpwstr/>
      </vt:variant>
      <vt:variant>
        <vt:lpwstr>_Toc11053076</vt:lpwstr>
      </vt:variant>
      <vt:variant>
        <vt:i4>1441845</vt:i4>
      </vt:variant>
      <vt:variant>
        <vt:i4>560</vt:i4>
      </vt:variant>
      <vt:variant>
        <vt:i4>0</vt:i4>
      </vt:variant>
      <vt:variant>
        <vt:i4>5</vt:i4>
      </vt:variant>
      <vt:variant>
        <vt:lpwstr/>
      </vt:variant>
      <vt:variant>
        <vt:lpwstr>_Toc11053075</vt:lpwstr>
      </vt:variant>
      <vt:variant>
        <vt:i4>1507381</vt:i4>
      </vt:variant>
      <vt:variant>
        <vt:i4>554</vt:i4>
      </vt:variant>
      <vt:variant>
        <vt:i4>0</vt:i4>
      </vt:variant>
      <vt:variant>
        <vt:i4>5</vt:i4>
      </vt:variant>
      <vt:variant>
        <vt:lpwstr/>
      </vt:variant>
      <vt:variant>
        <vt:lpwstr>_Toc11053074</vt:lpwstr>
      </vt:variant>
      <vt:variant>
        <vt:i4>1048629</vt:i4>
      </vt:variant>
      <vt:variant>
        <vt:i4>548</vt:i4>
      </vt:variant>
      <vt:variant>
        <vt:i4>0</vt:i4>
      </vt:variant>
      <vt:variant>
        <vt:i4>5</vt:i4>
      </vt:variant>
      <vt:variant>
        <vt:lpwstr/>
      </vt:variant>
      <vt:variant>
        <vt:lpwstr>_Toc11053073</vt:lpwstr>
      </vt:variant>
      <vt:variant>
        <vt:i4>1114165</vt:i4>
      </vt:variant>
      <vt:variant>
        <vt:i4>542</vt:i4>
      </vt:variant>
      <vt:variant>
        <vt:i4>0</vt:i4>
      </vt:variant>
      <vt:variant>
        <vt:i4>5</vt:i4>
      </vt:variant>
      <vt:variant>
        <vt:lpwstr/>
      </vt:variant>
      <vt:variant>
        <vt:lpwstr>_Toc11053072</vt:lpwstr>
      </vt:variant>
      <vt:variant>
        <vt:i4>1179701</vt:i4>
      </vt:variant>
      <vt:variant>
        <vt:i4>536</vt:i4>
      </vt:variant>
      <vt:variant>
        <vt:i4>0</vt:i4>
      </vt:variant>
      <vt:variant>
        <vt:i4>5</vt:i4>
      </vt:variant>
      <vt:variant>
        <vt:lpwstr/>
      </vt:variant>
      <vt:variant>
        <vt:lpwstr>_Toc11053071</vt:lpwstr>
      </vt:variant>
      <vt:variant>
        <vt:i4>1245237</vt:i4>
      </vt:variant>
      <vt:variant>
        <vt:i4>530</vt:i4>
      </vt:variant>
      <vt:variant>
        <vt:i4>0</vt:i4>
      </vt:variant>
      <vt:variant>
        <vt:i4>5</vt:i4>
      </vt:variant>
      <vt:variant>
        <vt:lpwstr/>
      </vt:variant>
      <vt:variant>
        <vt:lpwstr>_Toc11053070</vt:lpwstr>
      </vt:variant>
      <vt:variant>
        <vt:i4>1703988</vt:i4>
      </vt:variant>
      <vt:variant>
        <vt:i4>524</vt:i4>
      </vt:variant>
      <vt:variant>
        <vt:i4>0</vt:i4>
      </vt:variant>
      <vt:variant>
        <vt:i4>5</vt:i4>
      </vt:variant>
      <vt:variant>
        <vt:lpwstr/>
      </vt:variant>
      <vt:variant>
        <vt:lpwstr>_Toc11053069</vt:lpwstr>
      </vt:variant>
      <vt:variant>
        <vt:i4>1769524</vt:i4>
      </vt:variant>
      <vt:variant>
        <vt:i4>518</vt:i4>
      </vt:variant>
      <vt:variant>
        <vt:i4>0</vt:i4>
      </vt:variant>
      <vt:variant>
        <vt:i4>5</vt:i4>
      </vt:variant>
      <vt:variant>
        <vt:lpwstr/>
      </vt:variant>
      <vt:variant>
        <vt:lpwstr>_Toc11053068</vt:lpwstr>
      </vt:variant>
      <vt:variant>
        <vt:i4>1310772</vt:i4>
      </vt:variant>
      <vt:variant>
        <vt:i4>512</vt:i4>
      </vt:variant>
      <vt:variant>
        <vt:i4>0</vt:i4>
      </vt:variant>
      <vt:variant>
        <vt:i4>5</vt:i4>
      </vt:variant>
      <vt:variant>
        <vt:lpwstr/>
      </vt:variant>
      <vt:variant>
        <vt:lpwstr>_Toc11053067</vt:lpwstr>
      </vt:variant>
      <vt:variant>
        <vt:i4>1376308</vt:i4>
      </vt:variant>
      <vt:variant>
        <vt:i4>506</vt:i4>
      </vt:variant>
      <vt:variant>
        <vt:i4>0</vt:i4>
      </vt:variant>
      <vt:variant>
        <vt:i4>5</vt:i4>
      </vt:variant>
      <vt:variant>
        <vt:lpwstr/>
      </vt:variant>
      <vt:variant>
        <vt:lpwstr>_Toc11053066</vt:lpwstr>
      </vt:variant>
      <vt:variant>
        <vt:i4>1441844</vt:i4>
      </vt:variant>
      <vt:variant>
        <vt:i4>500</vt:i4>
      </vt:variant>
      <vt:variant>
        <vt:i4>0</vt:i4>
      </vt:variant>
      <vt:variant>
        <vt:i4>5</vt:i4>
      </vt:variant>
      <vt:variant>
        <vt:lpwstr/>
      </vt:variant>
      <vt:variant>
        <vt:lpwstr>_Toc11053065</vt:lpwstr>
      </vt:variant>
      <vt:variant>
        <vt:i4>1507380</vt:i4>
      </vt:variant>
      <vt:variant>
        <vt:i4>494</vt:i4>
      </vt:variant>
      <vt:variant>
        <vt:i4>0</vt:i4>
      </vt:variant>
      <vt:variant>
        <vt:i4>5</vt:i4>
      </vt:variant>
      <vt:variant>
        <vt:lpwstr/>
      </vt:variant>
      <vt:variant>
        <vt:lpwstr>_Toc11053064</vt:lpwstr>
      </vt:variant>
      <vt:variant>
        <vt:i4>1048628</vt:i4>
      </vt:variant>
      <vt:variant>
        <vt:i4>488</vt:i4>
      </vt:variant>
      <vt:variant>
        <vt:i4>0</vt:i4>
      </vt:variant>
      <vt:variant>
        <vt:i4>5</vt:i4>
      </vt:variant>
      <vt:variant>
        <vt:lpwstr/>
      </vt:variant>
      <vt:variant>
        <vt:lpwstr>_Toc11053063</vt:lpwstr>
      </vt:variant>
      <vt:variant>
        <vt:i4>1114164</vt:i4>
      </vt:variant>
      <vt:variant>
        <vt:i4>482</vt:i4>
      </vt:variant>
      <vt:variant>
        <vt:i4>0</vt:i4>
      </vt:variant>
      <vt:variant>
        <vt:i4>5</vt:i4>
      </vt:variant>
      <vt:variant>
        <vt:lpwstr/>
      </vt:variant>
      <vt:variant>
        <vt:lpwstr>_Toc11053062</vt:lpwstr>
      </vt:variant>
      <vt:variant>
        <vt:i4>1179700</vt:i4>
      </vt:variant>
      <vt:variant>
        <vt:i4>476</vt:i4>
      </vt:variant>
      <vt:variant>
        <vt:i4>0</vt:i4>
      </vt:variant>
      <vt:variant>
        <vt:i4>5</vt:i4>
      </vt:variant>
      <vt:variant>
        <vt:lpwstr/>
      </vt:variant>
      <vt:variant>
        <vt:lpwstr>_Toc11053061</vt:lpwstr>
      </vt:variant>
      <vt:variant>
        <vt:i4>1245236</vt:i4>
      </vt:variant>
      <vt:variant>
        <vt:i4>470</vt:i4>
      </vt:variant>
      <vt:variant>
        <vt:i4>0</vt:i4>
      </vt:variant>
      <vt:variant>
        <vt:i4>5</vt:i4>
      </vt:variant>
      <vt:variant>
        <vt:lpwstr/>
      </vt:variant>
      <vt:variant>
        <vt:lpwstr>_Toc11053060</vt:lpwstr>
      </vt:variant>
      <vt:variant>
        <vt:i4>1703991</vt:i4>
      </vt:variant>
      <vt:variant>
        <vt:i4>464</vt:i4>
      </vt:variant>
      <vt:variant>
        <vt:i4>0</vt:i4>
      </vt:variant>
      <vt:variant>
        <vt:i4>5</vt:i4>
      </vt:variant>
      <vt:variant>
        <vt:lpwstr/>
      </vt:variant>
      <vt:variant>
        <vt:lpwstr>_Toc11053059</vt:lpwstr>
      </vt:variant>
      <vt:variant>
        <vt:i4>1769527</vt:i4>
      </vt:variant>
      <vt:variant>
        <vt:i4>458</vt:i4>
      </vt:variant>
      <vt:variant>
        <vt:i4>0</vt:i4>
      </vt:variant>
      <vt:variant>
        <vt:i4>5</vt:i4>
      </vt:variant>
      <vt:variant>
        <vt:lpwstr/>
      </vt:variant>
      <vt:variant>
        <vt:lpwstr>_Toc11053058</vt:lpwstr>
      </vt:variant>
      <vt:variant>
        <vt:i4>1310775</vt:i4>
      </vt:variant>
      <vt:variant>
        <vt:i4>452</vt:i4>
      </vt:variant>
      <vt:variant>
        <vt:i4>0</vt:i4>
      </vt:variant>
      <vt:variant>
        <vt:i4>5</vt:i4>
      </vt:variant>
      <vt:variant>
        <vt:lpwstr/>
      </vt:variant>
      <vt:variant>
        <vt:lpwstr>_Toc11053057</vt:lpwstr>
      </vt:variant>
      <vt:variant>
        <vt:i4>1376311</vt:i4>
      </vt:variant>
      <vt:variant>
        <vt:i4>446</vt:i4>
      </vt:variant>
      <vt:variant>
        <vt:i4>0</vt:i4>
      </vt:variant>
      <vt:variant>
        <vt:i4>5</vt:i4>
      </vt:variant>
      <vt:variant>
        <vt:lpwstr/>
      </vt:variant>
      <vt:variant>
        <vt:lpwstr>_Toc11053056</vt:lpwstr>
      </vt:variant>
      <vt:variant>
        <vt:i4>1441847</vt:i4>
      </vt:variant>
      <vt:variant>
        <vt:i4>440</vt:i4>
      </vt:variant>
      <vt:variant>
        <vt:i4>0</vt:i4>
      </vt:variant>
      <vt:variant>
        <vt:i4>5</vt:i4>
      </vt:variant>
      <vt:variant>
        <vt:lpwstr/>
      </vt:variant>
      <vt:variant>
        <vt:lpwstr>_Toc11053055</vt:lpwstr>
      </vt:variant>
      <vt:variant>
        <vt:i4>1507383</vt:i4>
      </vt:variant>
      <vt:variant>
        <vt:i4>434</vt:i4>
      </vt:variant>
      <vt:variant>
        <vt:i4>0</vt:i4>
      </vt:variant>
      <vt:variant>
        <vt:i4>5</vt:i4>
      </vt:variant>
      <vt:variant>
        <vt:lpwstr/>
      </vt:variant>
      <vt:variant>
        <vt:lpwstr>_Toc11053054</vt:lpwstr>
      </vt:variant>
      <vt:variant>
        <vt:i4>1048631</vt:i4>
      </vt:variant>
      <vt:variant>
        <vt:i4>428</vt:i4>
      </vt:variant>
      <vt:variant>
        <vt:i4>0</vt:i4>
      </vt:variant>
      <vt:variant>
        <vt:i4>5</vt:i4>
      </vt:variant>
      <vt:variant>
        <vt:lpwstr/>
      </vt:variant>
      <vt:variant>
        <vt:lpwstr>_Toc11053053</vt:lpwstr>
      </vt:variant>
      <vt:variant>
        <vt:i4>1114167</vt:i4>
      </vt:variant>
      <vt:variant>
        <vt:i4>422</vt:i4>
      </vt:variant>
      <vt:variant>
        <vt:i4>0</vt:i4>
      </vt:variant>
      <vt:variant>
        <vt:i4>5</vt:i4>
      </vt:variant>
      <vt:variant>
        <vt:lpwstr/>
      </vt:variant>
      <vt:variant>
        <vt:lpwstr>_Toc11053052</vt:lpwstr>
      </vt:variant>
      <vt:variant>
        <vt:i4>1179703</vt:i4>
      </vt:variant>
      <vt:variant>
        <vt:i4>416</vt:i4>
      </vt:variant>
      <vt:variant>
        <vt:i4>0</vt:i4>
      </vt:variant>
      <vt:variant>
        <vt:i4>5</vt:i4>
      </vt:variant>
      <vt:variant>
        <vt:lpwstr/>
      </vt:variant>
      <vt:variant>
        <vt:lpwstr>_Toc11053051</vt:lpwstr>
      </vt:variant>
      <vt:variant>
        <vt:i4>1245239</vt:i4>
      </vt:variant>
      <vt:variant>
        <vt:i4>410</vt:i4>
      </vt:variant>
      <vt:variant>
        <vt:i4>0</vt:i4>
      </vt:variant>
      <vt:variant>
        <vt:i4>5</vt:i4>
      </vt:variant>
      <vt:variant>
        <vt:lpwstr/>
      </vt:variant>
      <vt:variant>
        <vt:lpwstr>_Toc11053050</vt:lpwstr>
      </vt:variant>
      <vt:variant>
        <vt:i4>1703990</vt:i4>
      </vt:variant>
      <vt:variant>
        <vt:i4>404</vt:i4>
      </vt:variant>
      <vt:variant>
        <vt:i4>0</vt:i4>
      </vt:variant>
      <vt:variant>
        <vt:i4>5</vt:i4>
      </vt:variant>
      <vt:variant>
        <vt:lpwstr/>
      </vt:variant>
      <vt:variant>
        <vt:lpwstr>_Toc11053049</vt:lpwstr>
      </vt:variant>
      <vt:variant>
        <vt:i4>1769526</vt:i4>
      </vt:variant>
      <vt:variant>
        <vt:i4>398</vt:i4>
      </vt:variant>
      <vt:variant>
        <vt:i4>0</vt:i4>
      </vt:variant>
      <vt:variant>
        <vt:i4>5</vt:i4>
      </vt:variant>
      <vt:variant>
        <vt:lpwstr/>
      </vt:variant>
      <vt:variant>
        <vt:lpwstr>_Toc11053048</vt:lpwstr>
      </vt:variant>
      <vt:variant>
        <vt:i4>1310774</vt:i4>
      </vt:variant>
      <vt:variant>
        <vt:i4>392</vt:i4>
      </vt:variant>
      <vt:variant>
        <vt:i4>0</vt:i4>
      </vt:variant>
      <vt:variant>
        <vt:i4>5</vt:i4>
      </vt:variant>
      <vt:variant>
        <vt:lpwstr/>
      </vt:variant>
      <vt:variant>
        <vt:lpwstr>_Toc11053047</vt:lpwstr>
      </vt:variant>
      <vt:variant>
        <vt:i4>1376310</vt:i4>
      </vt:variant>
      <vt:variant>
        <vt:i4>386</vt:i4>
      </vt:variant>
      <vt:variant>
        <vt:i4>0</vt:i4>
      </vt:variant>
      <vt:variant>
        <vt:i4>5</vt:i4>
      </vt:variant>
      <vt:variant>
        <vt:lpwstr/>
      </vt:variant>
      <vt:variant>
        <vt:lpwstr>_Toc11053046</vt:lpwstr>
      </vt:variant>
      <vt:variant>
        <vt:i4>1441846</vt:i4>
      </vt:variant>
      <vt:variant>
        <vt:i4>380</vt:i4>
      </vt:variant>
      <vt:variant>
        <vt:i4>0</vt:i4>
      </vt:variant>
      <vt:variant>
        <vt:i4>5</vt:i4>
      </vt:variant>
      <vt:variant>
        <vt:lpwstr/>
      </vt:variant>
      <vt:variant>
        <vt:lpwstr>_Toc11053045</vt:lpwstr>
      </vt:variant>
      <vt:variant>
        <vt:i4>1507382</vt:i4>
      </vt:variant>
      <vt:variant>
        <vt:i4>374</vt:i4>
      </vt:variant>
      <vt:variant>
        <vt:i4>0</vt:i4>
      </vt:variant>
      <vt:variant>
        <vt:i4>5</vt:i4>
      </vt:variant>
      <vt:variant>
        <vt:lpwstr/>
      </vt:variant>
      <vt:variant>
        <vt:lpwstr>_Toc11053044</vt:lpwstr>
      </vt:variant>
      <vt:variant>
        <vt:i4>1048630</vt:i4>
      </vt:variant>
      <vt:variant>
        <vt:i4>368</vt:i4>
      </vt:variant>
      <vt:variant>
        <vt:i4>0</vt:i4>
      </vt:variant>
      <vt:variant>
        <vt:i4>5</vt:i4>
      </vt:variant>
      <vt:variant>
        <vt:lpwstr/>
      </vt:variant>
      <vt:variant>
        <vt:lpwstr>_Toc11053043</vt:lpwstr>
      </vt:variant>
      <vt:variant>
        <vt:i4>1114166</vt:i4>
      </vt:variant>
      <vt:variant>
        <vt:i4>362</vt:i4>
      </vt:variant>
      <vt:variant>
        <vt:i4>0</vt:i4>
      </vt:variant>
      <vt:variant>
        <vt:i4>5</vt:i4>
      </vt:variant>
      <vt:variant>
        <vt:lpwstr/>
      </vt:variant>
      <vt:variant>
        <vt:lpwstr>_Toc11053042</vt:lpwstr>
      </vt:variant>
      <vt:variant>
        <vt:i4>1179702</vt:i4>
      </vt:variant>
      <vt:variant>
        <vt:i4>356</vt:i4>
      </vt:variant>
      <vt:variant>
        <vt:i4>0</vt:i4>
      </vt:variant>
      <vt:variant>
        <vt:i4>5</vt:i4>
      </vt:variant>
      <vt:variant>
        <vt:lpwstr/>
      </vt:variant>
      <vt:variant>
        <vt:lpwstr>_Toc11053041</vt:lpwstr>
      </vt:variant>
      <vt:variant>
        <vt:i4>1245238</vt:i4>
      </vt:variant>
      <vt:variant>
        <vt:i4>350</vt:i4>
      </vt:variant>
      <vt:variant>
        <vt:i4>0</vt:i4>
      </vt:variant>
      <vt:variant>
        <vt:i4>5</vt:i4>
      </vt:variant>
      <vt:variant>
        <vt:lpwstr/>
      </vt:variant>
      <vt:variant>
        <vt:lpwstr>_Toc11053040</vt:lpwstr>
      </vt:variant>
      <vt:variant>
        <vt:i4>1703985</vt:i4>
      </vt:variant>
      <vt:variant>
        <vt:i4>344</vt:i4>
      </vt:variant>
      <vt:variant>
        <vt:i4>0</vt:i4>
      </vt:variant>
      <vt:variant>
        <vt:i4>5</vt:i4>
      </vt:variant>
      <vt:variant>
        <vt:lpwstr/>
      </vt:variant>
      <vt:variant>
        <vt:lpwstr>_Toc11053039</vt:lpwstr>
      </vt:variant>
      <vt:variant>
        <vt:i4>1769521</vt:i4>
      </vt:variant>
      <vt:variant>
        <vt:i4>338</vt:i4>
      </vt:variant>
      <vt:variant>
        <vt:i4>0</vt:i4>
      </vt:variant>
      <vt:variant>
        <vt:i4>5</vt:i4>
      </vt:variant>
      <vt:variant>
        <vt:lpwstr/>
      </vt:variant>
      <vt:variant>
        <vt:lpwstr>_Toc11053038</vt:lpwstr>
      </vt:variant>
      <vt:variant>
        <vt:i4>1310769</vt:i4>
      </vt:variant>
      <vt:variant>
        <vt:i4>332</vt:i4>
      </vt:variant>
      <vt:variant>
        <vt:i4>0</vt:i4>
      </vt:variant>
      <vt:variant>
        <vt:i4>5</vt:i4>
      </vt:variant>
      <vt:variant>
        <vt:lpwstr/>
      </vt:variant>
      <vt:variant>
        <vt:lpwstr>_Toc11053037</vt:lpwstr>
      </vt:variant>
      <vt:variant>
        <vt:i4>1376305</vt:i4>
      </vt:variant>
      <vt:variant>
        <vt:i4>326</vt:i4>
      </vt:variant>
      <vt:variant>
        <vt:i4>0</vt:i4>
      </vt:variant>
      <vt:variant>
        <vt:i4>5</vt:i4>
      </vt:variant>
      <vt:variant>
        <vt:lpwstr/>
      </vt:variant>
      <vt:variant>
        <vt:lpwstr>_Toc11053036</vt:lpwstr>
      </vt:variant>
      <vt:variant>
        <vt:i4>1441841</vt:i4>
      </vt:variant>
      <vt:variant>
        <vt:i4>320</vt:i4>
      </vt:variant>
      <vt:variant>
        <vt:i4>0</vt:i4>
      </vt:variant>
      <vt:variant>
        <vt:i4>5</vt:i4>
      </vt:variant>
      <vt:variant>
        <vt:lpwstr/>
      </vt:variant>
      <vt:variant>
        <vt:lpwstr>_Toc11053035</vt:lpwstr>
      </vt:variant>
      <vt:variant>
        <vt:i4>1507377</vt:i4>
      </vt:variant>
      <vt:variant>
        <vt:i4>314</vt:i4>
      </vt:variant>
      <vt:variant>
        <vt:i4>0</vt:i4>
      </vt:variant>
      <vt:variant>
        <vt:i4>5</vt:i4>
      </vt:variant>
      <vt:variant>
        <vt:lpwstr/>
      </vt:variant>
      <vt:variant>
        <vt:lpwstr>_Toc11053034</vt:lpwstr>
      </vt:variant>
      <vt:variant>
        <vt:i4>1048625</vt:i4>
      </vt:variant>
      <vt:variant>
        <vt:i4>308</vt:i4>
      </vt:variant>
      <vt:variant>
        <vt:i4>0</vt:i4>
      </vt:variant>
      <vt:variant>
        <vt:i4>5</vt:i4>
      </vt:variant>
      <vt:variant>
        <vt:lpwstr/>
      </vt:variant>
      <vt:variant>
        <vt:lpwstr>_Toc11053033</vt:lpwstr>
      </vt:variant>
      <vt:variant>
        <vt:i4>1114161</vt:i4>
      </vt:variant>
      <vt:variant>
        <vt:i4>302</vt:i4>
      </vt:variant>
      <vt:variant>
        <vt:i4>0</vt:i4>
      </vt:variant>
      <vt:variant>
        <vt:i4>5</vt:i4>
      </vt:variant>
      <vt:variant>
        <vt:lpwstr/>
      </vt:variant>
      <vt:variant>
        <vt:lpwstr>_Toc11053032</vt:lpwstr>
      </vt:variant>
      <vt:variant>
        <vt:i4>1179697</vt:i4>
      </vt:variant>
      <vt:variant>
        <vt:i4>296</vt:i4>
      </vt:variant>
      <vt:variant>
        <vt:i4>0</vt:i4>
      </vt:variant>
      <vt:variant>
        <vt:i4>5</vt:i4>
      </vt:variant>
      <vt:variant>
        <vt:lpwstr/>
      </vt:variant>
      <vt:variant>
        <vt:lpwstr>_Toc11053031</vt:lpwstr>
      </vt:variant>
      <vt:variant>
        <vt:i4>1245233</vt:i4>
      </vt:variant>
      <vt:variant>
        <vt:i4>290</vt:i4>
      </vt:variant>
      <vt:variant>
        <vt:i4>0</vt:i4>
      </vt:variant>
      <vt:variant>
        <vt:i4>5</vt:i4>
      </vt:variant>
      <vt:variant>
        <vt:lpwstr/>
      </vt:variant>
      <vt:variant>
        <vt:lpwstr>_Toc11053030</vt:lpwstr>
      </vt:variant>
      <vt:variant>
        <vt:i4>1703984</vt:i4>
      </vt:variant>
      <vt:variant>
        <vt:i4>284</vt:i4>
      </vt:variant>
      <vt:variant>
        <vt:i4>0</vt:i4>
      </vt:variant>
      <vt:variant>
        <vt:i4>5</vt:i4>
      </vt:variant>
      <vt:variant>
        <vt:lpwstr/>
      </vt:variant>
      <vt:variant>
        <vt:lpwstr>_Toc11053029</vt:lpwstr>
      </vt:variant>
      <vt:variant>
        <vt:i4>1769520</vt:i4>
      </vt:variant>
      <vt:variant>
        <vt:i4>278</vt:i4>
      </vt:variant>
      <vt:variant>
        <vt:i4>0</vt:i4>
      </vt:variant>
      <vt:variant>
        <vt:i4>5</vt:i4>
      </vt:variant>
      <vt:variant>
        <vt:lpwstr/>
      </vt:variant>
      <vt:variant>
        <vt:lpwstr>_Toc11053028</vt:lpwstr>
      </vt:variant>
      <vt:variant>
        <vt:i4>1310768</vt:i4>
      </vt:variant>
      <vt:variant>
        <vt:i4>272</vt:i4>
      </vt:variant>
      <vt:variant>
        <vt:i4>0</vt:i4>
      </vt:variant>
      <vt:variant>
        <vt:i4>5</vt:i4>
      </vt:variant>
      <vt:variant>
        <vt:lpwstr/>
      </vt:variant>
      <vt:variant>
        <vt:lpwstr>_Toc11053027</vt:lpwstr>
      </vt:variant>
      <vt:variant>
        <vt:i4>1376304</vt:i4>
      </vt:variant>
      <vt:variant>
        <vt:i4>266</vt:i4>
      </vt:variant>
      <vt:variant>
        <vt:i4>0</vt:i4>
      </vt:variant>
      <vt:variant>
        <vt:i4>5</vt:i4>
      </vt:variant>
      <vt:variant>
        <vt:lpwstr/>
      </vt:variant>
      <vt:variant>
        <vt:lpwstr>_Toc11053026</vt:lpwstr>
      </vt:variant>
      <vt:variant>
        <vt:i4>1441840</vt:i4>
      </vt:variant>
      <vt:variant>
        <vt:i4>260</vt:i4>
      </vt:variant>
      <vt:variant>
        <vt:i4>0</vt:i4>
      </vt:variant>
      <vt:variant>
        <vt:i4>5</vt:i4>
      </vt:variant>
      <vt:variant>
        <vt:lpwstr/>
      </vt:variant>
      <vt:variant>
        <vt:lpwstr>_Toc11053025</vt:lpwstr>
      </vt:variant>
      <vt:variant>
        <vt:i4>1507376</vt:i4>
      </vt:variant>
      <vt:variant>
        <vt:i4>254</vt:i4>
      </vt:variant>
      <vt:variant>
        <vt:i4>0</vt:i4>
      </vt:variant>
      <vt:variant>
        <vt:i4>5</vt:i4>
      </vt:variant>
      <vt:variant>
        <vt:lpwstr/>
      </vt:variant>
      <vt:variant>
        <vt:lpwstr>_Toc11053024</vt:lpwstr>
      </vt:variant>
      <vt:variant>
        <vt:i4>1048624</vt:i4>
      </vt:variant>
      <vt:variant>
        <vt:i4>248</vt:i4>
      </vt:variant>
      <vt:variant>
        <vt:i4>0</vt:i4>
      </vt:variant>
      <vt:variant>
        <vt:i4>5</vt:i4>
      </vt:variant>
      <vt:variant>
        <vt:lpwstr/>
      </vt:variant>
      <vt:variant>
        <vt:lpwstr>_Toc11053023</vt:lpwstr>
      </vt:variant>
      <vt:variant>
        <vt:i4>1114160</vt:i4>
      </vt:variant>
      <vt:variant>
        <vt:i4>242</vt:i4>
      </vt:variant>
      <vt:variant>
        <vt:i4>0</vt:i4>
      </vt:variant>
      <vt:variant>
        <vt:i4>5</vt:i4>
      </vt:variant>
      <vt:variant>
        <vt:lpwstr/>
      </vt:variant>
      <vt:variant>
        <vt:lpwstr>_Toc11053022</vt:lpwstr>
      </vt:variant>
      <vt:variant>
        <vt:i4>1179696</vt:i4>
      </vt:variant>
      <vt:variant>
        <vt:i4>236</vt:i4>
      </vt:variant>
      <vt:variant>
        <vt:i4>0</vt:i4>
      </vt:variant>
      <vt:variant>
        <vt:i4>5</vt:i4>
      </vt:variant>
      <vt:variant>
        <vt:lpwstr/>
      </vt:variant>
      <vt:variant>
        <vt:lpwstr>_Toc11053021</vt:lpwstr>
      </vt:variant>
      <vt:variant>
        <vt:i4>1245232</vt:i4>
      </vt:variant>
      <vt:variant>
        <vt:i4>230</vt:i4>
      </vt:variant>
      <vt:variant>
        <vt:i4>0</vt:i4>
      </vt:variant>
      <vt:variant>
        <vt:i4>5</vt:i4>
      </vt:variant>
      <vt:variant>
        <vt:lpwstr/>
      </vt:variant>
      <vt:variant>
        <vt:lpwstr>_Toc11053020</vt:lpwstr>
      </vt:variant>
      <vt:variant>
        <vt:i4>1703987</vt:i4>
      </vt:variant>
      <vt:variant>
        <vt:i4>224</vt:i4>
      </vt:variant>
      <vt:variant>
        <vt:i4>0</vt:i4>
      </vt:variant>
      <vt:variant>
        <vt:i4>5</vt:i4>
      </vt:variant>
      <vt:variant>
        <vt:lpwstr/>
      </vt:variant>
      <vt:variant>
        <vt:lpwstr>_Toc11053019</vt:lpwstr>
      </vt:variant>
      <vt:variant>
        <vt:i4>1769523</vt:i4>
      </vt:variant>
      <vt:variant>
        <vt:i4>218</vt:i4>
      </vt:variant>
      <vt:variant>
        <vt:i4>0</vt:i4>
      </vt:variant>
      <vt:variant>
        <vt:i4>5</vt:i4>
      </vt:variant>
      <vt:variant>
        <vt:lpwstr/>
      </vt:variant>
      <vt:variant>
        <vt:lpwstr>_Toc11053018</vt:lpwstr>
      </vt:variant>
      <vt:variant>
        <vt:i4>1310771</vt:i4>
      </vt:variant>
      <vt:variant>
        <vt:i4>212</vt:i4>
      </vt:variant>
      <vt:variant>
        <vt:i4>0</vt:i4>
      </vt:variant>
      <vt:variant>
        <vt:i4>5</vt:i4>
      </vt:variant>
      <vt:variant>
        <vt:lpwstr/>
      </vt:variant>
      <vt:variant>
        <vt:lpwstr>_Toc11053017</vt:lpwstr>
      </vt:variant>
      <vt:variant>
        <vt:i4>1376307</vt:i4>
      </vt:variant>
      <vt:variant>
        <vt:i4>206</vt:i4>
      </vt:variant>
      <vt:variant>
        <vt:i4>0</vt:i4>
      </vt:variant>
      <vt:variant>
        <vt:i4>5</vt:i4>
      </vt:variant>
      <vt:variant>
        <vt:lpwstr/>
      </vt:variant>
      <vt:variant>
        <vt:lpwstr>_Toc11053016</vt:lpwstr>
      </vt:variant>
      <vt:variant>
        <vt:i4>1441843</vt:i4>
      </vt:variant>
      <vt:variant>
        <vt:i4>200</vt:i4>
      </vt:variant>
      <vt:variant>
        <vt:i4>0</vt:i4>
      </vt:variant>
      <vt:variant>
        <vt:i4>5</vt:i4>
      </vt:variant>
      <vt:variant>
        <vt:lpwstr/>
      </vt:variant>
      <vt:variant>
        <vt:lpwstr>_Toc11053015</vt:lpwstr>
      </vt:variant>
      <vt:variant>
        <vt:i4>1507379</vt:i4>
      </vt:variant>
      <vt:variant>
        <vt:i4>194</vt:i4>
      </vt:variant>
      <vt:variant>
        <vt:i4>0</vt:i4>
      </vt:variant>
      <vt:variant>
        <vt:i4>5</vt:i4>
      </vt:variant>
      <vt:variant>
        <vt:lpwstr/>
      </vt:variant>
      <vt:variant>
        <vt:lpwstr>_Toc11053014</vt:lpwstr>
      </vt:variant>
      <vt:variant>
        <vt:i4>1048627</vt:i4>
      </vt:variant>
      <vt:variant>
        <vt:i4>188</vt:i4>
      </vt:variant>
      <vt:variant>
        <vt:i4>0</vt:i4>
      </vt:variant>
      <vt:variant>
        <vt:i4>5</vt:i4>
      </vt:variant>
      <vt:variant>
        <vt:lpwstr/>
      </vt:variant>
      <vt:variant>
        <vt:lpwstr>_Toc11053013</vt:lpwstr>
      </vt:variant>
      <vt:variant>
        <vt:i4>1114163</vt:i4>
      </vt:variant>
      <vt:variant>
        <vt:i4>182</vt:i4>
      </vt:variant>
      <vt:variant>
        <vt:i4>0</vt:i4>
      </vt:variant>
      <vt:variant>
        <vt:i4>5</vt:i4>
      </vt:variant>
      <vt:variant>
        <vt:lpwstr/>
      </vt:variant>
      <vt:variant>
        <vt:lpwstr>_Toc11053012</vt:lpwstr>
      </vt:variant>
      <vt:variant>
        <vt:i4>1179699</vt:i4>
      </vt:variant>
      <vt:variant>
        <vt:i4>176</vt:i4>
      </vt:variant>
      <vt:variant>
        <vt:i4>0</vt:i4>
      </vt:variant>
      <vt:variant>
        <vt:i4>5</vt:i4>
      </vt:variant>
      <vt:variant>
        <vt:lpwstr/>
      </vt:variant>
      <vt:variant>
        <vt:lpwstr>_Toc11053011</vt:lpwstr>
      </vt:variant>
      <vt:variant>
        <vt:i4>1245235</vt:i4>
      </vt:variant>
      <vt:variant>
        <vt:i4>170</vt:i4>
      </vt:variant>
      <vt:variant>
        <vt:i4>0</vt:i4>
      </vt:variant>
      <vt:variant>
        <vt:i4>5</vt:i4>
      </vt:variant>
      <vt:variant>
        <vt:lpwstr/>
      </vt:variant>
      <vt:variant>
        <vt:lpwstr>_Toc11053010</vt:lpwstr>
      </vt:variant>
      <vt:variant>
        <vt:i4>1703986</vt:i4>
      </vt:variant>
      <vt:variant>
        <vt:i4>164</vt:i4>
      </vt:variant>
      <vt:variant>
        <vt:i4>0</vt:i4>
      </vt:variant>
      <vt:variant>
        <vt:i4>5</vt:i4>
      </vt:variant>
      <vt:variant>
        <vt:lpwstr/>
      </vt:variant>
      <vt:variant>
        <vt:lpwstr>_Toc11053009</vt:lpwstr>
      </vt:variant>
      <vt:variant>
        <vt:i4>1769522</vt:i4>
      </vt:variant>
      <vt:variant>
        <vt:i4>158</vt:i4>
      </vt:variant>
      <vt:variant>
        <vt:i4>0</vt:i4>
      </vt:variant>
      <vt:variant>
        <vt:i4>5</vt:i4>
      </vt:variant>
      <vt:variant>
        <vt:lpwstr/>
      </vt:variant>
      <vt:variant>
        <vt:lpwstr>_Toc11053008</vt:lpwstr>
      </vt:variant>
      <vt:variant>
        <vt:i4>1310770</vt:i4>
      </vt:variant>
      <vt:variant>
        <vt:i4>152</vt:i4>
      </vt:variant>
      <vt:variant>
        <vt:i4>0</vt:i4>
      </vt:variant>
      <vt:variant>
        <vt:i4>5</vt:i4>
      </vt:variant>
      <vt:variant>
        <vt:lpwstr/>
      </vt:variant>
      <vt:variant>
        <vt:lpwstr>_Toc11053007</vt:lpwstr>
      </vt:variant>
      <vt:variant>
        <vt:i4>1376306</vt:i4>
      </vt:variant>
      <vt:variant>
        <vt:i4>146</vt:i4>
      </vt:variant>
      <vt:variant>
        <vt:i4>0</vt:i4>
      </vt:variant>
      <vt:variant>
        <vt:i4>5</vt:i4>
      </vt:variant>
      <vt:variant>
        <vt:lpwstr/>
      </vt:variant>
      <vt:variant>
        <vt:lpwstr>_Toc11053006</vt:lpwstr>
      </vt:variant>
      <vt:variant>
        <vt:i4>1441842</vt:i4>
      </vt:variant>
      <vt:variant>
        <vt:i4>140</vt:i4>
      </vt:variant>
      <vt:variant>
        <vt:i4>0</vt:i4>
      </vt:variant>
      <vt:variant>
        <vt:i4>5</vt:i4>
      </vt:variant>
      <vt:variant>
        <vt:lpwstr/>
      </vt:variant>
      <vt:variant>
        <vt:lpwstr>_Toc11053005</vt:lpwstr>
      </vt:variant>
      <vt:variant>
        <vt:i4>1507378</vt:i4>
      </vt:variant>
      <vt:variant>
        <vt:i4>134</vt:i4>
      </vt:variant>
      <vt:variant>
        <vt:i4>0</vt:i4>
      </vt:variant>
      <vt:variant>
        <vt:i4>5</vt:i4>
      </vt:variant>
      <vt:variant>
        <vt:lpwstr/>
      </vt:variant>
      <vt:variant>
        <vt:lpwstr>_Toc11053004</vt:lpwstr>
      </vt:variant>
      <vt:variant>
        <vt:i4>1048626</vt:i4>
      </vt:variant>
      <vt:variant>
        <vt:i4>128</vt:i4>
      </vt:variant>
      <vt:variant>
        <vt:i4>0</vt:i4>
      </vt:variant>
      <vt:variant>
        <vt:i4>5</vt:i4>
      </vt:variant>
      <vt:variant>
        <vt:lpwstr/>
      </vt:variant>
      <vt:variant>
        <vt:lpwstr>_Toc11053003</vt:lpwstr>
      </vt:variant>
      <vt:variant>
        <vt:i4>1114162</vt:i4>
      </vt:variant>
      <vt:variant>
        <vt:i4>122</vt:i4>
      </vt:variant>
      <vt:variant>
        <vt:i4>0</vt:i4>
      </vt:variant>
      <vt:variant>
        <vt:i4>5</vt:i4>
      </vt:variant>
      <vt:variant>
        <vt:lpwstr/>
      </vt:variant>
      <vt:variant>
        <vt:lpwstr>_Toc11053002</vt:lpwstr>
      </vt:variant>
      <vt:variant>
        <vt:i4>1179698</vt:i4>
      </vt:variant>
      <vt:variant>
        <vt:i4>116</vt:i4>
      </vt:variant>
      <vt:variant>
        <vt:i4>0</vt:i4>
      </vt:variant>
      <vt:variant>
        <vt:i4>5</vt:i4>
      </vt:variant>
      <vt:variant>
        <vt:lpwstr/>
      </vt:variant>
      <vt:variant>
        <vt:lpwstr>_Toc11053001</vt:lpwstr>
      </vt:variant>
      <vt:variant>
        <vt:i4>1245234</vt:i4>
      </vt:variant>
      <vt:variant>
        <vt:i4>110</vt:i4>
      </vt:variant>
      <vt:variant>
        <vt:i4>0</vt:i4>
      </vt:variant>
      <vt:variant>
        <vt:i4>5</vt:i4>
      </vt:variant>
      <vt:variant>
        <vt:lpwstr/>
      </vt:variant>
      <vt:variant>
        <vt:lpwstr>_Toc11053000</vt:lpwstr>
      </vt:variant>
      <vt:variant>
        <vt:i4>1245242</vt:i4>
      </vt:variant>
      <vt:variant>
        <vt:i4>104</vt:i4>
      </vt:variant>
      <vt:variant>
        <vt:i4>0</vt:i4>
      </vt:variant>
      <vt:variant>
        <vt:i4>5</vt:i4>
      </vt:variant>
      <vt:variant>
        <vt:lpwstr/>
      </vt:variant>
      <vt:variant>
        <vt:lpwstr>_Toc11052999</vt:lpwstr>
      </vt:variant>
      <vt:variant>
        <vt:i4>1179706</vt:i4>
      </vt:variant>
      <vt:variant>
        <vt:i4>98</vt:i4>
      </vt:variant>
      <vt:variant>
        <vt:i4>0</vt:i4>
      </vt:variant>
      <vt:variant>
        <vt:i4>5</vt:i4>
      </vt:variant>
      <vt:variant>
        <vt:lpwstr/>
      </vt:variant>
      <vt:variant>
        <vt:lpwstr>_Toc11052998</vt:lpwstr>
      </vt:variant>
      <vt:variant>
        <vt:i4>1900602</vt:i4>
      </vt:variant>
      <vt:variant>
        <vt:i4>92</vt:i4>
      </vt:variant>
      <vt:variant>
        <vt:i4>0</vt:i4>
      </vt:variant>
      <vt:variant>
        <vt:i4>5</vt:i4>
      </vt:variant>
      <vt:variant>
        <vt:lpwstr/>
      </vt:variant>
      <vt:variant>
        <vt:lpwstr>_Toc11052997</vt:lpwstr>
      </vt:variant>
      <vt:variant>
        <vt:i4>1835066</vt:i4>
      </vt:variant>
      <vt:variant>
        <vt:i4>86</vt:i4>
      </vt:variant>
      <vt:variant>
        <vt:i4>0</vt:i4>
      </vt:variant>
      <vt:variant>
        <vt:i4>5</vt:i4>
      </vt:variant>
      <vt:variant>
        <vt:lpwstr/>
      </vt:variant>
      <vt:variant>
        <vt:lpwstr>_Toc11052996</vt:lpwstr>
      </vt:variant>
      <vt:variant>
        <vt:i4>2031674</vt:i4>
      </vt:variant>
      <vt:variant>
        <vt:i4>80</vt:i4>
      </vt:variant>
      <vt:variant>
        <vt:i4>0</vt:i4>
      </vt:variant>
      <vt:variant>
        <vt:i4>5</vt:i4>
      </vt:variant>
      <vt:variant>
        <vt:lpwstr/>
      </vt:variant>
      <vt:variant>
        <vt:lpwstr>_Toc11052995</vt:lpwstr>
      </vt:variant>
      <vt:variant>
        <vt:i4>1966138</vt:i4>
      </vt:variant>
      <vt:variant>
        <vt:i4>74</vt:i4>
      </vt:variant>
      <vt:variant>
        <vt:i4>0</vt:i4>
      </vt:variant>
      <vt:variant>
        <vt:i4>5</vt:i4>
      </vt:variant>
      <vt:variant>
        <vt:lpwstr/>
      </vt:variant>
      <vt:variant>
        <vt:lpwstr>_Toc11052994</vt:lpwstr>
      </vt:variant>
      <vt:variant>
        <vt:i4>1638458</vt:i4>
      </vt:variant>
      <vt:variant>
        <vt:i4>68</vt:i4>
      </vt:variant>
      <vt:variant>
        <vt:i4>0</vt:i4>
      </vt:variant>
      <vt:variant>
        <vt:i4>5</vt:i4>
      </vt:variant>
      <vt:variant>
        <vt:lpwstr/>
      </vt:variant>
      <vt:variant>
        <vt:lpwstr>_Toc11052993</vt:lpwstr>
      </vt:variant>
      <vt:variant>
        <vt:i4>1572922</vt:i4>
      </vt:variant>
      <vt:variant>
        <vt:i4>62</vt:i4>
      </vt:variant>
      <vt:variant>
        <vt:i4>0</vt:i4>
      </vt:variant>
      <vt:variant>
        <vt:i4>5</vt:i4>
      </vt:variant>
      <vt:variant>
        <vt:lpwstr/>
      </vt:variant>
      <vt:variant>
        <vt:lpwstr>_Toc11052992</vt:lpwstr>
      </vt:variant>
      <vt:variant>
        <vt:i4>1769530</vt:i4>
      </vt:variant>
      <vt:variant>
        <vt:i4>56</vt:i4>
      </vt:variant>
      <vt:variant>
        <vt:i4>0</vt:i4>
      </vt:variant>
      <vt:variant>
        <vt:i4>5</vt:i4>
      </vt:variant>
      <vt:variant>
        <vt:lpwstr/>
      </vt:variant>
      <vt:variant>
        <vt:lpwstr>_Toc11052991</vt:lpwstr>
      </vt:variant>
      <vt:variant>
        <vt:i4>1703994</vt:i4>
      </vt:variant>
      <vt:variant>
        <vt:i4>50</vt:i4>
      </vt:variant>
      <vt:variant>
        <vt:i4>0</vt:i4>
      </vt:variant>
      <vt:variant>
        <vt:i4>5</vt:i4>
      </vt:variant>
      <vt:variant>
        <vt:lpwstr/>
      </vt:variant>
      <vt:variant>
        <vt:lpwstr>_Toc11052990</vt:lpwstr>
      </vt:variant>
      <vt:variant>
        <vt:i4>1245243</vt:i4>
      </vt:variant>
      <vt:variant>
        <vt:i4>44</vt:i4>
      </vt:variant>
      <vt:variant>
        <vt:i4>0</vt:i4>
      </vt:variant>
      <vt:variant>
        <vt:i4>5</vt:i4>
      </vt:variant>
      <vt:variant>
        <vt:lpwstr/>
      </vt:variant>
      <vt:variant>
        <vt:lpwstr>_Toc11052989</vt:lpwstr>
      </vt:variant>
      <vt:variant>
        <vt:i4>1179707</vt:i4>
      </vt:variant>
      <vt:variant>
        <vt:i4>38</vt:i4>
      </vt:variant>
      <vt:variant>
        <vt:i4>0</vt:i4>
      </vt:variant>
      <vt:variant>
        <vt:i4>5</vt:i4>
      </vt:variant>
      <vt:variant>
        <vt:lpwstr/>
      </vt:variant>
      <vt:variant>
        <vt:lpwstr>_Toc11052988</vt:lpwstr>
      </vt:variant>
      <vt:variant>
        <vt:i4>1900603</vt:i4>
      </vt:variant>
      <vt:variant>
        <vt:i4>32</vt:i4>
      </vt:variant>
      <vt:variant>
        <vt:i4>0</vt:i4>
      </vt:variant>
      <vt:variant>
        <vt:i4>5</vt:i4>
      </vt:variant>
      <vt:variant>
        <vt:lpwstr/>
      </vt:variant>
      <vt:variant>
        <vt:lpwstr>_Toc11052987</vt:lpwstr>
      </vt:variant>
      <vt:variant>
        <vt:i4>1835067</vt:i4>
      </vt:variant>
      <vt:variant>
        <vt:i4>26</vt:i4>
      </vt:variant>
      <vt:variant>
        <vt:i4>0</vt:i4>
      </vt:variant>
      <vt:variant>
        <vt:i4>5</vt:i4>
      </vt:variant>
      <vt:variant>
        <vt:lpwstr/>
      </vt:variant>
      <vt:variant>
        <vt:lpwstr>_Toc11052986</vt:lpwstr>
      </vt:variant>
      <vt:variant>
        <vt:i4>2031675</vt:i4>
      </vt:variant>
      <vt:variant>
        <vt:i4>20</vt:i4>
      </vt:variant>
      <vt:variant>
        <vt:i4>0</vt:i4>
      </vt:variant>
      <vt:variant>
        <vt:i4>5</vt:i4>
      </vt:variant>
      <vt:variant>
        <vt:lpwstr/>
      </vt:variant>
      <vt:variant>
        <vt:lpwstr>_Toc11052985</vt:lpwstr>
      </vt:variant>
      <vt:variant>
        <vt:i4>1966139</vt:i4>
      </vt:variant>
      <vt:variant>
        <vt:i4>14</vt:i4>
      </vt:variant>
      <vt:variant>
        <vt:i4>0</vt:i4>
      </vt:variant>
      <vt:variant>
        <vt:i4>5</vt:i4>
      </vt:variant>
      <vt:variant>
        <vt:lpwstr/>
      </vt:variant>
      <vt:variant>
        <vt:lpwstr>_Toc11052984</vt:lpwstr>
      </vt:variant>
      <vt:variant>
        <vt:i4>1638459</vt:i4>
      </vt:variant>
      <vt:variant>
        <vt:i4>8</vt:i4>
      </vt:variant>
      <vt:variant>
        <vt:i4>0</vt:i4>
      </vt:variant>
      <vt:variant>
        <vt:i4>5</vt:i4>
      </vt:variant>
      <vt:variant>
        <vt:lpwstr/>
      </vt:variant>
      <vt:variant>
        <vt:lpwstr>_Toc11052983</vt:lpwstr>
      </vt:variant>
      <vt:variant>
        <vt:i4>1572923</vt:i4>
      </vt:variant>
      <vt:variant>
        <vt:i4>2</vt:i4>
      </vt:variant>
      <vt:variant>
        <vt:i4>0</vt:i4>
      </vt:variant>
      <vt:variant>
        <vt:i4>5</vt:i4>
      </vt:variant>
      <vt:variant>
        <vt:lpwstr/>
      </vt:variant>
      <vt:variant>
        <vt:lpwstr>_Toc11052982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CEHE</dc:creator>
  <cp:keywords/>
  <dc:description/>
  <cp:lastModifiedBy>C Phillips</cp:lastModifiedBy>
  <cp:revision>3</cp:revision>
  <cp:lastPrinted>2019-04-29T19:52:00Z</cp:lastPrinted>
  <dcterms:created xsi:type="dcterms:W3CDTF">2024-12-23T15:45:00Z</dcterms:created>
  <dcterms:modified xsi:type="dcterms:W3CDTF">2024-12-23T15:45:00Z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2023-07-28T14:22:57Z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4bdf00fe-fb24-4ebf-9918-a28839dd2e38</vt:lpwstr>
  </property>
  <property fmtid="{D5CDD505-2E9C-101B-9397-08002B2CF9AE}" pid="9" name="MSIP_Label_7084cbda-52b8-46fb-a7b7-cb5bd465ed85_ContentBits">
    <vt:lpwstr>0</vt:lpwstr>
  </property>
</Properties>
</file>