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48A52" w14:textId="77777777" w:rsidR="00FC1C5F" w:rsidRDefault="00727E32">
      <w:pPr>
        <w:spacing w:before="2400"/>
        <w:jc w:val="center"/>
        <w:rPr>
          <w:b/>
          <w:sz w:val="36"/>
          <w:szCs w:val="36"/>
        </w:rPr>
      </w:pPr>
      <w:r>
        <w:rPr>
          <w:b/>
          <w:sz w:val="36"/>
          <w:szCs w:val="36"/>
        </w:rPr>
        <w:t>ERCOT Nodal Protocols</w:t>
      </w:r>
    </w:p>
    <w:p w14:paraId="18DB3EAA" w14:textId="77777777" w:rsidR="00FC1C5F" w:rsidRDefault="00FC1C5F">
      <w:pPr>
        <w:jc w:val="center"/>
        <w:rPr>
          <w:b/>
          <w:sz w:val="36"/>
          <w:szCs w:val="36"/>
        </w:rPr>
      </w:pPr>
    </w:p>
    <w:p w14:paraId="2DFFAF30" w14:textId="77777777" w:rsidR="00FC1C5F" w:rsidRDefault="00727E32">
      <w:pPr>
        <w:jc w:val="center"/>
        <w:rPr>
          <w:b/>
          <w:sz w:val="36"/>
          <w:szCs w:val="36"/>
        </w:rPr>
      </w:pPr>
      <w:r>
        <w:rPr>
          <w:b/>
          <w:sz w:val="36"/>
          <w:szCs w:val="36"/>
        </w:rPr>
        <w:t>Section 16:  Registration and Qualification of Market Participants</w:t>
      </w:r>
    </w:p>
    <w:p w14:paraId="44F09D74" w14:textId="77777777" w:rsidR="00FC1C5F" w:rsidRDefault="00FC1C5F">
      <w:pPr>
        <w:spacing w:before="360"/>
        <w:jc w:val="center"/>
        <w:rPr>
          <w:b/>
          <w:szCs w:val="24"/>
        </w:rPr>
      </w:pPr>
    </w:p>
    <w:p w14:paraId="5DD53CE3" w14:textId="5687BBA8" w:rsidR="00FC1C5F" w:rsidRDefault="000E4B76">
      <w:pPr>
        <w:spacing w:before="360"/>
        <w:jc w:val="center"/>
        <w:rPr>
          <w:b/>
          <w:szCs w:val="24"/>
        </w:rPr>
      </w:pPr>
      <w:r>
        <w:rPr>
          <w:b/>
          <w:szCs w:val="24"/>
        </w:rPr>
        <w:t>October</w:t>
      </w:r>
      <w:r w:rsidR="00B55C27">
        <w:rPr>
          <w:b/>
          <w:szCs w:val="24"/>
        </w:rPr>
        <w:t xml:space="preserve"> 1</w:t>
      </w:r>
      <w:r w:rsidR="008E158D">
        <w:rPr>
          <w:b/>
          <w:szCs w:val="24"/>
        </w:rPr>
        <w:t>, 20</w:t>
      </w:r>
      <w:r w:rsidR="003F41DA">
        <w:rPr>
          <w:b/>
          <w:szCs w:val="24"/>
        </w:rPr>
        <w:t>2</w:t>
      </w:r>
      <w:r w:rsidR="001D1905">
        <w:rPr>
          <w:b/>
          <w:szCs w:val="24"/>
        </w:rPr>
        <w:t>4</w:t>
      </w:r>
    </w:p>
    <w:p w14:paraId="588DB0D2" w14:textId="77777777" w:rsidR="00FC1C5F" w:rsidRDefault="00FC1C5F">
      <w:pPr>
        <w:spacing w:before="360"/>
        <w:rPr>
          <w:b/>
          <w:szCs w:val="24"/>
        </w:rPr>
      </w:pPr>
    </w:p>
    <w:p w14:paraId="4EC558C1" w14:textId="77777777" w:rsidR="00FC1C5F" w:rsidRDefault="00FC1C5F">
      <w:pPr>
        <w:pBdr>
          <w:top w:val="single" w:sz="4" w:space="1" w:color="auto"/>
        </w:pBdr>
        <w:rPr>
          <w:b/>
          <w:sz w:val="20"/>
        </w:rPr>
      </w:pPr>
    </w:p>
    <w:p w14:paraId="03EAD69C" w14:textId="77777777" w:rsidR="00FC1C5F" w:rsidRDefault="00FC1C5F"/>
    <w:p w14:paraId="6337C0C3" w14:textId="77777777" w:rsidR="00FC1C5F" w:rsidRDefault="00FC1C5F">
      <w:pPr>
        <w:sectPr w:rsidR="00FC1C5F">
          <w:headerReference w:type="default" r:id="rId8"/>
          <w:footerReference w:type="even" r:id="rId9"/>
          <w:footerReference w:type="default" r:id="rId10"/>
          <w:footerReference w:type="first" r:id="rId11"/>
          <w:pgSz w:w="12240" w:h="15840" w:code="1"/>
          <w:pgMar w:top="1440" w:right="1440" w:bottom="1440" w:left="1440" w:header="720" w:footer="720" w:gutter="0"/>
          <w:pgNumType w:start="0"/>
          <w:cols w:space="720"/>
        </w:sectPr>
      </w:pPr>
    </w:p>
    <w:p w14:paraId="41DE97A1" w14:textId="743C84C3" w:rsidR="001037E0" w:rsidRDefault="00816A7E">
      <w:pPr>
        <w:pStyle w:val="TOC1"/>
        <w:rPr>
          <w:rFonts w:asciiTheme="minorHAnsi" w:eastAsiaTheme="minorEastAsia" w:hAnsiTheme="minorHAnsi" w:cstheme="minorBidi"/>
          <w:b w:val="0"/>
          <w:bCs w:val="0"/>
          <w:kern w:val="2"/>
          <w:sz w:val="22"/>
          <w:szCs w:val="22"/>
          <w14:ligatures w14:val="standardContextual"/>
        </w:rPr>
      </w:pPr>
      <w:r w:rsidRPr="005250EA">
        <w:lastRenderedPageBreak/>
        <w:fldChar w:fldCharType="begin"/>
      </w:r>
      <w:r w:rsidR="0005725D" w:rsidRPr="005250EA">
        <w:instrText xml:space="preserve"> TOC \o "1-5" \h \z \u </w:instrText>
      </w:r>
      <w:r w:rsidRPr="005250EA">
        <w:fldChar w:fldCharType="separate"/>
      </w:r>
      <w:hyperlink w:anchor="_Toc175159099" w:history="1">
        <w:r w:rsidR="001037E0" w:rsidRPr="00261525">
          <w:rPr>
            <w:rStyle w:val="Hyperlink"/>
          </w:rPr>
          <w:t>16</w:t>
        </w:r>
        <w:r w:rsidR="001037E0">
          <w:rPr>
            <w:rFonts w:asciiTheme="minorHAnsi" w:eastAsiaTheme="minorEastAsia" w:hAnsiTheme="minorHAnsi" w:cstheme="minorBidi"/>
            <w:b w:val="0"/>
            <w:bCs w:val="0"/>
            <w:kern w:val="2"/>
            <w:sz w:val="22"/>
            <w:szCs w:val="22"/>
            <w14:ligatures w14:val="standardContextual"/>
          </w:rPr>
          <w:tab/>
        </w:r>
        <w:r w:rsidR="001037E0" w:rsidRPr="00261525">
          <w:rPr>
            <w:rStyle w:val="Hyperlink"/>
          </w:rPr>
          <w:t>REGISTRATION AND QUALIFICATION OF MARKET PARTICIPANTS</w:t>
        </w:r>
        <w:r w:rsidR="001037E0">
          <w:rPr>
            <w:webHidden/>
          </w:rPr>
          <w:tab/>
        </w:r>
        <w:r w:rsidR="001037E0">
          <w:rPr>
            <w:webHidden/>
          </w:rPr>
          <w:fldChar w:fldCharType="begin"/>
        </w:r>
        <w:r w:rsidR="001037E0">
          <w:rPr>
            <w:webHidden/>
          </w:rPr>
          <w:instrText xml:space="preserve"> PAGEREF _Toc175159099 \h </w:instrText>
        </w:r>
        <w:r w:rsidR="001037E0">
          <w:rPr>
            <w:webHidden/>
          </w:rPr>
        </w:r>
        <w:r w:rsidR="001037E0">
          <w:rPr>
            <w:webHidden/>
          </w:rPr>
          <w:fldChar w:fldCharType="separate"/>
        </w:r>
        <w:r w:rsidR="001A683A">
          <w:rPr>
            <w:webHidden/>
          </w:rPr>
          <w:t>16-1</w:t>
        </w:r>
        <w:r w:rsidR="001037E0">
          <w:rPr>
            <w:webHidden/>
          </w:rPr>
          <w:fldChar w:fldCharType="end"/>
        </w:r>
      </w:hyperlink>
    </w:p>
    <w:p w14:paraId="136BC4D9" w14:textId="44358CAC" w:rsidR="001037E0" w:rsidRPr="001037E0" w:rsidRDefault="001A683A">
      <w:pPr>
        <w:pStyle w:val="TOC2"/>
        <w:rPr>
          <w:rFonts w:eastAsiaTheme="minorEastAsia"/>
          <w:kern w:val="2"/>
          <w14:ligatures w14:val="standardContextual"/>
        </w:rPr>
      </w:pPr>
      <w:hyperlink w:anchor="_Toc175159100" w:history="1">
        <w:r w:rsidR="001037E0" w:rsidRPr="001037E0">
          <w:rPr>
            <w:rStyle w:val="Hyperlink"/>
          </w:rPr>
          <w:t>16.1</w:t>
        </w:r>
        <w:r w:rsidR="001037E0" w:rsidRPr="001037E0">
          <w:rPr>
            <w:rFonts w:eastAsiaTheme="minorEastAsia"/>
            <w:kern w:val="2"/>
            <w14:ligatures w14:val="standardContextual"/>
          </w:rPr>
          <w:tab/>
        </w:r>
        <w:r w:rsidR="001037E0" w:rsidRPr="001037E0">
          <w:rPr>
            <w:rStyle w:val="Hyperlink"/>
          </w:rPr>
          <w:t>Registration and Execution of Agreements</w:t>
        </w:r>
        <w:r w:rsidR="001037E0" w:rsidRPr="001037E0">
          <w:rPr>
            <w:webHidden/>
          </w:rPr>
          <w:tab/>
        </w:r>
        <w:r w:rsidR="001037E0" w:rsidRPr="001037E0">
          <w:rPr>
            <w:webHidden/>
          </w:rPr>
          <w:fldChar w:fldCharType="begin"/>
        </w:r>
        <w:r w:rsidR="001037E0" w:rsidRPr="001037E0">
          <w:rPr>
            <w:webHidden/>
          </w:rPr>
          <w:instrText xml:space="preserve"> PAGEREF _Toc175159100 \h </w:instrText>
        </w:r>
        <w:r w:rsidR="001037E0" w:rsidRPr="001037E0">
          <w:rPr>
            <w:webHidden/>
          </w:rPr>
        </w:r>
        <w:r w:rsidR="001037E0" w:rsidRPr="001037E0">
          <w:rPr>
            <w:webHidden/>
          </w:rPr>
          <w:fldChar w:fldCharType="separate"/>
        </w:r>
        <w:r>
          <w:rPr>
            <w:webHidden/>
          </w:rPr>
          <w:t>16-1</w:t>
        </w:r>
        <w:r w:rsidR="001037E0" w:rsidRPr="001037E0">
          <w:rPr>
            <w:webHidden/>
          </w:rPr>
          <w:fldChar w:fldCharType="end"/>
        </w:r>
      </w:hyperlink>
    </w:p>
    <w:p w14:paraId="286B65A4" w14:textId="6F29A400" w:rsidR="001037E0" w:rsidRPr="001037E0" w:rsidRDefault="001A683A">
      <w:pPr>
        <w:pStyle w:val="TOC3"/>
        <w:rPr>
          <w:rFonts w:eastAsiaTheme="minorEastAsia"/>
          <w:i w:val="0"/>
          <w:iCs w:val="0"/>
          <w:noProof/>
          <w:kern w:val="2"/>
          <w14:ligatures w14:val="standardContextual"/>
        </w:rPr>
      </w:pPr>
      <w:hyperlink w:anchor="_Toc175159101" w:history="1">
        <w:r w:rsidR="001037E0" w:rsidRPr="001037E0">
          <w:rPr>
            <w:rStyle w:val="Hyperlink"/>
            <w:i w:val="0"/>
            <w:iCs w:val="0"/>
            <w:noProof/>
          </w:rPr>
          <w:t>16.1.1</w:t>
        </w:r>
        <w:r w:rsidR="001037E0" w:rsidRPr="001037E0">
          <w:rPr>
            <w:rFonts w:eastAsiaTheme="minorEastAsia"/>
            <w:i w:val="0"/>
            <w:iCs w:val="0"/>
            <w:noProof/>
            <w:kern w:val="2"/>
            <w14:ligatures w14:val="standardContextual"/>
          </w:rPr>
          <w:tab/>
        </w:r>
        <w:r w:rsidR="001037E0" w:rsidRPr="001037E0">
          <w:rPr>
            <w:rStyle w:val="Hyperlink"/>
            <w:i w:val="0"/>
            <w:iCs w:val="0"/>
            <w:noProof/>
          </w:rPr>
          <w:t>Re-Registration as a Market Participant</w:t>
        </w:r>
        <w:r w:rsidR="001037E0" w:rsidRPr="001037E0">
          <w:rPr>
            <w:i w:val="0"/>
            <w:iCs w:val="0"/>
            <w:noProof/>
            <w:webHidden/>
          </w:rPr>
          <w:tab/>
        </w:r>
        <w:r w:rsidR="001037E0" w:rsidRPr="001037E0">
          <w:rPr>
            <w:i w:val="0"/>
            <w:iCs w:val="0"/>
            <w:noProof/>
            <w:webHidden/>
          </w:rPr>
          <w:fldChar w:fldCharType="begin"/>
        </w:r>
        <w:r w:rsidR="001037E0" w:rsidRPr="001037E0">
          <w:rPr>
            <w:i w:val="0"/>
            <w:iCs w:val="0"/>
            <w:noProof/>
            <w:webHidden/>
          </w:rPr>
          <w:instrText xml:space="preserve"> PAGEREF _Toc175159101 \h </w:instrText>
        </w:r>
        <w:r w:rsidR="001037E0" w:rsidRPr="001037E0">
          <w:rPr>
            <w:i w:val="0"/>
            <w:iCs w:val="0"/>
            <w:noProof/>
            <w:webHidden/>
          </w:rPr>
        </w:r>
        <w:r w:rsidR="001037E0" w:rsidRPr="001037E0">
          <w:rPr>
            <w:i w:val="0"/>
            <w:iCs w:val="0"/>
            <w:noProof/>
            <w:webHidden/>
          </w:rPr>
          <w:fldChar w:fldCharType="separate"/>
        </w:r>
        <w:r>
          <w:rPr>
            <w:i w:val="0"/>
            <w:iCs w:val="0"/>
            <w:noProof/>
            <w:webHidden/>
          </w:rPr>
          <w:t>16-1</w:t>
        </w:r>
        <w:r w:rsidR="001037E0" w:rsidRPr="001037E0">
          <w:rPr>
            <w:i w:val="0"/>
            <w:iCs w:val="0"/>
            <w:noProof/>
            <w:webHidden/>
          </w:rPr>
          <w:fldChar w:fldCharType="end"/>
        </w:r>
      </w:hyperlink>
    </w:p>
    <w:p w14:paraId="3B270FE2" w14:textId="513A5B5D" w:rsidR="001037E0" w:rsidRPr="001037E0" w:rsidRDefault="001A683A">
      <w:pPr>
        <w:pStyle w:val="TOC3"/>
        <w:rPr>
          <w:rFonts w:eastAsiaTheme="minorEastAsia"/>
          <w:i w:val="0"/>
          <w:iCs w:val="0"/>
          <w:noProof/>
          <w:kern w:val="2"/>
          <w14:ligatures w14:val="standardContextual"/>
        </w:rPr>
      </w:pPr>
      <w:hyperlink w:anchor="_Toc175159102" w:history="1">
        <w:r w:rsidR="001037E0" w:rsidRPr="001037E0">
          <w:rPr>
            <w:rStyle w:val="Hyperlink"/>
            <w:i w:val="0"/>
            <w:iCs w:val="0"/>
            <w:noProof/>
          </w:rPr>
          <w:t>16.1.2</w:t>
        </w:r>
        <w:r w:rsidR="001037E0" w:rsidRPr="001037E0">
          <w:rPr>
            <w:rFonts w:eastAsiaTheme="minorEastAsia"/>
            <w:i w:val="0"/>
            <w:iCs w:val="0"/>
            <w:noProof/>
            <w:kern w:val="2"/>
            <w14:ligatures w14:val="standardContextual"/>
          </w:rPr>
          <w:tab/>
        </w:r>
        <w:r w:rsidR="001037E0" w:rsidRPr="001037E0">
          <w:rPr>
            <w:rStyle w:val="Hyperlink"/>
            <w:i w:val="0"/>
            <w:iCs w:val="0"/>
            <w:noProof/>
          </w:rPr>
          <w:t>Principal of a Market Participant</w:t>
        </w:r>
        <w:r w:rsidR="001037E0" w:rsidRPr="001037E0">
          <w:rPr>
            <w:i w:val="0"/>
            <w:iCs w:val="0"/>
            <w:noProof/>
            <w:webHidden/>
          </w:rPr>
          <w:tab/>
        </w:r>
        <w:r w:rsidR="001037E0" w:rsidRPr="001037E0">
          <w:rPr>
            <w:i w:val="0"/>
            <w:iCs w:val="0"/>
            <w:noProof/>
            <w:webHidden/>
          </w:rPr>
          <w:fldChar w:fldCharType="begin"/>
        </w:r>
        <w:r w:rsidR="001037E0" w:rsidRPr="001037E0">
          <w:rPr>
            <w:i w:val="0"/>
            <w:iCs w:val="0"/>
            <w:noProof/>
            <w:webHidden/>
          </w:rPr>
          <w:instrText xml:space="preserve"> PAGEREF _Toc175159102 \h </w:instrText>
        </w:r>
        <w:r w:rsidR="001037E0" w:rsidRPr="001037E0">
          <w:rPr>
            <w:i w:val="0"/>
            <w:iCs w:val="0"/>
            <w:noProof/>
            <w:webHidden/>
          </w:rPr>
        </w:r>
        <w:r w:rsidR="001037E0" w:rsidRPr="001037E0">
          <w:rPr>
            <w:i w:val="0"/>
            <w:iCs w:val="0"/>
            <w:noProof/>
            <w:webHidden/>
          </w:rPr>
          <w:fldChar w:fldCharType="separate"/>
        </w:r>
        <w:r>
          <w:rPr>
            <w:i w:val="0"/>
            <w:iCs w:val="0"/>
            <w:noProof/>
            <w:webHidden/>
          </w:rPr>
          <w:t>16-2</w:t>
        </w:r>
        <w:r w:rsidR="001037E0" w:rsidRPr="001037E0">
          <w:rPr>
            <w:i w:val="0"/>
            <w:iCs w:val="0"/>
            <w:noProof/>
            <w:webHidden/>
          </w:rPr>
          <w:fldChar w:fldCharType="end"/>
        </w:r>
      </w:hyperlink>
    </w:p>
    <w:p w14:paraId="649919A1" w14:textId="1CE02E99" w:rsidR="001037E0" w:rsidRPr="001037E0" w:rsidRDefault="001A683A">
      <w:pPr>
        <w:pStyle w:val="TOC3"/>
        <w:rPr>
          <w:rFonts w:eastAsiaTheme="minorEastAsia"/>
          <w:i w:val="0"/>
          <w:iCs w:val="0"/>
          <w:noProof/>
          <w:kern w:val="2"/>
          <w14:ligatures w14:val="standardContextual"/>
        </w:rPr>
      </w:pPr>
      <w:hyperlink w:anchor="_Toc175159103" w:history="1">
        <w:r w:rsidR="001037E0" w:rsidRPr="001037E0">
          <w:rPr>
            <w:rStyle w:val="Hyperlink"/>
            <w:i w:val="0"/>
            <w:iCs w:val="0"/>
            <w:noProof/>
          </w:rPr>
          <w:t>16.1.3</w:t>
        </w:r>
        <w:r w:rsidR="001037E0" w:rsidRPr="001037E0">
          <w:rPr>
            <w:rFonts w:eastAsiaTheme="minorEastAsia"/>
            <w:i w:val="0"/>
            <w:iCs w:val="0"/>
            <w:noProof/>
            <w:kern w:val="2"/>
            <w14:ligatures w14:val="standardContextual"/>
          </w:rPr>
          <w:tab/>
        </w:r>
        <w:r w:rsidR="001037E0" w:rsidRPr="001037E0">
          <w:rPr>
            <w:rStyle w:val="Hyperlink"/>
            <w:i w:val="0"/>
            <w:iCs w:val="0"/>
            <w:noProof/>
          </w:rPr>
          <w:t>Market Participant Citizenship, Ownership, or Headquarters</w:t>
        </w:r>
        <w:r w:rsidR="001037E0" w:rsidRPr="001037E0">
          <w:rPr>
            <w:i w:val="0"/>
            <w:iCs w:val="0"/>
            <w:noProof/>
            <w:webHidden/>
          </w:rPr>
          <w:tab/>
        </w:r>
        <w:r w:rsidR="001037E0" w:rsidRPr="001037E0">
          <w:rPr>
            <w:i w:val="0"/>
            <w:iCs w:val="0"/>
            <w:noProof/>
            <w:webHidden/>
          </w:rPr>
          <w:fldChar w:fldCharType="begin"/>
        </w:r>
        <w:r w:rsidR="001037E0" w:rsidRPr="001037E0">
          <w:rPr>
            <w:i w:val="0"/>
            <w:iCs w:val="0"/>
            <w:noProof/>
            <w:webHidden/>
          </w:rPr>
          <w:instrText xml:space="preserve"> PAGEREF _Toc175159103 \h </w:instrText>
        </w:r>
        <w:r w:rsidR="001037E0" w:rsidRPr="001037E0">
          <w:rPr>
            <w:i w:val="0"/>
            <w:iCs w:val="0"/>
            <w:noProof/>
            <w:webHidden/>
          </w:rPr>
        </w:r>
        <w:r w:rsidR="001037E0" w:rsidRPr="001037E0">
          <w:rPr>
            <w:i w:val="0"/>
            <w:iCs w:val="0"/>
            <w:noProof/>
            <w:webHidden/>
          </w:rPr>
          <w:fldChar w:fldCharType="separate"/>
        </w:r>
        <w:r>
          <w:rPr>
            <w:i w:val="0"/>
            <w:iCs w:val="0"/>
            <w:noProof/>
            <w:webHidden/>
          </w:rPr>
          <w:t>16-2</w:t>
        </w:r>
        <w:r w:rsidR="001037E0" w:rsidRPr="001037E0">
          <w:rPr>
            <w:i w:val="0"/>
            <w:iCs w:val="0"/>
            <w:noProof/>
            <w:webHidden/>
          </w:rPr>
          <w:fldChar w:fldCharType="end"/>
        </w:r>
      </w:hyperlink>
    </w:p>
    <w:p w14:paraId="60792F18" w14:textId="588CF0AE" w:rsidR="001037E0" w:rsidRPr="001037E0" w:rsidRDefault="001A683A">
      <w:pPr>
        <w:pStyle w:val="TOC3"/>
        <w:rPr>
          <w:rFonts w:eastAsiaTheme="minorEastAsia"/>
          <w:i w:val="0"/>
          <w:iCs w:val="0"/>
          <w:noProof/>
          <w:kern w:val="2"/>
          <w14:ligatures w14:val="standardContextual"/>
        </w:rPr>
      </w:pPr>
      <w:hyperlink w:anchor="_Toc175159104" w:history="1">
        <w:r w:rsidR="001037E0" w:rsidRPr="001037E0">
          <w:rPr>
            <w:rStyle w:val="Hyperlink"/>
            <w:i w:val="0"/>
            <w:iCs w:val="0"/>
            <w:noProof/>
          </w:rPr>
          <w:t>16.1.4</w:t>
        </w:r>
        <w:r w:rsidR="001037E0" w:rsidRPr="001037E0">
          <w:rPr>
            <w:rFonts w:eastAsiaTheme="minorEastAsia"/>
            <w:i w:val="0"/>
            <w:iCs w:val="0"/>
            <w:noProof/>
            <w:kern w:val="2"/>
            <w14:ligatures w14:val="standardContextual"/>
          </w:rPr>
          <w:tab/>
        </w:r>
        <w:r w:rsidR="001037E0" w:rsidRPr="001037E0">
          <w:rPr>
            <w:rStyle w:val="Hyperlink"/>
            <w:i w:val="0"/>
            <w:iCs w:val="0"/>
            <w:noProof/>
          </w:rPr>
          <w:t>Market Participant Reporting of Critical Electric Grid Equipment and Services-Related Purchases</w:t>
        </w:r>
        <w:r w:rsidR="001037E0" w:rsidRPr="001037E0">
          <w:rPr>
            <w:i w:val="0"/>
            <w:iCs w:val="0"/>
            <w:noProof/>
            <w:webHidden/>
          </w:rPr>
          <w:tab/>
        </w:r>
        <w:r w:rsidR="001037E0" w:rsidRPr="001037E0">
          <w:rPr>
            <w:i w:val="0"/>
            <w:iCs w:val="0"/>
            <w:noProof/>
            <w:webHidden/>
          </w:rPr>
          <w:fldChar w:fldCharType="begin"/>
        </w:r>
        <w:r w:rsidR="001037E0" w:rsidRPr="001037E0">
          <w:rPr>
            <w:i w:val="0"/>
            <w:iCs w:val="0"/>
            <w:noProof/>
            <w:webHidden/>
          </w:rPr>
          <w:instrText xml:space="preserve"> PAGEREF _Toc175159104 \h </w:instrText>
        </w:r>
        <w:r w:rsidR="001037E0" w:rsidRPr="001037E0">
          <w:rPr>
            <w:i w:val="0"/>
            <w:iCs w:val="0"/>
            <w:noProof/>
            <w:webHidden/>
          </w:rPr>
        </w:r>
        <w:r w:rsidR="001037E0" w:rsidRPr="001037E0">
          <w:rPr>
            <w:i w:val="0"/>
            <w:iCs w:val="0"/>
            <w:noProof/>
            <w:webHidden/>
          </w:rPr>
          <w:fldChar w:fldCharType="separate"/>
        </w:r>
        <w:r>
          <w:rPr>
            <w:i w:val="0"/>
            <w:iCs w:val="0"/>
            <w:noProof/>
            <w:webHidden/>
          </w:rPr>
          <w:t>16-3</w:t>
        </w:r>
        <w:r w:rsidR="001037E0" w:rsidRPr="001037E0">
          <w:rPr>
            <w:i w:val="0"/>
            <w:iCs w:val="0"/>
            <w:noProof/>
            <w:webHidden/>
          </w:rPr>
          <w:fldChar w:fldCharType="end"/>
        </w:r>
      </w:hyperlink>
    </w:p>
    <w:p w14:paraId="2410A45B" w14:textId="5F5075B8" w:rsidR="001037E0" w:rsidRPr="001037E0" w:rsidRDefault="001A683A">
      <w:pPr>
        <w:pStyle w:val="TOC2"/>
        <w:rPr>
          <w:rFonts w:eastAsiaTheme="minorEastAsia"/>
          <w:kern w:val="2"/>
          <w14:ligatures w14:val="standardContextual"/>
        </w:rPr>
      </w:pPr>
      <w:hyperlink w:anchor="_Toc175159105" w:history="1">
        <w:r w:rsidR="001037E0" w:rsidRPr="001037E0">
          <w:rPr>
            <w:rStyle w:val="Hyperlink"/>
          </w:rPr>
          <w:t>16.2</w:t>
        </w:r>
        <w:r w:rsidR="001037E0" w:rsidRPr="001037E0">
          <w:rPr>
            <w:rFonts w:eastAsiaTheme="minorEastAsia"/>
            <w:kern w:val="2"/>
            <w14:ligatures w14:val="standardContextual"/>
          </w:rPr>
          <w:tab/>
        </w:r>
        <w:r w:rsidR="001037E0" w:rsidRPr="001037E0">
          <w:rPr>
            <w:rStyle w:val="Hyperlink"/>
          </w:rPr>
          <w:t>Registration and Qualification of Qualified Scheduling Entities</w:t>
        </w:r>
        <w:r w:rsidR="001037E0" w:rsidRPr="001037E0">
          <w:rPr>
            <w:webHidden/>
          </w:rPr>
          <w:tab/>
        </w:r>
        <w:r w:rsidR="001037E0" w:rsidRPr="001037E0">
          <w:rPr>
            <w:webHidden/>
          </w:rPr>
          <w:fldChar w:fldCharType="begin"/>
        </w:r>
        <w:r w:rsidR="001037E0" w:rsidRPr="001037E0">
          <w:rPr>
            <w:webHidden/>
          </w:rPr>
          <w:instrText xml:space="preserve"> PAGEREF _Toc175159105 \h </w:instrText>
        </w:r>
        <w:r w:rsidR="001037E0" w:rsidRPr="001037E0">
          <w:rPr>
            <w:webHidden/>
          </w:rPr>
        </w:r>
        <w:r w:rsidR="001037E0" w:rsidRPr="001037E0">
          <w:rPr>
            <w:webHidden/>
          </w:rPr>
          <w:fldChar w:fldCharType="separate"/>
        </w:r>
        <w:r>
          <w:rPr>
            <w:webHidden/>
          </w:rPr>
          <w:t>16-5</w:t>
        </w:r>
        <w:r w:rsidR="001037E0" w:rsidRPr="001037E0">
          <w:rPr>
            <w:webHidden/>
          </w:rPr>
          <w:fldChar w:fldCharType="end"/>
        </w:r>
      </w:hyperlink>
    </w:p>
    <w:p w14:paraId="2D7DFB78" w14:textId="6AF9AD24" w:rsidR="001037E0" w:rsidRPr="001037E0" w:rsidRDefault="001A683A">
      <w:pPr>
        <w:pStyle w:val="TOC3"/>
        <w:rPr>
          <w:rFonts w:eastAsiaTheme="minorEastAsia"/>
          <w:i w:val="0"/>
          <w:iCs w:val="0"/>
          <w:noProof/>
          <w:kern w:val="2"/>
          <w14:ligatures w14:val="standardContextual"/>
        </w:rPr>
      </w:pPr>
      <w:hyperlink w:anchor="_Toc175159106" w:history="1">
        <w:r w:rsidR="001037E0" w:rsidRPr="001037E0">
          <w:rPr>
            <w:rStyle w:val="Hyperlink"/>
            <w:i w:val="0"/>
            <w:iCs w:val="0"/>
            <w:noProof/>
          </w:rPr>
          <w:t>16.2.1</w:t>
        </w:r>
        <w:r w:rsidR="001037E0" w:rsidRPr="001037E0">
          <w:rPr>
            <w:rFonts w:eastAsiaTheme="minorEastAsia"/>
            <w:i w:val="0"/>
            <w:iCs w:val="0"/>
            <w:noProof/>
            <w:kern w:val="2"/>
            <w14:ligatures w14:val="standardContextual"/>
          </w:rPr>
          <w:tab/>
        </w:r>
        <w:r w:rsidR="001037E0" w:rsidRPr="001037E0">
          <w:rPr>
            <w:rStyle w:val="Hyperlink"/>
            <w:i w:val="0"/>
            <w:iCs w:val="0"/>
            <w:noProof/>
          </w:rPr>
          <w:t>Criteria for Qualification as a Qualified Scheduling Entity</w:t>
        </w:r>
        <w:r w:rsidR="001037E0" w:rsidRPr="001037E0">
          <w:rPr>
            <w:i w:val="0"/>
            <w:iCs w:val="0"/>
            <w:noProof/>
            <w:webHidden/>
          </w:rPr>
          <w:tab/>
        </w:r>
        <w:r w:rsidR="001037E0" w:rsidRPr="001037E0">
          <w:rPr>
            <w:i w:val="0"/>
            <w:iCs w:val="0"/>
            <w:noProof/>
            <w:webHidden/>
          </w:rPr>
          <w:fldChar w:fldCharType="begin"/>
        </w:r>
        <w:r w:rsidR="001037E0" w:rsidRPr="001037E0">
          <w:rPr>
            <w:i w:val="0"/>
            <w:iCs w:val="0"/>
            <w:noProof/>
            <w:webHidden/>
          </w:rPr>
          <w:instrText xml:space="preserve"> PAGEREF _Toc175159106 \h </w:instrText>
        </w:r>
        <w:r w:rsidR="001037E0" w:rsidRPr="001037E0">
          <w:rPr>
            <w:i w:val="0"/>
            <w:iCs w:val="0"/>
            <w:noProof/>
            <w:webHidden/>
          </w:rPr>
        </w:r>
        <w:r w:rsidR="001037E0" w:rsidRPr="001037E0">
          <w:rPr>
            <w:i w:val="0"/>
            <w:iCs w:val="0"/>
            <w:noProof/>
            <w:webHidden/>
          </w:rPr>
          <w:fldChar w:fldCharType="separate"/>
        </w:r>
        <w:r>
          <w:rPr>
            <w:i w:val="0"/>
            <w:iCs w:val="0"/>
            <w:noProof/>
            <w:webHidden/>
          </w:rPr>
          <w:t>16-5</w:t>
        </w:r>
        <w:r w:rsidR="001037E0" w:rsidRPr="001037E0">
          <w:rPr>
            <w:i w:val="0"/>
            <w:iCs w:val="0"/>
            <w:noProof/>
            <w:webHidden/>
          </w:rPr>
          <w:fldChar w:fldCharType="end"/>
        </w:r>
      </w:hyperlink>
    </w:p>
    <w:p w14:paraId="5524FE36" w14:textId="2DEE1182" w:rsidR="001037E0" w:rsidRPr="001037E0" w:rsidRDefault="001A683A">
      <w:pPr>
        <w:pStyle w:val="TOC4"/>
        <w:rPr>
          <w:rFonts w:eastAsiaTheme="minorEastAsia"/>
          <w:kern w:val="2"/>
          <w:sz w:val="20"/>
          <w:szCs w:val="20"/>
          <w14:ligatures w14:val="standardContextual"/>
        </w:rPr>
      </w:pPr>
      <w:hyperlink w:anchor="_Toc175159107" w:history="1">
        <w:r w:rsidR="001037E0" w:rsidRPr="001037E0">
          <w:rPr>
            <w:rStyle w:val="Hyperlink"/>
            <w:sz w:val="20"/>
            <w:szCs w:val="20"/>
          </w:rPr>
          <w:t>16.2.1.1</w:t>
        </w:r>
        <w:r w:rsidR="001037E0" w:rsidRPr="001037E0">
          <w:rPr>
            <w:rFonts w:eastAsiaTheme="minorEastAsia"/>
            <w:kern w:val="2"/>
            <w:sz w:val="20"/>
            <w:szCs w:val="20"/>
            <w14:ligatures w14:val="standardContextual"/>
          </w:rPr>
          <w:tab/>
        </w:r>
        <w:r w:rsidR="001037E0" w:rsidRPr="001037E0">
          <w:rPr>
            <w:rStyle w:val="Hyperlink"/>
            <w:sz w:val="20"/>
            <w:szCs w:val="20"/>
          </w:rPr>
          <w:t>QSE Background Check Process</w:t>
        </w:r>
        <w:r w:rsidR="001037E0" w:rsidRPr="001037E0">
          <w:rPr>
            <w:webHidden/>
            <w:sz w:val="20"/>
            <w:szCs w:val="20"/>
          </w:rPr>
          <w:tab/>
        </w:r>
        <w:r w:rsidR="001037E0" w:rsidRPr="001037E0">
          <w:rPr>
            <w:webHidden/>
            <w:sz w:val="20"/>
            <w:szCs w:val="20"/>
          </w:rPr>
          <w:fldChar w:fldCharType="begin"/>
        </w:r>
        <w:r w:rsidR="001037E0" w:rsidRPr="001037E0">
          <w:rPr>
            <w:webHidden/>
            <w:sz w:val="20"/>
            <w:szCs w:val="20"/>
          </w:rPr>
          <w:instrText xml:space="preserve"> PAGEREF _Toc175159107 \h </w:instrText>
        </w:r>
        <w:r w:rsidR="001037E0" w:rsidRPr="001037E0">
          <w:rPr>
            <w:webHidden/>
            <w:sz w:val="20"/>
            <w:szCs w:val="20"/>
          </w:rPr>
        </w:r>
        <w:r w:rsidR="001037E0" w:rsidRPr="001037E0">
          <w:rPr>
            <w:webHidden/>
            <w:sz w:val="20"/>
            <w:szCs w:val="20"/>
          </w:rPr>
          <w:fldChar w:fldCharType="separate"/>
        </w:r>
        <w:r>
          <w:rPr>
            <w:webHidden/>
            <w:sz w:val="20"/>
            <w:szCs w:val="20"/>
          </w:rPr>
          <w:t>16-8</w:t>
        </w:r>
        <w:r w:rsidR="001037E0" w:rsidRPr="001037E0">
          <w:rPr>
            <w:webHidden/>
            <w:sz w:val="20"/>
            <w:szCs w:val="20"/>
          </w:rPr>
          <w:fldChar w:fldCharType="end"/>
        </w:r>
      </w:hyperlink>
    </w:p>
    <w:p w14:paraId="073952BC" w14:textId="3DABB3EC" w:rsidR="001037E0" w:rsidRPr="001037E0" w:rsidRDefault="001A683A">
      <w:pPr>
        <w:pStyle w:val="TOC4"/>
        <w:rPr>
          <w:rFonts w:eastAsiaTheme="minorEastAsia"/>
          <w:kern w:val="2"/>
          <w:sz w:val="20"/>
          <w:szCs w:val="20"/>
          <w14:ligatures w14:val="standardContextual"/>
        </w:rPr>
      </w:pPr>
      <w:hyperlink w:anchor="_Toc175159108" w:history="1">
        <w:r w:rsidR="001037E0" w:rsidRPr="001037E0">
          <w:rPr>
            <w:rStyle w:val="Hyperlink"/>
            <w:sz w:val="20"/>
            <w:szCs w:val="20"/>
          </w:rPr>
          <w:t>16.2.1.2</w:t>
        </w:r>
        <w:r w:rsidR="001037E0" w:rsidRPr="001037E0">
          <w:rPr>
            <w:rFonts w:eastAsiaTheme="minorEastAsia"/>
            <w:kern w:val="2"/>
            <w:sz w:val="20"/>
            <w:szCs w:val="20"/>
            <w14:ligatures w14:val="standardContextual"/>
          </w:rPr>
          <w:tab/>
        </w:r>
        <w:r w:rsidR="001037E0" w:rsidRPr="001037E0">
          <w:rPr>
            <w:rStyle w:val="Hyperlink"/>
            <w:sz w:val="20"/>
            <w:szCs w:val="20"/>
          </w:rPr>
          <w:t>Data Agent-Only Qualified Scheduling Entities</w:t>
        </w:r>
        <w:r w:rsidR="001037E0" w:rsidRPr="001037E0">
          <w:rPr>
            <w:webHidden/>
            <w:sz w:val="20"/>
            <w:szCs w:val="20"/>
          </w:rPr>
          <w:tab/>
        </w:r>
        <w:r w:rsidR="001037E0" w:rsidRPr="001037E0">
          <w:rPr>
            <w:webHidden/>
            <w:sz w:val="20"/>
            <w:szCs w:val="20"/>
          </w:rPr>
          <w:fldChar w:fldCharType="begin"/>
        </w:r>
        <w:r w:rsidR="001037E0" w:rsidRPr="001037E0">
          <w:rPr>
            <w:webHidden/>
            <w:sz w:val="20"/>
            <w:szCs w:val="20"/>
          </w:rPr>
          <w:instrText xml:space="preserve"> PAGEREF _Toc175159108 \h </w:instrText>
        </w:r>
        <w:r w:rsidR="001037E0" w:rsidRPr="001037E0">
          <w:rPr>
            <w:webHidden/>
            <w:sz w:val="20"/>
            <w:szCs w:val="20"/>
          </w:rPr>
        </w:r>
        <w:r w:rsidR="001037E0" w:rsidRPr="001037E0">
          <w:rPr>
            <w:webHidden/>
            <w:sz w:val="20"/>
            <w:szCs w:val="20"/>
          </w:rPr>
          <w:fldChar w:fldCharType="separate"/>
        </w:r>
        <w:r>
          <w:rPr>
            <w:webHidden/>
            <w:sz w:val="20"/>
            <w:szCs w:val="20"/>
          </w:rPr>
          <w:t>16-9</w:t>
        </w:r>
        <w:r w:rsidR="001037E0" w:rsidRPr="001037E0">
          <w:rPr>
            <w:webHidden/>
            <w:sz w:val="20"/>
            <w:szCs w:val="20"/>
          </w:rPr>
          <w:fldChar w:fldCharType="end"/>
        </w:r>
      </w:hyperlink>
    </w:p>
    <w:p w14:paraId="3D27A61A" w14:textId="77609ACF" w:rsidR="001037E0" w:rsidRPr="001037E0" w:rsidRDefault="001A683A">
      <w:pPr>
        <w:pStyle w:val="TOC3"/>
        <w:rPr>
          <w:rFonts w:eastAsiaTheme="minorEastAsia"/>
          <w:i w:val="0"/>
          <w:iCs w:val="0"/>
          <w:noProof/>
          <w:kern w:val="2"/>
          <w14:ligatures w14:val="standardContextual"/>
        </w:rPr>
      </w:pPr>
      <w:hyperlink w:anchor="_Toc175159109" w:history="1">
        <w:r w:rsidR="001037E0" w:rsidRPr="001037E0">
          <w:rPr>
            <w:rStyle w:val="Hyperlink"/>
            <w:i w:val="0"/>
            <w:iCs w:val="0"/>
            <w:noProof/>
          </w:rPr>
          <w:t>16.2.2</w:t>
        </w:r>
        <w:r w:rsidR="001037E0" w:rsidRPr="001037E0">
          <w:rPr>
            <w:rFonts w:eastAsiaTheme="minorEastAsia"/>
            <w:i w:val="0"/>
            <w:iCs w:val="0"/>
            <w:noProof/>
            <w:kern w:val="2"/>
            <w14:ligatures w14:val="standardContextual"/>
          </w:rPr>
          <w:tab/>
        </w:r>
        <w:r w:rsidR="001037E0" w:rsidRPr="001037E0">
          <w:rPr>
            <w:rStyle w:val="Hyperlink"/>
            <w:i w:val="0"/>
            <w:iCs w:val="0"/>
            <w:noProof/>
          </w:rPr>
          <w:t>QSE Application Process</w:t>
        </w:r>
        <w:r w:rsidR="001037E0" w:rsidRPr="001037E0">
          <w:rPr>
            <w:i w:val="0"/>
            <w:iCs w:val="0"/>
            <w:noProof/>
            <w:webHidden/>
          </w:rPr>
          <w:tab/>
        </w:r>
        <w:r w:rsidR="001037E0" w:rsidRPr="001037E0">
          <w:rPr>
            <w:i w:val="0"/>
            <w:iCs w:val="0"/>
            <w:noProof/>
            <w:webHidden/>
          </w:rPr>
          <w:fldChar w:fldCharType="begin"/>
        </w:r>
        <w:r w:rsidR="001037E0" w:rsidRPr="001037E0">
          <w:rPr>
            <w:i w:val="0"/>
            <w:iCs w:val="0"/>
            <w:noProof/>
            <w:webHidden/>
          </w:rPr>
          <w:instrText xml:space="preserve"> PAGEREF _Toc175159109 \h </w:instrText>
        </w:r>
        <w:r w:rsidR="001037E0" w:rsidRPr="001037E0">
          <w:rPr>
            <w:i w:val="0"/>
            <w:iCs w:val="0"/>
            <w:noProof/>
            <w:webHidden/>
          </w:rPr>
        </w:r>
        <w:r w:rsidR="001037E0" w:rsidRPr="001037E0">
          <w:rPr>
            <w:i w:val="0"/>
            <w:iCs w:val="0"/>
            <w:noProof/>
            <w:webHidden/>
          </w:rPr>
          <w:fldChar w:fldCharType="separate"/>
        </w:r>
        <w:r>
          <w:rPr>
            <w:i w:val="0"/>
            <w:iCs w:val="0"/>
            <w:noProof/>
            <w:webHidden/>
          </w:rPr>
          <w:t>16-10</w:t>
        </w:r>
        <w:r w:rsidR="001037E0" w:rsidRPr="001037E0">
          <w:rPr>
            <w:i w:val="0"/>
            <w:iCs w:val="0"/>
            <w:noProof/>
            <w:webHidden/>
          </w:rPr>
          <w:fldChar w:fldCharType="end"/>
        </w:r>
      </w:hyperlink>
    </w:p>
    <w:p w14:paraId="351C08F1" w14:textId="1934D154" w:rsidR="001037E0" w:rsidRPr="001037E0" w:rsidRDefault="001A683A">
      <w:pPr>
        <w:pStyle w:val="TOC4"/>
        <w:rPr>
          <w:rFonts w:eastAsiaTheme="minorEastAsia"/>
          <w:kern w:val="2"/>
          <w:sz w:val="20"/>
          <w:szCs w:val="20"/>
          <w14:ligatures w14:val="standardContextual"/>
        </w:rPr>
      </w:pPr>
      <w:hyperlink w:anchor="_Toc175159110" w:history="1">
        <w:r w:rsidR="001037E0" w:rsidRPr="001037E0">
          <w:rPr>
            <w:rStyle w:val="Hyperlink"/>
            <w:sz w:val="20"/>
            <w:szCs w:val="20"/>
          </w:rPr>
          <w:t>16.2.2.1</w:t>
        </w:r>
        <w:r w:rsidR="001037E0" w:rsidRPr="001037E0">
          <w:rPr>
            <w:rFonts w:eastAsiaTheme="minorEastAsia"/>
            <w:kern w:val="2"/>
            <w:sz w:val="20"/>
            <w:szCs w:val="20"/>
            <w14:ligatures w14:val="standardContextual"/>
          </w:rPr>
          <w:tab/>
        </w:r>
        <w:r w:rsidR="001037E0" w:rsidRPr="001037E0">
          <w:rPr>
            <w:rStyle w:val="Hyperlink"/>
            <w:sz w:val="20"/>
            <w:szCs w:val="20"/>
          </w:rPr>
          <w:t>Notice of Receipt of Qualified Scheduling Entity Application</w:t>
        </w:r>
        <w:r w:rsidR="001037E0" w:rsidRPr="001037E0">
          <w:rPr>
            <w:webHidden/>
            <w:sz w:val="20"/>
            <w:szCs w:val="20"/>
          </w:rPr>
          <w:tab/>
        </w:r>
        <w:r w:rsidR="001037E0" w:rsidRPr="001037E0">
          <w:rPr>
            <w:webHidden/>
            <w:sz w:val="20"/>
            <w:szCs w:val="20"/>
          </w:rPr>
          <w:fldChar w:fldCharType="begin"/>
        </w:r>
        <w:r w:rsidR="001037E0" w:rsidRPr="001037E0">
          <w:rPr>
            <w:webHidden/>
            <w:sz w:val="20"/>
            <w:szCs w:val="20"/>
          </w:rPr>
          <w:instrText xml:space="preserve"> PAGEREF _Toc175159110 \h </w:instrText>
        </w:r>
        <w:r w:rsidR="001037E0" w:rsidRPr="001037E0">
          <w:rPr>
            <w:webHidden/>
            <w:sz w:val="20"/>
            <w:szCs w:val="20"/>
          </w:rPr>
        </w:r>
        <w:r w:rsidR="001037E0" w:rsidRPr="001037E0">
          <w:rPr>
            <w:webHidden/>
            <w:sz w:val="20"/>
            <w:szCs w:val="20"/>
          </w:rPr>
          <w:fldChar w:fldCharType="separate"/>
        </w:r>
        <w:r>
          <w:rPr>
            <w:webHidden/>
            <w:sz w:val="20"/>
            <w:szCs w:val="20"/>
          </w:rPr>
          <w:t>16-10</w:t>
        </w:r>
        <w:r w:rsidR="001037E0" w:rsidRPr="001037E0">
          <w:rPr>
            <w:webHidden/>
            <w:sz w:val="20"/>
            <w:szCs w:val="20"/>
          </w:rPr>
          <w:fldChar w:fldCharType="end"/>
        </w:r>
      </w:hyperlink>
    </w:p>
    <w:p w14:paraId="0F8FC2B2" w14:textId="678C2D8C" w:rsidR="001037E0" w:rsidRPr="001037E0" w:rsidRDefault="001A683A">
      <w:pPr>
        <w:pStyle w:val="TOC4"/>
        <w:rPr>
          <w:rFonts w:eastAsiaTheme="minorEastAsia"/>
          <w:kern w:val="2"/>
          <w:sz w:val="20"/>
          <w:szCs w:val="20"/>
          <w14:ligatures w14:val="standardContextual"/>
        </w:rPr>
      </w:pPr>
      <w:hyperlink w:anchor="_Toc175159111" w:history="1">
        <w:r w:rsidR="001037E0" w:rsidRPr="001037E0">
          <w:rPr>
            <w:rStyle w:val="Hyperlink"/>
            <w:sz w:val="20"/>
            <w:szCs w:val="20"/>
          </w:rPr>
          <w:t>16.2.2.2</w:t>
        </w:r>
        <w:r w:rsidR="001037E0" w:rsidRPr="001037E0">
          <w:rPr>
            <w:rFonts w:eastAsiaTheme="minorEastAsia"/>
            <w:kern w:val="2"/>
            <w:sz w:val="20"/>
            <w:szCs w:val="20"/>
            <w14:ligatures w14:val="standardContextual"/>
          </w:rPr>
          <w:tab/>
        </w:r>
        <w:r w:rsidR="001037E0" w:rsidRPr="001037E0">
          <w:rPr>
            <w:rStyle w:val="Hyperlink"/>
            <w:sz w:val="20"/>
            <w:szCs w:val="20"/>
          </w:rPr>
          <w:t>Incomplete QSE Applications</w:t>
        </w:r>
        <w:r w:rsidR="001037E0" w:rsidRPr="001037E0">
          <w:rPr>
            <w:webHidden/>
            <w:sz w:val="20"/>
            <w:szCs w:val="20"/>
          </w:rPr>
          <w:tab/>
        </w:r>
        <w:r w:rsidR="001037E0" w:rsidRPr="001037E0">
          <w:rPr>
            <w:webHidden/>
            <w:sz w:val="20"/>
            <w:szCs w:val="20"/>
          </w:rPr>
          <w:fldChar w:fldCharType="begin"/>
        </w:r>
        <w:r w:rsidR="001037E0" w:rsidRPr="001037E0">
          <w:rPr>
            <w:webHidden/>
            <w:sz w:val="20"/>
            <w:szCs w:val="20"/>
          </w:rPr>
          <w:instrText xml:space="preserve"> PAGEREF _Toc175159111 \h </w:instrText>
        </w:r>
        <w:r w:rsidR="001037E0" w:rsidRPr="001037E0">
          <w:rPr>
            <w:webHidden/>
            <w:sz w:val="20"/>
            <w:szCs w:val="20"/>
          </w:rPr>
        </w:r>
        <w:r w:rsidR="001037E0" w:rsidRPr="001037E0">
          <w:rPr>
            <w:webHidden/>
            <w:sz w:val="20"/>
            <w:szCs w:val="20"/>
          </w:rPr>
          <w:fldChar w:fldCharType="separate"/>
        </w:r>
        <w:r>
          <w:rPr>
            <w:webHidden/>
            <w:sz w:val="20"/>
            <w:szCs w:val="20"/>
          </w:rPr>
          <w:t>16-11</w:t>
        </w:r>
        <w:r w:rsidR="001037E0" w:rsidRPr="001037E0">
          <w:rPr>
            <w:webHidden/>
            <w:sz w:val="20"/>
            <w:szCs w:val="20"/>
          </w:rPr>
          <w:fldChar w:fldCharType="end"/>
        </w:r>
      </w:hyperlink>
    </w:p>
    <w:p w14:paraId="192CE289" w14:textId="2A19B1A1" w:rsidR="001037E0" w:rsidRPr="001037E0" w:rsidRDefault="001A683A">
      <w:pPr>
        <w:pStyle w:val="TOC4"/>
        <w:rPr>
          <w:rFonts w:eastAsiaTheme="minorEastAsia"/>
          <w:kern w:val="2"/>
          <w:sz w:val="20"/>
          <w:szCs w:val="20"/>
          <w14:ligatures w14:val="standardContextual"/>
        </w:rPr>
      </w:pPr>
      <w:hyperlink w:anchor="_Toc175159112" w:history="1">
        <w:r w:rsidR="001037E0" w:rsidRPr="001037E0">
          <w:rPr>
            <w:rStyle w:val="Hyperlink"/>
            <w:sz w:val="20"/>
            <w:szCs w:val="20"/>
          </w:rPr>
          <w:t>16.2.2.3</w:t>
        </w:r>
        <w:r w:rsidR="001037E0" w:rsidRPr="001037E0">
          <w:rPr>
            <w:rFonts w:eastAsiaTheme="minorEastAsia"/>
            <w:kern w:val="2"/>
            <w:sz w:val="20"/>
            <w:szCs w:val="20"/>
            <w14:ligatures w14:val="standardContextual"/>
          </w:rPr>
          <w:tab/>
        </w:r>
        <w:r w:rsidR="001037E0" w:rsidRPr="001037E0">
          <w:rPr>
            <w:rStyle w:val="Hyperlink"/>
            <w:sz w:val="20"/>
            <w:szCs w:val="20"/>
          </w:rPr>
          <w:t>ERCOT Approval or Rejection of Qualified Scheduling Entity Application</w:t>
        </w:r>
        <w:r w:rsidR="001037E0" w:rsidRPr="001037E0">
          <w:rPr>
            <w:webHidden/>
            <w:sz w:val="20"/>
            <w:szCs w:val="20"/>
          </w:rPr>
          <w:tab/>
        </w:r>
        <w:r w:rsidR="001037E0" w:rsidRPr="001037E0">
          <w:rPr>
            <w:webHidden/>
            <w:sz w:val="20"/>
            <w:szCs w:val="20"/>
          </w:rPr>
          <w:fldChar w:fldCharType="begin"/>
        </w:r>
        <w:r w:rsidR="001037E0" w:rsidRPr="001037E0">
          <w:rPr>
            <w:webHidden/>
            <w:sz w:val="20"/>
            <w:szCs w:val="20"/>
          </w:rPr>
          <w:instrText xml:space="preserve"> PAGEREF _Toc175159112 \h </w:instrText>
        </w:r>
        <w:r w:rsidR="001037E0" w:rsidRPr="001037E0">
          <w:rPr>
            <w:webHidden/>
            <w:sz w:val="20"/>
            <w:szCs w:val="20"/>
          </w:rPr>
        </w:r>
        <w:r w:rsidR="001037E0" w:rsidRPr="001037E0">
          <w:rPr>
            <w:webHidden/>
            <w:sz w:val="20"/>
            <w:szCs w:val="20"/>
          </w:rPr>
          <w:fldChar w:fldCharType="separate"/>
        </w:r>
        <w:r>
          <w:rPr>
            <w:webHidden/>
            <w:sz w:val="20"/>
            <w:szCs w:val="20"/>
          </w:rPr>
          <w:t>16-11</w:t>
        </w:r>
        <w:r w:rsidR="001037E0" w:rsidRPr="001037E0">
          <w:rPr>
            <w:webHidden/>
            <w:sz w:val="20"/>
            <w:szCs w:val="20"/>
          </w:rPr>
          <w:fldChar w:fldCharType="end"/>
        </w:r>
      </w:hyperlink>
    </w:p>
    <w:p w14:paraId="69FB5A43" w14:textId="5ADAE979" w:rsidR="001037E0" w:rsidRPr="001037E0" w:rsidRDefault="001A683A">
      <w:pPr>
        <w:pStyle w:val="TOC3"/>
        <w:rPr>
          <w:rFonts w:eastAsiaTheme="minorEastAsia"/>
          <w:i w:val="0"/>
          <w:iCs w:val="0"/>
          <w:noProof/>
          <w:kern w:val="2"/>
          <w14:ligatures w14:val="standardContextual"/>
        </w:rPr>
      </w:pPr>
      <w:hyperlink w:anchor="_Toc175159113" w:history="1">
        <w:r w:rsidR="001037E0" w:rsidRPr="001037E0">
          <w:rPr>
            <w:rStyle w:val="Hyperlink"/>
            <w:i w:val="0"/>
            <w:iCs w:val="0"/>
            <w:noProof/>
          </w:rPr>
          <w:t>16.2.3</w:t>
        </w:r>
        <w:r w:rsidR="001037E0" w:rsidRPr="001037E0">
          <w:rPr>
            <w:rFonts w:eastAsiaTheme="minorEastAsia"/>
            <w:i w:val="0"/>
            <w:iCs w:val="0"/>
            <w:noProof/>
            <w:kern w:val="2"/>
            <w14:ligatures w14:val="standardContextual"/>
          </w:rPr>
          <w:tab/>
        </w:r>
        <w:r w:rsidR="001037E0" w:rsidRPr="001037E0">
          <w:rPr>
            <w:rStyle w:val="Hyperlink"/>
            <w:i w:val="0"/>
            <w:iCs w:val="0"/>
            <w:noProof/>
          </w:rPr>
          <w:t>Remaining Steps for Qualified Scheduling Entity Registration</w:t>
        </w:r>
        <w:r w:rsidR="001037E0" w:rsidRPr="001037E0">
          <w:rPr>
            <w:i w:val="0"/>
            <w:iCs w:val="0"/>
            <w:noProof/>
            <w:webHidden/>
          </w:rPr>
          <w:tab/>
        </w:r>
        <w:r w:rsidR="001037E0" w:rsidRPr="001037E0">
          <w:rPr>
            <w:i w:val="0"/>
            <w:iCs w:val="0"/>
            <w:noProof/>
            <w:webHidden/>
          </w:rPr>
          <w:fldChar w:fldCharType="begin"/>
        </w:r>
        <w:r w:rsidR="001037E0" w:rsidRPr="001037E0">
          <w:rPr>
            <w:i w:val="0"/>
            <w:iCs w:val="0"/>
            <w:noProof/>
            <w:webHidden/>
          </w:rPr>
          <w:instrText xml:space="preserve"> PAGEREF _Toc175159113 \h </w:instrText>
        </w:r>
        <w:r w:rsidR="001037E0" w:rsidRPr="001037E0">
          <w:rPr>
            <w:i w:val="0"/>
            <w:iCs w:val="0"/>
            <w:noProof/>
            <w:webHidden/>
          </w:rPr>
        </w:r>
        <w:r w:rsidR="001037E0" w:rsidRPr="001037E0">
          <w:rPr>
            <w:i w:val="0"/>
            <w:iCs w:val="0"/>
            <w:noProof/>
            <w:webHidden/>
          </w:rPr>
          <w:fldChar w:fldCharType="separate"/>
        </w:r>
        <w:r>
          <w:rPr>
            <w:i w:val="0"/>
            <w:iCs w:val="0"/>
            <w:noProof/>
            <w:webHidden/>
          </w:rPr>
          <w:t>16-12</w:t>
        </w:r>
        <w:r w:rsidR="001037E0" w:rsidRPr="001037E0">
          <w:rPr>
            <w:i w:val="0"/>
            <w:iCs w:val="0"/>
            <w:noProof/>
            <w:webHidden/>
          </w:rPr>
          <w:fldChar w:fldCharType="end"/>
        </w:r>
      </w:hyperlink>
    </w:p>
    <w:p w14:paraId="6AC2BAE4" w14:textId="775A3521" w:rsidR="001037E0" w:rsidRPr="001037E0" w:rsidRDefault="001A683A">
      <w:pPr>
        <w:pStyle w:val="TOC4"/>
        <w:rPr>
          <w:rFonts w:eastAsiaTheme="minorEastAsia"/>
          <w:kern w:val="2"/>
          <w:sz w:val="20"/>
          <w:szCs w:val="20"/>
          <w14:ligatures w14:val="standardContextual"/>
        </w:rPr>
      </w:pPr>
      <w:hyperlink w:anchor="_Toc175159114" w:history="1">
        <w:r w:rsidR="001037E0" w:rsidRPr="001037E0">
          <w:rPr>
            <w:rStyle w:val="Hyperlink"/>
            <w:sz w:val="20"/>
            <w:szCs w:val="20"/>
          </w:rPr>
          <w:t>16.2.3.1</w:t>
        </w:r>
        <w:r w:rsidR="001037E0" w:rsidRPr="001037E0">
          <w:rPr>
            <w:rFonts w:eastAsiaTheme="minorEastAsia"/>
            <w:kern w:val="2"/>
            <w:sz w:val="20"/>
            <w:szCs w:val="20"/>
            <w14:ligatures w14:val="standardContextual"/>
          </w:rPr>
          <w:tab/>
        </w:r>
        <w:r w:rsidR="001037E0" w:rsidRPr="001037E0">
          <w:rPr>
            <w:rStyle w:val="Hyperlink"/>
            <w:sz w:val="20"/>
            <w:szCs w:val="20"/>
          </w:rPr>
          <w:t>Process to Gain Approval to Follow DSR Load</w:t>
        </w:r>
        <w:r w:rsidR="001037E0" w:rsidRPr="001037E0">
          <w:rPr>
            <w:webHidden/>
            <w:sz w:val="20"/>
            <w:szCs w:val="20"/>
          </w:rPr>
          <w:tab/>
        </w:r>
        <w:r w:rsidR="001037E0" w:rsidRPr="001037E0">
          <w:rPr>
            <w:webHidden/>
            <w:sz w:val="20"/>
            <w:szCs w:val="20"/>
          </w:rPr>
          <w:fldChar w:fldCharType="begin"/>
        </w:r>
        <w:r w:rsidR="001037E0" w:rsidRPr="001037E0">
          <w:rPr>
            <w:webHidden/>
            <w:sz w:val="20"/>
            <w:szCs w:val="20"/>
          </w:rPr>
          <w:instrText xml:space="preserve"> PAGEREF _Toc175159114 \h </w:instrText>
        </w:r>
        <w:r w:rsidR="001037E0" w:rsidRPr="001037E0">
          <w:rPr>
            <w:webHidden/>
            <w:sz w:val="20"/>
            <w:szCs w:val="20"/>
          </w:rPr>
        </w:r>
        <w:r w:rsidR="001037E0" w:rsidRPr="001037E0">
          <w:rPr>
            <w:webHidden/>
            <w:sz w:val="20"/>
            <w:szCs w:val="20"/>
          </w:rPr>
          <w:fldChar w:fldCharType="separate"/>
        </w:r>
        <w:r>
          <w:rPr>
            <w:webHidden/>
            <w:sz w:val="20"/>
            <w:szCs w:val="20"/>
          </w:rPr>
          <w:t>16-13</w:t>
        </w:r>
        <w:r w:rsidR="001037E0" w:rsidRPr="001037E0">
          <w:rPr>
            <w:webHidden/>
            <w:sz w:val="20"/>
            <w:szCs w:val="20"/>
          </w:rPr>
          <w:fldChar w:fldCharType="end"/>
        </w:r>
      </w:hyperlink>
    </w:p>
    <w:p w14:paraId="4B88B503" w14:textId="1206BD03" w:rsidR="001037E0" w:rsidRPr="001037E0" w:rsidRDefault="001A683A">
      <w:pPr>
        <w:pStyle w:val="TOC4"/>
        <w:rPr>
          <w:rFonts w:eastAsiaTheme="minorEastAsia"/>
          <w:kern w:val="2"/>
          <w:sz w:val="20"/>
          <w:szCs w:val="20"/>
          <w14:ligatures w14:val="standardContextual"/>
        </w:rPr>
      </w:pPr>
      <w:hyperlink w:anchor="_Toc175159115" w:history="1">
        <w:r w:rsidR="001037E0" w:rsidRPr="001037E0">
          <w:rPr>
            <w:rStyle w:val="Hyperlink"/>
            <w:sz w:val="20"/>
            <w:szCs w:val="20"/>
          </w:rPr>
          <w:t>16.2.3.2</w:t>
        </w:r>
        <w:r w:rsidR="001037E0" w:rsidRPr="001037E0">
          <w:rPr>
            <w:rFonts w:eastAsiaTheme="minorEastAsia"/>
            <w:kern w:val="2"/>
            <w:sz w:val="20"/>
            <w:szCs w:val="20"/>
            <w14:ligatures w14:val="standardContextual"/>
          </w:rPr>
          <w:tab/>
        </w:r>
        <w:r w:rsidR="001037E0" w:rsidRPr="001037E0">
          <w:rPr>
            <w:rStyle w:val="Hyperlink"/>
            <w:sz w:val="20"/>
            <w:szCs w:val="20"/>
          </w:rPr>
          <w:t>Maintaining and Updating QSE Information</w:t>
        </w:r>
        <w:r w:rsidR="001037E0" w:rsidRPr="001037E0">
          <w:rPr>
            <w:webHidden/>
            <w:sz w:val="20"/>
            <w:szCs w:val="20"/>
          </w:rPr>
          <w:tab/>
        </w:r>
        <w:r w:rsidR="001037E0" w:rsidRPr="001037E0">
          <w:rPr>
            <w:webHidden/>
            <w:sz w:val="20"/>
            <w:szCs w:val="20"/>
          </w:rPr>
          <w:fldChar w:fldCharType="begin"/>
        </w:r>
        <w:r w:rsidR="001037E0" w:rsidRPr="001037E0">
          <w:rPr>
            <w:webHidden/>
            <w:sz w:val="20"/>
            <w:szCs w:val="20"/>
          </w:rPr>
          <w:instrText xml:space="preserve"> PAGEREF _Toc175159115 \h </w:instrText>
        </w:r>
        <w:r w:rsidR="001037E0" w:rsidRPr="001037E0">
          <w:rPr>
            <w:webHidden/>
            <w:sz w:val="20"/>
            <w:szCs w:val="20"/>
          </w:rPr>
        </w:r>
        <w:r w:rsidR="001037E0" w:rsidRPr="001037E0">
          <w:rPr>
            <w:webHidden/>
            <w:sz w:val="20"/>
            <w:szCs w:val="20"/>
          </w:rPr>
          <w:fldChar w:fldCharType="separate"/>
        </w:r>
        <w:r>
          <w:rPr>
            <w:webHidden/>
            <w:sz w:val="20"/>
            <w:szCs w:val="20"/>
          </w:rPr>
          <w:t>16-13</w:t>
        </w:r>
        <w:r w:rsidR="001037E0" w:rsidRPr="001037E0">
          <w:rPr>
            <w:webHidden/>
            <w:sz w:val="20"/>
            <w:szCs w:val="20"/>
          </w:rPr>
          <w:fldChar w:fldCharType="end"/>
        </w:r>
      </w:hyperlink>
    </w:p>
    <w:p w14:paraId="56951B6A" w14:textId="78174478" w:rsidR="001037E0" w:rsidRPr="001037E0" w:rsidRDefault="001A683A">
      <w:pPr>
        <w:pStyle w:val="TOC4"/>
        <w:rPr>
          <w:rFonts w:eastAsiaTheme="minorEastAsia"/>
          <w:kern w:val="2"/>
          <w:sz w:val="20"/>
          <w:szCs w:val="20"/>
          <w14:ligatures w14:val="standardContextual"/>
        </w:rPr>
      </w:pPr>
      <w:hyperlink w:anchor="_Toc175159116" w:history="1">
        <w:r w:rsidR="001037E0" w:rsidRPr="001037E0">
          <w:rPr>
            <w:rStyle w:val="Hyperlink"/>
            <w:sz w:val="20"/>
            <w:szCs w:val="20"/>
          </w:rPr>
          <w:t>16.2.3.3</w:t>
        </w:r>
        <w:r w:rsidR="001037E0" w:rsidRPr="001037E0">
          <w:rPr>
            <w:rFonts w:eastAsiaTheme="minorEastAsia"/>
            <w:kern w:val="2"/>
            <w:sz w:val="20"/>
            <w:szCs w:val="20"/>
            <w14:ligatures w14:val="standardContextual"/>
          </w:rPr>
          <w:tab/>
        </w:r>
        <w:r w:rsidR="001037E0" w:rsidRPr="001037E0">
          <w:rPr>
            <w:rStyle w:val="Hyperlink"/>
            <w:sz w:val="20"/>
            <w:szCs w:val="20"/>
          </w:rPr>
          <w:t>Qualified Scheduling Entity Service Termination</w:t>
        </w:r>
        <w:r w:rsidR="001037E0" w:rsidRPr="001037E0">
          <w:rPr>
            <w:webHidden/>
            <w:sz w:val="20"/>
            <w:szCs w:val="20"/>
          </w:rPr>
          <w:tab/>
        </w:r>
        <w:r w:rsidR="001037E0" w:rsidRPr="001037E0">
          <w:rPr>
            <w:webHidden/>
            <w:sz w:val="20"/>
            <w:szCs w:val="20"/>
          </w:rPr>
          <w:fldChar w:fldCharType="begin"/>
        </w:r>
        <w:r w:rsidR="001037E0" w:rsidRPr="001037E0">
          <w:rPr>
            <w:webHidden/>
            <w:sz w:val="20"/>
            <w:szCs w:val="20"/>
          </w:rPr>
          <w:instrText xml:space="preserve"> PAGEREF _Toc175159116 \h </w:instrText>
        </w:r>
        <w:r w:rsidR="001037E0" w:rsidRPr="001037E0">
          <w:rPr>
            <w:webHidden/>
            <w:sz w:val="20"/>
            <w:szCs w:val="20"/>
          </w:rPr>
        </w:r>
        <w:r w:rsidR="001037E0" w:rsidRPr="001037E0">
          <w:rPr>
            <w:webHidden/>
            <w:sz w:val="20"/>
            <w:szCs w:val="20"/>
          </w:rPr>
          <w:fldChar w:fldCharType="separate"/>
        </w:r>
        <w:r>
          <w:rPr>
            <w:webHidden/>
            <w:sz w:val="20"/>
            <w:szCs w:val="20"/>
          </w:rPr>
          <w:t>16-13</w:t>
        </w:r>
        <w:r w:rsidR="001037E0" w:rsidRPr="001037E0">
          <w:rPr>
            <w:webHidden/>
            <w:sz w:val="20"/>
            <w:szCs w:val="20"/>
          </w:rPr>
          <w:fldChar w:fldCharType="end"/>
        </w:r>
      </w:hyperlink>
    </w:p>
    <w:p w14:paraId="31499DDB" w14:textId="1F97E8EE" w:rsidR="001037E0" w:rsidRPr="001037E0" w:rsidRDefault="001A683A">
      <w:pPr>
        <w:pStyle w:val="TOC3"/>
        <w:rPr>
          <w:rFonts w:eastAsiaTheme="minorEastAsia"/>
          <w:i w:val="0"/>
          <w:iCs w:val="0"/>
          <w:noProof/>
          <w:kern w:val="2"/>
          <w14:ligatures w14:val="standardContextual"/>
        </w:rPr>
      </w:pPr>
      <w:hyperlink w:anchor="_Toc175159117" w:history="1">
        <w:r w:rsidR="001037E0" w:rsidRPr="001037E0">
          <w:rPr>
            <w:rStyle w:val="Hyperlink"/>
            <w:i w:val="0"/>
            <w:iCs w:val="0"/>
            <w:noProof/>
          </w:rPr>
          <w:t>16.2.4</w:t>
        </w:r>
        <w:r w:rsidR="001037E0" w:rsidRPr="001037E0">
          <w:rPr>
            <w:rFonts w:eastAsiaTheme="minorEastAsia"/>
            <w:i w:val="0"/>
            <w:iCs w:val="0"/>
            <w:noProof/>
            <w:kern w:val="2"/>
            <w14:ligatures w14:val="standardContextual"/>
          </w:rPr>
          <w:tab/>
        </w:r>
        <w:r w:rsidR="001037E0" w:rsidRPr="001037E0">
          <w:rPr>
            <w:rStyle w:val="Hyperlink"/>
            <w:i w:val="0"/>
            <w:iCs w:val="0"/>
            <w:noProof/>
          </w:rPr>
          <w:t>Posting of Qualified Scheduling Entity List</w:t>
        </w:r>
        <w:r w:rsidR="001037E0" w:rsidRPr="001037E0">
          <w:rPr>
            <w:i w:val="0"/>
            <w:iCs w:val="0"/>
            <w:noProof/>
            <w:webHidden/>
          </w:rPr>
          <w:tab/>
        </w:r>
        <w:r w:rsidR="001037E0" w:rsidRPr="001037E0">
          <w:rPr>
            <w:i w:val="0"/>
            <w:iCs w:val="0"/>
            <w:noProof/>
            <w:webHidden/>
          </w:rPr>
          <w:fldChar w:fldCharType="begin"/>
        </w:r>
        <w:r w:rsidR="001037E0" w:rsidRPr="001037E0">
          <w:rPr>
            <w:i w:val="0"/>
            <w:iCs w:val="0"/>
            <w:noProof/>
            <w:webHidden/>
          </w:rPr>
          <w:instrText xml:space="preserve"> PAGEREF _Toc175159117 \h </w:instrText>
        </w:r>
        <w:r w:rsidR="001037E0" w:rsidRPr="001037E0">
          <w:rPr>
            <w:i w:val="0"/>
            <w:iCs w:val="0"/>
            <w:noProof/>
            <w:webHidden/>
          </w:rPr>
        </w:r>
        <w:r w:rsidR="001037E0" w:rsidRPr="001037E0">
          <w:rPr>
            <w:i w:val="0"/>
            <w:iCs w:val="0"/>
            <w:noProof/>
            <w:webHidden/>
          </w:rPr>
          <w:fldChar w:fldCharType="separate"/>
        </w:r>
        <w:r>
          <w:rPr>
            <w:i w:val="0"/>
            <w:iCs w:val="0"/>
            <w:noProof/>
            <w:webHidden/>
          </w:rPr>
          <w:t>16-14</w:t>
        </w:r>
        <w:r w:rsidR="001037E0" w:rsidRPr="001037E0">
          <w:rPr>
            <w:i w:val="0"/>
            <w:iCs w:val="0"/>
            <w:noProof/>
            <w:webHidden/>
          </w:rPr>
          <w:fldChar w:fldCharType="end"/>
        </w:r>
      </w:hyperlink>
    </w:p>
    <w:p w14:paraId="7039A70F" w14:textId="605F8A60" w:rsidR="001037E0" w:rsidRPr="001037E0" w:rsidRDefault="001A683A">
      <w:pPr>
        <w:pStyle w:val="TOC3"/>
        <w:rPr>
          <w:rFonts w:eastAsiaTheme="minorEastAsia"/>
          <w:i w:val="0"/>
          <w:iCs w:val="0"/>
          <w:noProof/>
          <w:kern w:val="2"/>
          <w14:ligatures w14:val="standardContextual"/>
        </w:rPr>
      </w:pPr>
      <w:hyperlink w:anchor="_Toc175159118" w:history="1">
        <w:r w:rsidR="001037E0" w:rsidRPr="001037E0">
          <w:rPr>
            <w:rStyle w:val="Hyperlink"/>
            <w:i w:val="0"/>
            <w:iCs w:val="0"/>
            <w:noProof/>
          </w:rPr>
          <w:t>16.2.5</w:t>
        </w:r>
        <w:r w:rsidR="001037E0" w:rsidRPr="001037E0">
          <w:rPr>
            <w:rFonts w:eastAsiaTheme="minorEastAsia"/>
            <w:i w:val="0"/>
            <w:iCs w:val="0"/>
            <w:noProof/>
            <w:kern w:val="2"/>
            <w14:ligatures w14:val="standardContextual"/>
          </w:rPr>
          <w:tab/>
        </w:r>
        <w:r w:rsidR="001037E0" w:rsidRPr="001037E0">
          <w:rPr>
            <w:rStyle w:val="Hyperlink"/>
            <w:i w:val="0"/>
            <w:iCs w:val="0"/>
            <w:noProof/>
          </w:rPr>
          <w:t>Suspended or Terminated Qualified Scheduling Entity – Notification to LSEs and Resource Entities Represented</w:t>
        </w:r>
        <w:r w:rsidR="001037E0" w:rsidRPr="001037E0">
          <w:rPr>
            <w:i w:val="0"/>
            <w:iCs w:val="0"/>
            <w:noProof/>
            <w:webHidden/>
          </w:rPr>
          <w:tab/>
        </w:r>
        <w:r w:rsidR="001037E0" w:rsidRPr="001037E0">
          <w:rPr>
            <w:i w:val="0"/>
            <w:iCs w:val="0"/>
            <w:noProof/>
            <w:webHidden/>
          </w:rPr>
          <w:fldChar w:fldCharType="begin"/>
        </w:r>
        <w:r w:rsidR="001037E0" w:rsidRPr="001037E0">
          <w:rPr>
            <w:i w:val="0"/>
            <w:iCs w:val="0"/>
            <w:noProof/>
            <w:webHidden/>
          </w:rPr>
          <w:instrText xml:space="preserve"> PAGEREF _Toc175159118 \h </w:instrText>
        </w:r>
        <w:r w:rsidR="001037E0" w:rsidRPr="001037E0">
          <w:rPr>
            <w:i w:val="0"/>
            <w:iCs w:val="0"/>
            <w:noProof/>
            <w:webHidden/>
          </w:rPr>
        </w:r>
        <w:r w:rsidR="001037E0" w:rsidRPr="001037E0">
          <w:rPr>
            <w:i w:val="0"/>
            <w:iCs w:val="0"/>
            <w:noProof/>
            <w:webHidden/>
          </w:rPr>
          <w:fldChar w:fldCharType="separate"/>
        </w:r>
        <w:r>
          <w:rPr>
            <w:i w:val="0"/>
            <w:iCs w:val="0"/>
            <w:noProof/>
            <w:webHidden/>
          </w:rPr>
          <w:t>16-14</w:t>
        </w:r>
        <w:r w:rsidR="001037E0" w:rsidRPr="001037E0">
          <w:rPr>
            <w:i w:val="0"/>
            <w:iCs w:val="0"/>
            <w:noProof/>
            <w:webHidden/>
          </w:rPr>
          <w:fldChar w:fldCharType="end"/>
        </w:r>
      </w:hyperlink>
    </w:p>
    <w:p w14:paraId="6ECAD5BE" w14:textId="3E21FE9D" w:rsidR="001037E0" w:rsidRPr="001037E0" w:rsidRDefault="001A683A">
      <w:pPr>
        <w:pStyle w:val="TOC3"/>
        <w:rPr>
          <w:rFonts w:eastAsiaTheme="minorEastAsia"/>
          <w:i w:val="0"/>
          <w:iCs w:val="0"/>
          <w:noProof/>
          <w:kern w:val="2"/>
          <w14:ligatures w14:val="standardContextual"/>
        </w:rPr>
      </w:pPr>
      <w:hyperlink w:anchor="_Toc175159119" w:history="1">
        <w:r w:rsidR="001037E0" w:rsidRPr="001037E0">
          <w:rPr>
            <w:rStyle w:val="Hyperlink"/>
            <w:i w:val="0"/>
            <w:iCs w:val="0"/>
            <w:noProof/>
          </w:rPr>
          <w:t>16.2.6</w:t>
        </w:r>
        <w:r w:rsidR="001037E0" w:rsidRPr="001037E0">
          <w:rPr>
            <w:rFonts w:eastAsiaTheme="minorEastAsia"/>
            <w:i w:val="0"/>
            <w:iCs w:val="0"/>
            <w:noProof/>
            <w:kern w:val="2"/>
            <w14:ligatures w14:val="standardContextual"/>
          </w:rPr>
          <w:tab/>
        </w:r>
        <w:r w:rsidR="001037E0" w:rsidRPr="001037E0">
          <w:rPr>
            <w:rStyle w:val="Hyperlink"/>
            <w:i w:val="0"/>
            <w:iCs w:val="0"/>
            <w:noProof/>
          </w:rPr>
          <w:t>Emergency Qualified Scheduling Entity</w:t>
        </w:r>
        <w:r w:rsidR="001037E0" w:rsidRPr="001037E0">
          <w:rPr>
            <w:i w:val="0"/>
            <w:iCs w:val="0"/>
            <w:noProof/>
            <w:webHidden/>
          </w:rPr>
          <w:tab/>
        </w:r>
        <w:r w:rsidR="001037E0" w:rsidRPr="001037E0">
          <w:rPr>
            <w:i w:val="0"/>
            <w:iCs w:val="0"/>
            <w:noProof/>
            <w:webHidden/>
          </w:rPr>
          <w:fldChar w:fldCharType="begin"/>
        </w:r>
        <w:r w:rsidR="001037E0" w:rsidRPr="001037E0">
          <w:rPr>
            <w:i w:val="0"/>
            <w:iCs w:val="0"/>
            <w:noProof/>
            <w:webHidden/>
          </w:rPr>
          <w:instrText xml:space="preserve"> PAGEREF _Toc175159119 \h </w:instrText>
        </w:r>
        <w:r w:rsidR="001037E0" w:rsidRPr="001037E0">
          <w:rPr>
            <w:i w:val="0"/>
            <w:iCs w:val="0"/>
            <w:noProof/>
            <w:webHidden/>
          </w:rPr>
        </w:r>
        <w:r w:rsidR="001037E0" w:rsidRPr="001037E0">
          <w:rPr>
            <w:i w:val="0"/>
            <w:iCs w:val="0"/>
            <w:noProof/>
            <w:webHidden/>
          </w:rPr>
          <w:fldChar w:fldCharType="separate"/>
        </w:r>
        <w:r>
          <w:rPr>
            <w:i w:val="0"/>
            <w:iCs w:val="0"/>
            <w:noProof/>
            <w:webHidden/>
          </w:rPr>
          <w:t>16-15</w:t>
        </w:r>
        <w:r w:rsidR="001037E0" w:rsidRPr="001037E0">
          <w:rPr>
            <w:i w:val="0"/>
            <w:iCs w:val="0"/>
            <w:noProof/>
            <w:webHidden/>
          </w:rPr>
          <w:fldChar w:fldCharType="end"/>
        </w:r>
      </w:hyperlink>
    </w:p>
    <w:p w14:paraId="7676DE6B" w14:textId="0F3282CF" w:rsidR="001037E0" w:rsidRPr="001037E0" w:rsidRDefault="001A683A">
      <w:pPr>
        <w:pStyle w:val="TOC4"/>
        <w:rPr>
          <w:rFonts w:eastAsiaTheme="minorEastAsia"/>
          <w:kern w:val="2"/>
          <w:sz w:val="20"/>
          <w:szCs w:val="20"/>
          <w14:ligatures w14:val="standardContextual"/>
        </w:rPr>
      </w:pPr>
      <w:hyperlink w:anchor="_Toc175159120" w:history="1">
        <w:r w:rsidR="001037E0" w:rsidRPr="001037E0">
          <w:rPr>
            <w:rStyle w:val="Hyperlink"/>
            <w:sz w:val="20"/>
            <w:szCs w:val="20"/>
          </w:rPr>
          <w:t>16.2.6.1</w:t>
        </w:r>
        <w:r w:rsidR="001037E0" w:rsidRPr="001037E0">
          <w:rPr>
            <w:rFonts w:eastAsiaTheme="minorEastAsia"/>
            <w:kern w:val="2"/>
            <w:sz w:val="20"/>
            <w:szCs w:val="20"/>
            <w14:ligatures w14:val="standardContextual"/>
          </w:rPr>
          <w:tab/>
        </w:r>
        <w:r w:rsidR="001037E0" w:rsidRPr="001037E0">
          <w:rPr>
            <w:rStyle w:val="Hyperlink"/>
            <w:sz w:val="20"/>
            <w:szCs w:val="20"/>
          </w:rPr>
          <w:t>Designation as an Emergency Qualified Scheduling Entity or Virtual Qualified Scheduling Entity</w:t>
        </w:r>
        <w:r w:rsidR="001037E0" w:rsidRPr="001037E0">
          <w:rPr>
            <w:webHidden/>
            <w:sz w:val="20"/>
            <w:szCs w:val="20"/>
          </w:rPr>
          <w:tab/>
        </w:r>
        <w:r w:rsidR="001037E0" w:rsidRPr="001037E0">
          <w:rPr>
            <w:webHidden/>
            <w:sz w:val="20"/>
            <w:szCs w:val="20"/>
          </w:rPr>
          <w:fldChar w:fldCharType="begin"/>
        </w:r>
        <w:r w:rsidR="001037E0" w:rsidRPr="001037E0">
          <w:rPr>
            <w:webHidden/>
            <w:sz w:val="20"/>
            <w:szCs w:val="20"/>
          </w:rPr>
          <w:instrText xml:space="preserve"> PAGEREF _Toc175159120 \h </w:instrText>
        </w:r>
        <w:r w:rsidR="001037E0" w:rsidRPr="001037E0">
          <w:rPr>
            <w:webHidden/>
            <w:sz w:val="20"/>
            <w:szCs w:val="20"/>
          </w:rPr>
        </w:r>
        <w:r w:rsidR="001037E0" w:rsidRPr="001037E0">
          <w:rPr>
            <w:webHidden/>
            <w:sz w:val="20"/>
            <w:szCs w:val="20"/>
          </w:rPr>
          <w:fldChar w:fldCharType="separate"/>
        </w:r>
        <w:r>
          <w:rPr>
            <w:webHidden/>
            <w:sz w:val="20"/>
            <w:szCs w:val="20"/>
          </w:rPr>
          <w:t>16-15</w:t>
        </w:r>
        <w:r w:rsidR="001037E0" w:rsidRPr="001037E0">
          <w:rPr>
            <w:webHidden/>
            <w:sz w:val="20"/>
            <w:szCs w:val="20"/>
          </w:rPr>
          <w:fldChar w:fldCharType="end"/>
        </w:r>
      </w:hyperlink>
    </w:p>
    <w:p w14:paraId="493FAD93" w14:textId="634D7A15" w:rsidR="001037E0" w:rsidRPr="001037E0" w:rsidRDefault="001A683A">
      <w:pPr>
        <w:pStyle w:val="TOC4"/>
        <w:rPr>
          <w:rFonts w:eastAsiaTheme="minorEastAsia"/>
          <w:kern w:val="2"/>
          <w:sz w:val="20"/>
          <w:szCs w:val="20"/>
          <w14:ligatures w14:val="standardContextual"/>
        </w:rPr>
      </w:pPr>
      <w:hyperlink w:anchor="_Toc175159121" w:history="1">
        <w:r w:rsidR="001037E0" w:rsidRPr="001037E0">
          <w:rPr>
            <w:rStyle w:val="Hyperlink"/>
            <w:sz w:val="20"/>
            <w:szCs w:val="20"/>
          </w:rPr>
          <w:t>16.2.6.2</w:t>
        </w:r>
        <w:r w:rsidR="001037E0" w:rsidRPr="001037E0">
          <w:rPr>
            <w:rFonts w:eastAsiaTheme="minorEastAsia"/>
            <w:kern w:val="2"/>
            <w:sz w:val="20"/>
            <w:szCs w:val="20"/>
            <w14:ligatures w14:val="standardContextual"/>
          </w:rPr>
          <w:tab/>
        </w:r>
        <w:r w:rsidR="001037E0" w:rsidRPr="001037E0">
          <w:rPr>
            <w:rStyle w:val="Hyperlink"/>
            <w:sz w:val="20"/>
            <w:szCs w:val="20"/>
          </w:rPr>
          <w:t>Market Participation by an Emergency Qualified Scheduling Entity or a Virtual Qualified Scheduling Entity</w:t>
        </w:r>
        <w:r w:rsidR="001037E0" w:rsidRPr="001037E0">
          <w:rPr>
            <w:webHidden/>
            <w:sz w:val="20"/>
            <w:szCs w:val="20"/>
          </w:rPr>
          <w:tab/>
        </w:r>
        <w:r w:rsidR="001037E0" w:rsidRPr="001037E0">
          <w:rPr>
            <w:webHidden/>
            <w:sz w:val="20"/>
            <w:szCs w:val="20"/>
          </w:rPr>
          <w:fldChar w:fldCharType="begin"/>
        </w:r>
        <w:r w:rsidR="001037E0" w:rsidRPr="001037E0">
          <w:rPr>
            <w:webHidden/>
            <w:sz w:val="20"/>
            <w:szCs w:val="20"/>
          </w:rPr>
          <w:instrText xml:space="preserve"> PAGEREF _Toc175159121 \h </w:instrText>
        </w:r>
        <w:r w:rsidR="001037E0" w:rsidRPr="001037E0">
          <w:rPr>
            <w:webHidden/>
            <w:sz w:val="20"/>
            <w:szCs w:val="20"/>
          </w:rPr>
        </w:r>
        <w:r w:rsidR="001037E0" w:rsidRPr="001037E0">
          <w:rPr>
            <w:webHidden/>
            <w:sz w:val="20"/>
            <w:szCs w:val="20"/>
          </w:rPr>
          <w:fldChar w:fldCharType="separate"/>
        </w:r>
        <w:r>
          <w:rPr>
            <w:webHidden/>
            <w:sz w:val="20"/>
            <w:szCs w:val="20"/>
          </w:rPr>
          <w:t>16-16</w:t>
        </w:r>
        <w:r w:rsidR="001037E0" w:rsidRPr="001037E0">
          <w:rPr>
            <w:webHidden/>
            <w:sz w:val="20"/>
            <w:szCs w:val="20"/>
          </w:rPr>
          <w:fldChar w:fldCharType="end"/>
        </w:r>
      </w:hyperlink>
    </w:p>
    <w:p w14:paraId="2AF2C03D" w14:textId="04628137" w:rsidR="001037E0" w:rsidRPr="001037E0" w:rsidRDefault="001A683A">
      <w:pPr>
        <w:pStyle w:val="TOC4"/>
        <w:rPr>
          <w:rFonts w:eastAsiaTheme="minorEastAsia"/>
          <w:kern w:val="2"/>
          <w:sz w:val="20"/>
          <w:szCs w:val="20"/>
          <w14:ligatures w14:val="standardContextual"/>
        </w:rPr>
      </w:pPr>
      <w:hyperlink w:anchor="_Toc175159122" w:history="1">
        <w:r w:rsidR="001037E0" w:rsidRPr="001037E0">
          <w:rPr>
            <w:rStyle w:val="Hyperlink"/>
            <w:sz w:val="20"/>
            <w:szCs w:val="20"/>
          </w:rPr>
          <w:t>16.2.6.3</w:t>
        </w:r>
        <w:r w:rsidR="001037E0" w:rsidRPr="001037E0">
          <w:rPr>
            <w:rFonts w:eastAsiaTheme="minorEastAsia"/>
            <w:kern w:val="2"/>
            <w:sz w:val="20"/>
            <w:szCs w:val="20"/>
            <w14:ligatures w14:val="standardContextual"/>
          </w:rPr>
          <w:tab/>
        </w:r>
        <w:r w:rsidR="001037E0" w:rsidRPr="001037E0">
          <w:rPr>
            <w:rStyle w:val="Hyperlink"/>
            <w:sz w:val="20"/>
            <w:szCs w:val="20"/>
          </w:rPr>
          <w:t>Requirement to Obtain New Qualified Scheduling Entity or Qualified Scheduling Entity Qualification</w:t>
        </w:r>
        <w:r w:rsidR="001037E0" w:rsidRPr="001037E0">
          <w:rPr>
            <w:webHidden/>
            <w:sz w:val="20"/>
            <w:szCs w:val="20"/>
          </w:rPr>
          <w:tab/>
        </w:r>
        <w:r w:rsidR="001037E0" w:rsidRPr="001037E0">
          <w:rPr>
            <w:webHidden/>
            <w:sz w:val="20"/>
            <w:szCs w:val="20"/>
          </w:rPr>
          <w:fldChar w:fldCharType="begin"/>
        </w:r>
        <w:r w:rsidR="001037E0" w:rsidRPr="001037E0">
          <w:rPr>
            <w:webHidden/>
            <w:sz w:val="20"/>
            <w:szCs w:val="20"/>
          </w:rPr>
          <w:instrText xml:space="preserve"> PAGEREF _Toc175159122 \h </w:instrText>
        </w:r>
        <w:r w:rsidR="001037E0" w:rsidRPr="001037E0">
          <w:rPr>
            <w:webHidden/>
            <w:sz w:val="20"/>
            <w:szCs w:val="20"/>
          </w:rPr>
        </w:r>
        <w:r w:rsidR="001037E0" w:rsidRPr="001037E0">
          <w:rPr>
            <w:webHidden/>
            <w:sz w:val="20"/>
            <w:szCs w:val="20"/>
          </w:rPr>
          <w:fldChar w:fldCharType="separate"/>
        </w:r>
        <w:r>
          <w:rPr>
            <w:webHidden/>
            <w:sz w:val="20"/>
            <w:szCs w:val="20"/>
          </w:rPr>
          <w:t>16-16</w:t>
        </w:r>
        <w:r w:rsidR="001037E0" w:rsidRPr="001037E0">
          <w:rPr>
            <w:webHidden/>
            <w:sz w:val="20"/>
            <w:szCs w:val="20"/>
          </w:rPr>
          <w:fldChar w:fldCharType="end"/>
        </w:r>
      </w:hyperlink>
    </w:p>
    <w:p w14:paraId="3DC5A3DA" w14:textId="6062A0A4" w:rsidR="001037E0" w:rsidRPr="001037E0" w:rsidRDefault="001A683A">
      <w:pPr>
        <w:pStyle w:val="TOC3"/>
        <w:rPr>
          <w:rFonts w:eastAsiaTheme="minorEastAsia"/>
          <w:i w:val="0"/>
          <w:iCs w:val="0"/>
          <w:noProof/>
          <w:kern w:val="2"/>
          <w14:ligatures w14:val="standardContextual"/>
        </w:rPr>
      </w:pPr>
      <w:hyperlink w:anchor="_Toc175159123" w:history="1">
        <w:r w:rsidR="001037E0" w:rsidRPr="001037E0">
          <w:rPr>
            <w:rStyle w:val="Hyperlink"/>
            <w:i w:val="0"/>
            <w:iCs w:val="0"/>
            <w:noProof/>
          </w:rPr>
          <w:t>16.2.7</w:t>
        </w:r>
        <w:r w:rsidR="001037E0" w:rsidRPr="001037E0">
          <w:rPr>
            <w:rFonts w:eastAsiaTheme="minorEastAsia"/>
            <w:i w:val="0"/>
            <w:iCs w:val="0"/>
            <w:noProof/>
            <w:kern w:val="2"/>
            <w14:ligatures w14:val="standardContextual"/>
          </w:rPr>
          <w:tab/>
        </w:r>
        <w:r w:rsidR="001037E0" w:rsidRPr="001037E0">
          <w:rPr>
            <w:rStyle w:val="Hyperlink"/>
            <w:i w:val="0"/>
            <w:iCs w:val="0"/>
            <w:noProof/>
          </w:rPr>
          <w:t>Acceleration</w:t>
        </w:r>
        <w:r w:rsidR="001037E0" w:rsidRPr="001037E0">
          <w:rPr>
            <w:i w:val="0"/>
            <w:iCs w:val="0"/>
            <w:noProof/>
            <w:webHidden/>
          </w:rPr>
          <w:tab/>
        </w:r>
        <w:r w:rsidR="001037E0" w:rsidRPr="001037E0">
          <w:rPr>
            <w:i w:val="0"/>
            <w:iCs w:val="0"/>
            <w:noProof/>
            <w:webHidden/>
          </w:rPr>
          <w:fldChar w:fldCharType="begin"/>
        </w:r>
        <w:r w:rsidR="001037E0" w:rsidRPr="001037E0">
          <w:rPr>
            <w:i w:val="0"/>
            <w:iCs w:val="0"/>
            <w:noProof/>
            <w:webHidden/>
          </w:rPr>
          <w:instrText xml:space="preserve"> PAGEREF _Toc175159123 \h </w:instrText>
        </w:r>
        <w:r w:rsidR="001037E0" w:rsidRPr="001037E0">
          <w:rPr>
            <w:i w:val="0"/>
            <w:iCs w:val="0"/>
            <w:noProof/>
            <w:webHidden/>
          </w:rPr>
        </w:r>
        <w:r w:rsidR="001037E0" w:rsidRPr="001037E0">
          <w:rPr>
            <w:i w:val="0"/>
            <w:iCs w:val="0"/>
            <w:noProof/>
            <w:webHidden/>
          </w:rPr>
          <w:fldChar w:fldCharType="separate"/>
        </w:r>
        <w:r>
          <w:rPr>
            <w:i w:val="0"/>
            <w:iCs w:val="0"/>
            <w:noProof/>
            <w:webHidden/>
          </w:rPr>
          <w:t>16-17</w:t>
        </w:r>
        <w:r w:rsidR="001037E0" w:rsidRPr="001037E0">
          <w:rPr>
            <w:i w:val="0"/>
            <w:iCs w:val="0"/>
            <w:noProof/>
            <w:webHidden/>
          </w:rPr>
          <w:fldChar w:fldCharType="end"/>
        </w:r>
      </w:hyperlink>
    </w:p>
    <w:p w14:paraId="622BA4CE" w14:textId="2755F588" w:rsidR="001037E0" w:rsidRPr="001037E0" w:rsidRDefault="001A683A">
      <w:pPr>
        <w:pStyle w:val="TOC2"/>
        <w:rPr>
          <w:rFonts w:eastAsiaTheme="minorEastAsia"/>
          <w:kern w:val="2"/>
          <w14:ligatures w14:val="standardContextual"/>
        </w:rPr>
      </w:pPr>
      <w:hyperlink w:anchor="_Toc175159124" w:history="1">
        <w:r w:rsidR="001037E0" w:rsidRPr="001037E0">
          <w:rPr>
            <w:rStyle w:val="Hyperlink"/>
          </w:rPr>
          <w:t>16.3</w:t>
        </w:r>
        <w:r w:rsidR="001037E0" w:rsidRPr="001037E0">
          <w:rPr>
            <w:rFonts w:eastAsiaTheme="minorEastAsia"/>
            <w:kern w:val="2"/>
            <w14:ligatures w14:val="standardContextual"/>
          </w:rPr>
          <w:tab/>
        </w:r>
        <w:r w:rsidR="001037E0" w:rsidRPr="001037E0">
          <w:rPr>
            <w:rStyle w:val="Hyperlink"/>
          </w:rPr>
          <w:t>Registration of Load Serving Entities</w:t>
        </w:r>
        <w:r w:rsidR="001037E0" w:rsidRPr="001037E0">
          <w:rPr>
            <w:webHidden/>
          </w:rPr>
          <w:tab/>
        </w:r>
        <w:r w:rsidR="001037E0" w:rsidRPr="001037E0">
          <w:rPr>
            <w:webHidden/>
          </w:rPr>
          <w:fldChar w:fldCharType="begin"/>
        </w:r>
        <w:r w:rsidR="001037E0" w:rsidRPr="001037E0">
          <w:rPr>
            <w:webHidden/>
          </w:rPr>
          <w:instrText xml:space="preserve"> PAGEREF _Toc175159124 \h </w:instrText>
        </w:r>
        <w:r w:rsidR="001037E0" w:rsidRPr="001037E0">
          <w:rPr>
            <w:webHidden/>
          </w:rPr>
        </w:r>
        <w:r w:rsidR="001037E0" w:rsidRPr="001037E0">
          <w:rPr>
            <w:webHidden/>
          </w:rPr>
          <w:fldChar w:fldCharType="separate"/>
        </w:r>
        <w:r>
          <w:rPr>
            <w:webHidden/>
          </w:rPr>
          <w:t>16-17</w:t>
        </w:r>
        <w:r w:rsidR="001037E0" w:rsidRPr="001037E0">
          <w:rPr>
            <w:webHidden/>
          </w:rPr>
          <w:fldChar w:fldCharType="end"/>
        </w:r>
      </w:hyperlink>
    </w:p>
    <w:p w14:paraId="3F5E5F08" w14:textId="2971D56C" w:rsidR="001037E0" w:rsidRPr="001037E0" w:rsidRDefault="001A683A">
      <w:pPr>
        <w:pStyle w:val="TOC3"/>
        <w:rPr>
          <w:rFonts w:eastAsiaTheme="minorEastAsia"/>
          <w:i w:val="0"/>
          <w:iCs w:val="0"/>
          <w:noProof/>
          <w:kern w:val="2"/>
          <w14:ligatures w14:val="standardContextual"/>
        </w:rPr>
      </w:pPr>
      <w:hyperlink w:anchor="_Toc175159125" w:history="1">
        <w:r w:rsidR="001037E0" w:rsidRPr="001037E0">
          <w:rPr>
            <w:rStyle w:val="Hyperlink"/>
            <w:i w:val="0"/>
            <w:iCs w:val="0"/>
            <w:noProof/>
          </w:rPr>
          <w:t>16.3.1</w:t>
        </w:r>
        <w:r w:rsidR="001037E0" w:rsidRPr="001037E0">
          <w:rPr>
            <w:rFonts w:eastAsiaTheme="minorEastAsia"/>
            <w:i w:val="0"/>
            <w:iCs w:val="0"/>
            <w:noProof/>
            <w:kern w:val="2"/>
            <w14:ligatures w14:val="standardContextual"/>
          </w:rPr>
          <w:tab/>
        </w:r>
        <w:r w:rsidR="001037E0" w:rsidRPr="001037E0">
          <w:rPr>
            <w:rStyle w:val="Hyperlink"/>
            <w:i w:val="0"/>
            <w:iCs w:val="0"/>
            <w:noProof/>
          </w:rPr>
          <w:t>Technical and Managerial Requirements for LSE Applicants</w:t>
        </w:r>
        <w:r w:rsidR="001037E0" w:rsidRPr="001037E0">
          <w:rPr>
            <w:i w:val="0"/>
            <w:iCs w:val="0"/>
            <w:noProof/>
            <w:webHidden/>
          </w:rPr>
          <w:tab/>
        </w:r>
        <w:r w:rsidR="001037E0" w:rsidRPr="001037E0">
          <w:rPr>
            <w:i w:val="0"/>
            <w:iCs w:val="0"/>
            <w:noProof/>
            <w:webHidden/>
          </w:rPr>
          <w:fldChar w:fldCharType="begin"/>
        </w:r>
        <w:r w:rsidR="001037E0" w:rsidRPr="001037E0">
          <w:rPr>
            <w:i w:val="0"/>
            <w:iCs w:val="0"/>
            <w:noProof/>
            <w:webHidden/>
          </w:rPr>
          <w:instrText xml:space="preserve"> PAGEREF _Toc175159125 \h </w:instrText>
        </w:r>
        <w:r w:rsidR="001037E0" w:rsidRPr="001037E0">
          <w:rPr>
            <w:i w:val="0"/>
            <w:iCs w:val="0"/>
            <w:noProof/>
            <w:webHidden/>
          </w:rPr>
        </w:r>
        <w:r w:rsidR="001037E0" w:rsidRPr="001037E0">
          <w:rPr>
            <w:i w:val="0"/>
            <w:iCs w:val="0"/>
            <w:noProof/>
            <w:webHidden/>
          </w:rPr>
          <w:fldChar w:fldCharType="separate"/>
        </w:r>
        <w:r>
          <w:rPr>
            <w:i w:val="0"/>
            <w:iCs w:val="0"/>
            <w:noProof/>
            <w:webHidden/>
          </w:rPr>
          <w:t>16-18</w:t>
        </w:r>
        <w:r w:rsidR="001037E0" w:rsidRPr="001037E0">
          <w:rPr>
            <w:i w:val="0"/>
            <w:iCs w:val="0"/>
            <w:noProof/>
            <w:webHidden/>
          </w:rPr>
          <w:fldChar w:fldCharType="end"/>
        </w:r>
      </w:hyperlink>
    </w:p>
    <w:p w14:paraId="22709AD6" w14:textId="1348A51C" w:rsidR="001037E0" w:rsidRPr="001037E0" w:rsidRDefault="001A683A">
      <w:pPr>
        <w:pStyle w:val="TOC4"/>
        <w:rPr>
          <w:rFonts w:eastAsiaTheme="minorEastAsia"/>
          <w:kern w:val="2"/>
          <w:sz w:val="20"/>
          <w:szCs w:val="20"/>
          <w14:ligatures w14:val="standardContextual"/>
        </w:rPr>
      </w:pPr>
      <w:hyperlink w:anchor="_Toc175159126" w:history="1">
        <w:r w:rsidR="001037E0" w:rsidRPr="001037E0">
          <w:rPr>
            <w:rStyle w:val="Hyperlink"/>
            <w:sz w:val="20"/>
            <w:szCs w:val="20"/>
          </w:rPr>
          <w:t>16.3.1.1</w:t>
        </w:r>
        <w:r w:rsidR="001037E0" w:rsidRPr="001037E0">
          <w:rPr>
            <w:rFonts w:eastAsiaTheme="minorEastAsia"/>
            <w:kern w:val="2"/>
            <w:sz w:val="20"/>
            <w:szCs w:val="20"/>
            <w14:ligatures w14:val="standardContextual"/>
          </w:rPr>
          <w:tab/>
        </w:r>
        <w:r w:rsidR="001037E0" w:rsidRPr="001037E0">
          <w:rPr>
            <w:rStyle w:val="Hyperlink"/>
            <w:sz w:val="20"/>
            <w:szCs w:val="20"/>
          </w:rPr>
          <w:t>Designation of a Qualified Scheduling Entity</w:t>
        </w:r>
        <w:r w:rsidR="001037E0" w:rsidRPr="001037E0">
          <w:rPr>
            <w:webHidden/>
            <w:sz w:val="20"/>
            <w:szCs w:val="20"/>
          </w:rPr>
          <w:tab/>
        </w:r>
        <w:r w:rsidR="001037E0" w:rsidRPr="001037E0">
          <w:rPr>
            <w:webHidden/>
            <w:sz w:val="20"/>
            <w:szCs w:val="20"/>
          </w:rPr>
          <w:fldChar w:fldCharType="begin"/>
        </w:r>
        <w:r w:rsidR="001037E0" w:rsidRPr="001037E0">
          <w:rPr>
            <w:webHidden/>
            <w:sz w:val="20"/>
            <w:szCs w:val="20"/>
          </w:rPr>
          <w:instrText xml:space="preserve"> PAGEREF _Toc175159126 \h </w:instrText>
        </w:r>
        <w:r w:rsidR="001037E0" w:rsidRPr="001037E0">
          <w:rPr>
            <w:webHidden/>
            <w:sz w:val="20"/>
            <w:szCs w:val="20"/>
          </w:rPr>
        </w:r>
        <w:r w:rsidR="001037E0" w:rsidRPr="001037E0">
          <w:rPr>
            <w:webHidden/>
            <w:sz w:val="20"/>
            <w:szCs w:val="20"/>
          </w:rPr>
          <w:fldChar w:fldCharType="separate"/>
        </w:r>
        <w:r>
          <w:rPr>
            <w:webHidden/>
            <w:sz w:val="20"/>
            <w:szCs w:val="20"/>
          </w:rPr>
          <w:t>16-18</w:t>
        </w:r>
        <w:r w:rsidR="001037E0" w:rsidRPr="001037E0">
          <w:rPr>
            <w:webHidden/>
            <w:sz w:val="20"/>
            <w:szCs w:val="20"/>
          </w:rPr>
          <w:fldChar w:fldCharType="end"/>
        </w:r>
      </w:hyperlink>
    </w:p>
    <w:p w14:paraId="54F0D0EB" w14:textId="1D2BF380" w:rsidR="001037E0" w:rsidRPr="001037E0" w:rsidRDefault="001A683A">
      <w:pPr>
        <w:pStyle w:val="TOC3"/>
        <w:rPr>
          <w:rFonts w:eastAsiaTheme="minorEastAsia"/>
          <w:i w:val="0"/>
          <w:iCs w:val="0"/>
          <w:noProof/>
          <w:kern w:val="2"/>
          <w14:ligatures w14:val="standardContextual"/>
        </w:rPr>
      </w:pPr>
      <w:hyperlink w:anchor="_Toc175159127" w:history="1">
        <w:r w:rsidR="001037E0" w:rsidRPr="001037E0">
          <w:rPr>
            <w:rStyle w:val="Hyperlink"/>
            <w:i w:val="0"/>
            <w:iCs w:val="0"/>
            <w:noProof/>
          </w:rPr>
          <w:t>16.3.2</w:t>
        </w:r>
        <w:r w:rsidR="001037E0" w:rsidRPr="001037E0">
          <w:rPr>
            <w:rFonts w:eastAsiaTheme="minorEastAsia"/>
            <w:i w:val="0"/>
            <w:iCs w:val="0"/>
            <w:noProof/>
            <w:kern w:val="2"/>
            <w14:ligatures w14:val="standardContextual"/>
          </w:rPr>
          <w:tab/>
        </w:r>
        <w:r w:rsidR="001037E0" w:rsidRPr="001037E0">
          <w:rPr>
            <w:rStyle w:val="Hyperlink"/>
            <w:i w:val="0"/>
            <w:iCs w:val="0"/>
            <w:noProof/>
          </w:rPr>
          <w:t>Registration Process for Load Serving Entities</w:t>
        </w:r>
        <w:r w:rsidR="001037E0" w:rsidRPr="001037E0">
          <w:rPr>
            <w:i w:val="0"/>
            <w:iCs w:val="0"/>
            <w:noProof/>
            <w:webHidden/>
          </w:rPr>
          <w:tab/>
        </w:r>
        <w:r w:rsidR="001037E0" w:rsidRPr="001037E0">
          <w:rPr>
            <w:i w:val="0"/>
            <w:iCs w:val="0"/>
            <w:noProof/>
            <w:webHidden/>
          </w:rPr>
          <w:fldChar w:fldCharType="begin"/>
        </w:r>
        <w:r w:rsidR="001037E0" w:rsidRPr="001037E0">
          <w:rPr>
            <w:i w:val="0"/>
            <w:iCs w:val="0"/>
            <w:noProof/>
            <w:webHidden/>
          </w:rPr>
          <w:instrText xml:space="preserve"> PAGEREF _Toc175159127 \h </w:instrText>
        </w:r>
        <w:r w:rsidR="001037E0" w:rsidRPr="001037E0">
          <w:rPr>
            <w:i w:val="0"/>
            <w:iCs w:val="0"/>
            <w:noProof/>
            <w:webHidden/>
          </w:rPr>
        </w:r>
        <w:r w:rsidR="001037E0" w:rsidRPr="001037E0">
          <w:rPr>
            <w:i w:val="0"/>
            <w:iCs w:val="0"/>
            <w:noProof/>
            <w:webHidden/>
          </w:rPr>
          <w:fldChar w:fldCharType="separate"/>
        </w:r>
        <w:r>
          <w:rPr>
            <w:i w:val="0"/>
            <w:iCs w:val="0"/>
            <w:noProof/>
            <w:webHidden/>
          </w:rPr>
          <w:t>16-19</w:t>
        </w:r>
        <w:r w:rsidR="001037E0" w:rsidRPr="001037E0">
          <w:rPr>
            <w:i w:val="0"/>
            <w:iCs w:val="0"/>
            <w:noProof/>
            <w:webHidden/>
          </w:rPr>
          <w:fldChar w:fldCharType="end"/>
        </w:r>
      </w:hyperlink>
    </w:p>
    <w:p w14:paraId="358BA4A8" w14:textId="57BDE3D6" w:rsidR="001037E0" w:rsidRPr="001037E0" w:rsidRDefault="001A683A">
      <w:pPr>
        <w:pStyle w:val="TOC4"/>
        <w:rPr>
          <w:rFonts w:eastAsiaTheme="minorEastAsia"/>
          <w:kern w:val="2"/>
          <w:sz w:val="20"/>
          <w:szCs w:val="20"/>
          <w14:ligatures w14:val="standardContextual"/>
        </w:rPr>
      </w:pPr>
      <w:hyperlink w:anchor="_Toc175159128" w:history="1">
        <w:r w:rsidR="001037E0" w:rsidRPr="001037E0">
          <w:rPr>
            <w:rStyle w:val="Hyperlink"/>
            <w:sz w:val="20"/>
            <w:szCs w:val="20"/>
          </w:rPr>
          <w:t>16.3.2.1</w:t>
        </w:r>
        <w:r w:rsidR="001037E0" w:rsidRPr="001037E0">
          <w:rPr>
            <w:rFonts w:eastAsiaTheme="minorEastAsia"/>
            <w:kern w:val="2"/>
            <w:sz w:val="20"/>
            <w:szCs w:val="20"/>
            <w14:ligatures w14:val="standardContextual"/>
          </w:rPr>
          <w:tab/>
        </w:r>
        <w:r w:rsidR="001037E0" w:rsidRPr="001037E0">
          <w:rPr>
            <w:rStyle w:val="Hyperlink"/>
            <w:sz w:val="20"/>
            <w:szCs w:val="20"/>
          </w:rPr>
          <w:t>Notice of Receipt of Load Serving Entity Application</w:t>
        </w:r>
        <w:r w:rsidR="001037E0" w:rsidRPr="001037E0">
          <w:rPr>
            <w:webHidden/>
            <w:sz w:val="20"/>
            <w:szCs w:val="20"/>
          </w:rPr>
          <w:tab/>
        </w:r>
        <w:r w:rsidR="001037E0" w:rsidRPr="001037E0">
          <w:rPr>
            <w:webHidden/>
            <w:sz w:val="20"/>
            <w:szCs w:val="20"/>
          </w:rPr>
          <w:fldChar w:fldCharType="begin"/>
        </w:r>
        <w:r w:rsidR="001037E0" w:rsidRPr="001037E0">
          <w:rPr>
            <w:webHidden/>
            <w:sz w:val="20"/>
            <w:szCs w:val="20"/>
          </w:rPr>
          <w:instrText xml:space="preserve"> PAGEREF _Toc175159128 \h </w:instrText>
        </w:r>
        <w:r w:rsidR="001037E0" w:rsidRPr="001037E0">
          <w:rPr>
            <w:webHidden/>
            <w:sz w:val="20"/>
            <w:szCs w:val="20"/>
          </w:rPr>
        </w:r>
        <w:r w:rsidR="001037E0" w:rsidRPr="001037E0">
          <w:rPr>
            <w:webHidden/>
            <w:sz w:val="20"/>
            <w:szCs w:val="20"/>
          </w:rPr>
          <w:fldChar w:fldCharType="separate"/>
        </w:r>
        <w:r>
          <w:rPr>
            <w:webHidden/>
            <w:sz w:val="20"/>
            <w:szCs w:val="20"/>
          </w:rPr>
          <w:t>16-19</w:t>
        </w:r>
        <w:r w:rsidR="001037E0" w:rsidRPr="001037E0">
          <w:rPr>
            <w:webHidden/>
            <w:sz w:val="20"/>
            <w:szCs w:val="20"/>
          </w:rPr>
          <w:fldChar w:fldCharType="end"/>
        </w:r>
      </w:hyperlink>
    </w:p>
    <w:p w14:paraId="4938A057" w14:textId="4563839C" w:rsidR="001037E0" w:rsidRPr="001037E0" w:rsidRDefault="001A683A">
      <w:pPr>
        <w:pStyle w:val="TOC4"/>
        <w:rPr>
          <w:rFonts w:eastAsiaTheme="minorEastAsia"/>
          <w:kern w:val="2"/>
          <w:sz w:val="20"/>
          <w:szCs w:val="20"/>
          <w14:ligatures w14:val="standardContextual"/>
        </w:rPr>
      </w:pPr>
      <w:hyperlink w:anchor="_Toc175159129" w:history="1">
        <w:r w:rsidR="001037E0" w:rsidRPr="001037E0">
          <w:rPr>
            <w:rStyle w:val="Hyperlink"/>
            <w:sz w:val="20"/>
            <w:szCs w:val="20"/>
          </w:rPr>
          <w:t>16.3.2.2</w:t>
        </w:r>
        <w:r w:rsidR="001037E0" w:rsidRPr="001037E0">
          <w:rPr>
            <w:rFonts w:eastAsiaTheme="minorEastAsia"/>
            <w:kern w:val="2"/>
            <w:sz w:val="20"/>
            <w:szCs w:val="20"/>
            <w14:ligatures w14:val="standardContextual"/>
          </w:rPr>
          <w:tab/>
        </w:r>
        <w:r w:rsidR="001037E0" w:rsidRPr="001037E0">
          <w:rPr>
            <w:rStyle w:val="Hyperlink"/>
            <w:sz w:val="20"/>
            <w:szCs w:val="20"/>
          </w:rPr>
          <w:t>Incomplete Load Serving Entity Applications</w:t>
        </w:r>
        <w:r w:rsidR="001037E0" w:rsidRPr="001037E0">
          <w:rPr>
            <w:webHidden/>
            <w:sz w:val="20"/>
            <w:szCs w:val="20"/>
          </w:rPr>
          <w:tab/>
        </w:r>
        <w:r w:rsidR="001037E0" w:rsidRPr="001037E0">
          <w:rPr>
            <w:webHidden/>
            <w:sz w:val="20"/>
            <w:szCs w:val="20"/>
          </w:rPr>
          <w:fldChar w:fldCharType="begin"/>
        </w:r>
        <w:r w:rsidR="001037E0" w:rsidRPr="001037E0">
          <w:rPr>
            <w:webHidden/>
            <w:sz w:val="20"/>
            <w:szCs w:val="20"/>
          </w:rPr>
          <w:instrText xml:space="preserve"> PAGEREF _Toc175159129 \h </w:instrText>
        </w:r>
        <w:r w:rsidR="001037E0" w:rsidRPr="001037E0">
          <w:rPr>
            <w:webHidden/>
            <w:sz w:val="20"/>
            <w:szCs w:val="20"/>
          </w:rPr>
        </w:r>
        <w:r w:rsidR="001037E0" w:rsidRPr="001037E0">
          <w:rPr>
            <w:webHidden/>
            <w:sz w:val="20"/>
            <w:szCs w:val="20"/>
          </w:rPr>
          <w:fldChar w:fldCharType="separate"/>
        </w:r>
        <w:r>
          <w:rPr>
            <w:webHidden/>
            <w:sz w:val="20"/>
            <w:szCs w:val="20"/>
          </w:rPr>
          <w:t>16-19</w:t>
        </w:r>
        <w:r w:rsidR="001037E0" w:rsidRPr="001037E0">
          <w:rPr>
            <w:webHidden/>
            <w:sz w:val="20"/>
            <w:szCs w:val="20"/>
          </w:rPr>
          <w:fldChar w:fldCharType="end"/>
        </w:r>
      </w:hyperlink>
    </w:p>
    <w:p w14:paraId="1C6C053F" w14:textId="4D347740" w:rsidR="001037E0" w:rsidRPr="001037E0" w:rsidRDefault="001A683A">
      <w:pPr>
        <w:pStyle w:val="TOC4"/>
        <w:rPr>
          <w:rFonts w:eastAsiaTheme="minorEastAsia"/>
          <w:kern w:val="2"/>
          <w:sz w:val="20"/>
          <w:szCs w:val="20"/>
          <w14:ligatures w14:val="standardContextual"/>
        </w:rPr>
      </w:pPr>
      <w:hyperlink w:anchor="_Toc175159130" w:history="1">
        <w:r w:rsidR="001037E0" w:rsidRPr="001037E0">
          <w:rPr>
            <w:rStyle w:val="Hyperlink"/>
            <w:sz w:val="20"/>
            <w:szCs w:val="20"/>
          </w:rPr>
          <w:t>16.3.2.3</w:t>
        </w:r>
        <w:r w:rsidR="001037E0" w:rsidRPr="001037E0">
          <w:rPr>
            <w:rFonts w:eastAsiaTheme="minorEastAsia"/>
            <w:kern w:val="2"/>
            <w:sz w:val="20"/>
            <w:szCs w:val="20"/>
            <w14:ligatures w14:val="standardContextual"/>
          </w:rPr>
          <w:tab/>
        </w:r>
        <w:r w:rsidR="001037E0" w:rsidRPr="001037E0">
          <w:rPr>
            <w:rStyle w:val="Hyperlink"/>
            <w:sz w:val="20"/>
            <w:szCs w:val="20"/>
          </w:rPr>
          <w:t>ERCOT Approval or Rejection of Load Serving Entity Application</w:t>
        </w:r>
        <w:r w:rsidR="001037E0" w:rsidRPr="001037E0">
          <w:rPr>
            <w:webHidden/>
            <w:sz w:val="20"/>
            <w:szCs w:val="20"/>
          </w:rPr>
          <w:tab/>
        </w:r>
        <w:r w:rsidR="001037E0" w:rsidRPr="001037E0">
          <w:rPr>
            <w:webHidden/>
            <w:sz w:val="20"/>
            <w:szCs w:val="20"/>
          </w:rPr>
          <w:fldChar w:fldCharType="begin"/>
        </w:r>
        <w:r w:rsidR="001037E0" w:rsidRPr="001037E0">
          <w:rPr>
            <w:webHidden/>
            <w:sz w:val="20"/>
            <w:szCs w:val="20"/>
          </w:rPr>
          <w:instrText xml:space="preserve"> PAGEREF _Toc175159130 \h </w:instrText>
        </w:r>
        <w:r w:rsidR="001037E0" w:rsidRPr="001037E0">
          <w:rPr>
            <w:webHidden/>
            <w:sz w:val="20"/>
            <w:szCs w:val="20"/>
          </w:rPr>
        </w:r>
        <w:r w:rsidR="001037E0" w:rsidRPr="001037E0">
          <w:rPr>
            <w:webHidden/>
            <w:sz w:val="20"/>
            <w:szCs w:val="20"/>
          </w:rPr>
          <w:fldChar w:fldCharType="separate"/>
        </w:r>
        <w:r>
          <w:rPr>
            <w:webHidden/>
            <w:sz w:val="20"/>
            <w:szCs w:val="20"/>
          </w:rPr>
          <w:t>16-19</w:t>
        </w:r>
        <w:r w:rsidR="001037E0" w:rsidRPr="001037E0">
          <w:rPr>
            <w:webHidden/>
            <w:sz w:val="20"/>
            <w:szCs w:val="20"/>
          </w:rPr>
          <w:fldChar w:fldCharType="end"/>
        </w:r>
      </w:hyperlink>
    </w:p>
    <w:p w14:paraId="7711FAFB" w14:textId="13ED9DA8" w:rsidR="001037E0" w:rsidRPr="001037E0" w:rsidRDefault="001A683A">
      <w:pPr>
        <w:pStyle w:val="TOC3"/>
        <w:rPr>
          <w:rFonts w:eastAsiaTheme="minorEastAsia"/>
          <w:i w:val="0"/>
          <w:iCs w:val="0"/>
          <w:noProof/>
          <w:kern w:val="2"/>
          <w14:ligatures w14:val="standardContextual"/>
        </w:rPr>
      </w:pPr>
      <w:hyperlink w:anchor="_Toc175159131" w:history="1">
        <w:r w:rsidR="001037E0" w:rsidRPr="001037E0">
          <w:rPr>
            <w:rStyle w:val="Hyperlink"/>
            <w:i w:val="0"/>
            <w:iCs w:val="0"/>
            <w:noProof/>
          </w:rPr>
          <w:t xml:space="preserve">16.3.3 </w:t>
        </w:r>
        <w:r w:rsidR="001037E0" w:rsidRPr="001037E0">
          <w:rPr>
            <w:rFonts w:eastAsiaTheme="minorEastAsia"/>
            <w:i w:val="0"/>
            <w:iCs w:val="0"/>
            <w:noProof/>
            <w:kern w:val="2"/>
            <w14:ligatures w14:val="standardContextual"/>
          </w:rPr>
          <w:tab/>
        </w:r>
        <w:r w:rsidR="001037E0" w:rsidRPr="001037E0">
          <w:rPr>
            <w:rStyle w:val="Hyperlink"/>
            <w:i w:val="0"/>
            <w:iCs w:val="0"/>
            <w:noProof/>
          </w:rPr>
          <w:t>Changing QSE Designation</w:t>
        </w:r>
        <w:r w:rsidR="001037E0" w:rsidRPr="001037E0">
          <w:rPr>
            <w:i w:val="0"/>
            <w:iCs w:val="0"/>
            <w:noProof/>
            <w:webHidden/>
          </w:rPr>
          <w:tab/>
        </w:r>
        <w:r w:rsidR="001037E0" w:rsidRPr="001037E0">
          <w:rPr>
            <w:i w:val="0"/>
            <w:iCs w:val="0"/>
            <w:noProof/>
            <w:webHidden/>
          </w:rPr>
          <w:fldChar w:fldCharType="begin"/>
        </w:r>
        <w:r w:rsidR="001037E0" w:rsidRPr="001037E0">
          <w:rPr>
            <w:i w:val="0"/>
            <w:iCs w:val="0"/>
            <w:noProof/>
            <w:webHidden/>
          </w:rPr>
          <w:instrText xml:space="preserve"> PAGEREF _Toc175159131 \h </w:instrText>
        </w:r>
        <w:r w:rsidR="001037E0" w:rsidRPr="001037E0">
          <w:rPr>
            <w:i w:val="0"/>
            <w:iCs w:val="0"/>
            <w:noProof/>
            <w:webHidden/>
          </w:rPr>
        </w:r>
        <w:r w:rsidR="001037E0" w:rsidRPr="001037E0">
          <w:rPr>
            <w:i w:val="0"/>
            <w:iCs w:val="0"/>
            <w:noProof/>
            <w:webHidden/>
          </w:rPr>
          <w:fldChar w:fldCharType="separate"/>
        </w:r>
        <w:r>
          <w:rPr>
            <w:i w:val="0"/>
            <w:iCs w:val="0"/>
            <w:noProof/>
            <w:webHidden/>
          </w:rPr>
          <w:t>16-20</w:t>
        </w:r>
        <w:r w:rsidR="001037E0" w:rsidRPr="001037E0">
          <w:rPr>
            <w:i w:val="0"/>
            <w:iCs w:val="0"/>
            <w:noProof/>
            <w:webHidden/>
          </w:rPr>
          <w:fldChar w:fldCharType="end"/>
        </w:r>
      </w:hyperlink>
    </w:p>
    <w:p w14:paraId="07D658C3" w14:textId="732BB03E" w:rsidR="001037E0" w:rsidRPr="001037E0" w:rsidRDefault="001A683A">
      <w:pPr>
        <w:pStyle w:val="TOC3"/>
        <w:rPr>
          <w:rFonts w:eastAsiaTheme="minorEastAsia"/>
          <w:i w:val="0"/>
          <w:iCs w:val="0"/>
          <w:noProof/>
          <w:kern w:val="2"/>
          <w14:ligatures w14:val="standardContextual"/>
        </w:rPr>
      </w:pPr>
      <w:hyperlink w:anchor="_Toc175159132" w:history="1">
        <w:r w:rsidR="001037E0" w:rsidRPr="001037E0">
          <w:rPr>
            <w:rStyle w:val="Hyperlink"/>
            <w:i w:val="0"/>
            <w:iCs w:val="0"/>
            <w:noProof/>
          </w:rPr>
          <w:t>16.3.4</w:t>
        </w:r>
        <w:r w:rsidR="001037E0" w:rsidRPr="001037E0">
          <w:rPr>
            <w:rFonts w:eastAsiaTheme="minorEastAsia"/>
            <w:i w:val="0"/>
            <w:iCs w:val="0"/>
            <w:noProof/>
            <w:kern w:val="2"/>
            <w14:ligatures w14:val="standardContextual"/>
          </w:rPr>
          <w:tab/>
        </w:r>
        <w:r w:rsidR="001037E0" w:rsidRPr="001037E0">
          <w:rPr>
            <w:rStyle w:val="Hyperlink"/>
            <w:i w:val="0"/>
            <w:iCs w:val="0"/>
            <w:noProof/>
          </w:rPr>
          <w:t>Maintaining and Updating LSE Information</w:t>
        </w:r>
        <w:r w:rsidR="001037E0" w:rsidRPr="001037E0">
          <w:rPr>
            <w:i w:val="0"/>
            <w:iCs w:val="0"/>
            <w:noProof/>
            <w:webHidden/>
          </w:rPr>
          <w:tab/>
        </w:r>
        <w:r w:rsidR="001037E0" w:rsidRPr="001037E0">
          <w:rPr>
            <w:i w:val="0"/>
            <w:iCs w:val="0"/>
            <w:noProof/>
            <w:webHidden/>
          </w:rPr>
          <w:fldChar w:fldCharType="begin"/>
        </w:r>
        <w:r w:rsidR="001037E0" w:rsidRPr="001037E0">
          <w:rPr>
            <w:i w:val="0"/>
            <w:iCs w:val="0"/>
            <w:noProof/>
            <w:webHidden/>
          </w:rPr>
          <w:instrText xml:space="preserve"> PAGEREF _Toc175159132 \h </w:instrText>
        </w:r>
        <w:r w:rsidR="001037E0" w:rsidRPr="001037E0">
          <w:rPr>
            <w:i w:val="0"/>
            <w:iCs w:val="0"/>
            <w:noProof/>
            <w:webHidden/>
          </w:rPr>
        </w:r>
        <w:r w:rsidR="001037E0" w:rsidRPr="001037E0">
          <w:rPr>
            <w:i w:val="0"/>
            <w:iCs w:val="0"/>
            <w:noProof/>
            <w:webHidden/>
          </w:rPr>
          <w:fldChar w:fldCharType="separate"/>
        </w:r>
        <w:r>
          <w:rPr>
            <w:i w:val="0"/>
            <w:iCs w:val="0"/>
            <w:noProof/>
            <w:webHidden/>
          </w:rPr>
          <w:t>16-20</w:t>
        </w:r>
        <w:r w:rsidR="001037E0" w:rsidRPr="001037E0">
          <w:rPr>
            <w:i w:val="0"/>
            <w:iCs w:val="0"/>
            <w:noProof/>
            <w:webHidden/>
          </w:rPr>
          <w:fldChar w:fldCharType="end"/>
        </w:r>
      </w:hyperlink>
    </w:p>
    <w:p w14:paraId="4517E1C5" w14:textId="75FFC3A6" w:rsidR="001037E0" w:rsidRPr="001037E0" w:rsidRDefault="001A683A">
      <w:pPr>
        <w:pStyle w:val="TOC2"/>
        <w:rPr>
          <w:rFonts w:eastAsiaTheme="minorEastAsia"/>
          <w:kern w:val="2"/>
          <w14:ligatures w14:val="standardContextual"/>
        </w:rPr>
      </w:pPr>
      <w:hyperlink w:anchor="_Toc175159133" w:history="1">
        <w:r w:rsidR="001037E0" w:rsidRPr="001037E0">
          <w:rPr>
            <w:rStyle w:val="Hyperlink"/>
          </w:rPr>
          <w:t>16.4</w:t>
        </w:r>
        <w:r w:rsidR="001037E0" w:rsidRPr="001037E0">
          <w:rPr>
            <w:rFonts w:eastAsiaTheme="minorEastAsia"/>
            <w:kern w:val="2"/>
            <w14:ligatures w14:val="standardContextual"/>
          </w:rPr>
          <w:tab/>
        </w:r>
        <w:r w:rsidR="001037E0" w:rsidRPr="001037E0">
          <w:rPr>
            <w:rStyle w:val="Hyperlink"/>
          </w:rPr>
          <w:t>Registration of Transmission and Distribution Service Providers</w:t>
        </w:r>
        <w:r w:rsidR="001037E0" w:rsidRPr="001037E0">
          <w:rPr>
            <w:webHidden/>
          </w:rPr>
          <w:tab/>
        </w:r>
        <w:r w:rsidR="001037E0" w:rsidRPr="001037E0">
          <w:rPr>
            <w:webHidden/>
          </w:rPr>
          <w:fldChar w:fldCharType="begin"/>
        </w:r>
        <w:r w:rsidR="001037E0" w:rsidRPr="001037E0">
          <w:rPr>
            <w:webHidden/>
          </w:rPr>
          <w:instrText xml:space="preserve"> PAGEREF _Toc175159133 \h </w:instrText>
        </w:r>
        <w:r w:rsidR="001037E0" w:rsidRPr="001037E0">
          <w:rPr>
            <w:webHidden/>
          </w:rPr>
        </w:r>
        <w:r w:rsidR="001037E0" w:rsidRPr="001037E0">
          <w:rPr>
            <w:webHidden/>
          </w:rPr>
          <w:fldChar w:fldCharType="separate"/>
        </w:r>
        <w:r>
          <w:rPr>
            <w:webHidden/>
          </w:rPr>
          <w:t>16-21</w:t>
        </w:r>
        <w:r w:rsidR="001037E0" w:rsidRPr="001037E0">
          <w:rPr>
            <w:webHidden/>
          </w:rPr>
          <w:fldChar w:fldCharType="end"/>
        </w:r>
      </w:hyperlink>
    </w:p>
    <w:p w14:paraId="403D0D7F" w14:textId="5672072D" w:rsidR="001037E0" w:rsidRPr="001037E0" w:rsidRDefault="001A683A">
      <w:pPr>
        <w:pStyle w:val="TOC2"/>
        <w:rPr>
          <w:rFonts w:eastAsiaTheme="minorEastAsia"/>
          <w:kern w:val="2"/>
          <w14:ligatures w14:val="standardContextual"/>
        </w:rPr>
      </w:pPr>
      <w:hyperlink w:anchor="_Toc175159134" w:history="1">
        <w:r w:rsidR="001037E0" w:rsidRPr="001037E0">
          <w:rPr>
            <w:rStyle w:val="Hyperlink"/>
          </w:rPr>
          <w:t>16.5</w:t>
        </w:r>
        <w:r w:rsidR="001037E0" w:rsidRPr="001037E0">
          <w:rPr>
            <w:rFonts w:eastAsiaTheme="minorEastAsia"/>
            <w:kern w:val="2"/>
            <w14:ligatures w14:val="standardContextual"/>
          </w:rPr>
          <w:tab/>
        </w:r>
        <w:r w:rsidR="001037E0" w:rsidRPr="001037E0">
          <w:rPr>
            <w:rStyle w:val="Hyperlink"/>
          </w:rPr>
          <w:t>Registration of a Resource Entity</w:t>
        </w:r>
        <w:r w:rsidR="001037E0" w:rsidRPr="001037E0">
          <w:rPr>
            <w:webHidden/>
          </w:rPr>
          <w:tab/>
        </w:r>
        <w:r w:rsidR="001037E0" w:rsidRPr="001037E0">
          <w:rPr>
            <w:webHidden/>
          </w:rPr>
          <w:fldChar w:fldCharType="begin"/>
        </w:r>
        <w:r w:rsidR="001037E0" w:rsidRPr="001037E0">
          <w:rPr>
            <w:webHidden/>
          </w:rPr>
          <w:instrText xml:space="preserve"> PAGEREF _Toc175159134 \h </w:instrText>
        </w:r>
        <w:r w:rsidR="001037E0" w:rsidRPr="001037E0">
          <w:rPr>
            <w:webHidden/>
          </w:rPr>
        </w:r>
        <w:r w:rsidR="001037E0" w:rsidRPr="001037E0">
          <w:rPr>
            <w:webHidden/>
          </w:rPr>
          <w:fldChar w:fldCharType="separate"/>
        </w:r>
        <w:r>
          <w:rPr>
            <w:webHidden/>
          </w:rPr>
          <w:t>16-21</w:t>
        </w:r>
        <w:r w:rsidR="001037E0" w:rsidRPr="001037E0">
          <w:rPr>
            <w:webHidden/>
          </w:rPr>
          <w:fldChar w:fldCharType="end"/>
        </w:r>
      </w:hyperlink>
    </w:p>
    <w:p w14:paraId="013B8D31" w14:textId="79C27F8D" w:rsidR="001037E0" w:rsidRPr="001037E0" w:rsidRDefault="001A683A">
      <w:pPr>
        <w:pStyle w:val="TOC3"/>
        <w:rPr>
          <w:rFonts w:eastAsiaTheme="minorEastAsia"/>
          <w:i w:val="0"/>
          <w:iCs w:val="0"/>
          <w:noProof/>
          <w:kern w:val="2"/>
          <w14:ligatures w14:val="standardContextual"/>
        </w:rPr>
      </w:pPr>
      <w:hyperlink w:anchor="_Toc175159135" w:history="1">
        <w:r w:rsidR="001037E0" w:rsidRPr="001037E0">
          <w:rPr>
            <w:rStyle w:val="Hyperlink"/>
            <w:i w:val="0"/>
            <w:iCs w:val="0"/>
            <w:noProof/>
          </w:rPr>
          <w:t>16.5.1</w:t>
        </w:r>
        <w:r w:rsidR="001037E0" w:rsidRPr="001037E0">
          <w:rPr>
            <w:rFonts w:eastAsiaTheme="minorEastAsia"/>
            <w:i w:val="0"/>
            <w:iCs w:val="0"/>
            <w:noProof/>
            <w:kern w:val="2"/>
            <w14:ligatures w14:val="standardContextual"/>
          </w:rPr>
          <w:tab/>
        </w:r>
        <w:r w:rsidR="001037E0" w:rsidRPr="001037E0">
          <w:rPr>
            <w:rStyle w:val="Hyperlink"/>
            <w:i w:val="0"/>
            <w:iCs w:val="0"/>
            <w:noProof/>
          </w:rPr>
          <w:t>Technical and Managerial Requirements for Resource Entity Applicants</w:t>
        </w:r>
        <w:r w:rsidR="001037E0" w:rsidRPr="001037E0">
          <w:rPr>
            <w:i w:val="0"/>
            <w:iCs w:val="0"/>
            <w:noProof/>
            <w:webHidden/>
          </w:rPr>
          <w:tab/>
        </w:r>
        <w:r w:rsidR="001037E0" w:rsidRPr="001037E0">
          <w:rPr>
            <w:i w:val="0"/>
            <w:iCs w:val="0"/>
            <w:noProof/>
            <w:webHidden/>
          </w:rPr>
          <w:fldChar w:fldCharType="begin"/>
        </w:r>
        <w:r w:rsidR="001037E0" w:rsidRPr="001037E0">
          <w:rPr>
            <w:i w:val="0"/>
            <w:iCs w:val="0"/>
            <w:noProof/>
            <w:webHidden/>
          </w:rPr>
          <w:instrText xml:space="preserve"> PAGEREF _Toc175159135 \h </w:instrText>
        </w:r>
        <w:r w:rsidR="001037E0" w:rsidRPr="001037E0">
          <w:rPr>
            <w:i w:val="0"/>
            <w:iCs w:val="0"/>
            <w:noProof/>
            <w:webHidden/>
          </w:rPr>
        </w:r>
        <w:r w:rsidR="001037E0" w:rsidRPr="001037E0">
          <w:rPr>
            <w:i w:val="0"/>
            <w:iCs w:val="0"/>
            <w:noProof/>
            <w:webHidden/>
          </w:rPr>
          <w:fldChar w:fldCharType="separate"/>
        </w:r>
        <w:r>
          <w:rPr>
            <w:i w:val="0"/>
            <w:iCs w:val="0"/>
            <w:noProof/>
            <w:webHidden/>
          </w:rPr>
          <w:t>16-24</w:t>
        </w:r>
        <w:r w:rsidR="001037E0" w:rsidRPr="001037E0">
          <w:rPr>
            <w:i w:val="0"/>
            <w:iCs w:val="0"/>
            <w:noProof/>
            <w:webHidden/>
          </w:rPr>
          <w:fldChar w:fldCharType="end"/>
        </w:r>
      </w:hyperlink>
    </w:p>
    <w:p w14:paraId="64A45249" w14:textId="3A535C5C" w:rsidR="001037E0" w:rsidRPr="001037E0" w:rsidRDefault="001A683A">
      <w:pPr>
        <w:pStyle w:val="TOC4"/>
        <w:rPr>
          <w:rFonts w:eastAsiaTheme="minorEastAsia"/>
          <w:kern w:val="2"/>
          <w:sz w:val="20"/>
          <w:szCs w:val="20"/>
          <w14:ligatures w14:val="standardContextual"/>
        </w:rPr>
      </w:pPr>
      <w:hyperlink w:anchor="_Toc175159136" w:history="1">
        <w:r w:rsidR="001037E0" w:rsidRPr="001037E0">
          <w:rPr>
            <w:rStyle w:val="Hyperlink"/>
            <w:sz w:val="20"/>
            <w:szCs w:val="20"/>
          </w:rPr>
          <w:t>16.5.1.1</w:t>
        </w:r>
        <w:r w:rsidR="001037E0" w:rsidRPr="001037E0">
          <w:rPr>
            <w:rFonts w:eastAsiaTheme="minorEastAsia"/>
            <w:kern w:val="2"/>
            <w:sz w:val="20"/>
            <w:szCs w:val="20"/>
            <w14:ligatures w14:val="standardContextual"/>
          </w:rPr>
          <w:tab/>
        </w:r>
        <w:r w:rsidR="001037E0" w:rsidRPr="001037E0">
          <w:rPr>
            <w:rStyle w:val="Hyperlink"/>
            <w:sz w:val="20"/>
            <w:szCs w:val="20"/>
          </w:rPr>
          <w:t>Designation of a Qualified Scheduling Entity</w:t>
        </w:r>
        <w:r w:rsidR="001037E0" w:rsidRPr="001037E0">
          <w:rPr>
            <w:webHidden/>
            <w:sz w:val="20"/>
            <w:szCs w:val="20"/>
          </w:rPr>
          <w:tab/>
        </w:r>
        <w:r w:rsidR="001037E0" w:rsidRPr="001037E0">
          <w:rPr>
            <w:webHidden/>
            <w:sz w:val="20"/>
            <w:szCs w:val="20"/>
          </w:rPr>
          <w:fldChar w:fldCharType="begin"/>
        </w:r>
        <w:r w:rsidR="001037E0" w:rsidRPr="001037E0">
          <w:rPr>
            <w:webHidden/>
            <w:sz w:val="20"/>
            <w:szCs w:val="20"/>
          </w:rPr>
          <w:instrText xml:space="preserve"> PAGEREF _Toc175159136 \h </w:instrText>
        </w:r>
        <w:r w:rsidR="001037E0" w:rsidRPr="001037E0">
          <w:rPr>
            <w:webHidden/>
            <w:sz w:val="20"/>
            <w:szCs w:val="20"/>
          </w:rPr>
        </w:r>
        <w:r w:rsidR="001037E0" w:rsidRPr="001037E0">
          <w:rPr>
            <w:webHidden/>
            <w:sz w:val="20"/>
            <w:szCs w:val="20"/>
          </w:rPr>
          <w:fldChar w:fldCharType="separate"/>
        </w:r>
        <w:r>
          <w:rPr>
            <w:webHidden/>
            <w:sz w:val="20"/>
            <w:szCs w:val="20"/>
          </w:rPr>
          <w:t>16-25</w:t>
        </w:r>
        <w:r w:rsidR="001037E0" w:rsidRPr="001037E0">
          <w:rPr>
            <w:webHidden/>
            <w:sz w:val="20"/>
            <w:szCs w:val="20"/>
          </w:rPr>
          <w:fldChar w:fldCharType="end"/>
        </w:r>
      </w:hyperlink>
    </w:p>
    <w:p w14:paraId="0EF5B149" w14:textId="60E0E652" w:rsidR="001037E0" w:rsidRPr="001037E0" w:rsidRDefault="001A683A">
      <w:pPr>
        <w:pStyle w:val="TOC4"/>
        <w:rPr>
          <w:rFonts w:eastAsiaTheme="minorEastAsia"/>
          <w:kern w:val="2"/>
          <w:sz w:val="20"/>
          <w:szCs w:val="20"/>
          <w14:ligatures w14:val="standardContextual"/>
        </w:rPr>
      </w:pPr>
      <w:hyperlink w:anchor="_Toc175159137" w:history="1">
        <w:r w:rsidR="001037E0" w:rsidRPr="001037E0">
          <w:rPr>
            <w:rStyle w:val="Hyperlink"/>
            <w:sz w:val="20"/>
            <w:szCs w:val="20"/>
          </w:rPr>
          <w:t>16.5.1.2</w:t>
        </w:r>
        <w:r w:rsidR="001037E0" w:rsidRPr="001037E0">
          <w:rPr>
            <w:rFonts w:eastAsiaTheme="minorEastAsia"/>
            <w:kern w:val="2"/>
            <w:sz w:val="20"/>
            <w:szCs w:val="20"/>
            <w14:ligatures w14:val="standardContextual"/>
          </w:rPr>
          <w:tab/>
        </w:r>
        <w:r w:rsidR="001037E0" w:rsidRPr="001037E0">
          <w:rPr>
            <w:rStyle w:val="Hyperlink"/>
            <w:sz w:val="20"/>
            <w:szCs w:val="20"/>
          </w:rPr>
          <w:t>Waiver for Federal Hydroelectric Facilities</w:t>
        </w:r>
        <w:r w:rsidR="001037E0" w:rsidRPr="001037E0">
          <w:rPr>
            <w:webHidden/>
            <w:sz w:val="20"/>
            <w:szCs w:val="20"/>
          </w:rPr>
          <w:tab/>
        </w:r>
        <w:r w:rsidR="001037E0" w:rsidRPr="001037E0">
          <w:rPr>
            <w:webHidden/>
            <w:sz w:val="20"/>
            <w:szCs w:val="20"/>
          </w:rPr>
          <w:fldChar w:fldCharType="begin"/>
        </w:r>
        <w:r w:rsidR="001037E0" w:rsidRPr="001037E0">
          <w:rPr>
            <w:webHidden/>
            <w:sz w:val="20"/>
            <w:szCs w:val="20"/>
          </w:rPr>
          <w:instrText xml:space="preserve"> PAGEREF _Toc175159137 \h </w:instrText>
        </w:r>
        <w:r w:rsidR="001037E0" w:rsidRPr="001037E0">
          <w:rPr>
            <w:webHidden/>
            <w:sz w:val="20"/>
            <w:szCs w:val="20"/>
          </w:rPr>
        </w:r>
        <w:r w:rsidR="001037E0" w:rsidRPr="001037E0">
          <w:rPr>
            <w:webHidden/>
            <w:sz w:val="20"/>
            <w:szCs w:val="20"/>
          </w:rPr>
          <w:fldChar w:fldCharType="separate"/>
        </w:r>
        <w:r>
          <w:rPr>
            <w:webHidden/>
            <w:sz w:val="20"/>
            <w:szCs w:val="20"/>
          </w:rPr>
          <w:t>16-25</w:t>
        </w:r>
        <w:r w:rsidR="001037E0" w:rsidRPr="001037E0">
          <w:rPr>
            <w:webHidden/>
            <w:sz w:val="20"/>
            <w:szCs w:val="20"/>
          </w:rPr>
          <w:fldChar w:fldCharType="end"/>
        </w:r>
      </w:hyperlink>
    </w:p>
    <w:p w14:paraId="029EF8A4" w14:textId="62AA44BD" w:rsidR="001037E0" w:rsidRPr="001037E0" w:rsidRDefault="001A683A">
      <w:pPr>
        <w:pStyle w:val="TOC4"/>
        <w:rPr>
          <w:rFonts w:eastAsiaTheme="minorEastAsia"/>
          <w:kern w:val="2"/>
          <w:sz w:val="20"/>
          <w:szCs w:val="20"/>
          <w14:ligatures w14:val="standardContextual"/>
        </w:rPr>
      </w:pPr>
      <w:hyperlink w:anchor="_Toc175159138" w:history="1">
        <w:r w:rsidR="001037E0" w:rsidRPr="001037E0">
          <w:rPr>
            <w:rStyle w:val="Hyperlink"/>
            <w:sz w:val="20"/>
            <w:szCs w:val="20"/>
          </w:rPr>
          <w:t>16.5.1.3</w:t>
        </w:r>
        <w:r w:rsidR="001037E0" w:rsidRPr="001037E0">
          <w:rPr>
            <w:rFonts w:eastAsiaTheme="minorEastAsia"/>
            <w:kern w:val="2"/>
            <w:sz w:val="20"/>
            <w:szCs w:val="20"/>
            <w14:ligatures w14:val="standardContextual"/>
          </w:rPr>
          <w:tab/>
        </w:r>
        <w:r w:rsidR="001037E0" w:rsidRPr="001037E0">
          <w:rPr>
            <w:rStyle w:val="Hyperlink"/>
            <w:sz w:val="20"/>
            <w:szCs w:val="20"/>
          </w:rPr>
          <w:t>Waiver for Block Load Transfer Resources</w:t>
        </w:r>
        <w:r w:rsidR="001037E0" w:rsidRPr="001037E0">
          <w:rPr>
            <w:webHidden/>
            <w:sz w:val="20"/>
            <w:szCs w:val="20"/>
          </w:rPr>
          <w:tab/>
        </w:r>
        <w:r w:rsidR="001037E0" w:rsidRPr="001037E0">
          <w:rPr>
            <w:webHidden/>
            <w:sz w:val="20"/>
            <w:szCs w:val="20"/>
          </w:rPr>
          <w:fldChar w:fldCharType="begin"/>
        </w:r>
        <w:r w:rsidR="001037E0" w:rsidRPr="001037E0">
          <w:rPr>
            <w:webHidden/>
            <w:sz w:val="20"/>
            <w:szCs w:val="20"/>
          </w:rPr>
          <w:instrText xml:space="preserve"> PAGEREF _Toc175159138 \h </w:instrText>
        </w:r>
        <w:r w:rsidR="001037E0" w:rsidRPr="001037E0">
          <w:rPr>
            <w:webHidden/>
            <w:sz w:val="20"/>
            <w:szCs w:val="20"/>
          </w:rPr>
        </w:r>
        <w:r w:rsidR="001037E0" w:rsidRPr="001037E0">
          <w:rPr>
            <w:webHidden/>
            <w:sz w:val="20"/>
            <w:szCs w:val="20"/>
          </w:rPr>
          <w:fldChar w:fldCharType="separate"/>
        </w:r>
        <w:r>
          <w:rPr>
            <w:webHidden/>
            <w:sz w:val="20"/>
            <w:szCs w:val="20"/>
          </w:rPr>
          <w:t>16-26</w:t>
        </w:r>
        <w:r w:rsidR="001037E0" w:rsidRPr="001037E0">
          <w:rPr>
            <w:webHidden/>
            <w:sz w:val="20"/>
            <w:szCs w:val="20"/>
          </w:rPr>
          <w:fldChar w:fldCharType="end"/>
        </w:r>
      </w:hyperlink>
    </w:p>
    <w:p w14:paraId="27B56B1E" w14:textId="220A9AEF" w:rsidR="001037E0" w:rsidRPr="001037E0" w:rsidRDefault="001A683A">
      <w:pPr>
        <w:pStyle w:val="TOC3"/>
        <w:rPr>
          <w:rFonts w:eastAsiaTheme="minorEastAsia"/>
          <w:i w:val="0"/>
          <w:iCs w:val="0"/>
          <w:noProof/>
          <w:kern w:val="2"/>
          <w14:ligatures w14:val="standardContextual"/>
        </w:rPr>
      </w:pPr>
      <w:hyperlink w:anchor="_Toc175159139" w:history="1">
        <w:r w:rsidR="001037E0" w:rsidRPr="001037E0">
          <w:rPr>
            <w:rStyle w:val="Hyperlink"/>
            <w:i w:val="0"/>
            <w:iCs w:val="0"/>
            <w:noProof/>
          </w:rPr>
          <w:t>16.5.2</w:t>
        </w:r>
        <w:r w:rsidR="001037E0" w:rsidRPr="001037E0">
          <w:rPr>
            <w:rFonts w:eastAsiaTheme="minorEastAsia"/>
            <w:i w:val="0"/>
            <w:iCs w:val="0"/>
            <w:noProof/>
            <w:kern w:val="2"/>
            <w14:ligatures w14:val="standardContextual"/>
          </w:rPr>
          <w:tab/>
        </w:r>
        <w:r w:rsidR="001037E0" w:rsidRPr="001037E0">
          <w:rPr>
            <w:rStyle w:val="Hyperlink"/>
            <w:i w:val="0"/>
            <w:iCs w:val="0"/>
            <w:noProof/>
          </w:rPr>
          <w:t>Registration Process for a Resource Entity</w:t>
        </w:r>
        <w:r w:rsidR="001037E0" w:rsidRPr="001037E0">
          <w:rPr>
            <w:i w:val="0"/>
            <w:iCs w:val="0"/>
            <w:noProof/>
            <w:webHidden/>
          </w:rPr>
          <w:tab/>
        </w:r>
        <w:r w:rsidR="001037E0" w:rsidRPr="001037E0">
          <w:rPr>
            <w:i w:val="0"/>
            <w:iCs w:val="0"/>
            <w:noProof/>
            <w:webHidden/>
          </w:rPr>
          <w:fldChar w:fldCharType="begin"/>
        </w:r>
        <w:r w:rsidR="001037E0" w:rsidRPr="001037E0">
          <w:rPr>
            <w:i w:val="0"/>
            <w:iCs w:val="0"/>
            <w:noProof/>
            <w:webHidden/>
          </w:rPr>
          <w:instrText xml:space="preserve"> PAGEREF _Toc175159139 \h </w:instrText>
        </w:r>
        <w:r w:rsidR="001037E0" w:rsidRPr="001037E0">
          <w:rPr>
            <w:i w:val="0"/>
            <w:iCs w:val="0"/>
            <w:noProof/>
            <w:webHidden/>
          </w:rPr>
        </w:r>
        <w:r w:rsidR="001037E0" w:rsidRPr="001037E0">
          <w:rPr>
            <w:i w:val="0"/>
            <w:iCs w:val="0"/>
            <w:noProof/>
            <w:webHidden/>
          </w:rPr>
          <w:fldChar w:fldCharType="separate"/>
        </w:r>
        <w:r>
          <w:rPr>
            <w:i w:val="0"/>
            <w:iCs w:val="0"/>
            <w:noProof/>
            <w:webHidden/>
          </w:rPr>
          <w:t>16-26</w:t>
        </w:r>
        <w:r w:rsidR="001037E0" w:rsidRPr="001037E0">
          <w:rPr>
            <w:i w:val="0"/>
            <w:iCs w:val="0"/>
            <w:noProof/>
            <w:webHidden/>
          </w:rPr>
          <w:fldChar w:fldCharType="end"/>
        </w:r>
      </w:hyperlink>
    </w:p>
    <w:p w14:paraId="75DB38F0" w14:textId="55C7FC10" w:rsidR="001037E0" w:rsidRPr="001037E0" w:rsidRDefault="001A683A">
      <w:pPr>
        <w:pStyle w:val="TOC4"/>
        <w:rPr>
          <w:rFonts w:eastAsiaTheme="minorEastAsia"/>
          <w:kern w:val="2"/>
          <w:sz w:val="20"/>
          <w:szCs w:val="20"/>
          <w14:ligatures w14:val="standardContextual"/>
        </w:rPr>
      </w:pPr>
      <w:hyperlink w:anchor="_Toc175159140" w:history="1">
        <w:r w:rsidR="001037E0" w:rsidRPr="001037E0">
          <w:rPr>
            <w:rStyle w:val="Hyperlink"/>
            <w:sz w:val="20"/>
            <w:szCs w:val="20"/>
          </w:rPr>
          <w:t>16.5.2.1</w:t>
        </w:r>
        <w:r w:rsidR="001037E0" w:rsidRPr="001037E0">
          <w:rPr>
            <w:rFonts w:eastAsiaTheme="minorEastAsia"/>
            <w:kern w:val="2"/>
            <w:sz w:val="20"/>
            <w:szCs w:val="20"/>
            <w14:ligatures w14:val="standardContextual"/>
          </w:rPr>
          <w:tab/>
        </w:r>
        <w:r w:rsidR="001037E0" w:rsidRPr="001037E0">
          <w:rPr>
            <w:rStyle w:val="Hyperlink"/>
            <w:sz w:val="20"/>
            <w:szCs w:val="20"/>
          </w:rPr>
          <w:t>Notice of Receipt of Resource Entity Application</w:t>
        </w:r>
        <w:r w:rsidR="001037E0" w:rsidRPr="001037E0">
          <w:rPr>
            <w:webHidden/>
            <w:sz w:val="20"/>
            <w:szCs w:val="20"/>
          </w:rPr>
          <w:tab/>
        </w:r>
        <w:r w:rsidR="001037E0" w:rsidRPr="001037E0">
          <w:rPr>
            <w:webHidden/>
            <w:sz w:val="20"/>
            <w:szCs w:val="20"/>
          </w:rPr>
          <w:fldChar w:fldCharType="begin"/>
        </w:r>
        <w:r w:rsidR="001037E0" w:rsidRPr="001037E0">
          <w:rPr>
            <w:webHidden/>
            <w:sz w:val="20"/>
            <w:szCs w:val="20"/>
          </w:rPr>
          <w:instrText xml:space="preserve"> PAGEREF _Toc175159140 \h </w:instrText>
        </w:r>
        <w:r w:rsidR="001037E0" w:rsidRPr="001037E0">
          <w:rPr>
            <w:webHidden/>
            <w:sz w:val="20"/>
            <w:szCs w:val="20"/>
          </w:rPr>
        </w:r>
        <w:r w:rsidR="001037E0" w:rsidRPr="001037E0">
          <w:rPr>
            <w:webHidden/>
            <w:sz w:val="20"/>
            <w:szCs w:val="20"/>
          </w:rPr>
          <w:fldChar w:fldCharType="separate"/>
        </w:r>
        <w:r>
          <w:rPr>
            <w:webHidden/>
            <w:sz w:val="20"/>
            <w:szCs w:val="20"/>
          </w:rPr>
          <w:t>16-27</w:t>
        </w:r>
        <w:r w:rsidR="001037E0" w:rsidRPr="001037E0">
          <w:rPr>
            <w:webHidden/>
            <w:sz w:val="20"/>
            <w:szCs w:val="20"/>
          </w:rPr>
          <w:fldChar w:fldCharType="end"/>
        </w:r>
      </w:hyperlink>
    </w:p>
    <w:p w14:paraId="76243443" w14:textId="28381731" w:rsidR="001037E0" w:rsidRPr="001037E0" w:rsidRDefault="001A683A">
      <w:pPr>
        <w:pStyle w:val="TOC4"/>
        <w:rPr>
          <w:rFonts w:eastAsiaTheme="minorEastAsia"/>
          <w:kern w:val="2"/>
          <w:sz w:val="20"/>
          <w:szCs w:val="20"/>
          <w14:ligatures w14:val="standardContextual"/>
        </w:rPr>
      </w:pPr>
      <w:hyperlink w:anchor="_Toc175159141" w:history="1">
        <w:r w:rsidR="001037E0" w:rsidRPr="001037E0">
          <w:rPr>
            <w:rStyle w:val="Hyperlink"/>
            <w:sz w:val="20"/>
            <w:szCs w:val="20"/>
          </w:rPr>
          <w:t>16.5.2.2</w:t>
        </w:r>
        <w:r w:rsidR="001037E0" w:rsidRPr="001037E0">
          <w:rPr>
            <w:rFonts w:eastAsiaTheme="minorEastAsia"/>
            <w:kern w:val="2"/>
            <w:sz w:val="20"/>
            <w:szCs w:val="20"/>
            <w14:ligatures w14:val="standardContextual"/>
          </w:rPr>
          <w:tab/>
        </w:r>
        <w:r w:rsidR="001037E0" w:rsidRPr="001037E0">
          <w:rPr>
            <w:rStyle w:val="Hyperlink"/>
            <w:sz w:val="20"/>
            <w:szCs w:val="20"/>
          </w:rPr>
          <w:t>Incomplete Resource Entity Applications</w:t>
        </w:r>
        <w:r w:rsidR="001037E0" w:rsidRPr="001037E0">
          <w:rPr>
            <w:webHidden/>
            <w:sz w:val="20"/>
            <w:szCs w:val="20"/>
          </w:rPr>
          <w:tab/>
        </w:r>
        <w:r w:rsidR="001037E0" w:rsidRPr="001037E0">
          <w:rPr>
            <w:webHidden/>
            <w:sz w:val="20"/>
            <w:szCs w:val="20"/>
          </w:rPr>
          <w:fldChar w:fldCharType="begin"/>
        </w:r>
        <w:r w:rsidR="001037E0" w:rsidRPr="001037E0">
          <w:rPr>
            <w:webHidden/>
            <w:sz w:val="20"/>
            <w:szCs w:val="20"/>
          </w:rPr>
          <w:instrText xml:space="preserve"> PAGEREF _Toc175159141 \h </w:instrText>
        </w:r>
        <w:r w:rsidR="001037E0" w:rsidRPr="001037E0">
          <w:rPr>
            <w:webHidden/>
            <w:sz w:val="20"/>
            <w:szCs w:val="20"/>
          </w:rPr>
        </w:r>
        <w:r w:rsidR="001037E0" w:rsidRPr="001037E0">
          <w:rPr>
            <w:webHidden/>
            <w:sz w:val="20"/>
            <w:szCs w:val="20"/>
          </w:rPr>
          <w:fldChar w:fldCharType="separate"/>
        </w:r>
        <w:r>
          <w:rPr>
            <w:webHidden/>
            <w:sz w:val="20"/>
            <w:szCs w:val="20"/>
          </w:rPr>
          <w:t>16-27</w:t>
        </w:r>
        <w:r w:rsidR="001037E0" w:rsidRPr="001037E0">
          <w:rPr>
            <w:webHidden/>
            <w:sz w:val="20"/>
            <w:szCs w:val="20"/>
          </w:rPr>
          <w:fldChar w:fldCharType="end"/>
        </w:r>
      </w:hyperlink>
    </w:p>
    <w:p w14:paraId="65F5EFE4" w14:textId="218B7D92" w:rsidR="001037E0" w:rsidRPr="001037E0" w:rsidRDefault="001A683A">
      <w:pPr>
        <w:pStyle w:val="TOC3"/>
        <w:rPr>
          <w:rFonts w:eastAsiaTheme="minorEastAsia"/>
          <w:i w:val="0"/>
          <w:iCs w:val="0"/>
          <w:noProof/>
          <w:kern w:val="2"/>
          <w14:ligatures w14:val="standardContextual"/>
        </w:rPr>
      </w:pPr>
      <w:hyperlink w:anchor="_Toc175159142" w:history="1">
        <w:r w:rsidR="001037E0" w:rsidRPr="001037E0">
          <w:rPr>
            <w:rStyle w:val="Hyperlink"/>
            <w:i w:val="0"/>
            <w:iCs w:val="0"/>
            <w:noProof/>
          </w:rPr>
          <w:t>16.5.3</w:t>
        </w:r>
        <w:r w:rsidR="001037E0" w:rsidRPr="001037E0">
          <w:rPr>
            <w:rFonts w:eastAsiaTheme="minorEastAsia"/>
            <w:i w:val="0"/>
            <w:iCs w:val="0"/>
            <w:noProof/>
            <w:kern w:val="2"/>
            <w14:ligatures w14:val="standardContextual"/>
          </w:rPr>
          <w:tab/>
        </w:r>
        <w:r w:rsidR="001037E0" w:rsidRPr="001037E0">
          <w:rPr>
            <w:rStyle w:val="Hyperlink"/>
            <w:i w:val="0"/>
            <w:iCs w:val="0"/>
            <w:noProof/>
          </w:rPr>
          <w:t>Changing QSE Designation</w:t>
        </w:r>
        <w:r w:rsidR="001037E0" w:rsidRPr="001037E0">
          <w:rPr>
            <w:i w:val="0"/>
            <w:iCs w:val="0"/>
            <w:noProof/>
            <w:webHidden/>
          </w:rPr>
          <w:tab/>
        </w:r>
        <w:r w:rsidR="001037E0" w:rsidRPr="001037E0">
          <w:rPr>
            <w:i w:val="0"/>
            <w:iCs w:val="0"/>
            <w:noProof/>
            <w:webHidden/>
          </w:rPr>
          <w:fldChar w:fldCharType="begin"/>
        </w:r>
        <w:r w:rsidR="001037E0" w:rsidRPr="001037E0">
          <w:rPr>
            <w:i w:val="0"/>
            <w:iCs w:val="0"/>
            <w:noProof/>
            <w:webHidden/>
          </w:rPr>
          <w:instrText xml:space="preserve"> PAGEREF _Toc175159142 \h </w:instrText>
        </w:r>
        <w:r w:rsidR="001037E0" w:rsidRPr="001037E0">
          <w:rPr>
            <w:i w:val="0"/>
            <w:iCs w:val="0"/>
            <w:noProof/>
            <w:webHidden/>
          </w:rPr>
        </w:r>
        <w:r w:rsidR="001037E0" w:rsidRPr="001037E0">
          <w:rPr>
            <w:i w:val="0"/>
            <w:iCs w:val="0"/>
            <w:noProof/>
            <w:webHidden/>
          </w:rPr>
          <w:fldChar w:fldCharType="separate"/>
        </w:r>
        <w:r>
          <w:rPr>
            <w:i w:val="0"/>
            <w:iCs w:val="0"/>
            <w:noProof/>
            <w:webHidden/>
          </w:rPr>
          <w:t>16-28</w:t>
        </w:r>
        <w:r w:rsidR="001037E0" w:rsidRPr="001037E0">
          <w:rPr>
            <w:i w:val="0"/>
            <w:iCs w:val="0"/>
            <w:noProof/>
            <w:webHidden/>
          </w:rPr>
          <w:fldChar w:fldCharType="end"/>
        </w:r>
      </w:hyperlink>
    </w:p>
    <w:p w14:paraId="2700D9EB" w14:textId="751A5414" w:rsidR="001037E0" w:rsidRPr="001037E0" w:rsidRDefault="001A683A">
      <w:pPr>
        <w:pStyle w:val="TOC3"/>
        <w:rPr>
          <w:rFonts w:eastAsiaTheme="minorEastAsia"/>
          <w:i w:val="0"/>
          <w:iCs w:val="0"/>
          <w:noProof/>
          <w:kern w:val="2"/>
          <w14:ligatures w14:val="standardContextual"/>
        </w:rPr>
      </w:pPr>
      <w:hyperlink w:anchor="_Toc175159143" w:history="1">
        <w:r w:rsidR="001037E0" w:rsidRPr="001037E0">
          <w:rPr>
            <w:rStyle w:val="Hyperlink"/>
            <w:i w:val="0"/>
            <w:iCs w:val="0"/>
            <w:noProof/>
          </w:rPr>
          <w:t>16.5.4</w:t>
        </w:r>
        <w:r w:rsidR="001037E0" w:rsidRPr="001037E0">
          <w:rPr>
            <w:rFonts w:eastAsiaTheme="minorEastAsia"/>
            <w:i w:val="0"/>
            <w:iCs w:val="0"/>
            <w:noProof/>
            <w:kern w:val="2"/>
            <w14:ligatures w14:val="standardContextual"/>
          </w:rPr>
          <w:tab/>
        </w:r>
        <w:r w:rsidR="001037E0" w:rsidRPr="001037E0">
          <w:rPr>
            <w:rStyle w:val="Hyperlink"/>
            <w:i w:val="0"/>
            <w:iCs w:val="0"/>
            <w:noProof/>
          </w:rPr>
          <w:t>Maintaining and Updating Resource Entity Information</w:t>
        </w:r>
        <w:r w:rsidR="001037E0" w:rsidRPr="001037E0">
          <w:rPr>
            <w:i w:val="0"/>
            <w:iCs w:val="0"/>
            <w:noProof/>
            <w:webHidden/>
          </w:rPr>
          <w:tab/>
        </w:r>
        <w:r w:rsidR="001037E0" w:rsidRPr="001037E0">
          <w:rPr>
            <w:i w:val="0"/>
            <w:iCs w:val="0"/>
            <w:noProof/>
            <w:webHidden/>
          </w:rPr>
          <w:fldChar w:fldCharType="begin"/>
        </w:r>
        <w:r w:rsidR="001037E0" w:rsidRPr="001037E0">
          <w:rPr>
            <w:i w:val="0"/>
            <w:iCs w:val="0"/>
            <w:noProof/>
            <w:webHidden/>
          </w:rPr>
          <w:instrText xml:space="preserve"> PAGEREF _Toc175159143 \h </w:instrText>
        </w:r>
        <w:r w:rsidR="001037E0" w:rsidRPr="001037E0">
          <w:rPr>
            <w:i w:val="0"/>
            <w:iCs w:val="0"/>
            <w:noProof/>
            <w:webHidden/>
          </w:rPr>
        </w:r>
        <w:r w:rsidR="001037E0" w:rsidRPr="001037E0">
          <w:rPr>
            <w:i w:val="0"/>
            <w:iCs w:val="0"/>
            <w:noProof/>
            <w:webHidden/>
          </w:rPr>
          <w:fldChar w:fldCharType="separate"/>
        </w:r>
        <w:r>
          <w:rPr>
            <w:i w:val="0"/>
            <w:iCs w:val="0"/>
            <w:noProof/>
            <w:webHidden/>
          </w:rPr>
          <w:t>16-29</w:t>
        </w:r>
        <w:r w:rsidR="001037E0" w:rsidRPr="001037E0">
          <w:rPr>
            <w:i w:val="0"/>
            <w:iCs w:val="0"/>
            <w:noProof/>
            <w:webHidden/>
          </w:rPr>
          <w:fldChar w:fldCharType="end"/>
        </w:r>
      </w:hyperlink>
    </w:p>
    <w:p w14:paraId="66B4C8E9" w14:textId="30380F21" w:rsidR="001037E0" w:rsidRPr="001037E0" w:rsidRDefault="001A683A">
      <w:pPr>
        <w:pStyle w:val="TOC2"/>
        <w:rPr>
          <w:rFonts w:eastAsiaTheme="minorEastAsia"/>
          <w:kern w:val="2"/>
          <w14:ligatures w14:val="standardContextual"/>
        </w:rPr>
      </w:pPr>
      <w:hyperlink w:anchor="_Toc175159144" w:history="1">
        <w:r w:rsidR="001037E0" w:rsidRPr="001037E0">
          <w:rPr>
            <w:rStyle w:val="Hyperlink"/>
          </w:rPr>
          <w:t>16.6</w:t>
        </w:r>
        <w:r w:rsidR="001037E0" w:rsidRPr="001037E0">
          <w:rPr>
            <w:rFonts w:eastAsiaTheme="minorEastAsia"/>
            <w:kern w:val="2"/>
            <w14:ligatures w14:val="standardContextual"/>
          </w:rPr>
          <w:tab/>
        </w:r>
        <w:r w:rsidR="001037E0" w:rsidRPr="001037E0">
          <w:rPr>
            <w:rStyle w:val="Hyperlink"/>
          </w:rPr>
          <w:t>Registration of Municipally Owned Utilities and Electric Cooperatives in the ERCOT Region</w:t>
        </w:r>
        <w:r w:rsidR="001037E0" w:rsidRPr="001037E0">
          <w:rPr>
            <w:webHidden/>
          </w:rPr>
          <w:tab/>
        </w:r>
        <w:r w:rsidR="001037E0" w:rsidRPr="001037E0">
          <w:rPr>
            <w:webHidden/>
          </w:rPr>
          <w:fldChar w:fldCharType="begin"/>
        </w:r>
        <w:r w:rsidR="001037E0" w:rsidRPr="001037E0">
          <w:rPr>
            <w:webHidden/>
          </w:rPr>
          <w:instrText xml:space="preserve"> PAGEREF _Toc175159144 \h </w:instrText>
        </w:r>
        <w:r w:rsidR="001037E0" w:rsidRPr="001037E0">
          <w:rPr>
            <w:webHidden/>
          </w:rPr>
        </w:r>
        <w:r w:rsidR="001037E0" w:rsidRPr="001037E0">
          <w:rPr>
            <w:webHidden/>
          </w:rPr>
          <w:fldChar w:fldCharType="separate"/>
        </w:r>
        <w:r>
          <w:rPr>
            <w:webHidden/>
          </w:rPr>
          <w:t>16-30</w:t>
        </w:r>
        <w:r w:rsidR="001037E0" w:rsidRPr="001037E0">
          <w:rPr>
            <w:webHidden/>
          </w:rPr>
          <w:fldChar w:fldCharType="end"/>
        </w:r>
      </w:hyperlink>
    </w:p>
    <w:p w14:paraId="408C89DB" w14:textId="5D48F332" w:rsidR="001037E0" w:rsidRPr="001037E0" w:rsidRDefault="001A683A">
      <w:pPr>
        <w:pStyle w:val="TOC2"/>
        <w:rPr>
          <w:rFonts w:eastAsiaTheme="minorEastAsia"/>
          <w:kern w:val="2"/>
          <w14:ligatures w14:val="standardContextual"/>
        </w:rPr>
      </w:pPr>
      <w:hyperlink w:anchor="_Toc175159145" w:history="1">
        <w:r w:rsidR="001037E0" w:rsidRPr="001037E0">
          <w:rPr>
            <w:rStyle w:val="Hyperlink"/>
          </w:rPr>
          <w:t>16.7</w:t>
        </w:r>
        <w:r w:rsidR="001037E0" w:rsidRPr="001037E0">
          <w:rPr>
            <w:rFonts w:eastAsiaTheme="minorEastAsia"/>
            <w:kern w:val="2"/>
            <w14:ligatures w14:val="standardContextual"/>
          </w:rPr>
          <w:tab/>
        </w:r>
        <w:r w:rsidR="001037E0" w:rsidRPr="001037E0">
          <w:rPr>
            <w:rStyle w:val="Hyperlink"/>
          </w:rPr>
          <w:t>Registration of Renewable Energy Credit Account Holders</w:t>
        </w:r>
        <w:r w:rsidR="001037E0" w:rsidRPr="001037E0">
          <w:rPr>
            <w:webHidden/>
          </w:rPr>
          <w:tab/>
        </w:r>
        <w:r w:rsidR="001037E0" w:rsidRPr="001037E0">
          <w:rPr>
            <w:webHidden/>
          </w:rPr>
          <w:fldChar w:fldCharType="begin"/>
        </w:r>
        <w:r w:rsidR="001037E0" w:rsidRPr="001037E0">
          <w:rPr>
            <w:webHidden/>
          </w:rPr>
          <w:instrText xml:space="preserve"> PAGEREF _Toc175159145 \h </w:instrText>
        </w:r>
        <w:r w:rsidR="001037E0" w:rsidRPr="001037E0">
          <w:rPr>
            <w:webHidden/>
          </w:rPr>
        </w:r>
        <w:r w:rsidR="001037E0" w:rsidRPr="001037E0">
          <w:rPr>
            <w:webHidden/>
          </w:rPr>
          <w:fldChar w:fldCharType="separate"/>
        </w:r>
        <w:r>
          <w:rPr>
            <w:webHidden/>
          </w:rPr>
          <w:t>16-30</w:t>
        </w:r>
        <w:r w:rsidR="001037E0" w:rsidRPr="001037E0">
          <w:rPr>
            <w:webHidden/>
          </w:rPr>
          <w:fldChar w:fldCharType="end"/>
        </w:r>
      </w:hyperlink>
    </w:p>
    <w:p w14:paraId="6A917005" w14:textId="32B6458D" w:rsidR="001037E0" w:rsidRPr="001037E0" w:rsidRDefault="001A683A">
      <w:pPr>
        <w:pStyle w:val="TOC2"/>
        <w:rPr>
          <w:rFonts w:eastAsiaTheme="minorEastAsia"/>
          <w:kern w:val="2"/>
          <w14:ligatures w14:val="standardContextual"/>
        </w:rPr>
      </w:pPr>
      <w:hyperlink w:anchor="_Toc175159146" w:history="1">
        <w:r w:rsidR="001037E0" w:rsidRPr="001037E0">
          <w:rPr>
            <w:rStyle w:val="Hyperlink"/>
          </w:rPr>
          <w:t>16.8</w:t>
        </w:r>
        <w:r w:rsidR="001037E0" w:rsidRPr="001037E0">
          <w:rPr>
            <w:rFonts w:eastAsiaTheme="minorEastAsia"/>
            <w:kern w:val="2"/>
            <w14:ligatures w14:val="standardContextual"/>
          </w:rPr>
          <w:tab/>
        </w:r>
        <w:r w:rsidR="001037E0" w:rsidRPr="001037E0">
          <w:rPr>
            <w:rStyle w:val="Hyperlink"/>
          </w:rPr>
          <w:t>Registration and Qualification of Congestion Revenue Rights Account Holders</w:t>
        </w:r>
        <w:r w:rsidR="001037E0" w:rsidRPr="001037E0">
          <w:rPr>
            <w:webHidden/>
          </w:rPr>
          <w:tab/>
        </w:r>
        <w:r w:rsidR="001037E0" w:rsidRPr="001037E0">
          <w:rPr>
            <w:webHidden/>
          </w:rPr>
          <w:fldChar w:fldCharType="begin"/>
        </w:r>
        <w:r w:rsidR="001037E0" w:rsidRPr="001037E0">
          <w:rPr>
            <w:webHidden/>
          </w:rPr>
          <w:instrText xml:space="preserve"> PAGEREF _Toc175159146 \h </w:instrText>
        </w:r>
        <w:r w:rsidR="001037E0" w:rsidRPr="001037E0">
          <w:rPr>
            <w:webHidden/>
          </w:rPr>
        </w:r>
        <w:r w:rsidR="001037E0" w:rsidRPr="001037E0">
          <w:rPr>
            <w:webHidden/>
          </w:rPr>
          <w:fldChar w:fldCharType="separate"/>
        </w:r>
        <w:r>
          <w:rPr>
            <w:webHidden/>
          </w:rPr>
          <w:t>16-30</w:t>
        </w:r>
        <w:r w:rsidR="001037E0" w:rsidRPr="001037E0">
          <w:rPr>
            <w:webHidden/>
          </w:rPr>
          <w:fldChar w:fldCharType="end"/>
        </w:r>
      </w:hyperlink>
    </w:p>
    <w:p w14:paraId="68836B5F" w14:textId="01EE38BA" w:rsidR="001037E0" w:rsidRPr="001037E0" w:rsidRDefault="001A683A">
      <w:pPr>
        <w:pStyle w:val="TOC3"/>
        <w:rPr>
          <w:rFonts w:eastAsiaTheme="minorEastAsia"/>
          <w:i w:val="0"/>
          <w:iCs w:val="0"/>
          <w:noProof/>
          <w:kern w:val="2"/>
          <w14:ligatures w14:val="standardContextual"/>
        </w:rPr>
      </w:pPr>
      <w:hyperlink w:anchor="_Toc175159147" w:history="1">
        <w:r w:rsidR="001037E0" w:rsidRPr="001037E0">
          <w:rPr>
            <w:rStyle w:val="Hyperlink"/>
            <w:i w:val="0"/>
            <w:iCs w:val="0"/>
            <w:noProof/>
          </w:rPr>
          <w:t>16.8.1</w:t>
        </w:r>
        <w:r w:rsidR="001037E0" w:rsidRPr="001037E0">
          <w:rPr>
            <w:rFonts w:eastAsiaTheme="minorEastAsia"/>
            <w:i w:val="0"/>
            <w:iCs w:val="0"/>
            <w:noProof/>
            <w:kern w:val="2"/>
            <w14:ligatures w14:val="standardContextual"/>
          </w:rPr>
          <w:tab/>
        </w:r>
        <w:r w:rsidR="001037E0" w:rsidRPr="001037E0">
          <w:rPr>
            <w:rStyle w:val="Hyperlink"/>
            <w:i w:val="0"/>
            <w:iCs w:val="0"/>
            <w:noProof/>
          </w:rPr>
          <w:t>Criteria for Qualification as a CRR Account Holder</w:t>
        </w:r>
        <w:r w:rsidR="001037E0" w:rsidRPr="001037E0">
          <w:rPr>
            <w:i w:val="0"/>
            <w:iCs w:val="0"/>
            <w:noProof/>
            <w:webHidden/>
          </w:rPr>
          <w:tab/>
        </w:r>
        <w:r w:rsidR="001037E0" w:rsidRPr="001037E0">
          <w:rPr>
            <w:i w:val="0"/>
            <w:iCs w:val="0"/>
            <w:noProof/>
            <w:webHidden/>
          </w:rPr>
          <w:fldChar w:fldCharType="begin"/>
        </w:r>
        <w:r w:rsidR="001037E0" w:rsidRPr="001037E0">
          <w:rPr>
            <w:i w:val="0"/>
            <w:iCs w:val="0"/>
            <w:noProof/>
            <w:webHidden/>
          </w:rPr>
          <w:instrText xml:space="preserve"> PAGEREF _Toc175159147 \h </w:instrText>
        </w:r>
        <w:r w:rsidR="001037E0" w:rsidRPr="001037E0">
          <w:rPr>
            <w:i w:val="0"/>
            <w:iCs w:val="0"/>
            <w:noProof/>
            <w:webHidden/>
          </w:rPr>
        </w:r>
        <w:r w:rsidR="001037E0" w:rsidRPr="001037E0">
          <w:rPr>
            <w:i w:val="0"/>
            <w:iCs w:val="0"/>
            <w:noProof/>
            <w:webHidden/>
          </w:rPr>
          <w:fldChar w:fldCharType="separate"/>
        </w:r>
        <w:r>
          <w:rPr>
            <w:i w:val="0"/>
            <w:iCs w:val="0"/>
            <w:noProof/>
            <w:webHidden/>
          </w:rPr>
          <w:t>16-30</w:t>
        </w:r>
        <w:r w:rsidR="001037E0" w:rsidRPr="001037E0">
          <w:rPr>
            <w:i w:val="0"/>
            <w:iCs w:val="0"/>
            <w:noProof/>
            <w:webHidden/>
          </w:rPr>
          <w:fldChar w:fldCharType="end"/>
        </w:r>
      </w:hyperlink>
    </w:p>
    <w:p w14:paraId="14BB0982" w14:textId="03BE46B6" w:rsidR="001037E0" w:rsidRPr="001037E0" w:rsidRDefault="001A683A">
      <w:pPr>
        <w:pStyle w:val="TOC3"/>
        <w:rPr>
          <w:rFonts w:eastAsiaTheme="minorEastAsia"/>
          <w:i w:val="0"/>
          <w:iCs w:val="0"/>
          <w:noProof/>
          <w:kern w:val="2"/>
          <w14:ligatures w14:val="standardContextual"/>
        </w:rPr>
      </w:pPr>
      <w:hyperlink w:anchor="_Toc175159148" w:history="1">
        <w:r w:rsidR="001037E0" w:rsidRPr="001037E0">
          <w:rPr>
            <w:rStyle w:val="Hyperlink"/>
            <w:i w:val="0"/>
            <w:iCs w:val="0"/>
            <w:noProof/>
          </w:rPr>
          <w:t>16.8.2</w:t>
        </w:r>
        <w:r w:rsidR="001037E0" w:rsidRPr="001037E0">
          <w:rPr>
            <w:rFonts w:eastAsiaTheme="minorEastAsia"/>
            <w:i w:val="0"/>
            <w:iCs w:val="0"/>
            <w:noProof/>
            <w:kern w:val="2"/>
            <w14:ligatures w14:val="standardContextual"/>
          </w:rPr>
          <w:tab/>
        </w:r>
        <w:r w:rsidR="001037E0" w:rsidRPr="001037E0">
          <w:rPr>
            <w:rStyle w:val="Hyperlink"/>
            <w:i w:val="0"/>
            <w:iCs w:val="0"/>
            <w:noProof/>
          </w:rPr>
          <w:t>CRR Account Holder Application Process</w:t>
        </w:r>
        <w:r w:rsidR="001037E0" w:rsidRPr="001037E0">
          <w:rPr>
            <w:i w:val="0"/>
            <w:iCs w:val="0"/>
            <w:noProof/>
            <w:webHidden/>
          </w:rPr>
          <w:tab/>
        </w:r>
        <w:r w:rsidR="001037E0" w:rsidRPr="001037E0">
          <w:rPr>
            <w:i w:val="0"/>
            <w:iCs w:val="0"/>
            <w:noProof/>
            <w:webHidden/>
          </w:rPr>
          <w:fldChar w:fldCharType="begin"/>
        </w:r>
        <w:r w:rsidR="001037E0" w:rsidRPr="001037E0">
          <w:rPr>
            <w:i w:val="0"/>
            <w:iCs w:val="0"/>
            <w:noProof/>
            <w:webHidden/>
          </w:rPr>
          <w:instrText xml:space="preserve"> PAGEREF _Toc175159148 \h </w:instrText>
        </w:r>
        <w:r w:rsidR="001037E0" w:rsidRPr="001037E0">
          <w:rPr>
            <w:i w:val="0"/>
            <w:iCs w:val="0"/>
            <w:noProof/>
            <w:webHidden/>
          </w:rPr>
        </w:r>
        <w:r w:rsidR="001037E0" w:rsidRPr="001037E0">
          <w:rPr>
            <w:i w:val="0"/>
            <w:iCs w:val="0"/>
            <w:noProof/>
            <w:webHidden/>
          </w:rPr>
          <w:fldChar w:fldCharType="separate"/>
        </w:r>
        <w:r>
          <w:rPr>
            <w:i w:val="0"/>
            <w:iCs w:val="0"/>
            <w:noProof/>
            <w:webHidden/>
          </w:rPr>
          <w:t>16-33</w:t>
        </w:r>
        <w:r w:rsidR="001037E0" w:rsidRPr="001037E0">
          <w:rPr>
            <w:i w:val="0"/>
            <w:iCs w:val="0"/>
            <w:noProof/>
            <w:webHidden/>
          </w:rPr>
          <w:fldChar w:fldCharType="end"/>
        </w:r>
      </w:hyperlink>
    </w:p>
    <w:p w14:paraId="66688C94" w14:textId="6FF89369" w:rsidR="001037E0" w:rsidRPr="001037E0" w:rsidRDefault="001A683A">
      <w:pPr>
        <w:pStyle w:val="TOC4"/>
        <w:rPr>
          <w:rFonts w:eastAsiaTheme="minorEastAsia"/>
          <w:kern w:val="2"/>
          <w:sz w:val="20"/>
          <w:szCs w:val="20"/>
          <w14:ligatures w14:val="standardContextual"/>
        </w:rPr>
      </w:pPr>
      <w:hyperlink w:anchor="_Toc175159149" w:history="1">
        <w:r w:rsidR="001037E0" w:rsidRPr="001037E0">
          <w:rPr>
            <w:rStyle w:val="Hyperlink"/>
            <w:sz w:val="20"/>
            <w:szCs w:val="20"/>
          </w:rPr>
          <w:t>16.8.2.1</w:t>
        </w:r>
        <w:r w:rsidR="001037E0" w:rsidRPr="001037E0">
          <w:rPr>
            <w:rFonts w:eastAsiaTheme="minorEastAsia"/>
            <w:kern w:val="2"/>
            <w:sz w:val="20"/>
            <w:szCs w:val="20"/>
            <w14:ligatures w14:val="standardContextual"/>
          </w:rPr>
          <w:tab/>
        </w:r>
        <w:r w:rsidR="001037E0" w:rsidRPr="001037E0">
          <w:rPr>
            <w:rStyle w:val="Hyperlink"/>
            <w:sz w:val="20"/>
            <w:szCs w:val="20"/>
          </w:rPr>
          <w:t>Notice of Receipt of CRR Account Holder Application</w:t>
        </w:r>
        <w:r w:rsidR="001037E0" w:rsidRPr="001037E0">
          <w:rPr>
            <w:webHidden/>
            <w:sz w:val="20"/>
            <w:szCs w:val="20"/>
          </w:rPr>
          <w:tab/>
        </w:r>
        <w:r w:rsidR="001037E0" w:rsidRPr="001037E0">
          <w:rPr>
            <w:webHidden/>
            <w:sz w:val="20"/>
            <w:szCs w:val="20"/>
          </w:rPr>
          <w:fldChar w:fldCharType="begin"/>
        </w:r>
        <w:r w:rsidR="001037E0" w:rsidRPr="001037E0">
          <w:rPr>
            <w:webHidden/>
            <w:sz w:val="20"/>
            <w:szCs w:val="20"/>
          </w:rPr>
          <w:instrText xml:space="preserve"> PAGEREF _Toc175159149 \h </w:instrText>
        </w:r>
        <w:r w:rsidR="001037E0" w:rsidRPr="001037E0">
          <w:rPr>
            <w:webHidden/>
            <w:sz w:val="20"/>
            <w:szCs w:val="20"/>
          </w:rPr>
        </w:r>
        <w:r w:rsidR="001037E0" w:rsidRPr="001037E0">
          <w:rPr>
            <w:webHidden/>
            <w:sz w:val="20"/>
            <w:szCs w:val="20"/>
          </w:rPr>
          <w:fldChar w:fldCharType="separate"/>
        </w:r>
        <w:r>
          <w:rPr>
            <w:webHidden/>
            <w:sz w:val="20"/>
            <w:szCs w:val="20"/>
          </w:rPr>
          <w:t>16-34</w:t>
        </w:r>
        <w:r w:rsidR="001037E0" w:rsidRPr="001037E0">
          <w:rPr>
            <w:webHidden/>
            <w:sz w:val="20"/>
            <w:szCs w:val="20"/>
          </w:rPr>
          <w:fldChar w:fldCharType="end"/>
        </w:r>
      </w:hyperlink>
    </w:p>
    <w:p w14:paraId="53E5E720" w14:textId="05A17001" w:rsidR="001037E0" w:rsidRPr="001037E0" w:rsidRDefault="001A683A">
      <w:pPr>
        <w:pStyle w:val="TOC4"/>
        <w:rPr>
          <w:rFonts w:eastAsiaTheme="minorEastAsia"/>
          <w:kern w:val="2"/>
          <w:sz w:val="20"/>
          <w:szCs w:val="20"/>
          <w14:ligatures w14:val="standardContextual"/>
        </w:rPr>
      </w:pPr>
      <w:hyperlink w:anchor="_Toc175159150" w:history="1">
        <w:r w:rsidR="001037E0" w:rsidRPr="001037E0">
          <w:rPr>
            <w:rStyle w:val="Hyperlink"/>
            <w:sz w:val="20"/>
            <w:szCs w:val="20"/>
          </w:rPr>
          <w:t>16.8.2.2</w:t>
        </w:r>
        <w:r w:rsidR="001037E0" w:rsidRPr="001037E0">
          <w:rPr>
            <w:rFonts w:eastAsiaTheme="minorEastAsia"/>
            <w:kern w:val="2"/>
            <w:sz w:val="20"/>
            <w:szCs w:val="20"/>
            <w14:ligatures w14:val="standardContextual"/>
          </w:rPr>
          <w:tab/>
        </w:r>
        <w:r w:rsidR="001037E0" w:rsidRPr="001037E0">
          <w:rPr>
            <w:rStyle w:val="Hyperlink"/>
            <w:sz w:val="20"/>
            <w:szCs w:val="20"/>
          </w:rPr>
          <w:t>Incomplete CRR Account Holder Applications</w:t>
        </w:r>
        <w:r w:rsidR="001037E0" w:rsidRPr="001037E0">
          <w:rPr>
            <w:webHidden/>
            <w:sz w:val="20"/>
            <w:szCs w:val="20"/>
          </w:rPr>
          <w:tab/>
        </w:r>
        <w:r w:rsidR="001037E0" w:rsidRPr="001037E0">
          <w:rPr>
            <w:webHidden/>
            <w:sz w:val="20"/>
            <w:szCs w:val="20"/>
          </w:rPr>
          <w:fldChar w:fldCharType="begin"/>
        </w:r>
        <w:r w:rsidR="001037E0" w:rsidRPr="001037E0">
          <w:rPr>
            <w:webHidden/>
            <w:sz w:val="20"/>
            <w:szCs w:val="20"/>
          </w:rPr>
          <w:instrText xml:space="preserve"> PAGEREF _Toc175159150 \h </w:instrText>
        </w:r>
        <w:r w:rsidR="001037E0" w:rsidRPr="001037E0">
          <w:rPr>
            <w:webHidden/>
            <w:sz w:val="20"/>
            <w:szCs w:val="20"/>
          </w:rPr>
        </w:r>
        <w:r w:rsidR="001037E0" w:rsidRPr="001037E0">
          <w:rPr>
            <w:webHidden/>
            <w:sz w:val="20"/>
            <w:szCs w:val="20"/>
          </w:rPr>
          <w:fldChar w:fldCharType="separate"/>
        </w:r>
        <w:r>
          <w:rPr>
            <w:webHidden/>
            <w:sz w:val="20"/>
            <w:szCs w:val="20"/>
          </w:rPr>
          <w:t>16-34</w:t>
        </w:r>
        <w:r w:rsidR="001037E0" w:rsidRPr="001037E0">
          <w:rPr>
            <w:webHidden/>
            <w:sz w:val="20"/>
            <w:szCs w:val="20"/>
          </w:rPr>
          <w:fldChar w:fldCharType="end"/>
        </w:r>
      </w:hyperlink>
    </w:p>
    <w:p w14:paraId="35E09CE7" w14:textId="45B29899" w:rsidR="001037E0" w:rsidRPr="001037E0" w:rsidRDefault="001A683A">
      <w:pPr>
        <w:pStyle w:val="TOC4"/>
        <w:rPr>
          <w:rFonts w:eastAsiaTheme="minorEastAsia"/>
          <w:kern w:val="2"/>
          <w:sz w:val="20"/>
          <w:szCs w:val="20"/>
          <w14:ligatures w14:val="standardContextual"/>
        </w:rPr>
      </w:pPr>
      <w:hyperlink w:anchor="_Toc175159151" w:history="1">
        <w:r w:rsidR="001037E0" w:rsidRPr="001037E0">
          <w:rPr>
            <w:rStyle w:val="Hyperlink"/>
            <w:sz w:val="20"/>
            <w:szCs w:val="20"/>
          </w:rPr>
          <w:t>16.8.2.3</w:t>
        </w:r>
        <w:r w:rsidR="001037E0" w:rsidRPr="001037E0">
          <w:rPr>
            <w:rFonts w:eastAsiaTheme="minorEastAsia"/>
            <w:kern w:val="2"/>
            <w:sz w:val="20"/>
            <w:szCs w:val="20"/>
            <w14:ligatures w14:val="standardContextual"/>
          </w:rPr>
          <w:tab/>
        </w:r>
        <w:r w:rsidR="001037E0" w:rsidRPr="001037E0">
          <w:rPr>
            <w:rStyle w:val="Hyperlink"/>
            <w:sz w:val="20"/>
            <w:szCs w:val="20"/>
          </w:rPr>
          <w:t>ERCOT Approval or Rejection of CRR Account Holder Application</w:t>
        </w:r>
        <w:r w:rsidR="001037E0" w:rsidRPr="001037E0">
          <w:rPr>
            <w:webHidden/>
            <w:sz w:val="20"/>
            <w:szCs w:val="20"/>
          </w:rPr>
          <w:tab/>
        </w:r>
        <w:r w:rsidR="001037E0" w:rsidRPr="001037E0">
          <w:rPr>
            <w:webHidden/>
            <w:sz w:val="20"/>
            <w:szCs w:val="20"/>
          </w:rPr>
          <w:fldChar w:fldCharType="begin"/>
        </w:r>
        <w:r w:rsidR="001037E0" w:rsidRPr="001037E0">
          <w:rPr>
            <w:webHidden/>
            <w:sz w:val="20"/>
            <w:szCs w:val="20"/>
          </w:rPr>
          <w:instrText xml:space="preserve"> PAGEREF _Toc175159151 \h </w:instrText>
        </w:r>
        <w:r w:rsidR="001037E0" w:rsidRPr="001037E0">
          <w:rPr>
            <w:webHidden/>
            <w:sz w:val="20"/>
            <w:szCs w:val="20"/>
          </w:rPr>
        </w:r>
        <w:r w:rsidR="001037E0" w:rsidRPr="001037E0">
          <w:rPr>
            <w:webHidden/>
            <w:sz w:val="20"/>
            <w:szCs w:val="20"/>
          </w:rPr>
          <w:fldChar w:fldCharType="separate"/>
        </w:r>
        <w:r>
          <w:rPr>
            <w:webHidden/>
            <w:sz w:val="20"/>
            <w:szCs w:val="20"/>
          </w:rPr>
          <w:t>16-34</w:t>
        </w:r>
        <w:r w:rsidR="001037E0" w:rsidRPr="001037E0">
          <w:rPr>
            <w:webHidden/>
            <w:sz w:val="20"/>
            <w:szCs w:val="20"/>
          </w:rPr>
          <w:fldChar w:fldCharType="end"/>
        </w:r>
      </w:hyperlink>
    </w:p>
    <w:p w14:paraId="04F02170" w14:textId="083F391E" w:rsidR="001037E0" w:rsidRPr="001037E0" w:rsidRDefault="001A683A">
      <w:pPr>
        <w:pStyle w:val="TOC3"/>
        <w:rPr>
          <w:rFonts w:eastAsiaTheme="minorEastAsia"/>
          <w:i w:val="0"/>
          <w:iCs w:val="0"/>
          <w:noProof/>
          <w:kern w:val="2"/>
          <w14:ligatures w14:val="standardContextual"/>
        </w:rPr>
      </w:pPr>
      <w:hyperlink w:anchor="_Toc175159152" w:history="1">
        <w:r w:rsidR="001037E0" w:rsidRPr="001037E0">
          <w:rPr>
            <w:rStyle w:val="Hyperlink"/>
            <w:i w:val="0"/>
            <w:iCs w:val="0"/>
            <w:noProof/>
          </w:rPr>
          <w:t>16.8.3</w:t>
        </w:r>
        <w:r w:rsidR="001037E0" w:rsidRPr="001037E0">
          <w:rPr>
            <w:rFonts w:eastAsiaTheme="minorEastAsia"/>
            <w:i w:val="0"/>
            <w:iCs w:val="0"/>
            <w:noProof/>
            <w:kern w:val="2"/>
            <w14:ligatures w14:val="standardContextual"/>
          </w:rPr>
          <w:tab/>
        </w:r>
        <w:r w:rsidR="001037E0" w:rsidRPr="001037E0">
          <w:rPr>
            <w:rStyle w:val="Hyperlink"/>
            <w:i w:val="0"/>
            <w:iCs w:val="0"/>
            <w:noProof/>
          </w:rPr>
          <w:t>Remaining Steps for CRR Account Holder Registration</w:t>
        </w:r>
        <w:r w:rsidR="001037E0" w:rsidRPr="001037E0">
          <w:rPr>
            <w:i w:val="0"/>
            <w:iCs w:val="0"/>
            <w:noProof/>
            <w:webHidden/>
          </w:rPr>
          <w:tab/>
        </w:r>
        <w:r w:rsidR="001037E0" w:rsidRPr="001037E0">
          <w:rPr>
            <w:i w:val="0"/>
            <w:iCs w:val="0"/>
            <w:noProof/>
            <w:webHidden/>
          </w:rPr>
          <w:fldChar w:fldCharType="begin"/>
        </w:r>
        <w:r w:rsidR="001037E0" w:rsidRPr="001037E0">
          <w:rPr>
            <w:i w:val="0"/>
            <w:iCs w:val="0"/>
            <w:noProof/>
            <w:webHidden/>
          </w:rPr>
          <w:instrText xml:space="preserve"> PAGEREF _Toc175159152 \h </w:instrText>
        </w:r>
        <w:r w:rsidR="001037E0" w:rsidRPr="001037E0">
          <w:rPr>
            <w:i w:val="0"/>
            <w:iCs w:val="0"/>
            <w:noProof/>
            <w:webHidden/>
          </w:rPr>
        </w:r>
        <w:r w:rsidR="001037E0" w:rsidRPr="001037E0">
          <w:rPr>
            <w:i w:val="0"/>
            <w:iCs w:val="0"/>
            <w:noProof/>
            <w:webHidden/>
          </w:rPr>
          <w:fldChar w:fldCharType="separate"/>
        </w:r>
        <w:r>
          <w:rPr>
            <w:i w:val="0"/>
            <w:iCs w:val="0"/>
            <w:noProof/>
            <w:webHidden/>
          </w:rPr>
          <w:t>16-35</w:t>
        </w:r>
        <w:r w:rsidR="001037E0" w:rsidRPr="001037E0">
          <w:rPr>
            <w:i w:val="0"/>
            <w:iCs w:val="0"/>
            <w:noProof/>
            <w:webHidden/>
          </w:rPr>
          <w:fldChar w:fldCharType="end"/>
        </w:r>
      </w:hyperlink>
    </w:p>
    <w:p w14:paraId="0B3F7F29" w14:textId="1AB92F43" w:rsidR="001037E0" w:rsidRPr="001037E0" w:rsidRDefault="001A683A">
      <w:pPr>
        <w:pStyle w:val="TOC4"/>
        <w:rPr>
          <w:rFonts w:eastAsiaTheme="minorEastAsia"/>
          <w:kern w:val="2"/>
          <w:sz w:val="20"/>
          <w:szCs w:val="20"/>
          <w14:ligatures w14:val="standardContextual"/>
        </w:rPr>
      </w:pPr>
      <w:hyperlink w:anchor="_Toc175159153" w:history="1">
        <w:r w:rsidR="001037E0" w:rsidRPr="001037E0">
          <w:rPr>
            <w:rStyle w:val="Hyperlink"/>
            <w:sz w:val="20"/>
            <w:szCs w:val="20"/>
          </w:rPr>
          <w:t>16.8.3.1</w:t>
        </w:r>
        <w:r w:rsidR="001037E0" w:rsidRPr="001037E0">
          <w:rPr>
            <w:rFonts w:eastAsiaTheme="minorEastAsia"/>
            <w:kern w:val="2"/>
            <w:sz w:val="20"/>
            <w:szCs w:val="20"/>
            <w14:ligatures w14:val="standardContextual"/>
          </w:rPr>
          <w:tab/>
        </w:r>
        <w:r w:rsidR="001037E0" w:rsidRPr="001037E0">
          <w:rPr>
            <w:rStyle w:val="Hyperlink"/>
            <w:sz w:val="20"/>
            <w:szCs w:val="20"/>
          </w:rPr>
          <w:t>Maintaining and Updating CRR Account Holder Information</w:t>
        </w:r>
        <w:r w:rsidR="001037E0" w:rsidRPr="001037E0">
          <w:rPr>
            <w:webHidden/>
            <w:sz w:val="20"/>
            <w:szCs w:val="20"/>
          </w:rPr>
          <w:tab/>
        </w:r>
        <w:r w:rsidR="001037E0" w:rsidRPr="001037E0">
          <w:rPr>
            <w:webHidden/>
            <w:sz w:val="20"/>
            <w:szCs w:val="20"/>
          </w:rPr>
          <w:fldChar w:fldCharType="begin"/>
        </w:r>
        <w:r w:rsidR="001037E0" w:rsidRPr="001037E0">
          <w:rPr>
            <w:webHidden/>
            <w:sz w:val="20"/>
            <w:szCs w:val="20"/>
          </w:rPr>
          <w:instrText xml:space="preserve"> PAGEREF _Toc175159153 \h </w:instrText>
        </w:r>
        <w:r w:rsidR="001037E0" w:rsidRPr="001037E0">
          <w:rPr>
            <w:webHidden/>
            <w:sz w:val="20"/>
            <w:szCs w:val="20"/>
          </w:rPr>
        </w:r>
        <w:r w:rsidR="001037E0" w:rsidRPr="001037E0">
          <w:rPr>
            <w:webHidden/>
            <w:sz w:val="20"/>
            <w:szCs w:val="20"/>
          </w:rPr>
          <w:fldChar w:fldCharType="separate"/>
        </w:r>
        <w:r>
          <w:rPr>
            <w:webHidden/>
            <w:sz w:val="20"/>
            <w:szCs w:val="20"/>
          </w:rPr>
          <w:t>16-35</w:t>
        </w:r>
        <w:r w:rsidR="001037E0" w:rsidRPr="001037E0">
          <w:rPr>
            <w:webHidden/>
            <w:sz w:val="20"/>
            <w:szCs w:val="20"/>
          </w:rPr>
          <w:fldChar w:fldCharType="end"/>
        </w:r>
      </w:hyperlink>
    </w:p>
    <w:p w14:paraId="1DFE0796" w14:textId="60C10441" w:rsidR="001037E0" w:rsidRPr="001037E0" w:rsidRDefault="001A683A">
      <w:pPr>
        <w:pStyle w:val="TOC2"/>
        <w:rPr>
          <w:rFonts w:eastAsiaTheme="minorEastAsia"/>
          <w:kern w:val="2"/>
          <w14:ligatures w14:val="standardContextual"/>
        </w:rPr>
      </w:pPr>
      <w:hyperlink w:anchor="_Toc175159154" w:history="1">
        <w:r w:rsidR="001037E0" w:rsidRPr="001037E0">
          <w:rPr>
            <w:rStyle w:val="Hyperlink"/>
          </w:rPr>
          <w:t>16.9</w:t>
        </w:r>
        <w:r w:rsidR="001037E0" w:rsidRPr="001037E0">
          <w:rPr>
            <w:rFonts w:eastAsiaTheme="minorEastAsia"/>
            <w:kern w:val="2"/>
            <w14:ligatures w14:val="standardContextual"/>
          </w:rPr>
          <w:tab/>
        </w:r>
        <w:r w:rsidR="001037E0" w:rsidRPr="001037E0">
          <w:rPr>
            <w:rStyle w:val="Hyperlink"/>
          </w:rPr>
          <w:t>Resources Providing Reliability Must-Run Service</w:t>
        </w:r>
        <w:r w:rsidR="001037E0" w:rsidRPr="001037E0">
          <w:rPr>
            <w:webHidden/>
          </w:rPr>
          <w:tab/>
        </w:r>
        <w:r w:rsidR="001037E0" w:rsidRPr="001037E0">
          <w:rPr>
            <w:webHidden/>
          </w:rPr>
          <w:fldChar w:fldCharType="begin"/>
        </w:r>
        <w:r w:rsidR="001037E0" w:rsidRPr="001037E0">
          <w:rPr>
            <w:webHidden/>
          </w:rPr>
          <w:instrText xml:space="preserve"> PAGEREF _Toc175159154 \h </w:instrText>
        </w:r>
        <w:r w:rsidR="001037E0" w:rsidRPr="001037E0">
          <w:rPr>
            <w:webHidden/>
          </w:rPr>
        </w:r>
        <w:r w:rsidR="001037E0" w:rsidRPr="001037E0">
          <w:rPr>
            <w:webHidden/>
          </w:rPr>
          <w:fldChar w:fldCharType="separate"/>
        </w:r>
        <w:r>
          <w:rPr>
            <w:webHidden/>
          </w:rPr>
          <w:t>16-36</w:t>
        </w:r>
        <w:r w:rsidR="001037E0" w:rsidRPr="001037E0">
          <w:rPr>
            <w:webHidden/>
          </w:rPr>
          <w:fldChar w:fldCharType="end"/>
        </w:r>
      </w:hyperlink>
    </w:p>
    <w:p w14:paraId="3575C81B" w14:textId="0BCBAEC9" w:rsidR="001037E0" w:rsidRPr="001037E0" w:rsidRDefault="001A683A">
      <w:pPr>
        <w:pStyle w:val="TOC2"/>
        <w:rPr>
          <w:rFonts w:eastAsiaTheme="minorEastAsia"/>
          <w:kern w:val="2"/>
          <w14:ligatures w14:val="standardContextual"/>
        </w:rPr>
      </w:pPr>
      <w:hyperlink w:anchor="_Toc175159155" w:history="1">
        <w:r w:rsidR="001037E0" w:rsidRPr="001037E0">
          <w:rPr>
            <w:rStyle w:val="Hyperlink"/>
          </w:rPr>
          <w:t>16.10</w:t>
        </w:r>
        <w:r w:rsidR="001037E0" w:rsidRPr="001037E0">
          <w:rPr>
            <w:rFonts w:eastAsiaTheme="minorEastAsia"/>
            <w:kern w:val="2"/>
            <w14:ligatures w14:val="standardContextual"/>
          </w:rPr>
          <w:tab/>
        </w:r>
        <w:r w:rsidR="001037E0" w:rsidRPr="001037E0">
          <w:rPr>
            <w:rStyle w:val="Hyperlink"/>
          </w:rPr>
          <w:t>Resources Providing Black Start Service</w:t>
        </w:r>
        <w:r w:rsidR="001037E0" w:rsidRPr="001037E0">
          <w:rPr>
            <w:webHidden/>
          </w:rPr>
          <w:tab/>
        </w:r>
        <w:r w:rsidR="001037E0" w:rsidRPr="001037E0">
          <w:rPr>
            <w:webHidden/>
          </w:rPr>
          <w:fldChar w:fldCharType="begin"/>
        </w:r>
        <w:r w:rsidR="001037E0" w:rsidRPr="001037E0">
          <w:rPr>
            <w:webHidden/>
          </w:rPr>
          <w:instrText xml:space="preserve"> PAGEREF _Toc175159155 \h </w:instrText>
        </w:r>
        <w:r w:rsidR="001037E0" w:rsidRPr="001037E0">
          <w:rPr>
            <w:webHidden/>
          </w:rPr>
        </w:r>
        <w:r w:rsidR="001037E0" w:rsidRPr="001037E0">
          <w:rPr>
            <w:webHidden/>
          </w:rPr>
          <w:fldChar w:fldCharType="separate"/>
        </w:r>
        <w:r>
          <w:rPr>
            <w:webHidden/>
          </w:rPr>
          <w:t>16-36</w:t>
        </w:r>
        <w:r w:rsidR="001037E0" w:rsidRPr="001037E0">
          <w:rPr>
            <w:webHidden/>
          </w:rPr>
          <w:fldChar w:fldCharType="end"/>
        </w:r>
      </w:hyperlink>
    </w:p>
    <w:p w14:paraId="028A79A5" w14:textId="2674A63B" w:rsidR="001037E0" w:rsidRPr="001037E0" w:rsidRDefault="001A683A">
      <w:pPr>
        <w:pStyle w:val="TOC2"/>
        <w:rPr>
          <w:rFonts w:eastAsiaTheme="minorEastAsia"/>
          <w:kern w:val="2"/>
          <w14:ligatures w14:val="standardContextual"/>
        </w:rPr>
      </w:pPr>
      <w:hyperlink w:anchor="_Toc175159156" w:history="1">
        <w:r w:rsidR="001037E0" w:rsidRPr="001037E0">
          <w:rPr>
            <w:rStyle w:val="Hyperlink"/>
          </w:rPr>
          <w:t>16.11</w:t>
        </w:r>
        <w:r w:rsidR="001037E0" w:rsidRPr="001037E0">
          <w:rPr>
            <w:rFonts w:eastAsiaTheme="minorEastAsia"/>
            <w:kern w:val="2"/>
            <w14:ligatures w14:val="standardContextual"/>
          </w:rPr>
          <w:tab/>
        </w:r>
        <w:r w:rsidR="001037E0" w:rsidRPr="001037E0">
          <w:rPr>
            <w:rStyle w:val="Hyperlink"/>
          </w:rPr>
          <w:t>Financial Security for Counter-Parties</w:t>
        </w:r>
        <w:r w:rsidR="001037E0" w:rsidRPr="001037E0">
          <w:rPr>
            <w:webHidden/>
          </w:rPr>
          <w:tab/>
        </w:r>
        <w:r w:rsidR="001037E0" w:rsidRPr="001037E0">
          <w:rPr>
            <w:webHidden/>
          </w:rPr>
          <w:fldChar w:fldCharType="begin"/>
        </w:r>
        <w:r w:rsidR="001037E0" w:rsidRPr="001037E0">
          <w:rPr>
            <w:webHidden/>
          </w:rPr>
          <w:instrText xml:space="preserve"> PAGEREF _Toc175159156 \h </w:instrText>
        </w:r>
        <w:r w:rsidR="001037E0" w:rsidRPr="001037E0">
          <w:rPr>
            <w:webHidden/>
          </w:rPr>
        </w:r>
        <w:r w:rsidR="001037E0" w:rsidRPr="001037E0">
          <w:rPr>
            <w:webHidden/>
          </w:rPr>
          <w:fldChar w:fldCharType="separate"/>
        </w:r>
        <w:r>
          <w:rPr>
            <w:webHidden/>
          </w:rPr>
          <w:t>16-36</w:t>
        </w:r>
        <w:r w:rsidR="001037E0" w:rsidRPr="001037E0">
          <w:rPr>
            <w:webHidden/>
          </w:rPr>
          <w:fldChar w:fldCharType="end"/>
        </w:r>
      </w:hyperlink>
    </w:p>
    <w:p w14:paraId="15696D82" w14:textId="33F0CF99" w:rsidR="001037E0" w:rsidRPr="001037E0" w:rsidRDefault="001A683A">
      <w:pPr>
        <w:pStyle w:val="TOC3"/>
        <w:rPr>
          <w:rFonts w:eastAsiaTheme="minorEastAsia"/>
          <w:i w:val="0"/>
          <w:iCs w:val="0"/>
          <w:noProof/>
          <w:kern w:val="2"/>
          <w14:ligatures w14:val="standardContextual"/>
        </w:rPr>
      </w:pPr>
      <w:hyperlink w:anchor="_Toc175159157" w:history="1">
        <w:r w:rsidR="001037E0" w:rsidRPr="001037E0">
          <w:rPr>
            <w:rStyle w:val="Hyperlink"/>
            <w:i w:val="0"/>
            <w:iCs w:val="0"/>
            <w:noProof/>
          </w:rPr>
          <w:t>16.11.1</w:t>
        </w:r>
        <w:r w:rsidR="001037E0" w:rsidRPr="001037E0">
          <w:rPr>
            <w:rFonts w:eastAsiaTheme="minorEastAsia"/>
            <w:i w:val="0"/>
            <w:iCs w:val="0"/>
            <w:noProof/>
            <w:kern w:val="2"/>
            <w14:ligatures w14:val="standardContextual"/>
          </w:rPr>
          <w:tab/>
        </w:r>
        <w:r w:rsidR="001037E0" w:rsidRPr="001037E0">
          <w:rPr>
            <w:rStyle w:val="Hyperlink"/>
            <w:i w:val="0"/>
            <w:iCs w:val="0"/>
            <w:noProof/>
          </w:rPr>
          <w:t>ERCOT Creditworthiness Requirements for Counter-Parties</w:t>
        </w:r>
        <w:r w:rsidR="001037E0" w:rsidRPr="001037E0">
          <w:rPr>
            <w:i w:val="0"/>
            <w:iCs w:val="0"/>
            <w:noProof/>
            <w:webHidden/>
          </w:rPr>
          <w:tab/>
        </w:r>
        <w:r w:rsidR="001037E0" w:rsidRPr="001037E0">
          <w:rPr>
            <w:i w:val="0"/>
            <w:iCs w:val="0"/>
            <w:noProof/>
            <w:webHidden/>
          </w:rPr>
          <w:fldChar w:fldCharType="begin"/>
        </w:r>
        <w:r w:rsidR="001037E0" w:rsidRPr="001037E0">
          <w:rPr>
            <w:i w:val="0"/>
            <w:iCs w:val="0"/>
            <w:noProof/>
            <w:webHidden/>
          </w:rPr>
          <w:instrText xml:space="preserve"> PAGEREF _Toc175159157 \h </w:instrText>
        </w:r>
        <w:r w:rsidR="001037E0" w:rsidRPr="001037E0">
          <w:rPr>
            <w:i w:val="0"/>
            <w:iCs w:val="0"/>
            <w:noProof/>
            <w:webHidden/>
          </w:rPr>
        </w:r>
        <w:r w:rsidR="001037E0" w:rsidRPr="001037E0">
          <w:rPr>
            <w:i w:val="0"/>
            <w:iCs w:val="0"/>
            <w:noProof/>
            <w:webHidden/>
          </w:rPr>
          <w:fldChar w:fldCharType="separate"/>
        </w:r>
        <w:r>
          <w:rPr>
            <w:i w:val="0"/>
            <w:iCs w:val="0"/>
            <w:noProof/>
            <w:webHidden/>
          </w:rPr>
          <w:t>16-36</w:t>
        </w:r>
        <w:r w:rsidR="001037E0" w:rsidRPr="001037E0">
          <w:rPr>
            <w:i w:val="0"/>
            <w:iCs w:val="0"/>
            <w:noProof/>
            <w:webHidden/>
          </w:rPr>
          <w:fldChar w:fldCharType="end"/>
        </w:r>
      </w:hyperlink>
    </w:p>
    <w:p w14:paraId="089AE169" w14:textId="6BD2EF86" w:rsidR="001037E0" w:rsidRPr="001037E0" w:rsidRDefault="001A683A">
      <w:pPr>
        <w:pStyle w:val="TOC4"/>
        <w:rPr>
          <w:rFonts w:eastAsiaTheme="minorEastAsia"/>
          <w:kern w:val="2"/>
          <w:sz w:val="20"/>
          <w:szCs w:val="20"/>
          <w14:ligatures w14:val="standardContextual"/>
        </w:rPr>
      </w:pPr>
      <w:hyperlink w:anchor="_Toc175159158" w:history="1">
        <w:r w:rsidR="001037E0" w:rsidRPr="001037E0">
          <w:rPr>
            <w:rStyle w:val="Hyperlink"/>
            <w:sz w:val="20"/>
            <w:szCs w:val="20"/>
          </w:rPr>
          <w:t>16.11.1.1</w:t>
        </w:r>
        <w:r w:rsidR="001037E0" w:rsidRPr="001037E0">
          <w:rPr>
            <w:rFonts w:eastAsiaTheme="minorEastAsia"/>
            <w:kern w:val="2"/>
            <w:sz w:val="20"/>
            <w:szCs w:val="20"/>
            <w14:ligatures w14:val="standardContextual"/>
          </w:rPr>
          <w:tab/>
        </w:r>
        <w:r w:rsidR="001037E0" w:rsidRPr="001037E0">
          <w:rPr>
            <w:rStyle w:val="Hyperlink"/>
            <w:sz w:val="20"/>
            <w:szCs w:val="20"/>
          </w:rPr>
          <w:t>Review of Counter-Party Eligibility</w:t>
        </w:r>
        <w:r w:rsidR="001037E0" w:rsidRPr="001037E0">
          <w:rPr>
            <w:webHidden/>
            <w:sz w:val="20"/>
            <w:szCs w:val="20"/>
          </w:rPr>
          <w:tab/>
        </w:r>
        <w:r w:rsidR="001037E0" w:rsidRPr="001037E0">
          <w:rPr>
            <w:webHidden/>
            <w:sz w:val="20"/>
            <w:szCs w:val="20"/>
          </w:rPr>
          <w:fldChar w:fldCharType="begin"/>
        </w:r>
        <w:r w:rsidR="001037E0" w:rsidRPr="001037E0">
          <w:rPr>
            <w:webHidden/>
            <w:sz w:val="20"/>
            <w:szCs w:val="20"/>
          </w:rPr>
          <w:instrText xml:space="preserve"> PAGEREF _Toc175159158 \h </w:instrText>
        </w:r>
        <w:r w:rsidR="001037E0" w:rsidRPr="001037E0">
          <w:rPr>
            <w:webHidden/>
            <w:sz w:val="20"/>
            <w:szCs w:val="20"/>
          </w:rPr>
        </w:r>
        <w:r w:rsidR="001037E0" w:rsidRPr="001037E0">
          <w:rPr>
            <w:webHidden/>
            <w:sz w:val="20"/>
            <w:szCs w:val="20"/>
          </w:rPr>
          <w:fldChar w:fldCharType="separate"/>
        </w:r>
        <w:r>
          <w:rPr>
            <w:webHidden/>
            <w:sz w:val="20"/>
            <w:szCs w:val="20"/>
          </w:rPr>
          <w:t>16-37</w:t>
        </w:r>
        <w:r w:rsidR="001037E0" w:rsidRPr="001037E0">
          <w:rPr>
            <w:webHidden/>
            <w:sz w:val="20"/>
            <w:szCs w:val="20"/>
          </w:rPr>
          <w:fldChar w:fldCharType="end"/>
        </w:r>
      </w:hyperlink>
    </w:p>
    <w:p w14:paraId="38C620B5" w14:textId="3D912629" w:rsidR="001037E0" w:rsidRPr="001037E0" w:rsidRDefault="001A683A">
      <w:pPr>
        <w:pStyle w:val="TOC5"/>
        <w:tabs>
          <w:tab w:val="left" w:pos="3614"/>
        </w:tabs>
        <w:rPr>
          <w:rFonts w:eastAsiaTheme="minorEastAsia"/>
          <w:i w:val="0"/>
          <w:kern w:val="2"/>
          <w:sz w:val="20"/>
          <w:szCs w:val="20"/>
          <w14:ligatures w14:val="standardContextual"/>
        </w:rPr>
      </w:pPr>
      <w:hyperlink w:anchor="_Toc175159159" w:history="1">
        <w:r w:rsidR="001037E0" w:rsidRPr="001037E0">
          <w:rPr>
            <w:rStyle w:val="Hyperlink"/>
            <w:i w:val="0"/>
            <w:sz w:val="20"/>
            <w:szCs w:val="20"/>
          </w:rPr>
          <w:t>16.11.1.1.1</w:t>
        </w:r>
        <w:r w:rsidR="001037E0" w:rsidRPr="001037E0">
          <w:rPr>
            <w:rFonts w:eastAsiaTheme="minorEastAsia"/>
            <w:i w:val="0"/>
            <w:kern w:val="2"/>
            <w:sz w:val="20"/>
            <w:szCs w:val="20"/>
            <w14:ligatures w14:val="standardContextual"/>
          </w:rPr>
          <w:tab/>
        </w:r>
        <w:r w:rsidR="001037E0" w:rsidRPr="001037E0">
          <w:rPr>
            <w:rStyle w:val="Hyperlink"/>
            <w:i w:val="0"/>
            <w:sz w:val="20"/>
            <w:szCs w:val="20"/>
          </w:rPr>
          <w:t>Failure to Maintain Eligibility</w:t>
        </w:r>
        <w:r w:rsidR="001037E0" w:rsidRPr="001037E0">
          <w:rPr>
            <w:i w:val="0"/>
            <w:webHidden/>
            <w:sz w:val="20"/>
            <w:szCs w:val="20"/>
          </w:rPr>
          <w:tab/>
        </w:r>
        <w:r w:rsidR="001037E0" w:rsidRPr="001037E0">
          <w:rPr>
            <w:i w:val="0"/>
            <w:webHidden/>
            <w:sz w:val="20"/>
            <w:szCs w:val="20"/>
          </w:rPr>
          <w:fldChar w:fldCharType="begin"/>
        </w:r>
        <w:r w:rsidR="001037E0" w:rsidRPr="001037E0">
          <w:rPr>
            <w:i w:val="0"/>
            <w:webHidden/>
            <w:sz w:val="20"/>
            <w:szCs w:val="20"/>
          </w:rPr>
          <w:instrText xml:space="preserve"> PAGEREF _Toc175159159 \h </w:instrText>
        </w:r>
        <w:r w:rsidR="001037E0" w:rsidRPr="001037E0">
          <w:rPr>
            <w:i w:val="0"/>
            <w:webHidden/>
            <w:sz w:val="20"/>
            <w:szCs w:val="20"/>
          </w:rPr>
        </w:r>
        <w:r w:rsidR="001037E0" w:rsidRPr="001037E0">
          <w:rPr>
            <w:i w:val="0"/>
            <w:webHidden/>
            <w:sz w:val="20"/>
            <w:szCs w:val="20"/>
          </w:rPr>
          <w:fldChar w:fldCharType="separate"/>
        </w:r>
        <w:r>
          <w:rPr>
            <w:i w:val="0"/>
            <w:webHidden/>
            <w:sz w:val="20"/>
            <w:szCs w:val="20"/>
          </w:rPr>
          <w:t>16-37</w:t>
        </w:r>
        <w:r w:rsidR="001037E0" w:rsidRPr="001037E0">
          <w:rPr>
            <w:i w:val="0"/>
            <w:webHidden/>
            <w:sz w:val="20"/>
            <w:szCs w:val="20"/>
          </w:rPr>
          <w:fldChar w:fldCharType="end"/>
        </w:r>
      </w:hyperlink>
    </w:p>
    <w:p w14:paraId="23E19600" w14:textId="1CF54FDD" w:rsidR="001037E0" w:rsidRPr="001037E0" w:rsidRDefault="001A683A">
      <w:pPr>
        <w:pStyle w:val="TOC3"/>
        <w:rPr>
          <w:rFonts w:eastAsiaTheme="minorEastAsia"/>
          <w:i w:val="0"/>
          <w:iCs w:val="0"/>
          <w:noProof/>
          <w:kern w:val="2"/>
          <w14:ligatures w14:val="standardContextual"/>
        </w:rPr>
      </w:pPr>
      <w:hyperlink w:anchor="_Toc175159160" w:history="1">
        <w:r w:rsidR="001037E0" w:rsidRPr="001037E0">
          <w:rPr>
            <w:rStyle w:val="Hyperlink"/>
            <w:i w:val="0"/>
            <w:iCs w:val="0"/>
            <w:noProof/>
          </w:rPr>
          <w:t>16.11.2</w:t>
        </w:r>
        <w:r w:rsidR="001037E0" w:rsidRPr="001037E0">
          <w:rPr>
            <w:rFonts w:eastAsiaTheme="minorEastAsia"/>
            <w:i w:val="0"/>
            <w:iCs w:val="0"/>
            <w:noProof/>
            <w:kern w:val="2"/>
            <w14:ligatures w14:val="standardContextual"/>
          </w:rPr>
          <w:tab/>
        </w:r>
        <w:r w:rsidR="001037E0" w:rsidRPr="001037E0">
          <w:rPr>
            <w:rStyle w:val="Hyperlink"/>
            <w:i w:val="0"/>
            <w:iCs w:val="0"/>
            <w:noProof/>
          </w:rPr>
          <w:t>[RESERVED]</w:t>
        </w:r>
        <w:r w:rsidR="001037E0" w:rsidRPr="001037E0">
          <w:rPr>
            <w:i w:val="0"/>
            <w:iCs w:val="0"/>
            <w:noProof/>
            <w:webHidden/>
          </w:rPr>
          <w:tab/>
        </w:r>
        <w:r w:rsidR="001037E0" w:rsidRPr="001037E0">
          <w:rPr>
            <w:i w:val="0"/>
            <w:iCs w:val="0"/>
            <w:noProof/>
            <w:webHidden/>
          </w:rPr>
          <w:fldChar w:fldCharType="begin"/>
        </w:r>
        <w:r w:rsidR="001037E0" w:rsidRPr="001037E0">
          <w:rPr>
            <w:i w:val="0"/>
            <w:iCs w:val="0"/>
            <w:noProof/>
            <w:webHidden/>
          </w:rPr>
          <w:instrText xml:space="preserve"> PAGEREF _Toc175159160 \h </w:instrText>
        </w:r>
        <w:r w:rsidR="001037E0" w:rsidRPr="001037E0">
          <w:rPr>
            <w:i w:val="0"/>
            <w:iCs w:val="0"/>
            <w:noProof/>
            <w:webHidden/>
          </w:rPr>
        </w:r>
        <w:r w:rsidR="001037E0" w:rsidRPr="001037E0">
          <w:rPr>
            <w:i w:val="0"/>
            <w:iCs w:val="0"/>
            <w:noProof/>
            <w:webHidden/>
          </w:rPr>
          <w:fldChar w:fldCharType="separate"/>
        </w:r>
        <w:r>
          <w:rPr>
            <w:i w:val="0"/>
            <w:iCs w:val="0"/>
            <w:noProof/>
            <w:webHidden/>
          </w:rPr>
          <w:t>16-38</w:t>
        </w:r>
        <w:r w:rsidR="001037E0" w:rsidRPr="001037E0">
          <w:rPr>
            <w:i w:val="0"/>
            <w:iCs w:val="0"/>
            <w:noProof/>
            <w:webHidden/>
          </w:rPr>
          <w:fldChar w:fldCharType="end"/>
        </w:r>
      </w:hyperlink>
    </w:p>
    <w:p w14:paraId="2044341A" w14:textId="6683125B" w:rsidR="001037E0" w:rsidRPr="001037E0" w:rsidRDefault="001A683A">
      <w:pPr>
        <w:pStyle w:val="TOC3"/>
        <w:rPr>
          <w:rFonts w:eastAsiaTheme="minorEastAsia"/>
          <w:i w:val="0"/>
          <w:iCs w:val="0"/>
          <w:noProof/>
          <w:kern w:val="2"/>
          <w14:ligatures w14:val="standardContextual"/>
        </w:rPr>
      </w:pPr>
      <w:hyperlink w:anchor="_Toc175159161" w:history="1">
        <w:r w:rsidR="001037E0" w:rsidRPr="001037E0">
          <w:rPr>
            <w:rStyle w:val="Hyperlink"/>
            <w:i w:val="0"/>
            <w:iCs w:val="0"/>
            <w:noProof/>
          </w:rPr>
          <w:t>16.11.3</w:t>
        </w:r>
        <w:r w:rsidR="001037E0" w:rsidRPr="001037E0">
          <w:rPr>
            <w:rFonts w:eastAsiaTheme="minorEastAsia"/>
            <w:i w:val="0"/>
            <w:iCs w:val="0"/>
            <w:noProof/>
            <w:kern w:val="2"/>
            <w14:ligatures w14:val="standardContextual"/>
          </w:rPr>
          <w:tab/>
        </w:r>
        <w:r w:rsidR="001037E0" w:rsidRPr="001037E0">
          <w:rPr>
            <w:rStyle w:val="Hyperlink"/>
            <w:i w:val="0"/>
            <w:iCs w:val="0"/>
            <w:noProof/>
          </w:rPr>
          <w:t>Alternative Means of Satisfying ERCOT Creditworthiness Requirements</w:t>
        </w:r>
        <w:r w:rsidR="001037E0" w:rsidRPr="001037E0">
          <w:rPr>
            <w:i w:val="0"/>
            <w:iCs w:val="0"/>
            <w:noProof/>
            <w:webHidden/>
          </w:rPr>
          <w:tab/>
        </w:r>
        <w:r w:rsidR="001037E0" w:rsidRPr="001037E0">
          <w:rPr>
            <w:i w:val="0"/>
            <w:iCs w:val="0"/>
            <w:noProof/>
            <w:webHidden/>
          </w:rPr>
          <w:fldChar w:fldCharType="begin"/>
        </w:r>
        <w:r w:rsidR="001037E0" w:rsidRPr="001037E0">
          <w:rPr>
            <w:i w:val="0"/>
            <w:iCs w:val="0"/>
            <w:noProof/>
            <w:webHidden/>
          </w:rPr>
          <w:instrText xml:space="preserve"> PAGEREF _Toc175159161 \h </w:instrText>
        </w:r>
        <w:r w:rsidR="001037E0" w:rsidRPr="001037E0">
          <w:rPr>
            <w:i w:val="0"/>
            <w:iCs w:val="0"/>
            <w:noProof/>
            <w:webHidden/>
          </w:rPr>
        </w:r>
        <w:r w:rsidR="001037E0" w:rsidRPr="001037E0">
          <w:rPr>
            <w:i w:val="0"/>
            <w:iCs w:val="0"/>
            <w:noProof/>
            <w:webHidden/>
          </w:rPr>
          <w:fldChar w:fldCharType="separate"/>
        </w:r>
        <w:r>
          <w:rPr>
            <w:i w:val="0"/>
            <w:iCs w:val="0"/>
            <w:noProof/>
            <w:webHidden/>
          </w:rPr>
          <w:t>16-38</w:t>
        </w:r>
        <w:r w:rsidR="001037E0" w:rsidRPr="001037E0">
          <w:rPr>
            <w:i w:val="0"/>
            <w:iCs w:val="0"/>
            <w:noProof/>
            <w:webHidden/>
          </w:rPr>
          <w:fldChar w:fldCharType="end"/>
        </w:r>
      </w:hyperlink>
    </w:p>
    <w:p w14:paraId="738F8277" w14:textId="72744C8F" w:rsidR="001037E0" w:rsidRPr="001037E0" w:rsidRDefault="001A683A">
      <w:pPr>
        <w:pStyle w:val="TOC3"/>
        <w:rPr>
          <w:rFonts w:eastAsiaTheme="minorEastAsia"/>
          <w:i w:val="0"/>
          <w:iCs w:val="0"/>
          <w:noProof/>
          <w:kern w:val="2"/>
          <w14:ligatures w14:val="standardContextual"/>
        </w:rPr>
      </w:pPr>
      <w:hyperlink w:anchor="_Toc175159162" w:history="1">
        <w:r w:rsidR="001037E0" w:rsidRPr="001037E0">
          <w:rPr>
            <w:rStyle w:val="Hyperlink"/>
            <w:i w:val="0"/>
            <w:iCs w:val="0"/>
            <w:noProof/>
          </w:rPr>
          <w:t>16.11.4</w:t>
        </w:r>
        <w:r w:rsidR="001037E0" w:rsidRPr="001037E0">
          <w:rPr>
            <w:rFonts w:eastAsiaTheme="minorEastAsia"/>
            <w:i w:val="0"/>
            <w:iCs w:val="0"/>
            <w:noProof/>
            <w:kern w:val="2"/>
            <w14:ligatures w14:val="standardContextual"/>
          </w:rPr>
          <w:tab/>
        </w:r>
        <w:r w:rsidR="001037E0" w:rsidRPr="001037E0">
          <w:rPr>
            <w:rStyle w:val="Hyperlink"/>
            <w:i w:val="0"/>
            <w:iCs w:val="0"/>
            <w:noProof/>
          </w:rPr>
          <w:t>Determination and Monitoring of Counter-Party Credit Exposure</w:t>
        </w:r>
        <w:r w:rsidR="001037E0" w:rsidRPr="001037E0">
          <w:rPr>
            <w:i w:val="0"/>
            <w:iCs w:val="0"/>
            <w:noProof/>
            <w:webHidden/>
          </w:rPr>
          <w:tab/>
        </w:r>
        <w:r w:rsidR="001037E0" w:rsidRPr="001037E0">
          <w:rPr>
            <w:i w:val="0"/>
            <w:iCs w:val="0"/>
            <w:noProof/>
            <w:webHidden/>
          </w:rPr>
          <w:fldChar w:fldCharType="begin"/>
        </w:r>
        <w:r w:rsidR="001037E0" w:rsidRPr="001037E0">
          <w:rPr>
            <w:i w:val="0"/>
            <w:iCs w:val="0"/>
            <w:noProof/>
            <w:webHidden/>
          </w:rPr>
          <w:instrText xml:space="preserve"> PAGEREF _Toc175159162 \h </w:instrText>
        </w:r>
        <w:r w:rsidR="001037E0" w:rsidRPr="001037E0">
          <w:rPr>
            <w:i w:val="0"/>
            <w:iCs w:val="0"/>
            <w:noProof/>
            <w:webHidden/>
          </w:rPr>
        </w:r>
        <w:r w:rsidR="001037E0" w:rsidRPr="001037E0">
          <w:rPr>
            <w:i w:val="0"/>
            <w:iCs w:val="0"/>
            <w:noProof/>
            <w:webHidden/>
          </w:rPr>
          <w:fldChar w:fldCharType="separate"/>
        </w:r>
        <w:r>
          <w:rPr>
            <w:i w:val="0"/>
            <w:iCs w:val="0"/>
            <w:noProof/>
            <w:webHidden/>
          </w:rPr>
          <w:t>16-41</w:t>
        </w:r>
        <w:r w:rsidR="001037E0" w:rsidRPr="001037E0">
          <w:rPr>
            <w:i w:val="0"/>
            <w:iCs w:val="0"/>
            <w:noProof/>
            <w:webHidden/>
          </w:rPr>
          <w:fldChar w:fldCharType="end"/>
        </w:r>
      </w:hyperlink>
    </w:p>
    <w:p w14:paraId="638CF1D6" w14:textId="2F87D52B" w:rsidR="001037E0" w:rsidRPr="001037E0" w:rsidRDefault="001A683A">
      <w:pPr>
        <w:pStyle w:val="TOC4"/>
        <w:rPr>
          <w:rFonts w:eastAsiaTheme="minorEastAsia"/>
          <w:kern w:val="2"/>
          <w:sz w:val="20"/>
          <w:szCs w:val="20"/>
          <w14:ligatures w14:val="standardContextual"/>
        </w:rPr>
      </w:pPr>
      <w:hyperlink w:anchor="_Toc175159163" w:history="1">
        <w:r w:rsidR="001037E0" w:rsidRPr="001037E0">
          <w:rPr>
            <w:rStyle w:val="Hyperlink"/>
            <w:sz w:val="20"/>
            <w:szCs w:val="20"/>
          </w:rPr>
          <w:t>16.11.4.1</w:t>
        </w:r>
        <w:r w:rsidR="001037E0" w:rsidRPr="001037E0">
          <w:rPr>
            <w:rFonts w:eastAsiaTheme="minorEastAsia"/>
            <w:kern w:val="2"/>
            <w:sz w:val="20"/>
            <w:szCs w:val="20"/>
            <w14:ligatures w14:val="standardContextual"/>
          </w:rPr>
          <w:tab/>
        </w:r>
        <w:r w:rsidR="001037E0" w:rsidRPr="001037E0">
          <w:rPr>
            <w:rStyle w:val="Hyperlink"/>
            <w:sz w:val="20"/>
            <w:szCs w:val="20"/>
          </w:rPr>
          <w:t>Determination of Total Potential Exposure for a Counter-Party</w:t>
        </w:r>
        <w:r w:rsidR="001037E0" w:rsidRPr="001037E0">
          <w:rPr>
            <w:webHidden/>
            <w:sz w:val="20"/>
            <w:szCs w:val="20"/>
          </w:rPr>
          <w:tab/>
        </w:r>
        <w:r w:rsidR="001037E0" w:rsidRPr="001037E0">
          <w:rPr>
            <w:webHidden/>
            <w:sz w:val="20"/>
            <w:szCs w:val="20"/>
          </w:rPr>
          <w:fldChar w:fldCharType="begin"/>
        </w:r>
        <w:r w:rsidR="001037E0" w:rsidRPr="001037E0">
          <w:rPr>
            <w:webHidden/>
            <w:sz w:val="20"/>
            <w:szCs w:val="20"/>
          </w:rPr>
          <w:instrText xml:space="preserve"> PAGEREF _Toc175159163 \h </w:instrText>
        </w:r>
        <w:r w:rsidR="001037E0" w:rsidRPr="001037E0">
          <w:rPr>
            <w:webHidden/>
            <w:sz w:val="20"/>
            <w:szCs w:val="20"/>
          </w:rPr>
        </w:r>
        <w:r w:rsidR="001037E0" w:rsidRPr="001037E0">
          <w:rPr>
            <w:webHidden/>
            <w:sz w:val="20"/>
            <w:szCs w:val="20"/>
          </w:rPr>
          <w:fldChar w:fldCharType="separate"/>
        </w:r>
        <w:r>
          <w:rPr>
            <w:webHidden/>
            <w:sz w:val="20"/>
            <w:szCs w:val="20"/>
          </w:rPr>
          <w:t>16-41</w:t>
        </w:r>
        <w:r w:rsidR="001037E0" w:rsidRPr="001037E0">
          <w:rPr>
            <w:webHidden/>
            <w:sz w:val="20"/>
            <w:szCs w:val="20"/>
          </w:rPr>
          <w:fldChar w:fldCharType="end"/>
        </w:r>
      </w:hyperlink>
    </w:p>
    <w:p w14:paraId="31267A15" w14:textId="685B34D1" w:rsidR="001037E0" w:rsidRPr="001037E0" w:rsidRDefault="001A683A">
      <w:pPr>
        <w:pStyle w:val="TOC4"/>
        <w:rPr>
          <w:rFonts w:eastAsiaTheme="minorEastAsia"/>
          <w:kern w:val="2"/>
          <w:sz w:val="20"/>
          <w:szCs w:val="20"/>
          <w14:ligatures w14:val="standardContextual"/>
        </w:rPr>
      </w:pPr>
      <w:hyperlink w:anchor="_Toc175159164" w:history="1">
        <w:r w:rsidR="001037E0" w:rsidRPr="001037E0">
          <w:rPr>
            <w:rStyle w:val="Hyperlink"/>
            <w:sz w:val="20"/>
            <w:szCs w:val="20"/>
          </w:rPr>
          <w:t>16.11.4.2</w:t>
        </w:r>
        <w:r w:rsidR="001037E0" w:rsidRPr="001037E0">
          <w:rPr>
            <w:rFonts w:eastAsiaTheme="minorEastAsia"/>
            <w:kern w:val="2"/>
            <w:sz w:val="20"/>
            <w:szCs w:val="20"/>
            <w14:ligatures w14:val="standardContextual"/>
          </w:rPr>
          <w:tab/>
        </w:r>
        <w:r w:rsidR="001037E0" w:rsidRPr="001037E0">
          <w:rPr>
            <w:rStyle w:val="Hyperlink"/>
            <w:sz w:val="20"/>
            <w:szCs w:val="20"/>
          </w:rPr>
          <w:t>Determination of Counter-Party Initial Estimated Liability</w:t>
        </w:r>
        <w:r w:rsidR="001037E0" w:rsidRPr="001037E0">
          <w:rPr>
            <w:webHidden/>
            <w:sz w:val="20"/>
            <w:szCs w:val="20"/>
          </w:rPr>
          <w:tab/>
        </w:r>
        <w:r w:rsidR="001037E0" w:rsidRPr="001037E0">
          <w:rPr>
            <w:webHidden/>
            <w:sz w:val="20"/>
            <w:szCs w:val="20"/>
          </w:rPr>
          <w:fldChar w:fldCharType="begin"/>
        </w:r>
        <w:r w:rsidR="001037E0" w:rsidRPr="001037E0">
          <w:rPr>
            <w:webHidden/>
            <w:sz w:val="20"/>
            <w:szCs w:val="20"/>
          </w:rPr>
          <w:instrText xml:space="preserve"> PAGEREF _Toc175159164 \h </w:instrText>
        </w:r>
        <w:r w:rsidR="001037E0" w:rsidRPr="001037E0">
          <w:rPr>
            <w:webHidden/>
            <w:sz w:val="20"/>
            <w:szCs w:val="20"/>
          </w:rPr>
        </w:r>
        <w:r w:rsidR="001037E0" w:rsidRPr="001037E0">
          <w:rPr>
            <w:webHidden/>
            <w:sz w:val="20"/>
            <w:szCs w:val="20"/>
          </w:rPr>
          <w:fldChar w:fldCharType="separate"/>
        </w:r>
        <w:r>
          <w:rPr>
            <w:webHidden/>
            <w:sz w:val="20"/>
            <w:szCs w:val="20"/>
          </w:rPr>
          <w:t>16-47</w:t>
        </w:r>
        <w:r w:rsidR="001037E0" w:rsidRPr="001037E0">
          <w:rPr>
            <w:webHidden/>
            <w:sz w:val="20"/>
            <w:szCs w:val="20"/>
          </w:rPr>
          <w:fldChar w:fldCharType="end"/>
        </w:r>
      </w:hyperlink>
    </w:p>
    <w:p w14:paraId="2C263B37" w14:textId="36957D15" w:rsidR="001037E0" w:rsidRPr="001037E0" w:rsidRDefault="001A683A">
      <w:pPr>
        <w:pStyle w:val="TOC4"/>
        <w:rPr>
          <w:rFonts w:eastAsiaTheme="minorEastAsia"/>
          <w:kern w:val="2"/>
          <w:sz w:val="20"/>
          <w:szCs w:val="20"/>
          <w14:ligatures w14:val="standardContextual"/>
        </w:rPr>
      </w:pPr>
      <w:hyperlink w:anchor="_Toc175159165" w:history="1">
        <w:r w:rsidR="001037E0" w:rsidRPr="001037E0">
          <w:rPr>
            <w:rStyle w:val="Hyperlink"/>
            <w:sz w:val="20"/>
            <w:szCs w:val="20"/>
          </w:rPr>
          <w:t>16.11.4.3</w:t>
        </w:r>
        <w:r w:rsidR="001037E0" w:rsidRPr="001037E0">
          <w:rPr>
            <w:rFonts w:eastAsiaTheme="minorEastAsia"/>
            <w:kern w:val="2"/>
            <w:sz w:val="20"/>
            <w:szCs w:val="20"/>
            <w14:ligatures w14:val="standardContextual"/>
          </w:rPr>
          <w:tab/>
        </w:r>
        <w:r w:rsidR="001037E0" w:rsidRPr="001037E0">
          <w:rPr>
            <w:rStyle w:val="Hyperlink"/>
            <w:sz w:val="20"/>
            <w:szCs w:val="20"/>
          </w:rPr>
          <w:t>Determination of Counter-Party Estimated Aggregate Liability</w:t>
        </w:r>
        <w:r w:rsidR="001037E0" w:rsidRPr="001037E0">
          <w:rPr>
            <w:webHidden/>
            <w:sz w:val="20"/>
            <w:szCs w:val="20"/>
          </w:rPr>
          <w:tab/>
        </w:r>
        <w:r w:rsidR="001037E0" w:rsidRPr="001037E0">
          <w:rPr>
            <w:webHidden/>
            <w:sz w:val="20"/>
            <w:szCs w:val="20"/>
          </w:rPr>
          <w:fldChar w:fldCharType="begin"/>
        </w:r>
        <w:r w:rsidR="001037E0" w:rsidRPr="001037E0">
          <w:rPr>
            <w:webHidden/>
            <w:sz w:val="20"/>
            <w:szCs w:val="20"/>
          </w:rPr>
          <w:instrText xml:space="preserve"> PAGEREF _Toc175159165 \h </w:instrText>
        </w:r>
        <w:r w:rsidR="001037E0" w:rsidRPr="001037E0">
          <w:rPr>
            <w:webHidden/>
            <w:sz w:val="20"/>
            <w:szCs w:val="20"/>
          </w:rPr>
        </w:r>
        <w:r w:rsidR="001037E0" w:rsidRPr="001037E0">
          <w:rPr>
            <w:webHidden/>
            <w:sz w:val="20"/>
            <w:szCs w:val="20"/>
          </w:rPr>
          <w:fldChar w:fldCharType="separate"/>
        </w:r>
        <w:r>
          <w:rPr>
            <w:webHidden/>
            <w:sz w:val="20"/>
            <w:szCs w:val="20"/>
          </w:rPr>
          <w:t>16-49</w:t>
        </w:r>
        <w:r w:rsidR="001037E0" w:rsidRPr="001037E0">
          <w:rPr>
            <w:webHidden/>
            <w:sz w:val="20"/>
            <w:szCs w:val="20"/>
          </w:rPr>
          <w:fldChar w:fldCharType="end"/>
        </w:r>
      </w:hyperlink>
    </w:p>
    <w:p w14:paraId="51BA80AD" w14:textId="1EEF1969" w:rsidR="001037E0" w:rsidRPr="001037E0" w:rsidRDefault="001A683A">
      <w:pPr>
        <w:pStyle w:val="TOC5"/>
        <w:tabs>
          <w:tab w:val="left" w:pos="3614"/>
        </w:tabs>
        <w:rPr>
          <w:rFonts w:eastAsiaTheme="minorEastAsia"/>
          <w:i w:val="0"/>
          <w:kern w:val="2"/>
          <w:sz w:val="20"/>
          <w:szCs w:val="20"/>
          <w14:ligatures w14:val="standardContextual"/>
        </w:rPr>
      </w:pPr>
      <w:hyperlink w:anchor="_Toc175159166" w:history="1">
        <w:r w:rsidR="001037E0" w:rsidRPr="001037E0">
          <w:rPr>
            <w:rStyle w:val="Hyperlink"/>
            <w:i w:val="0"/>
            <w:sz w:val="20"/>
            <w:szCs w:val="20"/>
          </w:rPr>
          <w:t>16.11.4.3.1</w:t>
        </w:r>
        <w:r w:rsidR="001037E0" w:rsidRPr="001037E0">
          <w:rPr>
            <w:rFonts w:eastAsiaTheme="minorEastAsia"/>
            <w:i w:val="0"/>
            <w:kern w:val="2"/>
            <w:sz w:val="20"/>
            <w:szCs w:val="20"/>
            <w14:ligatures w14:val="standardContextual"/>
          </w:rPr>
          <w:tab/>
        </w:r>
        <w:r w:rsidR="001037E0" w:rsidRPr="001037E0">
          <w:rPr>
            <w:rStyle w:val="Hyperlink"/>
            <w:i w:val="0"/>
            <w:sz w:val="20"/>
            <w:szCs w:val="20"/>
          </w:rPr>
          <w:t>Day-Ahead Liability Estimate</w:t>
        </w:r>
        <w:r w:rsidR="001037E0" w:rsidRPr="001037E0">
          <w:rPr>
            <w:i w:val="0"/>
            <w:webHidden/>
            <w:sz w:val="20"/>
            <w:szCs w:val="20"/>
          </w:rPr>
          <w:tab/>
        </w:r>
        <w:r w:rsidR="001037E0" w:rsidRPr="001037E0">
          <w:rPr>
            <w:i w:val="0"/>
            <w:webHidden/>
            <w:sz w:val="20"/>
            <w:szCs w:val="20"/>
          </w:rPr>
          <w:fldChar w:fldCharType="begin"/>
        </w:r>
        <w:r w:rsidR="001037E0" w:rsidRPr="001037E0">
          <w:rPr>
            <w:i w:val="0"/>
            <w:webHidden/>
            <w:sz w:val="20"/>
            <w:szCs w:val="20"/>
          </w:rPr>
          <w:instrText xml:space="preserve"> PAGEREF _Toc175159166 \h </w:instrText>
        </w:r>
        <w:r w:rsidR="001037E0" w:rsidRPr="001037E0">
          <w:rPr>
            <w:i w:val="0"/>
            <w:webHidden/>
            <w:sz w:val="20"/>
            <w:szCs w:val="20"/>
          </w:rPr>
        </w:r>
        <w:r w:rsidR="001037E0" w:rsidRPr="001037E0">
          <w:rPr>
            <w:i w:val="0"/>
            <w:webHidden/>
            <w:sz w:val="20"/>
            <w:szCs w:val="20"/>
          </w:rPr>
          <w:fldChar w:fldCharType="separate"/>
        </w:r>
        <w:r>
          <w:rPr>
            <w:i w:val="0"/>
            <w:webHidden/>
            <w:sz w:val="20"/>
            <w:szCs w:val="20"/>
          </w:rPr>
          <w:t>16-55</w:t>
        </w:r>
        <w:r w:rsidR="001037E0" w:rsidRPr="001037E0">
          <w:rPr>
            <w:i w:val="0"/>
            <w:webHidden/>
            <w:sz w:val="20"/>
            <w:szCs w:val="20"/>
          </w:rPr>
          <w:fldChar w:fldCharType="end"/>
        </w:r>
      </w:hyperlink>
    </w:p>
    <w:p w14:paraId="7AE74290" w14:textId="06729FDF" w:rsidR="001037E0" w:rsidRPr="001037E0" w:rsidRDefault="001A683A">
      <w:pPr>
        <w:pStyle w:val="TOC5"/>
        <w:tabs>
          <w:tab w:val="left" w:pos="3614"/>
        </w:tabs>
        <w:rPr>
          <w:rFonts w:eastAsiaTheme="minorEastAsia"/>
          <w:i w:val="0"/>
          <w:kern w:val="2"/>
          <w:sz w:val="20"/>
          <w:szCs w:val="20"/>
          <w14:ligatures w14:val="standardContextual"/>
        </w:rPr>
      </w:pPr>
      <w:hyperlink w:anchor="_Toc175159167" w:history="1">
        <w:r w:rsidR="001037E0" w:rsidRPr="001037E0">
          <w:rPr>
            <w:rStyle w:val="Hyperlink"/>
            <w:i w:val="0"/>
            <w:sz w:val="20"/>
            <w:szCs w:val="20"/>
          </w:rPr>
          <w:t>16.11.4.3.2</w:t>
        </w:r>
        <w:r w:rsidR="001037E0" w:rsidRPr="001037E0">
          <w:rPr>
            <w:rFonts w:eastAsiaTheme="minorEastAsia"/>
            <w:i w:val="0"/>
            <w:kern w:val="2"/>
            <w:sz w:val="20"/>
            <w:szCs w:val="20"/>
            <w14:ligatures w14:val="standardContextual"/>
          </w:rPr>
          <w:tab/>
        </w:r>
        <w:r w:rsidR="001037E0" w:rsidRPr="001037E0">
          <w:rPr>
            <w:rStyle w:val="Hyperlink"/>
            <w:i w:val="0"/>
            <w:sz w:val="20"/>
            <w:szCs w:val="20"/>
          </w:rPr>
          <w:t>Real-Time Liability Estimate</w:t>
        </w:r>
        <w:r w:rsidR="001037E0" w:rsidRPr="001037E0">
          <w:rPr>
            <w:i w:val="0"/>
            <w:webHidden/>
            <w:sz w:val="20"/>
            <w:szCs w:val="20"/>
          </w:rPr>
          <w:tab/>
        </w:r>
        <w:r w:rsidR="001037E0" w:rsidRPr="001037E0">
          <w:rPr>
            <w:i w:val="0"/>
            <w:webHidden/>
            <w:sz w:val="20"/>
            <w:szCs w:val="20"/>
          </w:rPr>
          <w:fldChar w:fldCharType="begin"/>
        </w:r>
        <w:r w:rsidR="001037E0" w:rsidRPr="001037E0">
          <w:rPr>
            <w:i w:val="0"/>
            <w:webHidden/>
            <w:sz w:val="20"/>
            <w:szCs w:val="20"/>
          </w:rPr>
          <w:instrText xml:space="preserve"> PAGEREF _Toc175159167 \h </w:instrText>
        </w:r>
        <w:r w:rsidR="001037E0" w:rsidRPr="001037E0">
          <w:rPr>
            <w:i w:val="0"/>
            <w:webHidden/>
            <w:sz w:val="20"/>
            <w:szCs w:val="20"/>
          </w:rPr>
        </w:r>
        <w:r w:rsidR="001037E0" w:rsidRPr="001037E0">
          <w:rPr>
            <w:i w:val="0"/>
            <w:webHidden/>
            <w:sz w:val="20"/>
            <w:szCs w:val="20"/>
          </w:rPr>
          <w:fldChar w:fldCharType="separate"/>
        </w:r>
        <w:r>
          <w:rPr>
            <w:i w:val="0"/>
            <w:webHidden/>
            <w:sz w:val="20"/>
            <w:szCs w:val="20"/>
          </w:rPr>
          <w:t>16-56</w:t>
        </w:r>
        <w:r w:rsidR="001037E0" w:rsidRPr="001037E0">
          <w:rPr>
            <w:i w:val="0"/>
            <w:webHidden/>
            <w:sz w:val="20"/>
            <w:szCs w:val="20"/>
          </w:rPr>
          <w:fldChar w:fldCharType="end"/>
        </w:r>
      </w:hyperlink>
    </w:p>
    <w:p w14:paraId="14F186BA" w14:textId="286B92E5" w:rsidR="001037E0" w:rsidRPr="001037E0" w:rsidRDefault="001A683A">
      <w:pPr>
        <w:pStyle w:val="TOC5"/>
        <w:tabs>
          <w:tab w:val="left" w:pos="3614"/>
        </w:tabs>
        <w:rPr>
          <w:rFonts w:eastAsiaTheme="minorEastAsia"/>
          <w:i w:val="0"/>
          <w:kern w:val="2"/>
          <w:sz w:val="20"/>
          <w:szCs w:val="20"/>
          <w14:ligatures w14:val="standardContextual"/>
        </w:rPr>
      </w:pPr>
      <w:hyperlink w:anchor="_Toc175159168" w:history="1">
        <w:r w:rsidR="001037E0" w:rsidRPr="001037E0">
          <w:rPr>
            <w:rStyle w:val="Hyperlink"/>
            <w:i w:val="0"/>
            <w:sz w:val="20"/>
            <w:szCs w:val="20"/>
          </w:rPr>
          <w:t>16.11.4.3.3</w:t>
        </w:r>
        <w:r w:rsidR="001037E0" w:rsidRPr="001037E0">
          <w:rPr>
            <w:rFonts w:eastAsiaTheme="minorEastAsia"/>
            <w:i w:val="0"/>
            <w:kern w:val="2"/>
            <w:sz w:val="20"/>
            <w:szCs w:val="20"/>
            <w14:ligatures w14:val="standardContextual"/>
          </w:rPr>
          <w:tab/>
        </w:r>
        <w:r w:rsidR="001037E0" w:rsidRPr="001037E0">
          <w:rPr>
            <w:rStyle w:val="Hyperlink"/>
            <w:i w:val="0"/>
            <w:sz w:val="20"/>
            <w:szCs w:val="20"/>
          </w:rPr>
          <w:t>Forward Adjustment Factors</w:t>
        </w:r>
        <w:r w:rsidR="001037E0" w:rsidRPr="001037E0">
          <w:rPr>
            <w:i w:val="0"/>
            <w:webHidden/>
            <w:sz w:val="20"/>
            <w:szCs w:val="20"/>
          </w:rPr>
          <w:tab/>
        </w:r>
        <w:r w:rsidR="001037E0" w:rsidRPr="001037E0">
          <w:rPr>
            <w:i w:val="0"/>
            <w:webHidden/>
            <w:sz w:val="20"/>
            <w:szCs w:val="20"/>
          </w:rPr>
          <w:fldChar w:fldCharType="begin"/>
        </w:r>
        <w:r w:rsidR="001037E0" w:rsidRPr="001037E0">
          <w:rPr>
            <w:i w:val="0"/>
            <w:webHidden/>
            <w:sz w:val="20"/>
            <w:szCs w:val="20"/>
          </w:rPr>
          <w:instrText xml:space="preserve"> PAGEREF _Toc175159168 \h </w:instrText>
        </w:r>
        <w:r w:rsidR="001037E0" w:rsidRPr="001037E0">
          <w:rPr>
            <w:i w:val="0"/>
            <w:webHidden/>
            <w:sz w:val="20"/>
            <w:szCs w:val="20"/>
          </w:rPr>
        </w:r>
        <w:r w:rsidR="001037E0" w:rsidRPr="001037E0">
          <w:rPr>
            <w:i w:val="0"/>
            <w:webHidden/>
            <w:sz w:val="20"/>
            <w:szCs w:val="20"/>
          </w:rPr>
          <w:fldChar w:fldCharType="separate"/>
        </w:r>
        <w:r>
          <w:rPr>
            <w:i w:val="0"/>
            <w:webHidden/>
            <w:sz w:val="20"/>
            <w:szCs w:val="20"/>
          </w:rPr>
          <w:t>16-58</w:t>
        </w:r>
        <w:r w:rsidR="001037E0" w:rsidRPr="001037E0">
          <w:rPr>
            <w:i w:val="0"/>
            <w:webHidden/>
            <w:sz w:val="20"/>
            <w:szCs w:val="20"/>
          </w:rPr>
          <w:fldChar w:fldCharType="end"/>
        </w:r>
      </w:hyperlink>
    </w:p>
    <w:p w14:paraId="10CA3D27" w14:textId="6A1ECA65" w:rsidR="001037E0" w:rsidRPr="001037E0" w:rsidRDefault="001A683A">
      <w:pPr>
        <w:pStyle w:val="TOC4"/>
        <w:rPr>
          <w:rFonts w:eastAsiaTheme="minorEastAsia"/>
          <w:kern w:val="2"/>
          <w:sz w:val="20"/>
          <w:szCs w:val="20"/>
          <w14:ligatures w14:val="standardContextual"/>
        </w:rPr>
      </w:pPr>
      <w:hyperlink w:anchor="_Toc175159169" w:history="1">
        <w:r w:rsidR="001037E0" w:rsidRPr="001037E0">
          <w:rPr>
            <w:rStyle w:val="Hyperlink"/>
            <w:sz w:val="20"/>
            <w:szCs w:val="20"/>
          </w:rPr>
          <w:t>16.11.4.4</w:t>
        </w:r>
        <w:r w:rsidR="001037E0" w:rsidRPr="001037E0">
          <w:rPr>
            <w:rFonts w:eastAsiaTheme="minorEastAsia"/>
            <w:kern w:val="2"/>
            <w:sz w:val="20"/>
            <w:szCs w:val="20"/>
            <w14:ligatures w14:val="standardContextual"/>
          </w:rPr>
          <w:tab/>
        </w:r>
        <w:r w:rsidR="001037E0" w:rsidRPr="001037E0">
          <w:rPr>
            <w:rStyle w:val="Hyperlink"/>
            <w:sz w:val="20"/>
            <w:szCs w:val="20"/>
          </w:rPr>
          <w:t>[RESERVED]</w:t>
        </w:r>
        <w:r w:rsidR="001037E0" w:rsidRPr="001037E0">
          <w:rPr>
            <w:webHidden/>
            <w:sz w:val="20"/>
            <w:szCs w:val="20"/>
          </w:rPr>
          <w:tab/>
        </w:r>
        <w:r w:rsidR="001037E0" w:rsidRPr="001037E0">
          <w:rPr>
            <w:webHidden/>
            <w:sz w:val="20"/>
            <w:szCs w:val="20"/>
          </w:rPr>
          <w:fldChar w:fldCharType="begin"/>
        </w:r>
        <w:r w:rsidR="001037E0" w:rsidRPr="001037E0">
          <w:rPr>
            <w:webHidden/>
            <w:sz w:val="20"/>
            <w:szCs w:val="20"/>
          </w:rPr>
          <w:instrText xml:space="preserve"> PAGEREF _Toc175159169 \h </w:instrText>
        </w:r>
        <w:r w:rsidR="001037E0" w:rsidRPr="001037E0">
          <w:rPr>
            <w:webHidden/>
            <w:sz w:val="20"/>
            <w:szCs w:val="20"/>
          </w:rPr>
        </w:r>
        <w:r w:rsidR="001037E0" w:rsidRPr="001037E0">
          <w:rPr>
            <w:webHidden/>
            <w:sz w:val="20"/>
            <w:szCs w:val="20"/>
          </w:rPr>
          <w:fldChar w:fldCharType="separate"/>
        </w:r>
        <w:r>
          <w:rPr>
            <w:webHidden/>
            <w:sz w:val="20"/>
            <w:szCs w:val="20"/>
          </w:rPr>
          <w:t>16-60</w:t>
        </w:r>
        <w:r w:rsidR="001037E0" w:rsidRPr="001037E0">
          <w:rPr>
            <w:webHidden/>
            <w:sz w:val="20"/>
            <w:szCs w:val="20"/>
          </w:rPr>
          <w:fldChar w:fldCharType="end"/>
        </w:r>
      </w:hyperlink>
    </w:p>
    <w:p w14:paraId="3998C1C2" w14:textId="488FCF77" w:rsidR="001037E0" w:rsidRPr="001037E0" w:rsidRDefault="001A683A">
      <w:pPr>
        <w:pStyle w:val="TOC4"/>
        <w:rPr>
          <w:rFonts w:eastAsiaTheme="minorEastAsia"/>
          <w:kern w:val="2"/>
          <w:sz w:val="20"/>
          <w:szCs w:val="20"/>
          <w14:ligatures w14:val="standardContextual"/>
        </w:rPr>
      </w:pPr>
      <w:hyperlink w:anchor="_Toc175159170" w:history="1">
        <w:r w:rsidR="001037E0" w:rsidRPr="001037E0">
          <w:rPr>
            <w:rStyle w:val="Hyperlink"/>
            <w:snapToGrid w:val="0"/>
            <w:sz w:val="20"/>
            <w:szCs w:val="20"/>
          </w:rPr>
          <w:t>16.11.4.5</w:t>
        </w:r>
        <w:r w:rsidR="001037E0" w:rsidRPr="001037E0">
          <w:rPr>
            <w:rFonts w:eastAsiaTheme="minorEastAsia"/>
            <w:kern w:val="2"/>
            <w:sz w:val="20"/>
            <w:szCs w:val="20"/>
            <w14:ligatures w14:val="standardContextual"/>
          </w:rPr>
          <w:tab/>
        </w:r>
        <w:r w:rsidR="001037E0" w:rsidRPr="001037E0">
          <w:rPr>
            <w:rStyle w:val="Hyperlink"/>
            <w:snapToGrid w:val="0"/>
            <w:sz w:val="20"/>
            <w:szCs w:val="20"/>
          </w:rPr>
          <w:t>Determination of the Counter-Party Future Credit Exposure</w:t>
        </w:r>
        <w:r w:rsidR="001037E0" w:rsidRPr="001037E0">
          <w:rPr>
            <w:webHidden/>
            <w:sz w:val="20"/>
            <w:szCs w:val="20"/>
          </w:rPr>
          <w:tab/>
        </w:r>
        <w:r w:rsidR="001037E0" w:rsidRPr="001037E0">
          <w:rPr>
            <w:webHidden/>
            <w:sz w:val="20"/>
            <w:szCs w:val="20"/>
          </w:rPr>
          <w:fldChar w:fldCharType="begin"/>
        </w:r>
        <w:r w:rsidR="001037E0" w:rsidRPr="001037E0">
          <w:rPr>
            <w:webHidden/>
            <w:sz w:val="20"/>
            <w:szCs w:val="20"/>
          </w:rPr>
          <w:instrText xml:space="preserve"> PAGEREF _Toc175159170 \h </w:instrText>
        </w:r>
        <w:r w:rsidR="001037E0" w:rsidRPr="001037E0">
          <w:rPr>
            <w:webHidden/>
            <w:sz w:val="20"/>
            <w:szCs w:val="20"/>
          </w:rPr>
        </w:r>
        <w:r w:rsidR="001037E0" w:rsidRPr="001037E0">
          <w:rPr>
            <w:webHidden/>
            <w:sz w:val="20"/>
            <w:szCs w:val="20"/>
          </w:rPr>
          <w:fldChar w:fldCharType="separate"/>
        </w:r>
        <w:r>
          <w:rPr>
            <w:webHidden/>
            <w:sz w:val="20"/>
            <w:szCs w:val="20"/>
          </w:rPr>
          <w:t>16-60</w:t>
        </w:r>
        <w:r w:rsidR="001037E0" w:rsidRPr="001037E0">
          <w:rPr>
            <w:webHidden/>
            <w:sz w:val="20"/>
            <w:szCs w:val="20"/>
          </w:rPr>
          <w:fldChar w:fldCharType="end"/>
        </w:r>
      </w:hyperlink>
    </w:p>
    <w:p w14:paraId="344DF8FB" w14:textId="51D8241C" w:rsidR="001037E0" w:rsidRPr="001037E0" w:rsidRDefault="001A683A">
      <w:pPr>
        <w:pStyle w:val="TOC4"/>
        <w:rPr>
          <w:rFonts w:eastAsiaTheme="minorEastAsia"/>
          <w:kern w:val="2"/>
          <w:sz w:val="20"/>
          <w:szCs w:val="20"/>
          <w14:ligatures w14:val="standardContextual"/>
        </w:rPr>
      </w:pPr>
      <w:hyperlink w:anchor="_Toc175159171" w:history="1">
        <w:r w:rsidR="001037E0" w:rsidRPr="001037E0">
          <w:rPr>
            <w:rStyle w:val="Hyperlink"/>
            <w:sz w:val="20"/>
            <w:szCs w:val="20"/>
          </w:rPr>
          <w:t>16.11.4.6</w:t>
        </w:r>
        <w:r w:rsidR="001037E0" w:rsidRPr="001037E0">
          <w:rPr>
            <w:rFonts w:eastAsiaTheme="minorEastAsia"/>
            <w:kern w:val="2"/>
            <w:sz w:val="20"/>
            <w:szCs w:val="20"/>
            <w14:ligatures w14:val="standardContextual"/>
          </w:rPr>
          <w:tab/>
        </w:r>
        <w:r w:rsidR="001037E0" w:rsidRPr="001037E0">
          <w:rPr>
            <w:rStyle w:val="Hyperlink"/>
            <w:sz w:val="20"/>
            <w:szCs w:val="20"/>
          </w:rPr>
          <w:t>Determination of Counter-Party Available Credit Limits</w:t>
        </w:r>
        <w:r w:rsidR="001037E0" w:rsidRPr="001037E0">
          <w:rPr>
            <w:webHidden/>
            <w:sz w:val="20"/>
            <w:szCs w:val="20"/>
          </w:rPr>
          <w:tab/>
        </w:r>
        <w:r w:rsidR="001037E0" w:rsidRPr="001037E0">
          <w:rPr>
            <w:webHidden/>
            <w:sz w:val="20"/>
            <w:szCs w:val="20"/>
          </w:rPr>
          <w:fldChar w:fldCharType="begin"/>
        </w:r>
        <w:r w:rsidR="001037E0" w:rsidRPr="001037E0">
          <w:rPr>
            <w:webHidden/>
            <w:sz w:val="20"/>
            <w:szCs w:val="20"/>
          </w:rPr>
          <w:instrText xml:space="preserve"> PAGEREF _Toc175159171 \h </w:instrText>
        </w:r>
        <w:r w:rsidR="001037E0" w:rsidRPr="001037E0">
          <w:rPr>
            <w:webHidden/>
            <w:sz w:val="20"/>
            <w:szCs w:val="20"/>
          </w:rPr>
        </w:r>
        <w:r w:rsidR="001037E0" w:rsidRPr="001037E0">
          <w:rPr>
            <w:webHidden/>
            <w:sz w:val="20"/>
            <w:szCs w:val="20"/>
          </w:rPr>
          <w:fldChar w:fldCharType="separate"/>
        </w:r>
        <w:r>
          <w:rPr>
            <w:webHidden/>
            <w:sz w:val="20"/>
            <w:szCs w:val="20"/>
          </w:rPr>
          <w:t>16-62</w:t>
        </w:r>
        <w:r w:rsidR="001037E0" w:rsidRPr="001037E0">
          <w:rPr>
            <w:webHidden/>
            <w:sz w:val="20"/>
            <w:szCs w:val="20"/>
          </w:rPr>
          <w:fldChar w:fldCharType="end"/>
        </w:r>
      </w:hyperlink>
    </w:p>
    <w:p w14:paraId="2E55964B" w14:textId="19369565" w:rsidR="001037E0" w:rsidRPr="001037E0" w:rsidRDefault="001A683A">
      <w:pPr>
        <w:pStyle w:val="TOC5"/>
        <w:tabs>
          <w:tab w:val="left" w:pos="3614"/>
        </w:tabs>
        <w:rPr>
          <w:rFonts w:eastAsiaTheme="minorEastAsia"/>
          <w:i w:val="0"/>
          <w:kern w:val="2"/>
          <w:sz w:val="20"/>
          <w:szCs w:val="20"/>
          <w14:ligatures w14:val="standardContextual"/>
        </w:rPr>
      </w:pPr>
      <w:hyperlink w:anchor="_Toc175159172" w:history="1">
        <w:r w:rsidR="001037E0" w:rsidRPr="001037E0">
          <w:rPr>
            <w:rStyle w:val="Hyperlink"/>
            <w:i w:val="0"/>
            <w:sz w:val="20"/>
            <w:szCs w:val="20"/>
          </w:rPr>
          <w:t>16.11.4.6.1</w:t>
        </w:r>
        <w:r w:rsidR="001037E0" w:rsidRPr="001037E0">
          <w:rPr>
            <w:rFonts w:eastAsiaTheme="minorEastAsia"/>
            <w:i w:val="0"/>
            <w:kern w:val="2"/>
            <w:sz w:val="20"/>
            <w:szCs w:val="20"/>
            <w14:ligatures w14:val="standardContextual"/>
          </w:rPr>
          <w:tab/>
        </w:r>
        <w:r w:rsidR="001037E0" w:rsidRPr="001037E0">
          <w:rPr>
            <w:rStyle w:val="Hyperlink"/>
            <w:i w:val="0"/>
            <w:sz w:val="20"/>
            <w:szCs w:val="20"/>
          </w:rPr>
          <w:t>Credit Requirements for CRR Auction Participation</w:t>
        </w:r>
        <w:r w:rsidR="001037E0" w:rsidRPr="001037E0">
          <w:rPr>
            <w:i w:val="0"/>
            <w:webHidden/>
            <w:sz w:val="20"/>
            <w:szCs w:val="20"/>
          </w:rPr>
          <w:tab/>
        </w:r>
        <w:r w:rsidR="001037E0" w:rsidRPr="001037E0">
          <w:rPr>
            <w:i w:val="0"/>
            <w:webHidden/>
            <w:sz w:val="20"/>
            <w:szCs w:val="20"/>
          </w:rPr>
          <w:fldChar w:fldCharType="begin"/>
        </w:r>
        <w:r w:rsidR="001037E0" w:rsidRPr="001037E0">
          <w:rPr>
            <w:i w:val="0"/>
            <w:webHidden/>
            <w:sz w:val="20"/>
            <w:szCs w:val="20"/>
          </w:rPr>
          <w:instrText xml:space="preserve"> PAGEREF _Toc175159172 \h </w:instrText>
        </w:r>
        <w:r w:rsidR="001037E0" w:rsidRPr="001037E0">
          <w:rPr>
            <w:i w:val="0"/>
            <w:webHidden/>
            <w:sz w:val="20"/>
            <w:szCs w:val="20"/>
          </w:rPr>
        </w:r>
        <w:r w:rsidR="001037E0" w:rsidRPr="001037E0">
          <w:rPr>
            <w:i w:val="0"/>
            <w:webHidden/>
            <w:sz w:val="20"/>
            <w:szCs w:val="20"/>
          </w:rPr>
          <w:fldChar w:fldCharType="separate"/>
        </w:r>
        <w:r>
          <w:rPr>
            <w:i w:val="0"/>
            <w:webHidden/>
            <w:sz w:val="20"/>
            <w:szCs w:val="20"/>
          </w:rPr>
          <w:t>16-63</w:t>
        </w:r>
        <w:r w:rsidR="001037E0" w:rsidRPr="001037E0">
          <w:rPr>
            <w:i w:val="0"/>
            <w:webHidden/>
            <w:sz w:val="20"/>
            <w:szCs w:val="20"/>
          </w:rPr>
          <w:fldChar w:fldCharType="end"/>
        </w:r>
      </w:hyperlink>
    </w:p>
    <w:p w14:paraId="24737E4F" w14:textId="589647D8" w:rsidR="001037E0" w:rsidRPr="001037E0" w:rsidRDefault="001A683A">
      <w:pPr>
        <w:pStyle w:val="TOC5"/>
        <w:tabs>
          <w:tab w:val="left" w:pos="3614"/>
        </w:tabs>
        <w:rPr>
          <w:rFonts w:eastAsiaTheme="minorEastAsia"/>
          <w:i w:val="0"/>
          <w:kern w:val="2"/>
          <w:sz w:val="20"/>
          <w:szCs w:val="20"/>
          <w14:ligatures w14:val="standardContextual"/>
        </w:rPr>
      </w:pPr>
      <w:hyperlink w:anchor="_Toc175159173" w:history="1">
        <w:r w:rsidR="001037E0" w:rsidRPr="001037E0">
          <w:rPr>
            <w:rStyle w:val="Hyperlink"/>
            <w:i w:val="0"/>
            <w:sz w:val="20"/>
            <w:szCs w:val="20"/>
          </w:rPr>
          <w:t>16.11.4.6.2</w:t>
        </w:r>
        <w:r w:rsidR="001037E0" w:rsidRPr="001037E0">
          <w:rPr>
            <w:rFonts w:eastAsiaTheme="minorEastAsia"/>
            <w:i w:val="0"/>
            <w:kern w:val="2"/>
            <w:sz w:val="20"/>
            <w:szCs w:val="20"/>
            <w14:ligatures w14:val="standardContextual"/>
          </w:rPr>
          <w:tab/>
        </w:r>
        <w:r w:rsidR="001037E0" w:rsidRPr="001037E0">
          <w:rPr>
            <w:rStyle w:val="Hyperlink"/>
            <w:i w:val="0"/>
            <w:sz w:val="20"/>
            <w:szCs w:val="20"/>
          </w:rPr>
          <w:t>Credit Requirements for DAM Participation</w:t>
        </w:r>
        <w:r w:rsidR="001037E0" w:rsidRPr="001037E0">
          <w:rPr>
            <w:i w:val="0"/>
            <w:webHidden/>
            <w:sz w:val="20"/>
            <w:szCs w:val="20"/>
          </w:rPr>
          <w:tab/>
        </w:r>
        <w:r w:rsidR="001037E0" w:rsidRPr="001037E0">
          <w:rPr>
            <w:i w:val="0"/>
            <w:webHidden/>
            <w:sz w:val="20"/>
            <w:szCs w:val="20"/>
          </w:rPr>
          <w:fldChar w:fldCharType="begin"/>
        </w:r>
        <w:r w:rsidR="001037E0" w:rsidRPr="001037E0">
          <w:rPr>
            <w:i w:val="0"/>
            <w:webHidden/>
            <w:sz w:val="20"/>
            <w:szCs w:val="20"/>
          </w:rPr>
          <w:instrText xml:space="preserve"> PAGEREF _Toc175159173 \h </w:instrText>
        </w:r>
        <w:r w:rsidR="001037E0" w:rsidRPr="001037E0">
          <w:rPr>
            <w:i w:val="0"/>
            <w:webHidden/>
            <w:sz w:val="20"/>
            <w:szCs w:val="20"/>
          </w:rPr>
        </w:r>
        <w:r w:rsidR="001037E0" w:rsidRPr="001037E0">
          <w:rPr>
            <w:i w:val="0"/>
            <w:webHidden/>
            <w:sz w:val="20"/>
            <w:szCs w:val="20"/>
          </w:rPr>
          <w:fldChar w:fldCharType="separate"/>
        </w:r>
        <w:r>
          <w:rPr>
            <w:i w:val="0"/>
            <w:webHidden/>
            <w:sz w:val="20"/>
            <w:szCs w:val="20"/>
          </w:rPr>
          <w:t>16-64</w:t>
        </w:r>
        <w:r w:rsidR="001037E0" w:rsidRPr="001037E0">
          <w:rPr>
            <w:i w:val="0"/>
            <w:webHidden/>
            <w:sz w:val="20"/>
            <w:szCs w:val="20"/>
          </w:rPr>
          <w:fldChar w:fldCharType="end"/>
        </w:r>
      </w:hyperlink>
    </w:p>
    <w:p w14:paraId="7DC165FA" w14:textId="6EFB12C7" w:rsidR="001037E0" w:rsidRPr="001037E0" w:rsidRDefault="001A683A">
      <w:pPr>
        <w:pStyle w:val="TOC4"/>
        <w:rPr>
          <w:rFonts w:eastAsiaTheme="minorEastAsia"/>
          <w:kern w:val="2"/>
          <w:sz w:val="20"/>
          <w:szCs w:val="20"/>
          <w14:ligatures w14:val="standardContextual"/>
        </w:rPr>
      </w:pPr>
      <w:hyperlink w:anchor="_Toc175159174" w:history="1">
        <w:r w:rsidR="001037E0" w:rsidRPr="001037E0">
          <w:rPr>
            <w:rStyle w:val="Hyperlink"/>
            <w:sz w:val="20"/>
            <w:szCs w:val="20"/>
          </w:rPr>
          <w:t>16.11.4.7</w:t>
        </w:r>
        <w:r w:rsidR="001037E0" w:rsidRPr="001037E0">
          <w:rPr>
            <w:rFonts w:eastAsiaTheme="minorEastAsia"/>
            <w:kern w:val="2"/>
            <w:sz w:val="20"/>
            <w:szCs w:val="20"/>
            <w14:ligatures w14:val="standardContextual"/>
          </w:rPr>
          <w:tab/>
        </w:r>
        <w:r w:rsidR="001037E0" w:rsidRPr="001037E0">
          <w:rPr>
            <w:rStyle w:val="Hyperlink"/>
            <w:sz w:val="20"/>
            <w:szCs w:val="20"/>
          </w:rPr>
          <w:t>Credit Monitoring and Management Reports</w:t>
        </w:r>
        <w:r w:rsidR="001037E0" w:rsidRPr="001037E0">
          <w:rPr>
            <w:webHidden/>
            <w:sz w:val="20"/>
            <w:szCs w:val="20"/>
          </w:rPr>
          <w:tab/>
        </w:r>
        <w:r w:rsidR="001037E0" w:rsidRPr="001037E0">
          <w:rPr>
            <w:webHidden/>
            <w:sz w:val="20"/>
            <w:szCs w:val="20"/>
          </w:rPr>
          <w:fldChar w:fldCharType="begin"/>
        </w:r>
        <w:r w:rsidR="001037E0" w:rsidRPr="001037E0">
          <w:rPr>
            <w:webHidden/>
            <w:sz w:val="20"/>
            <w:szCs w:val="20"/>
          </w:rPr>
          <w:instrText xml:space="preserve"> PAGEREF _Toc175159174 \h </w:instrText>
        </w:r>
        <w:r w:rsidR="001037E0" w:rsidRPr="001037E0">
          <w:rPr>
            <w:webHidden/>
            <w:sz w:val="20"/>
            <w:szCs w:val="20"/>
          </w:rPr>
        </w:r>
        <w:r w:rsidR="001037E0" w:rsidRPr="001037E0">
          <w:rPr>
            <w:webHidden/>
            <w:sz w:val="20"/>
            <w:szCs w:val="20"/>
          </w:rPr>
          <w:fldChar w:fldCharType="separate"/>
        </w:r>
        <w:r>
          <w:rPr>
            <w:webHidden/>
            <w:sz w:val="20"/>
            <w:szCs w:val="20"/>
          </w:rPr>
          <w:t>16-64</w:t>
        </w:r>
        <w:r w:rsidR="001037E0" w:rsidRPr="001037E0">
          <w:rPr>
            <w:webHidden/>
            <w:sz w:val="20"/>
            <w:szCs w:val="20"/>
          </w:rPr>
          <w:fldChar w:fldCharType="end"/>
        </w:r>
      </w:hyperlink>
    </w:p>
    <w:p w14:paraId="7F721A62" w14:textId="674C9A17" w:rsidR="001037E0" w:rsidRPr="001037E0" w:rsidRDefault="001A683A">
      <w:pPr>
        <w:pStyle w:val="TOC3"/>
        <w:rPr>
          <w:rFonts w:eastAsiaTheme="minorEastAsia"/>
          <w:i w:val="0"/>
          <w:iCs w:val="0"/>
          <w:noProof/>
          <w:kern w:val="2"/>
          <w14:ligatures w14:val="standardContextual"/>
        </w:rPr>
      </w:pPr>
      <w:hyperlink w:anchor="_Toc175159175" w:history="1">
        <w:r w:rsidR="001037E0" w:rsidRPr="001037E0">
          <w:rPr>
            <w:rStyle w:val="Hyperlink"/>
            <w:i w:val="0"/>
            <w:iCs w:val="0"/>
            <w:noProof/>
          </w:rPr>
          <w:t>16.11.5</w:t>
        </w:r>
        <w:r w:rsidR="001037E0" w:rsidRPr="001037E0">
          <w:rPr>
            <w:rFonts w:eastAsiaTheme="minorEastAsia"/>
            <w:i w:val="0"/>
            <w:iCs w:val="0"/>
            <w:noProof/>
            <w:kern w:val="2"/>
            <w14:ligatures w14:val="standardContextual"/>
          </w:rPr>
          <w:tab/>
        </w:r>
        <w:r w:rsidR="001037E0" w:rsidRPr="001037E0">
          <w:rPr>
            <w:rStyle w:val="Hyperlink"/>
            <w:i w:val="0"/>
            <w:iCs w:val="0"/>
            <w:noProof/>
          </w:rPr>
          <w:t>Monitoring of a Counter-Party’s Creditworthiness and Credit Exposure by ERCOT</w:t>
        </w:r>
        <w:r w:rsidR="001037E0" w:rsidRPr="001037E0">
          <w:rPr>
            <w:i w:val="0"/>
            <w:iCs w:val="0"/>
            <w:noProof/>
            <w:webHidden/>
          </w:rPr>
          <w:tab/>
        </w:r>
        <w:r w:rsidR="001037E0" w:rsidRPr="001037E0">
          <w:rPr>
            <w:i w:val="0"/>
            <w:iCs w:val="0"/>
            <w:noProof/>
            <w:webHidden/>
          </w:rPr>
          <w:fldChar w:fldCharType="begin"/>
        </w:r>
        <w:r w:rsidR="001037E0" w:rsidRPr="001037E0">
          <w:rPr>
            <w:i w:val="0"/>
            <w:iCs w:val="0"/>
            <w:noProof/>
            <w:webHidden/>
          </w:rPr>
          <w:instrText xml:space="preserve"> PAGEREF _Toc175159175 \h </w:instrText>
        </w:r>
        <w:r w:rsidR="001037E0" w:rsidRPr="001037E0">
          <w:rPr>
            <w:i w:val="0"/>
            <w:iCs w:val="0"/>
            <w:noProof/>
            <w:webHidden/>
          </w:rPr>
        </w:r>
        <w:r w:rsidR="001037E0" w:rsidRPr="001037E0">
          <w:rPr>
            <w:i w:val="0"/>
            <w:iCs w:val="0"/>
            <w:noProof/>
            <w:webHidden/>
          </w:rPr>
          <w:fldChar w:fldCharType="separate"/>
        </w:r>
        <w:r>
          <w:rPr>
            <w:i w:val="0"/>
            <w:iCs w:val="0"/>
            <w:noProof/>
            <w:webHidden/>
          </w:rPr>
          <w:t>16-65</w:t>
        </w:r>
        <w:r w:rsidR="001037E0" w:rsidRPr="001037E0">
          <w:rPr>
            <w:i w:val="0"/>
            <w:iCs w:val="0"/>
            <w:noProof/>
            <w:webHidden/>
          </w:rPr>
          <w:fldChar w:fldCharType="end"/>
        </w:r>
      </w:hyperlink>
    </w:p>
    <w:p w14:paraId="576B1776" w14:textId="244FE5B7" w:rsidR="001037E0" w:rsidRPr="001037E0" w:rsidRDefault="001A683A">
      <w:pPr>
        <w:pStyle w:val="TOC3"/>
        <w:rPr>
          <w:rFonts w:eastAsiaTheme="minorEastAsia"/>
          <w:i w:val="0"/>
          <w:iCs w:val="0"/>
          <w:noProof/>
          <w:kern w:val="2"/>
          <w14:ligatures w14:val="standardContextual"/>
        </w:rPr>
      </w:pPr>
      <w:hyperlink w:anchor="_Toc175159176" w:history="1">
        <w:r w:rsidR="001037E0" w:rsidRPr="001037E0">
          <w:rPr>
            <w:rStyle w:val="Hyperlink"/>
            <w:i w:val="0"/>
            <w:iCs w:val="0"/>
            <w:noProof/>
          </w:rPr>
          <w:t>16.11.6</w:t>
        </w:r>
        <w:r w:rsidR="001037E0" w:rsidRPr="001037E0">
          <w:rPr>
            <w:rFonts w:eastAsiaTheme="minorEastAsia"/>
            <w:i w:val="0"/>
            <w:iCs w:val="0"/>
            <w:noProof/>
            <w:kern w:val="2"/>
            <w14:ligatures w14:val="standardContextual"/>
          </w:rPr>
          <w:tab/>
        </w:r>
        <w:r w:rsidR="001037E0" w:rsidRPr="001037E0">
          <w:rPr>
            <w:rStyle w:val="Hyperlink"/>
            <w:i w:val="0"/>
            <w:iCs w:val="0"/>
            <w:noProof/>
          </w:rPr>
          <w:t>Payment Breach and Late Payments by Market Participants</w:t>
        </w:r>
        <w:r w:rsidR="001037E0" w:rsidRPr="001037E0">
          <w:rPr>
            <w:i w:val="0"/>
            <w:iCs w:val="0"/>
            <w:noProof/>
            <w:webHidden/>
          </w:rPr>
          <w:tab/>
        </w:r>
        <w:r w:rsidR="001037E0" w:rsidRPr="001037E0">
          <w:rPr>
            <w:i w:val="0"/>
            <w:iCs w:val="0"/>
            <w:noProof/>
            <w:webHidden/>
          </w:rPr>
          <w:fldChar w:fldCharType="begin"/>
        </w:r>
        <w:r w:rsidR="001037E0" w:rsidRPr="001037E0">
          <w:rPr>
            <w:i w:val="0"/>
            <w:iCs w:val="0"/>
            <w:noProof/>
            <w:webHidden/>
          </w:rPr>
          <w:instrText xml:space="preserve"> PAGEREF _Toc175159176 \h </w:instrText>
        </w:r>
        <w:r w:rsidR="001037E0" w:rsidRPr="001037E0">
          <w:rPr>
            <w:i w:val="0"/>
            <w:iCs w:val="0"/>
            <w:noProof/>
            <w:webHidden/>
          </w:rPr>
        </w:r>
        <w:r w:rsidR="001037E0" w:rsidRPr="001037E0">
          <w:rPr>
            <w:i w:val="0"/>
            <w:iCs w:val="0"/>
            <w:noProof/>
            <w:webHidden/>
          </w:rPr>
          <w:fldChar w:fldCharType="separate"/>
        </w:r>
        <w:r>
          <w:rPr>
            <w:i w:val="0"/>
            <w:iCs w:val="0"/>
            <w:noProof/>
            <w:webHidden/>
          </w:rPr>
          <w:t>16-68</w:t>
        </w:r>
        <w:r w:rsidR="001037E0" w:rsidRPr="001037E0">
          <w:rPr>
            <w:i w:val="0"/>
            <w:iCs w:val="0"/>
            <w:noProof/>
            <w:webHidden/>
          </w:rPr>
          <w:fldChar w:fldCharType="end"/>
        </w:r>
      </w:hyperlink>
    </w:p>
    <w:p w14:paraId="426FFF6E" w14:textId="5E6376C8" w:rsidR="001037E0" w:rsidRPr="001037E0" w:rsidRDefault="001A683A">
      <w:pPr>
        <w:pStyle w:val="TOC4"/>
        <w:rPr>
          <w:rFonts w:eastAsiaTheme="minorEastAsia"/>
          <w:kern w:val="2"/>
          <w:sz w:val="20"/>
          <w:szCs w:val="20"/>
          <w14:ligatures w14:val="standardContextual"/>
        </w:rPr>
      </w:pPr>
      <w:hyperlink w:anchor="_Toc175159177" w:history="1">
        <w:r w:rsidR="001037E0" w:rsidRPr="001037E0">
          <w:rPr>
            <w:rStyle w:val="Hyperlink"/>
            <w:sz w:val="20"/>
            <w:szCs w:val="20"/>
          </w:rPr>
          <w:t>16.11.6.1</w:t>
        </w:r>
        <w:r w:rsidR="001037E0" w:rsidRPr="001037E0">
          <w:rPr>
            <w:rFonts w:eastAsiaTheme="minorEastAsia"/>
            <w:kern w:val="2"/>
            <w:sz w:val="20"/>
            <w:szCs w:val="20"/>
            <w14:ligatures w14:val="standardContextual"/>
          </w:rPr>
          <w:tab/>
        </w:r>
        <w:r w:rsidR="001037E0" w:rsidRPr="001037E0">
          <w:rPr>
            <w:rStyle w:val="Hyperlink"/>
            <w:sz w:val="20"/>
            <w:szCs w:val="20"/>
          </w:rPr>
          <w:t>ERCOT’s Remedies</w:t>
        </w:r>
        <w:r w:rsidR="001037E0" w:rsidRPr="001037E0">
          <w:rPr>
            <w:webHidden/>
            <w:sz w:val="20"/>
            <w:szCs w:val="20"/>
          </w:rPr>
          <w:tab/>
        </w:r>
        <w:r w:rsidR="001037E0" w:rsidRPr="001037E0">
          <w:rPr>
            <w:webHidden/>
            <w:sz w:val="20"/>
            <w:szCs w:val="20"/>
          </w:rPr>
          <w:fldChar w:fldCharType="begin"/>
        </w:r>
        <w:r w:rsidR="001037E0" w:rsidRPr="001037E0">
          <w:rPr>
            <w:webHidden/>
            <w:sz w:val="20"/>
            <w:szCs w:val="20"/>
          </w:rPr>
          <w:instrText xml:space="preserve"> PAGEREF _Toc175159177 \h </w:instrText>
        </w:r>
        <w:r w:rsidR="001037E0" w:rsidRPr="001037E0">
          <w:rPr>
            <w:webHidden/>
            <w:sz w:val="20"/>
            <w:szCs w:val="20"/>
          </w:rPr>
        </w:r>
        <w:r w:rsidR="001037E0" w:rsidRPr="001037E0">
          <w:rPr>
            <w:webHidden/>
            <w:sz w:val="20"/>
            <w:szCs w:val="20"/>
          </w:rPr>
          <w:fldChar w:fldCharType="separate"/>
        </w:r>
        <w:r>
          <w:rPr>
            <w:webHidden/>
            <w:sz w:val="20"/>
            <w:szCs w:val="20"/>
          </w:rPr>
          <w:t>16-69</w:t>
        </w:r>
        <w:r w:rsidR="001037E0" w:rsidRPr="001037E0">
          <w:rPr>
            <w:webHidden/>
            <w:sz w:val="20"/>
            <w:szCs w:val="20"/>
          </w:rPr>
          <w:fldChar w:fldCharType="end"/>
        </w:r>
      </w:hyperlink>
    </w:p>
    <w:p w14:paraId="5DA6F893" w14:textId="5B67620B" w:rsidR="001037E0" w:rsidRPr="001037E0" w:rsidRDefault="001A683A">
      <w:pPr>
        <w:pStyle w:val="TOC5"/>
        <w:tabs>
          <w:tab w:val="left" w:pos="3614"/>
        </w:tabs>
        <w:rPr>
          <w:rFonts w:eastAsiaTheme="minorEastAsia"/>
          <w:i w:val="0"/>
          <w:kern w:val="2"/>
          <w:sz w:val="20"/>
          <w:szCs w:val="20"/>
          <w14:ligatures w14:val="standardContextual"/>
        </w:rPr>
      </w:pPr>
      <w:hyperlink w:anchor="_Toc175159178" w:history="1">
        <w:r w:rsidR="001037E0" w:rsidRPr="001037E0">
          <w:rPr>
            <w:rStyle w:val="Hyperlink"/>
            <w:i w:val="0"/>
            <w:sz w:val="20"/>
            <w:szCs w:val="20"/>
          </w:rPr>
          <w:t>16.11.6.1.1</w:t>
        </w:r>
        <w:r w:rsidR="001037E0" w:rsidRPr="001037E0">
          <w:rPr>
            <w:rFonts w:eastAsiaTheme="minorEastAsia"/>
            <w:i w:val="0"/>
            <w:kern w:val="2"/>
            <w:sz w:val="20"/>
            <w:szCs w:val="20"/>
            <w14:ligatures w14:val="standardContextual"/>
          </w:rPr>
          <w:tab/>
        </w:r>
        <w:r w:rsidR="001037E0" w:rsidRPr="001037E0">
          <w:rPr>
            <w:rStyle w:val="Hyperlink"/>
            <w:i w:val="0"/>
            <w:sz w:val="20"/>
            <w:szCs w:val="20"/>
          </w:rPr>
          <w:t>No Payments by ERCOT to Market Participant</w:t>
        </w:r>
        <w:r w:rsidR="001037E0" w:rsidRPr="001037E0">
          <w:rPr>
            <w:i w:val="0"/>
            <w:webHidden/>
            <w:sz w:val="20"/>
            <w:szCs w:val="20"/>
          </w:rPr>
          <w:tab/>
        </w:r>
        <w:r w:rsidR="001037E0" w:rsidRPr="001037E0">
          <w:rPr>
            <w:i w:val="0"/>
            <w:webHidden/>
            <w:sz w:val="20"/>
            <w:szCs w:val="20"/>
          </w:rPr>
          <w:fldChar w:fldCharType="begin"/>
        </w:r>
        <w:r w:rsidR="001037E0" w:rsidRPr="001037E0">
          <w:rPr>
            <w:i w:val="0"/>
            <w:webHidden/>
            <w:sz w:val="20"/>
            <w:szCs w:val="20"/>
          </w:rPr>
          <w:instrText xml:space="preserve"> PAGEREF _Toc175159178 \h </w:instrText>
        </w:r>
        <w:r w:rsidR="001037E0" w:rsidRPr="001037E0">
          <w:rPr>
            <w:i w:val="0"/>
            <w:webHidden/>
            <w:sz w:val="20"/>
            <w:szCs w:val="20"/>
          </w:rPr>
        </w:r>
        <w:r w:rsidR="001037E0" w:rsidRPr="001037E0">
          <w:rPr>
            <w:i w:val="0"/>
            <w:webHidden/>
            <w:sz w:val="20"/>
            <w:szCs w:val="20"/>
          </w:rPr>
          <w:fldChar w:fldCharType="separate"/>
        </w:r>
        <w:r>
          <w:rPr>
            <w:i w:val="0"/>
            <w:webHidden/>
            <w:sz w:val="20"/>
            <w:szCs w:val="20"/>
          </w:rPr>
          <w:t>16-70</w:t>
        </w:r>
        <w:r w:rsidR="001037E0" w:rsidRPr="001037E0">
          <w:rPr>
            <w:i w:val="0"/>
            <w:webHidden/>
            <w:sz w:val="20"/>
            <w:szCs w:val="20"/>
          </w:rPr>
          <w:fldChar w:fldCharType="end"/>
        </w:r>
      </w:hyperlink>
    </w:p>
    <w:p w14:paraId="699B0288" w14:textId="7CA2B349" w:rsidR="001037E0" w:rsidRPr="001037E0" w:rsidRDefault="001A683A">
      <w:pPr>
        <w:pStyle w:val="TOC5"/>
        <w:tabs>
          <w:tab w:val="left" w:pos="3614"/>
        </w:tabs>
        <w:rPr>
          <w:rFonts w:eastAsiaTheme="minorEastAsia"/>
          <w:i w:val="0"/>
          <w:kern w:val="2"/>
          <w:sz w:val="20"/>
          <w:szCs w:val="20"/>
          <w14:ligatures w14:val="standardContextual"/>
        </w:rPr>
      </w:pPr>
      <w:hyperlink w:anchor="_Toc175159179" w:history="1">
        <w:r w:rsidR="001037E0" w:rsidRPr="001037E0">
          <w:rPr>
            <w:rStyle w:val="Hyperlink"/>
            <w:i w:val="0"/>
            <w:sz w:val="20"/>
            <w:szCs w:val="20"/>
          </w:rPr>
          <w:t>16.11.6.1.2</w:t>
        </w:r>
        <w:r w:rsidR="001037E0" w:rsidRPr="001037E0">
          <w:rPr>
            <w:rFonts w:eastAsiaTheme="minorEastAsia"/>
            <w:i w:val="0"/>
            <w:kern w:val="2"/>
            <w:sz w:val="20"/>
            <w:szCs w:val="20"/>
            <w14:ligatures w14:val="standardContextual"/>
          </w:rPr>
          <w:tab/>
        </w:r>
        <w:r w:rsidR="001037E0" w:rsidRPr="001037E0">
          <w:rPr>
            <w:rStyle w:val="Hyperlink"/>
            <w:i w:val="0"/>
            <w:sz w:val="20"/>
            <w:szCs w:val="20"/>
          </w:rPr>
          <w:t>ERCOT May Draw On, Hold or Distribute Funds</w:t>
        </w:r>
        <w:r w:rsidR="001037E0" w:rsidRPr="001037E0">
          <w:rPr>
            <w:i w:val="0"/>
            <w:webHidden/>
            <w:sz w:val="20"/>
            <w:szCs w:val="20"/>
          </w:rPr>
          <w:tab/>
        </w:r>
        <w:r w:rsidR="001037E0" w:rsidRPr="001037E0">
          <w:rPr>
            <w:i w:val="0"/>
            <w:webHidden/>
            <w:sz w:val="20"/>
            <w:szCs w:val="20"/>
          </w:rPr>
          <w:fldChar w:fldCharType="begin"/>
        </w:r>
        <w:r w:rsidR="001037E0" w:rsidRPr="001037E0">
          <w:rPr>
            <w:i w:val="0"/>
            <w:webHidden/>
            <w:sz w:val="20"/>
            <w:szCs w:val="20"/>
          </w:rPr>
          <w:instrText xml:space="preserve"> PAGEREF _Toc175159179 \h </w:instrText>
        </w:r>
        <w:r w:rsidR="001037E0" w:rsidRPr="001037E0">
          <w:rPr>
            <w:i w:val="0"/>
            <w:webHidden/>
            <w:sz w:val="20"/>
            <w:szCs w:val="20"/>
          </w:rPr>
        </w:r>
        <w:r w:rsidR="001037E0" w:rsidRPr="001037E0">
          <w:rPr>
            <w:i w:val="0"/>
            <w:webHidden/>
            <w:sz w:val="20"/>
            <w:szCs w:val="20"/>
          </w:rPr>
          <w:fldChar w:fldCharType="separate"/>
        </w:r>
        <w:r>
          <w:rPr>
            <w:i w:val="0"/>
            <w:webHidden/>
            <w:sz w:val="20"/>
            <w:szCs w:val="20"/>
          </w:rPr>
          <w:t>16-70</w:t>
        </w:r>
        <w:r w:rsidR="001037E0" w:rsidRPr="001037E0">
          <w:rPr>
            <w:i w:val="0"/>
            <w:webHidden/>
            <w:sz w:val="20"/>
            <w:szCs w:val="20"/>
          </w:rPr>
          <w:fldChar w:fldCharType="end"/>
        </w:r>
      </w:hyperlink>
    </w:p>
    <w:p w14:paraId="7ABD0128" w14:textId="02A70A86" w:rsidR="001037E0" w:rsidRPr="001037E0" w:rsidRDefault="001A683A">
      <w:pPr>
        <w:pStyle w:val="TOC5"/>
        <w:tabs>
          <w:tab w:val="left" w:pos="3614"/>
        </w:tabs>
        <w:rPr>
          <w:rFonts w:eastAsiaTheme="minorEastAsia"/>
          <w:i w:val="0"/>
          <w:kern w:val="2"/>
          <w:sz w:val="20"/>
          <w:szCs w:val="20"/>
          <w14:ligatures w14:val="standardContextual"/>
        </w:rPr>
      </w:pPr>
      <w:hyperlink w:anchor="_Toc175159180" w:history="1">
        <w:r w:rsidR="001037E0" w:rsidRPr="001037E0">
          <w:rPr>
            <w:rStyle w:val="Hyperlink"/>
            <w:i w:val="0"/>
            <w:sz w:val="20"/>
            <w:szCs w:val="20"/>
          </w:rPr>
          <w:t>16.11.6.1.3</w:t>
        </w:r>
        <w:r w:rsidR="001037E0" w:rsidRPr="001037E0">
          <w:rPr>
            <w:rFonts w:eastAsiaTheme="minorEastAsia"/>
            <w:i w:val="0"/>
            <w:kern w:val="2"/>
            <w:sz w:val="20"/>
            <w:szCs w:val="20"/>
            <w14:ligatures w14:val="standardContextual"/>
          </w:rPr>
          <w:tab/>
        </w:r>
        <w:r w:rsidR="001037E0" w:rsidRPr="001037E0">
          <w:rPr>
            <w:rStyle w:val="Hyperlink"/>
            <w:i w:val="0"/>
            <w:sz w:val="20"/>
            <w:szCs w:val="20"/>
          </w:rPr>
          <w:t>Aggregate Amount Owed by Breaching Market Participant Immediately Due</w:t>
        </w:r>
        <w:r w:rsidR="001037E0" w:rsidRPr="001037E0">
          <w:rPr>
            <w:i w:val="0"/>
            <w:webHidden/>
            <w:sz w:val="20"/>
            <w:szCs w:val="20"/>
          </w:rPr>
          <w:tab/>
        </w:r>
        <w:r w:rsidR="001037E0" w:rsidRPr="001037E0">
          <w:rPr>
            <w:i w:val="0"/>
            <w:webHidden/>
            <w:sz w:val="20"/>
            <w:szCs w:val="20"/>
          </w:rPr>
          <w:fldChar w:fldCharType="begin"/>
        </w:r>
        <w:r w:rsidR="001037E0" w:rsidRPr="001037E0">
          <w:rPr>
            <w:i w:val="0"/>
            <w:webHidden/>
            <w:sz w:val="20"/>
            <w:szCs w:val="20"/>
          </w:rPr>
          <w:instrText xml:space="preserve"> PAGEREF _Toc175159180 \h </w:instrText>
        </w:r>
        <w:r w:rsidR="001037E0" w:rsidRPr="001037E0">
          <w:rPr>
            <w:i w:val="0"/>
            <w:webHidden/>
            <w:sz w:val="20"/>
            <w:szCs w:val="20"/>
          </w:rPr>
        </w:r>
        <w:r w:rsidR="001037E0" w:rsidRPr="001037E0">
          <w:rPr>
            <w:i w:val="0"/>
            <w:webHidden/>
            <w:sz w:val="20"/>
            <w:szCs w:val="20"/>
          </w:rPr>
          <w:fldChar w:fldCharType="separate"/>
        </w:r>
        <w:r>
          <w:rPr>
            <w:i w:val="0"/>
            <w:webHidden/>
            <w:sz w:val="20"/>
            <w:szCs w:val="20"/>
          </w:rPr>
          <w:t>16-70</w:t>
        </w:r>
        <w:r w:rsidR="001037E0" w:rsidRPr="001037E0">
          <w:rPr>
            <w:i w:val="0"/>
            <w:webHidden/>
            <w:sz w:val="20"/>
            <w:szCs w:val="20"/>
          </w:rPr>
          <w:fldChar w:fldCharType="end"/>
        </w:r>
      </w:hyperlink>
    </w:p>
    <w:p w14:paraId="3FE24EFF" w14:textId="112DF8E0" w:rsidR="001037E0" w:rsidRPr="001037E0" w:rsidRDefault="001A683A">
      <w:pPr>
        <w:pStyle w:val="TOC5"/>
        <w:tabs>
          <w:tab w:val="left" w:pos="3614"/>
        </w:tabs>
        <w:rPr>
          <w:rFonts w:eastAsiaTheme="minorEastAsia"/>
          <w:i w:val="0"/>
          <w:kern w:val="2"/>
          <w:sz w:val="20"/>
          <w:szCs w:val="20"/>
          <w14:ligatures w14:val="standardContextual"/>
        </w:rPr>
      </w:pPr>
      <w:hyperlink w:anchor="_Toc175159181" w:history="1">
        <w:r w:rsidR="001037E0" w:rsidRPr="001037E0">
          <w:rPr>
            <w:rStyle w:val="Hyperlink"/>
            <w:i w:val="0"/>
            <w:sz w:val="20"/>
            <w:szCs w:val="20"/>
          </w:rPr>
          <w:t>16.11.6.1.4</w:t>
        </w:r>
        <w:r w:rsidR="001037E0" w:rsidRPr="001037E0">
          <w:rPr>
            <w:rFonts w:eastAsiaTheme="minorEastAsia"/>
            <w:i w:val="0"/>
            <w:kern w:val="2"/>
            <w:sz w:val="20"/>
            <w:szCs w:val="20"/>
            <w14:ligatures w14:val="standardContextual"/>
          </w:rPr>
          <w:tab/>
        </w:r>
        <w:r w:rsidR="001037E0" w:rsidRPr="001037E0">
          <w:rPr>
            <w:rStyle w:val="Hyperlink"/>
            <w:i w:val="0"/>
            <w:sz w:val="20"/>
            <w:szCs w:val="20"/>
          </w:rPr>
          <w:t>Repossession of CRRs by ERCOT</w:t>
        </w:r>
        <w:r w:rsidR="001037E0" w:rsidRPr="001037E0">
          <w:rPr>
            <w:i w:val="0"/>
            <w:webHidden/>
            <w:sz w:val="20"/>
            <w:szCs w:val="20"/>
          </w:rPr>
          <w:tab/>
        </w:r>
        <w:r w:rsidR="001037E0" w:rsidRPr="001037E0">
          <w:rPr>
            <w:i w:val="0"/>
            <w:webHidden/>
            <w:sz w:val="20"/>
            <w:szCs w:val="20"/>
          </w:rPr>
          <w:fldChar w:fldCharType="begin"/>
        </w:r>
        <w:r w:rsidR="001037E0" w:rsidRPr="001037E0">
          <w:rPr>
            <w:i w:val="0"/>
            <w:webHidden/>
            <w:sz w:val="20"/>
            <w:szCs w:val="20"/>
          </w:rPr>
          <w:instrText xml:space="preserve"> PAGEREF _Toc175159181 \h </w:instrText>
        </w:r>
        <w:r w:rsidR="001037E0" w:rsidRPr="001037E0">
          <w:rPr>
            <w:i w:val="0"/>
            <w:webHidden/>
            <w:sz w:val="20"/>
            <w:szCs w:val="20"/>
          </w:rPr>
        </w:r>
        <w:r w:rsidR="001037E0" w:rsidRPr="001037E0">
          <w:rPr>
            <w:i w:val="0"/>
            <w:webHidden/>
            <w:sz w:val="20"/>
            <w:szCs w:val="20"/>
          </w:rPr>
          <w:fldChar w:fldCharType="separate"/>
        </w:r>
        <w:r>
          <w:rPr>
            <w:i w:val="0"/>
            <w:webHidden/>
            <w:sz w:val="20"/>
            <w:szCs w:val="20"/>
          </w:rPr>
          <w:t>16-70</w:t>
        </w:r>
        <w:r w:rsidR="001037E0" w:rsidRPr="001037E0">
          <w:rPr>
            <w:i w:val="0"/>
            <w:webHidden/>
            <w:sz w:val="20"/>
            <w:szCs w:val="20"/>
          </w:rPr>
          <w:fldChar w:fldCharType="end"/>
        </w:r>
      </w:hyperlink>
    </w:p>
    <w:p w14:paraId="67FD6307" w14:textId="7B842B44" w:rsidR="001037E0" w:rsidRPr="001037E0" w:rsidRDefault="001A683A">
      <w:pPr>
        <w:pStyle w:val="TOC5"/>
        <w:tabs>
          <w:tab w:val="left" w:pos="3614"/>
        </w:tabs>
        <w:rPr>
          <w:rFonts w:eastAsiaTheme="minorEastAsia"/>
          <w:i w:val="0"/>
          <w:kern w:val="2"/>
          <w:sz w:val="20"/>
          <w:szCs w:val="20"/>
          <w14:ligatures w14:val="standardContextual"/>
        </w:rPr>
      </w:pPr>
      <w:hyperlink w:anchor="_Toc175159182" w:history="1">
        <w:r w:rsidR="001037E0" w:rsidRPr="001037E0">
          <w:rPr>
            <w:rStyle w:val="Hyperlink"/>
            <w:i w:val="0"/>
            <w:sz w:val="20"/>
            <w:szCs w:val="20"/>
          </w:rPr>
          <w:t>16.11.6.1.5</w:t>
        </w:r>
        <w:r w:rsidR="001037E0" w:rsidRPr="001037E0">
          <w:rPr>
            <w:rFonts w:eastAsiaTheme="minorEastAsia"/>
            <w:i w:val="0"/>
            <w:kern w:val="2"/>
            <w:sz w:val="20"/>
            <w:szCs w:val="20"/>
            <w14:ligatures w14:val="standardContextual"/>
          </w:rPr>
          <w:tab/>
        </w:r>
        <w:r w:rsidR="001037E0" w:rsidRPr="001037E0">
          <w:rPr>
            <w:rStyle w:val="Hyperlink"/>
            <w:i w:val="0"/>
            <w:sz w:val="20"/>
            <w:szCs w:val="20"/>
          </w:rPr>
          <w:t>Declaration of Forfeit of CRRs</w:t>
        </w:r>
        <w:r w:rsidR="001037E0" w:rsidRPr="001037E0">
          <w:rPr>
            <w:i w:val="0"/>
            <w:webHidden/>
            <w:sz w:val="20"/>
            <w:szCs w:val="20"/>
          </w:rPr>
          <w:tab/>
        </w:r>
        <w:r w:rsidR="001037E0" w:rsidRPr="001037E0">
          <w:rPr>
            <w:i w:val="0"/>
            <w:webHidden/>
            <w:sz w:val="20"/>
            <w:szCs w:val="20"/>
          </w:rPr>
          <w:fldChar w:fldCharType="begin"/>
        </w:r>
        <w:r w:rsidR="001037E0" w:rsidRPr="001037E0">
          <w:rPr>
            <w:i w:val="0"/>
            <w:webHidden/>
            <w:sz w:val="20"/>
            <w:szCs w:val="20"/>
          </w:rPr>
          <w:instrText xml:space="preserve"> PAGEREF _Toc175159182 \h </w:instrText>
        </w:r>
        <w:r w:rsidR="001037E0" w:rsidRPr="001037E0">
          <w:rPr>
            <w:i w:val="0"/>
            <w:webHidden/>
            <w:sz w:val="20"/>
            <w:szCs w:val="20"/>
          </w:rPr>
        </w:r>
        <w:r w:rsidR="001037E0" w:rsidRPr="001037E0">
          <w:rPr>
            <w:i w:val="0"/>
            <w:webHidden/>
            <w:sz w:val="20"/>
            <w:szCs w:val="20"/>
          </w:rPr>
          <w:fldChar w:fldCharType="separate"/>
        </w:r>
        <w:r>
          <w:rPr>
            <w:i w:val="0"/>
            <w:webHidden/>
            <w:sz w:val="20"/>
            <w:szCs w:val="20"/>
          </w:rPr>
          <w:t>16-71</w:t>
        </w:r>
        <w:r w:rsidR="001037E0" w:rsidRPr="001037E0">
          <w:rPr>
            <w:i w:val="0"/>
            <w:webHidden/>
            <w:sz w:val="20"/>
            <w:szCs w:val="20"/>
          </w:rPr>
          <w:fldChar w:fldCharType="end"/>
        </w:r>
      </w:hyperlink>
    </w:p>
    <w:p w14:paraId="16D10DB2" w14:textId="3911D156" w:rsidR="001037E0" w:rsidRPr="001037E0" w:rsidRDefault="001A683A">
      <w:pPr>
        <w:pStyle w:val="TOC5"/>
        <w:tabs>
          <w:tab w:val="left" w:pos="3614"/>
        </w:tabs>
        <w:rPr>
          <w:rFonts w:eastAsiaTheme="minorEastAsia"/>
          <w:i w:val="0"/>
          <w:kern w:val="2"/>
          <w:sz w:val="20"/>
          <w:szCs w:val="20"/>
          <w14:ligatures w14:val="standardContextual"/>
        </w:rPr>
      </w:pPr>
      <w:hyperlink w:anchor="_Toc175159184" w:history="1">
        <w:r w:rsidR="001037E0" w:rsidRPr="001037E0">
          <w:rPr>
            <w:rStyle w:val="Hyperlink"/>
            <w:i w:val="0"/>
            <w:sz w:val="20"/>
            <w:szCs w:val="20"/>
          </w:rPr>
          <w:t>16.11.6.1.6</w:t>
        </w:r>
        <w:r w:rsidR="001037E0" w:rsidRPr="001037E0">
          <w:rPr>
            <w:rFonts w:eastAsiaTheme="minorEastAsia"/>
            <w:i w:val="0"/>
            <w:kern w:val="2"/>
            <w:sz w:val="20"/>
            <w:szCs w:val="20"/>
            <w14:ligatures w14:val="standardContextual"/>
          </w:rPr>
          <w:tab/>
        </w:r>
        <w:r w:rsidR="001037E0" w:rsidRPr="001037E0">
          <w:rPr>
            <w:rStyle w:val="Hyperlink"/>
            <w:i w:val="0"/>
            <w:sz w:val="20"/>
            <w:szCs w:val="20"/>
          </w:rPr>
          <w:t>Revocation of a Market Participant’s Rights and Termination of Agreements</w:t>
        </w:r>
        <w:r w:rsidR="001037E0" w:rsidRPr="001037E0">
          <w:rPr>
            <w:i w:val="0"/>
            <w:webHidden/>
            <w:sz w:val="20"/>
            <w:szCs w:val="20"/>
          </w:rPr>
          <w:tab/>
        </w:r>
        <w:r w:rsidR="001037E0" w:rsidRPr="001037E0">
          <w:rPr>
            <w:i w:val="0"/>
            <w:webHidden/>
            <w:sz w:val="20"/>
            <w:szCs w:val="20"/>
          </w:rPr>
          <w:fldChar w:fldCharType="begin"/>
        </w:r>
        <w:r w:rsidR="001037E0" w:rsidRPr="001037E0">
          <w:rPr>
            <w:i w:val="0"/>
            <w:webHidden/>
            <w:sz w:val="20"/>
            <w:szCs w:val="20"/>
          </w:rPr>
          <w:instrText xml:space="preserve"> PAGEREF _Toc175159184 \h </w:instrText>
        </w:r>
        <w:r w:rsidR="001037E0" w:rsidRPr="001037E0">
          <w:rPr>
            <w:i w:val="0"/>
            <w:webHidden/>
            <w:sz w:val="20"/>
            <w:szCs w:val="20"/>
          </w:rPr>
        </w:r>
        <w:r w:rsidR="001037E0" w:rsidRPr="001037E0">
          <w:rPr>
            <w:i w:val="0"/>
            <w:webHidden/>
            <w:sz w:val="20"/>
            <w:szCs w:val="20"/>
          </w:rPr>
          <w:fldChar w:fldCharType="separate"/>
        </w:r>
        <w:r>
          <w:rPr>
            <w:i w:val="0"/>
            <w:webHidden/>
            <w:sz w:val="20"/>
            <w:szCs w:val="20"/>
          </w:rPr>
          <w:t>16-74</w:t>
        </w:r>
        <w:r w:rsidR="001037E0" w:rsidRPr="001037E0">
          <w:rPr>
            <w:i w:val="0"/>
            <w:webHidden/>
            <w:sz w:val="20"/>
            <w:szCs w:val="20"/>
          </w:rPr>
          <w:fldChar w:fldCharType="end"/>
        </w:r>
      </w:hyperlink>
    </w:p>
    <w:p w14:paraId="6D0722BA" w14:textId="5CA690FF" w:rsidR="001037E0" w:rsidRPr="001037E0" w:rsidRDefault="001A683A">
      <w:pPr>
        <w:pStyle w:val="TOC4"/>
        <w:rPr>
          <w:rFonts w:eastAsiaTheme="minorEastAsia"/>
          <w:kern w:val="2"/>
          <w:sz w:val="20"/>
          <w:szCs w:val="20"/>
          <w14:ligatures w14:val="standardContextual"/>
        </w:rPr>
      </w:pPr>
      <w:hyperlink w:anchor="_Toc175159185" w:history="1">
        <w:r w:rsidR="001037E0" w:rsidRPr="001037E0">
          <w:rPr>
            <w:rStyle w:val="Hyperlink"/>
            <w:sz w:val="20"/>
            <w:szCs w:val="20"/>
          </w:rPr>
          <w:t>16.11.6.2</w:t>
        </w:r>
        <w:r w:rsidR="001037E0" w:rsidRPr="001037E0">
          <w:rPr>
            <w:rFonts w:eastAsiaTheme="minorEastAsia"/>
            <w:kern w:val="2"/>
            <w:sz w:val="20"/>
            <w:szCs w:val="20"/>
            <w14:ligatures w14:val="standardContextual"/>
          </w:rPr>
          <w:tab/>
        </w:r>
        <w:r w:rsidR="001037E0" w:rsidRPr="001037E0">
          <w:rPr>
            <w:rStyle w:val="Hyperlink"/>
            <w:sz w:val="20"/>
            <w:szCs w:val="20"/>
          </w:rPr>
          <w:t>ERCOT’s Remedies for Late Payments by a Market Participant</w:t>
        </w:r>
        <w:r w:rsidR="001037E0" w:rsidRPr="001037E0">
          <w:rPr>
            <w:webHidden/>
            <w:sz w:val="20"/>
            <w:szCs w:val="20"/>
          </w:rPr>
          <w:tab/>
        </w:r>
        <w:r w:rsidR="001037E0" w:rsidRPr="001037E0">
          <w:rPr>
            <w:webHidden/>
            <w:sz w:val="20"/>
            <w:szCs w:val="20"/>
          </w:rPr>
          <w:fldChar w:fldCharType="begin"/>
        </w:r>
        <w:r w:rsidR="001037E0" w:rsidRPr="001037E0">
          <w:rPr>
            <w:webHidden/>
            <w:sz w:val="20"/>
            <w:szCs w:val="20"/>
          </w:rPr>
          <w:instrText xml:space="preserve"> PAGEREF _Toc175159185 \h </w:instrText>
        </w:r>
        <w:r w:rsidR="001037E0" w:rsidRPr="001037E0">
          <w:rPr>
            <w:webHidden/>
            <w:sz w:val="20"/>
            <w:szCs w:val="20"/>
          </w:rPr>
        </w:r>
        <w:r w:rsidR="001037E0" w:rsidRPr="001037E0">
          <w:rPr>
            <w:webHidden/>
            <w:sz w:val="20"/>
            <w:szCs w:val="20"/>
          </w:rPr>
          <w:fldChar w:fldCharType="separate"/>
        </w:r>
        <w:r>
          <w:rPr>
            <w:webHidden/>
            <w:sz w:val="20"/>
            <w:szCs w:val="20"/>
          </w:rPr>
          <w:t>16-75</w:t>
        </w:r>
        <w:r w:rsidR="001037E0" w:rsidRPr="001037E0">
          <w:rPr>
            <w:webHidden/>
            <w:sz w:val="20"/>
            <w:szCs w:val="20"/>
          </w:rPr>
          <w:fldChar w:fldCharType="end"/>
        </w:r>
      </w:hyperlink>
    </w:p>
    <w:p w14:paraId="45CC3B32" w14:textId="168A4BF5" w:rsidR="001037E0" w:rsidRPr="001037E0" w:rsidRDefault="001A683A">
      <w:pPr>
        <w:pStyle w:val="TOC5"/>
        <w:tabs>
          <w:tab w:val="left" w:pos="3614"/>
        </w:tabs>
        <w:rPr>
          <w:rFonts w:eastAsiaTheme="minorEastAsia"/>
          <w:i w:val="0"/>
          <w:kern w:val="2"/>
          <w:sz w:val="20"/>
          <w:szCs w:val="20"/>
          <w14:ligatures w14:val="standardContextual"/>
        </w:rPr>
      </w:pPr>
      <w:hyperlink w:anchor="_Toc175159186" w:history="1">
        <w:r w:rsidR="001037E0" w:rsidRPr="001037E0">
          <w:rPr>
            <w:rStyle w:val="Hyperlink"/>
            <w:i w:val="0"/>
            <w:sz w:val="20"/>
            <w:szCs w:val="20"/>
          </w:rPr>
          <w:t>16.11.6.2.1</w:t>
        </w:r>
        <w:r w:rsidR="001037E0" w:rsidRPr="001037E0">
          <w:rPr>
            <w:rFonts w:eastAsiaTheme="minorEastAsia"/>
            <w:i w:val="0"/>
            <w:kern w:val="2"/>
            <w:sz w:val="20"/>
            <w:szCs w:val="20"/>
            <w14:ligatures w14:val="standardContextual"/>
          </w:rPr>
          <w:tab/>
        </w:r>
        <w:r w:rsidR="001037E0" w:rsidRPr="001037E0">
          <w:rPr>
            <w:rStyle w:val="Hyperlink"/>
            <w:i w:val="0"/>
            <w:sz w:val="20"/>
            <w:szCs w:val="20"/>
          </w:rPr>
          <w:t>First Late Payment in Any Rolling 12-Month Period</w:t>
        </w:r>
        <w:r w:rsidR="001037E0" w:rsidRPr="001037E0">
          <w:rPr>
            <w:i w:val="0"/>
            <w:webHidden/>
            <w:sz w:val="20"/>
            <w:szCs w:val="20"/>
          </w:rPr>
          <w:tab/>
        </w:r>
        <w:r w:rsidR="001037E0" w:rsidRPr="001037E0">
          <w:rPr>
            <w:i w:val="0"/>
            <w:webHidden/>
            <w:sz w:val="20"/>
            <w:szCs w:val="20"/>
          </w:rPr>
          <w:fldChar w:fldCharType="begin"/>
        </w:r>
        <w:r w:rsidR="001037E0" w:rsidRPr="001037E0">
          <w:rPr>
            <w:i w:val="0"/>
            <w:webHidden/>
            <w:sz w:val="20"/>
            <w:szCs w:val="20"/>
          </w:rPr>
          <w:instrText xml:space="preserve"> PAGEREF _Toc175159186 \h </w:instrText>
        </w:r>
        <w:r w:rsidR="001037E0" w:rsidRPr="001037E0">
          <w:rPr>
            <w:i w:val="0"/>
            <w:webHidden/>
            <w:sz w:val="20"/>
            <w:szCs w:val="20"/>
          </w:rPr>
        </w:r>
        <w:r w:rsidR="001037E0" w:rsidRPr="001037E0">
          <w:rPr>
            <w:i w:val="0"/>
            <w:webHidden/>
            <w:sz w:val="20"/>
            <w:szCs w:val="20"/>
          </w:rPr>
          <w:fldChar w:fldCharType="separate"/>
        </w:r>
        <w:r>
          <w:rPr>
            <w:i w:val="0"/>
            <w:webHidden/>
            <w:sz w:val="20"/>
            <w:szCs w:val="20"/>
          </w:rPr>
          <w:t>16-75</w:t>
        </w:r>
        <w:r w:rsidR="001037E0" w:rsidRPr="001037E0">
          <w:rPr>
            <w:i w:val="0"/>
            <w:webHidden/>
            <w:sz w:val="20"/>
            <w:szCs w:val="20"/>
          </w:rPr>
          <w:fldChar w:fldCharType="end"/>
        </w:r>
      </w:hyperlink>
    </w:p>
    <w:p w14:paraId="4707D04B" w14:textId="0DD9FC30" w:rsidR="001037E0" w:rsidRPr="001037E0" w:rsidRDefault="001A683A">
      <w:pPr>
        <w:pStyle w:val="TOC5"/>
        <w:tabs>
          <w:tab w:val="left" w:pos="3614"/>
        </w:tabs>
        <w:rPr>
          <w:rFonts w:eastAsiaTheme="minorEastAsia"/>
          <w:i w:val="0"/>
          <w:kern w:val="2"/>
          <w:sz w:val="20"/>
          <w:szCs w:val="20"/>
          <w14:ligatures w14:val="standardContextual"/>
        </w:rPr>
      </w:pPr>
      <w:hyperlink w:anchor="_Toc175159187" w:history="1">
        <w:r w:rsidR="001037E0" w:rsidRPr="001037E0">
          <w:rPr>
            <w:rStyle w:val="Hyperlink"/>
            <w:i w:val="0"/>
            <w:sz w:val="20"/>
            <w:szCs w:val="20"/>
          </w:rPr>
          <w:t>16.11.6.2.2</w:t>
        </w:r>
        <w:r w:rsidR="001037E0" w:rsidRPr="001037E0">
          <w:rPr>
            <w:rFonts w:eastAsiaTheme="minorEastAsia"/>
            <w:i w:val="0"/>
            <w:kern w:val="2"/>
            <w:sz w:val="20"/>
            <w:szCs w:val="20"/>
            <w14:ligatures w14:val="standardContextual"/>
          </w:rPr>
          <w:tab/>
        </w:r>
        <w:r w:rsidR="001037E0" w:rsidRPr="001037E0">
          <w:rPr>
            <w:rStyle w:val="Hyperlink"/>
            <w:i w:val="0"/>
            <w:sz w:val="20"/>
            <w:szCs w:val="20"/>
          </w:rPr>
          <w:t>Second Late Payment in Any Rolling 12-Month Period</w:t>
        </w:r>
        <w:r w:rsidR="001037E0" w:rsidRPr="001037E0">
          <w:rPr>
            <w:i w:val="0"/>
            <w:webHidden/>
            <w:sz w:val="20"/>
            <w:szCs w:val="20"/>
          </w:rPr>
          <w:tab/>
        </w:r>
        <w:r w:rsidR="001037E0" w:rsidRPr="001037E0">
          <w:rPr>
            <w:i w:val="0"/>
            <w:webHidden/>
            <w:sz w:val="20"/>
            <w:szCs w:val="20"/>
          </w:rPr>
          <w:fldChar w:fldCharType="begin"/>
        </w:r>
        <w:r w:rsidR="001037E0" w:rsidRPr="001037E0">
          <w:rPr>
            <w:i w:val="0"/>
            <w:webHidden/>
            <w:sz w:val="20"/>
            <w:szCs w:val="20"/>
          </w:rPr>
          <w:instrText xml:space="preserve"> PAGEREF _Toc175159187 \h </w:instrText>
        </w:r>
        <w:r w:rsidR="001037E0" w:rsidRPr="001037E0">
          <w:rPr>
            <w:i w:val="0"/>
            <w:webHidden/>
            <w:sz w:val="20"/>
            <w:szCs w:val="20"/>
          </w:rPr>
        </w:r>
        <w:r w:rsidR="001037E0" w:rsidRPr="001037E0">
          <w:rPr>
            <w:i w:val="0"/>
            <w:webHidden/>
            <w:sz w:val="20"/>
            <w:szCs w:val="20"/>
          </w:rPr>
          <w:fldChar w:fldCharType="separate"/>
        </w:r>
        <w:r>
          <w:rPr>
            <w:i w:val="0"/>
            <w:webHidden/>
            <w:sz w:val="20"/>
            <w:szCs w:val="20"/>
          </w:rPr>
          <w:t>16-75</w:t>
        </w:r>
        <w:r w:rsidR="001037E0" w:rsidRPr="001037E0">
          <w:rPr>
            <w:i w:val="0"/>
            <w:webHidden/>
            <w:sz w:val="20"/>
            <w:szCs w:val="20"/>
          </w:rPr>
          <w:fldChar w:fldCharType="end"/>
        </w:r>
      </w:hyperlink>
    </w:p>
    <w:p w14:paraId="11CEB300" w14:textId="63DF85CF" w:rsidR="001037E0" w:rsidRPr="001037E0" w:rsidRDefault="001A683A">
      <w:pPr>
        <w:pStyle w:val="TOC5"/>
        <w:tabs>
          <w:tab w:val="left" w:pos="3614"/>
        </w:tabs>
        <w:rPr>
          <w:rFonts w:eastAsiaTheme="minorEastAsia"/>
          <w:i w:val="0"/>
          <w:kern w:val="2"/>
          <w:sz w:val="20"/>
          <w:szCs w:val="20"/>
          <w14:ligatures w14:val="standardContextual"/>
        </w:rPr>
      </w:pPr>
      <w:hyperlink w:anchor="_Toc175159188" w:history="1">
        <w:r w:rsidR="001037E0" w:rsidRPr="001037E0">
          <w:rPr>
            <w:rStyle w:val="Hyperlink"/>
            <w:i w:val="0"/>
            <w:sz w:val="20"/>
            <w:szCs w:val="20"/>
          </w:rPr>
          <w:t>16.11.6.2.3</w:t>
        </w:r>
        <w:r w:rsidR="001037E0" w:rsidRPr="001037E0">
          <w:rPr>
            <w:rFonts w:eastAsiaTheme="minorEastAsia"/>
            <w:i w:val="0"/>
            <w:kern w:val="2"/>
            <w:sz w:val="20"/>
            <w:szCs w:val="20"/>
            <w14:ligatures w14:val="standardContextual"/>
          </w:rPr>
          <w:tab/>
        </w:r>
        <w:r w:rsidR="001037E0" w:rsidRPr="001037E0">
          <w:rPr>
            <w:rStyle w:val="Hyperlink"/>
            <w:i w:val="0"/>
            <w:sz w:val="20"/>
            <w:szCs w:val="20"/>
          </w:rPr>
          <w:t>Third Late Payment in Any Rolling 12-Month Period</w:t>
        </w:r>
        <w:r w:rsidR="001037E0" w:rsidRPr="001037E0">
          <w:rPr>
            <w:i w:val="0"/>
            <w:webHidden/>
            <w:sz w:val="20"/>
            <w:szCs w:val="20"/>
          </w:rPr>
          <w:tab/>
        </w:r>
        <w:r w:rsidR="001037E0" w:rsidRPr="001037E0">
          <w:rPr>
            <w:i w:val="0"/>
            <w:webHidden/>
            <w:sz w:val="20"/>
            <w:szCs w:val="20"/>
          </w:rPr>
          <w:fldChar w:fldCharType="begin"/>
        </w:r>
        <w:r w:rsidR="001037E0" w:rsidRPr="001037E0">
          <w:rPr>
            <w:i w:val="0"/>
            <w:webHidden/>
            <w:sz w:val="20"/>
            <w:szCs w:val="20"/>
          </w:rPr>
          <w:instrText xml:space="preserve"> PAGEREF _Toc175159188 \h </w:instrText>
        </w:r>
        <w:r w:rsidR="001037E0" w:rsidRPr="001037E0">
          <w:rPr>
            <w:i w:val="0"/>
            <w:webHidden/>
            <w:sz w:val="20"/>
            <w:szCs w:val="20"/>
          </w:rPr>
        </w:r>
        <w:r w:rsidR="001037E0" w:rsidRPr="001037E0">
          <w:rPr>
            <w:i w:val="0"/>
            <w:webHidden/>
            <w:sz w:val="20"/>
            <w:szCs w:val="20"/>
          </w:rPr>
          <w:fldChar w:fldCharType="separate"/>
        </w:r>
        <w:r>
          <w:rPr>
            <w:i w:val="0"/>
            <w:webHidden/>
            <w:sz w:val="20"/>
            <w:szCs w:val="20"/>
          </w:rPr>
          <w:t>16-75</w:t>
        </w:r>
        <w:r w:rsidR="001037E0" w:rsidRPr="001037E0">
          <w:rPr>
            <w:i w:val="0"/>
            <w:webHidden/>
            <w:sz w:val="20"/>
            <w:szCs w:val="20"/>
          </w:rPr>
          <w:fldChar w:fldCharType="end"/>
        </w:r>
      </w:hyperlink>
    </w:p>
    <w:p w14:paraId="41B5D41A" w14:textId="4C907701" w:rsidR="001037E0" w:rsidRPr="001037E0" w:rsidRDefault="001A683A">
      <w:pPr>
        <w:pStyle w:val="TOC5"/>
        <w:tabs>
          <w:tab w:val="left" w:pos="3614"/>
        </w:tabs>
        <w:rPr>
          <w:rFonts w:eastAsiaTheme="minorEastAsia"/>
          <w:i w:val="0"/>
          <w:kern w:val="2"/>
          <w:sz w:val="20"/>
          <w:szCs w:val="20"/>
          <w14:ligatures w14:val="standardContextual"/>
        </w:rPr>
      </w:pPr>
      <w:hyperlink w:anchor="_Toc175159189" w:history="1">
        <w:r w:rsidR="001037E0" w:rsidRPr="001037E0">
          <w:rPr>
            <w:rStyle w:val="Hyperlink"/>
            <w:i w:val="0"/>
            <w:sz w:val="20"/>
            <w:szCs w:val="20"/>
          </w:rPr>
          <w:t>16.11.6.2.4</w:t>
        </w:r>
        <w:r w:rsidR="001037E0" w:rsidRPr="001037E0">
          <w:rPr>
            <w:rFonts w:eastAsiaTheme="minorEastAsia"/>
            <w:i w:val="0"/>
            <w:kern w:val="2"/>
            <w:sz w:val="20"/>
            <w:szCs w:val="20"/>
            <w14:ligatures w14:val="standardContextual"/>
          </w:rPr>
          <w:tab/>
        </w:r>
        <w:r w:rsidR="001037E0" w:rsidRPr="001037E0">
          <w:rPr>
            <w:rStyle w:val="Hyperlink"/>
            <w:i w:val="0"/>
            <w:sz w:val="20"/>
            <w:szCs w:val="20"/>
          </w:rPr>
          <w:t>Fourth Late Payment in Any Rolling 12-Month Period</w:t>
        </w:r>
        <w:r w:rsidR="001037E0" w:rsidRPr="001037E0">
          <w:rPr>
            <w:i w:val="0"/>
            <w:webHidden/>
            <w:sz w:val="20"/>
            <w:szCs w:val="20"/>
          </w:rPr>
          <w:tab/>
        </w:r>
        <w:r w:rsidR="001037E0" w:rsidRPr="001037E0">
          <w:rPr>
            <w:i w:val="0"/>
            <w:webHidden/>
            <w:sz w:val="20"/>
            <w:szCs w:val="20"/>
          </w:rPr>
          <w:fldChar w:fldCharType="begin"/>
        </w:r>
        <w:r w:rsidR="001037E0" w:rsidRPr="001037E0">
          <w:rPr>
            <w:i w:val="0"/>
            <w:webHidden/>
            <w:sz w:val="20"/>
            <w:szCs w:val="20"/>
          </w:rPr>
          <w:instrText xml:space="preserve"> PAGEREF _Toc175159189 \h </w:instrText>
        </w:r>
        <w:r w:rsidR="001037E0" w:rsidRPr="001037E0">
          <w:rPr>
            <w:i w:val="0"/>
            <w:webHidden/>
            <w:sz w:val="20"/>
            <w:szCs w:val="20"/>
          </w:rPr>
        </w:r>
        <w:r w:rsidR="001037E0" w:rsidRPr="001037E0">
          <w:rPr>
            <w:i w:val="0"/>
            <w:webHidden/>
            <w:sz w:val="20"/>
            <w:szCs w:val="20"/>
          </w:rPr>
          <w:fldChar w:fldCharType="separate"/>
        </w:r>
        <w:r>
          <w:rPr>
            <w:i w:val="0"/>
            <w:webHidden/>
            <w:sz w:val="20"/>
            <w:szCs w:val="20"/>
          </w:rPr>
          <w:t>16-76</w:t>
        </w:r>
        <w:r w:rsidR="001037E0" w:rsidRPr="001037E0">
          <w:rPr>
            <w:i w:val="0"/>
            <w:webHidden/>
            <w:sz w:val="20"/>
            <w:szCs w:val="20"/>
          </w:rPr>
          <w:fldChar w:fldCharType="end"/>
        </w:r>
      </w:hyperlink>
    </w:p>
    <w:p w14:paraId="7796BFC2" w14:textId="000971C7" w:rsidR="001037E0" w:rsidRPr="001037E0" w:rsidRDefault="001A683A">
      <w:pPr>
        <w:pStyle w:val="TOC5"/>
        <w:tabs>
          <w:tab w:val="left" w:pos="3614"/>
        </w:tabs>
        <w:rPr>
          <w:rFonts w:eastAsiaTheme="minorEastAsia"/>
          <w:i w:val="0"/>
          <w:kern w:val="2"/>
          <w:sz w:val="20"/>
          <w:szCs w:val="20"/>
          <w14:ligatures w14:val="standardContextual"/>
        </w:rPr>
      </w:pPr>
      <w:hyperlink w:anchor="_Toc175159190" w:history="1">
        <w:r w:rsidR="001037E0" w:rsidRPr="001037E0">
          <w:rPr>
            <w:rStyle w:val="Hyperlink"/>
            <w:i w:val="0"/>
            <w:sz w:val="20"/>
            <w:szCs w:val="20"/>
          </w:rPr>
          <w:t>16.11.6.2.5</w:t>
        </w:r>
        <w:r w:rsidR="001037E0" w:rsidRPr="001037E0">
          <w:rPr>
            <w:rFonts w:eastAsiaTheme="minorEastAsia"/>
            <w:i w:val="0"/>
            <w:kern w:val="2"/>
            <w:sz w:val="20"/>
            <w:szCs w:val="20"/>
            <w14:ligatures w14:val="standardContextual"/>
          </w:rPr>
          <w:tab/>
        </w:r>
        <w:r w:rsidR="001037E0" w:rsidRPr="001037E0">
          <w:rPr>
            <w:rStyle w:val="Hyperlink"/>
            <w:i w:val="0"/>
            <w:sz w:val="20"/>
            <w:szCs w:val="20"/>
          </w:rPr>
          <w:t>Level I Enforcement</w:t>
        </w:r>
        <w:r w:rsidR="001037E0" w:rsidRPr="001037E0">
          <w:rPr>
            <w:i w:val="0"/>
            <w:webHidden/>
            <w:sz w:val="20"/>
            <w:szCs w:val="20"/>
          </w:rPr>
          <w:tab/>
        </w:r>
        <w:r w:rsidR="001037E0" w:rsidRPr="001037E0">
          <w:rPr>
            <w:i w:val="0"/>
            <w:webHidden/>
            <w:sz w:val="20"/>
            <w:szCs w:val="20"/>
          </w:rPr>
          <w:fldChar w:fldCharType="begin"/>
        </w:r>
        <w:r w:rsidR="001037E0" w:rsidRPr="001037E0">
          <w:rPr>
            <w:i w:val="0"/>
            <w:webHidden/>
            <w:sz w:val="20"/>
            <w:szCs w:val="20"/>
          </w:rPr>
          <w:instrText xml:space="preserve"> PAGEREF _Toc175159190 \h </w:instrText>
        </w:r>
        <w:r w:rsidR="001037E0" w:rsidRPr="001037E0">
          <w:rPr>
            <w:i w:val="0"/>
            <w:webHidden/>
            <w:sz w:val="20"/>
            <w:szCs w:val="20"/>
          </w:rPr>
        </w:r>
        <w:r w:rsidR="001037E0" w:rsidRPr="001037E0">
          <w:rPr>
            <w:i w:val="0"/>
            <w:webHidden/>
            <w:sz w:val="20"/>
            <w:szCs w:val="20"/>
          </w:rPr>
          <w:fldChar w:fldCharType="separate"/>
        </w:r>
        <w:r>
          <w:rPr>
            <w:i w:val="0"/>
            <w:webHidden/>
            <w:sz w:val="20"/>
            <w:szCs w:val="20"/>
          </w:rPr>
          <w:t>16-76</w:t>
        </w:r>
        <w:r w:rsidR="001037E0" w:rsidRPr="001037E0">
          <w:rPr>
            <w:i w:val="0"/>
            <w:webHidden/>
            <w:sz w:val="20"/>
            <w:szCs w:val="20"/>
          </w:rPr>
          <w:fldChar w:fldCharType="end"/>
        </w:r>
      </w:hyperlink>
    </w:p>
    <w:p w14:paraId="6D477F44" w14:textId="21FC83DF" w:rsidR="001037E0" w:rsidRPr="001037E0" w:rsidRDefault="001A683A">
      <w:pPr>
        <w:pStyle w:val="TOC5"/>
        <w:tabs>
          <w:tab w:val="left" w:pos="3614"/>
        </w:tabs>
        <w:rPr>
          <w:rFonts w:eastAsiaTheme="minorEastAsia"/>
          <w:i w:val="0"/>
          <w:kern w:val="2"/>
          <w:sz w:val="20"/>
          <w:szCs w:val="20"/>
          <w14:ligatures w14:val="standardContextual"/>
        </w:rPr>
      </w:pPr>
      <w:hyperlink w:anchor="_Toc175159191" w:history="1">
        <w:r w:rsidR="001037E0" w:rsidRPr="001037E0">
          <w:rPr>
            <w:rStyle w:val="Hyperlink"/>
            <w:i w:val="0"/>
            <w:sz w:val="20"/>
            <w:szCs w:val="20"/>
          </w:rPr>
          <w:t>16.11.6.2.6</w:t>
        </w:r>
        <w:r w:rsidR="001037E0" w:rsidRPr="001037E0">
          <w:rPr>
            <w:rFonts w:eastAsiaTheme="minorEastAsia"/>
            <w:i w:val="0"/>
            <w:kern w:val="2"/>
            <w:sz w:val="20"/>
            <w:szCs w:val="20"/>
            <w14:ligatures w14:val="standardContextual"/>
          </w:rPr>
          <w:tab/>
        </w:r>
        <w:r w:rsidR="001037E0" w:rsidRPr="001037E0">
          <w:rPr>
            <w:rStyle w:val="Hyperlink"/>
            <w:i w:val="0"/>
            <w:sz w:val="20"/>
            <w:szCs w:val="20"/>
          </w:rPr>
          <w:t>Level II Enforcement</w:t>
        </w:r>
        <w:r w:rsidR="001037E0" w:rsidRPr="001037E0">
          <w:rPr>
            <w:i w:val="0"/>
            <w:webHidden/>
            <w:sz w:val="20"/>
            <w:szCs w:val="20"/>
          </w:rPr>
          <w:tab/>
        </w:r>
        <w:r w:rsidR="001037E0" w:rsidRPr="001037E0">
          <w:rPr>
            <w:i w:val="0"/>
            <w:webHidden/>
            <w:sz w:val="20"/>
            <w:szCs w:val="20"/>
          </w:rPr>
          <w:fldChar w:fldCharType="begin"/>
        </w:r>
        <w:r w:rsidR="001037E0" w:rsidRPr="001037E0">
          <w:rPr>
            <w:i w:val="0"/>
            <w:webHidden/>
            <w:sz w:val="20"/>
            <w:szCs w:val="20"/>
          </w:rPr>
          <w:instrText xml:space="preserve"> PAGEREF _Toc175159191 \h </w:instrText>
        </w:r>
        <w:r w:rsidR="001037E0" w:rsidRPr="001037E0">
          <w:rPr>
            <w:i w:val="0"/>
            <w:webHidden/>
            <w:sz w:val="20"/>
            <w:szCs w:val="20"/>
          </w:rPr>
        </w:r>
        <w:r w:rsidR="001037E0" w:rsidRPr="001037E0">
          <w:rPr>
            <w:i w:val="0"/>
            <w:webHidden/>
            <w:sz w:val="20"/>
            <w:szCs w:val="20"/>
          </w:rPr>
          <w:fldChar w:fldCharType="separate"/>
        </w:r>
        <w:r>
          <w:rPr>
            <w:i w:val="0"/>
            <w:webHidden/>
            <w:sz w:val="20"/>
            <w:szCs w:val="20"/>
          </w:rPr>
          <w:t>16-76</w:t>
        </w:r>
        <w:r w:rsidR="001037E0" w:rsidRPr="001037E0">
          <w:rPr>
            <w:i w:val="0"/>
            <w:webHidden/>
            <w:sz w:val="20"/>
            <w:szCs w:val="20"/>
          </w:rPr>
          <w:fldChar w:fldCharType="end"/>
        </w:r>
      </w:hyperlink>
    </w:p>
    <w:p w14:paraId="6AEA5567" w14:textId="34FFB800" w:rsidR="001037E0" w:rsidRPr="001037E0" w:rsidRDefault="001A683A">
      <w:pPr>
        <w:pStyle w:val="TOC5"/>
        <w:tabs>
          <w:tab w:val="left" w:pos="3614"/>
        </w:tabs>
        <w:rPr>
          <w:rFonts w:eastAsiaTheme="minorEastAsia"/>
          <w:i w:val="0"/>
          <w:kern w:val="2"/>
          <w:sz w:val="20"/>
          <w:szCs w:val="20"/>
          <w14:ligatures w14:val="standardContextual"/>
        </w:rPr>
      </w:pPr>
      <w:hyperlink w:anchor="_Toc175159192" w:history="1">
        <w:r w:rsidR="001037E0" w:rsidRPr="001037E0">
          <w:rPr>
            <w:rStyle w:val="Hyperlink"/>
            <w:i w:val="0"/>
            <w:sz w:val="20"/>
            <w:szCs w:val="20"/>
          </w:rPr>
          <w:t>16.11.6.2.7</w:t>
        </w:r>
        <w:r w:rsidR="001037E0" w:rsidRPr="001037E0">
          <w:rPr>
            <w:rFonts w:eastAsiaTheme="minorEastAsia"/>
            <w:i w:val="0"/>
            <w:kern w:val="2"/>
            <w:sz w:val="20"/>
            <w:szCs w:val="20"/>
            <w14:ligatures w14:val="standardContextual"/>
          </w:rPr>
          <w:tab/>
        </w:r>
        <w:r w:rsidR="001037E0" w:rsidRPr="001037E0">
          <w:rPr>
            <w:rStyle w:val="Hyperlink"/>
            <w:i w:val="0"/>
            <w:sz w:val="20"/>
            <w:szCs w:val="20"/>
          </w:rPr>
          <w:t>Level III Enforcement</w:t>
        </w:r>
        <w:r w:rsidR="001037E0" w:rsidRPr="001037E0">
          <w:rPr>
            <w:i w:val="0"/>
            <w:webHidden/>
            <w:sz w:val="20"/>
            <w:szCs w:val="20"/>
          </w:rPr>
          <w:tab/>
        </w:r>
        <w:r w:rsidR="001037E0" w:rsidRPr="001037E0">
          <w:rPr>
            <w:i w:val="0"/>
            <w:webHidden/>
            <w:sz w:val="20"/>
            <w:szCs w:val="20"/>
          </w:rPr>
          <w:fldChar w:fldCharType="begin"/>
        </w:r>
        <w:r w:rsidR="001037E0" w:rsidRPr="001037E0">
          <w:rPr>
            <w:i w:val="0"/>
            <w:webHidden/>
            <w:sz w:val="20"/>
            <w:szCs w:val="20"/>
          </w:rPr>
          <w:instrText xml:space="preserve"> PAGEREF _Toc175159192 \h </w:instrText>
        </w:r>
        <w:r w:rsidR="001037E0" w:rsidRPr="001037E0">
          <w:rPr>
            <w:i w:val="0"/>
            <w:webHidden/>
            <w:sz w:val="20"/>
            <w:szCs w:val="20"/>
          </w:rPr>
        </w:r>
        <w:r w:rsidR="001037E0" w:rsidRPr="001037E0">
          <w:rPr>
            <w:i w:val="0"/>
            <w:webHidden/>
            <w:sz w:val="20"/>
            <w:szCs w:val="20"/>
          </w:rPr>
          <w:fldChar w:fldCharType="separate"/>
        </w:r>
        <w:r>
          <w:rPr>
            <w:i w:val="0"/>
            <w:webHidden/>
            <w:sz w:val="20"/>
            <w:szCs w:val="20"/>
          </w:rPr>
          <w:t>16-77</w:t>
        </w:r>
        <w:r w:rsidR="001037E0" w:rsidRPr="001037E0">
          <w:rPr>
            <w:i w:val="0"/>
            <w:webHidden/>
            <w:sz w:val="20"/>
            <w:szCs w:val="20"/>
          </w:rPr>
          <w:fldChar w:fldCharType="end"/>
        </w:r>
      </w:hyperlink>
    </w:p>
    <w:p w14:paraId="3ADB3A71" w14:textId="47561620" w:rsidR="001037E0" w:rsidRPr="001037E0" w:rsidRDefault="001A683A">
      <w:pPr>
        <w:pStyle w:val="TOC3"/>
        <w:rPr>
          <w:rFonts w:eastAsiaTheme="minorEastAsia"/>
          <w:i w:val="0"/>
          <w:iCs w:val="0"/>
          <w:noProof/>
          <w:kern w:val="2"/>
          <w14:ligatures w14:val="standardContextual"/>
        </w:rPr>
      </w:pPr>
      <w:hyperlink w:anchor="_Toc175159193" w:history="1">
        <w:r w:rsidR="001037E0" w:rsidRPr="001037E0">
          <w:rPr>
            <w:rStyle w:val="Hyperlink"/>
            <w:i w:val="0"/>
            <w:iCs w:val="0"/>
            <w:noProof/>
          </w:rPr>
          <w:t>16.11.7</w:t>
        </w:r>
        <w:r w:rsidR="001037E0" w:rsidRPr="001037E0">
          <w:rPr>
            <w:rFonts w:eastAsiaTheme="minorEastAsia"/>
            <w:i w:val="0"/>
            <w:iCs w:val="0"/>
            <w:noProof/>
            <w:kern w:val="2"/>
            <w14:ligatures w14:val="standardContextual"/>
          </w:rPr>
          <w:tab/>
        </w:r>
        <w:r w:rsidR="001037E0" w:rsidRPr="001037E0">
          <w:rPr>
            <w:rStyle w:val="Hyperlink"/>
            <w:i w:val="0"/>
            <w:iCs w:val="0"/>
            <w:noProof/>
          </w:rPr>
          <w:t>Release of Market Participant’s Financial Security Requirement</w:t>
        </w:r>
        <w:r w:rsidR="001037E0" w:rsidRPr="001037E0">
          <w:rPr>
            <w:i w:val="0"/>
            <w:iCs w:val="0"/>
            <w:noProof/>
            <w:webHidden/>
          </w:rPr>
          <w:tab/>
        </w:r>
        <w:r w:rsidR="001037E0" w:rsidRPr="001037E0">
          <w:rPr>
            <w:i w:val="0"/>
            <w:iCs w:val="0"/>
            <w:noProof/>
            <w:webHidden/>
          </w:rPr>
          <w:fldChar w:fldCharType="begin"/>
        </w:r>
        <w:r w:rsidR="001037E0" w:rsidRPr="001037E0">
          <w:rPr>
            <w:i w:val="0"/>
            <w:iCs w:val="0"/>
            <w:noProof/>
            <w:webHidden/>
          </w:rPr>
          <w:instrText xml:space="preserve"> PAGEREF _Toc175159193 \h </w:instrText>
        </w:r>
        <w:r w:rsidR="001037E0" w:rsidRPr="001037E0">
          <w:rPr>
            <w:i w:val="0"/>
            <w:iCs w:val="0"/>
            <w:noProof/>
            <w:webHidden/>
          </w:rPr>
        </w:r>
        <w:r w:rsidR="001037E0" w:rsidRPr="001037E0">
          <w:rPr>
            <w:i w:val="0"/>
            <w:iCs w:val="0"/>
            <w:noProof/>
            <w:webHidden/>
          </w:rPr>
          <w:fldChar w:fldCharType="separate"/>
        </w:r>
        <w:r>
          <w:rPr>
            <w:i w:val="0"/>
            <w:iCs w:val="0"/>
            <w:noProof/>
            <w:webHidden/>
          </w:rPr>
          <w:t>16-77</w:t>
        </w:r>
        <w:r w:rsidR="001037E0" w:rsidRPr="001037E0">
          <w:rPr>
            <w:i w:val="0"/>
            <w:iCs w:val="0"/>
            <w:noProof/>
            <w:webHidden/>
          </w:rPr>
          <w:fldChar w:fldCharType="end"/>
        </w:r>
      </w:hyperlink>
    </w:p>
    <w:p w14:paraId="075DDBCB" w14:textId="709B2F81" w:rsidR="001037E0" w:rsidRPr="001037E0" w:rsidRDefault="001A683A">
      <w:pPr>
        <w:pStyle w:val="TOC3"/>
        <w:rPr>
          <w:rFonts w:eastAsiaTheme="minorEastAsia"/>
          <w:i w:val="0"/>
          <w:iCs w:val="0"/>
          <w:noProof/>
          <w:kern w:val="2"/>
          <w14:ligatures w14:val="standardContextual"/>
        </w:rPr>
      </w:pPr>
      <w:hyperlink w:anchor="_Toc175159194" w:history="1">
        <w:r w:rsidR="001037E0" w:rsidRPr="001037E0">
          <w:rPr>
            <w:rStyle w:val="Hyperlink"/>
            <w:i w:val="0"/>
            <w:iCs w:val="0"/>
            <w:noProof/>
          </w:rPr>
          <w:t>16.11.8</w:t>
        </w:r>
        <w:r w:rsidR="001037E0" w:rsidRPr="001037E0">
          <w:rPr>
            <w:rFonts w:eastAsiaTheme="minorEastAsia"/>
            <w:i w:val="0"/>
            <w:iCs w:val="0"/>
            <w:noProof/>
            <w:kern w:val="2"/>
            <w14:ligatures w14:val="standardContextual"/>
          </w:rPr>
          <w:tab/>
        </w:r>
        <w:r w:rsidR="001037E0" w:rsidRPr="001037E0">
          <w:rPr>
            <w:rStyle w:val="Hyperlink"/>
            <w:i w:val="0"/>
            <w:iCs w:val="0"/>
            <w:noProof/>
          </w:rPr>
          <w:t>Acceleration</w:t>
        </w:r>
        <w:r w:rsidR="001037E0" w:rsidRPr="001037E0">
          <w:rPr>
            <w:i w:val="0"/>
            <w:iCs w:val="0"/>
            <w:noProof/>
            <w:webHidden/>
          </w:rPr>
          <w:tab/>
        </w:r>
        <w:r w:rsidR="001037E0" w:rsidRPr="001037E0">
          <w:rPr>
            <w:i w:val="0"/>
            <w:iCs w:val="0"/>
            <w:noProof/>
            <w:webHidden/>
          </w:rPr>
          <w:fldChar w:fldCharType="begin"/>
        </w:r>
        <w:r w:rsidR="001037E0" w:rsidRPr="001037E0">
          <w:rPr>
            <w:i w:val="0"/>
            <w:iCs w:val="0"/>
            <w:noProof/>
            <w:webHidden/>
          </w:rPr>
          <w:instrText xml:space="preserve"> PAGEREF _Toc175159194 \h </w:instrText>
        </w:r>
        <w:r w:rsidR="001037E0" w:rsidRPr="001037E0">
          <w:rPr>
            <w:i w:val="0"/>
            <w:iCs w:val="0"/>
            <w:noProof/>
            <w:webHidden/>
          </w:rPr>
        </w:r>
        <w:r w:rsidR="001037E0" w:rsidRPr="001037E0">
          <w:rPr>
            <w:i w:val="0"/>
            <w:iCs w:val="0"/>
            <w:noProof/>
            <w:webHidden/>
          </w:rPr>
          <w:fldChar w:fldCharType="separate"/>
        </w:r>
        <w:r>
          <w:rPr>
            <w:i w:val="0"/>
            <w:iCs w:val="0"/>
            <w:noProof/>
            <w:webHidden/>
          </w:rPr>
          <w:t>16-78</w:t>
        </w:r>
        <w:r w:rsidR="001037E0" w:rsidRPr="001037E0">
          <w:rPr>
            <w:i w:val="0"/>
            <w:iCs w:val="0"/>
            <w:noProof/>
            <w:webHidden/>
          </w:rPr>
          <w:fldChar w:fldCharType="end"/>
        </w:r>
      </w:hyperlink>
    </w:p>
    <w:p w14:paraId="36C5ACF3" w14:textId="75C892E8" w:rsidR="001037E0" w:rsidRPr="001037E0" w:rsidRDefault="001A683A">
      <w:pPr>
        <w:pStyle w:val="TOC2"/>
        <w:rPr>
          <w:rFonts w:eastAsiaTheme="minorEastAsia"/>
          <w:kern w:val="2"/>
          <w14:ligatures w14:val="standardContextual"/>
        </w:rPr>
      </w:pPr>
      <w:hyperlink w:anchor="_Toc175159195" w:history="1">
        <w:r w:rsidR="001037E0" w:rsidRPr="001037E0">
          <w:rPr>
            <w:rStyle w:val="Hyperlink"/>
          </w:rPr>
          <w:t>16.12</w:t>
        </w:r>
        <w:r w:rsidR="001037E0" w:rsidRPr="001037E0">
          <w:rPr>
            <w:rFonts w:eastAsiaTheme="minorEastAsia"/>
            <w:kern w:val="2"/>
            <w14:ligatures w14:val="standardContextual"/>
          </w:rPr>
          <w:tab/>
        </w:r>
        <w:r w:rsidR="001037E0" w:rsidRPr="001037E0">
          <w:rPr>
            <w:rStyle w:val="Hyperlink"/>
          </w:rPr>
          <w:t>User Security Administrator and Digital Certificates</w:t>
        </w:r>
        <w:r w:rsidR="001037E0" w:rsidRPr="001037E0">
          <w:rPr>
            <w:webHidden/>
          </w:rPr>
          <w:tab/>
        </w:r>
        <w:r w:rsidR="001037E0" w:rsidRPr="001037E0">
          <w:rPr>
            <w:webHidden/>
          </w:rPr>
          <w:fldChar w:fldCharType="begin"/>
        </w:r>
        <w:r w:rsidR="001037E0" w:rsidRPr="001037E0">
          <w:rPr>
            <w:webHidden/>
          </w:rPr>
          <w:instrText xml:space="preserve"> PAGEREF _Toc175159195 \h </w:instrText>
        </w:r>
        <w:r w:rsidR="001037E0" w:rsidRPr="001037E0">
          <w:rPr>
            <w:webHidden/>
          </w:rPr>
        </w:r>
        <w:r w:rsidR="001037E0" w:rsidRPr="001037E0">
          <w:rPr>
            <w:webHidden/>
          </w:rPr>
          <w:fldChar w:fldCharType="separate"/>
        </w:r>
        <w:r>
          <w:rPr>
            <w:webHidden/>
          </w:rPr>
          <w:t>16-79</w:t>
        </w:r>
        <w:r w:rsidR="001037E0" w:rsidRPr="001037E0">
          <w:rPr>
            <w:webHidden/>
          </w:rPr>
          <w:fldChar w:fldCharType="end"/>
        </w:r>
      </w:hyperlink>
    </w:p>
    <w:p w14:paraId="5888B494" w14:textId="7D04A11C" w:rsidR="001037E0" w:rsidRPr="001037E0" w:rsidRDefault="001A683A">
      <w:pPr>
        <w:pStyle w:val="TOC3"/>
        <w:rPr>
          <w:rFonts w:eastAsiaTheme="minorEastAsia"/>
          <w:i w:val="0"/>
          <w:iCs w:val="0"/>
          <w:noProof/>
          <w:kern w:val="2"/>
          <w14:ligatures w14:val="standardContextual"/>
        </w:rPr>
      </w:pPr>
      <w:hyperlink w:anchor="_Toc175159196" w:history="1">
        <w:r w:rsidR="001037E0" w:rsidRPr="001037E0">
          <w:rPr>
            <w:rStyle w:val="Hyperlink"/>
            <w:i w:val="0"/>
            <w:iCs w:val="0"/>
            <w:noProof/>
          </w:rPr>
          <w:t>16.12.1</w:t>
        </w:r>
        <w:r w:rsidR="001037E0" w:rsidRPr="001037E0">
          <w:rPr>
            <w:rFonts w:eastAsiaTheme="minorEastAsia"/>
            <w:i w:val="0"/>
            <w:iCs w:val="0"/>
            <w:noProof/>
            <w:kern w:val="2"/>
            <w14:ligatures w14:val="standardContextual"/>
          </w:rPr>
          <w:tab/>
        </w:r>
        <w:r w:rsidR="001037E0" w:rsidRPr="001037E0">
          <w:rPr>
            <w:rStyle w:val="Hyperlink"/>
            <w:i w:val="0"/>
            <w:iCs w:val="0"/>
            <w:noProof/>
          </w:rPr>
          <w:t>USA Responsibilities and Qualifications for Digital Certificate Holders</w:t>
        </w:r>
        <w:r w:rsidR="001037E0" w:rsidRPr="001037E0">
          <w:rPr>
            <w:i w:val="0"/>
            <w:iCs w:val="0"/>
            <w:noProof/>
            <w:webHidden/>
          </w:rPr>
          <w:tab/>
        </w:r>
        <w:r w:rsidR="001037E0" w:rsidRPr="001037E0">
          <w:rPr>
            <w:i w:val="0"/>
            <w:iCs w:val="0"/>
            <w:noProof/>
            <w:webHidden/>
          </w:rPr>
          <w:fldChar w:fldCharType="begin"/>
        </w:r>
        <w:r w:rsidR="001037E0" w:rsidRPr="001037E0">
          <w:rPr>
            <w:i w:val="0"/>
            <w:iCs w:val="0"/>
            <w:noProof/>
            <w:webHidden/>
          </w:rPr>
          <w:instrText xml:space="preserve"> PAGEREF _Toc175159196 \h </w:instrText>
        </w:r>
        <w:r w:rsidR="001037E0" w:rsidRPr="001037E0">
          <w:rPr>
            <w:i w:val="0"/>
            <w:iCs w:val="0"/>
            <w:noProof/>
            <w:webHidden/>
          </w:rPr>
        </w:r>
        <w:r w:rsidR="001037E0" w:rsidRPr="001037E0">
          <w:rPr>
            <w:i w:val="0"/>
            <w:iCs w:val="0"/>
            <w:noProof/>
            <w:webHidden/>
          </w:rPr>
          <w:fldChar w:fldCharType="separate"/>
        </w:r>
        <w:r>
          <w:rPr>
            <w:i w:val="0"/>
            <w:iCs w:val="0"/>
            <w:noProof/>
            <w:webHidden/>
          </w:rPr>
          <w:t>16-80</w:t>
        </w:r>
        <w:r w:rsidR="001037E0" w:rsidRPr="001037E0">
          <w:rPr>
            <w:i w:val="0"/>
            <w:iCs w:val="0"/>
            <w:noProof/>
            <w:webHidden/>
          </w:rPr>
          <w:fldChar w:fldCharType="end"/>
        </w:r>
      </w:hyperlink>
    </w:p>
    <w:p w14:paraId="0F84647D" w14:textId="45F5976D" w:rsidR="001037E0" w:rsidRPr="001037E0" w:rsidRDefault="001A683A">
      <w:pPr>
        <w:pStyle w:val="TOC3"/>
        <w:rPr>
          <w:rFonts w:eastAsiaTheme="minorEastAsia"/>
          <w:i w:val="0"/>
          <w:iCs w:val="0"/>
          <w:noProof/>
          <w:kern w:val="2"/>
          <w14:ligatures w14:val="standardContextual"/>
        </w:rPr>
      </w:pPr>
      <w:hyperlink w:anchor="_Toc175159197" w:history="1">
        <w:r w:rsidR="001037E0" w:rsidRPr="001037E0">
          <w:rPr>
            <w:rStyle w:val="Hyperlink"/>
            <w:i w:val="0"/>
            <w:iCs w:val="0"/>
            <w:noProof/>
          </w:rPr>
          <w:t>16.12.2</w:t>
        </w:r>
        <w:r w:rsidR="001037E0" w:rsidRPr="001037E0">
          <w:rPr>
            <w:rFonts w:eastAsiaTheme="minorEastAsia"/>
            <w:i w:val="0"/>
            <w:iCs w:val="0"/>
            <w:noProof/>
            <w:kern w:val="2"/>
            <w14:ligatures w14:val="standardContextual"/>
          </w:rPr>
          <w:tab/>
        </w:r>
        <w:r w:rsidR="001037E0" w:rsidRPr="001037E0">
          <w:rPr>
            <w:rStyle w:val="Hyperlink"/>
            <w:i w:val="0"/>
            <w:iCs w:val="0"/>
            <w:noProof/>
          </w:rPr>
          <w:t>Requirements for Use of Digital Certificates</w:t>
        </w:r>
        <w:r w:rsidR="001037E0" w:rsidRPr="001037E0">
          <w:rPr>
            <w:i w:val="0"/>
            <w:iCs w:val="0"/>
            <w:noProof/>
            <w:webHidden/>
          </w:rPr>
          <w:tab/>
        </w:r>
        <w:r w:rsidR="001037E0" w:rsidRPr="001037E0">
          <w:rPr>
            <w:i w:val="0"/>
            <w:iCs w:val="0"/>
            <w:noProof/>
            <w:webHidden/>
          </w:rPr>
          <w:fldChar w:fldCharType="begin"/>
        </w:r>
        <w:r w:rsidR="001037E0" w:rsidRPr="001037E0">
          <w:rPr>
            <w:i w:val="0"/>
            <w:iCs w:val="0"/>
            <w:noProof/>
            <w:webHidden/>
          </w:rPr>
          <w:instrText xml:space="preserve"> PAGEREF _Toc175159197 \h </w:instrText>
        </w:r>
        <w:r w:rsidR="001037E0" w:rsidRPr="001037E0">
          <w:rPr>
            <w:i w:val="0"/>
            <w:iCs w:val="0"/>
            <w:noProof/>
            <w:webHidden/>
          </w:rPr>
        </w:r>
        <w:r w:rsidR="001037E0" w:rsidRPr="001037E0">
          <w:rPr>
            <w:i w:val="0"/>
            <w:iCs w:val="0"/>
            <w:noProof/>
            <w:webHidden/>
          </w:rPr>
          <w:fldChar w:fldCharType="separate"/>
        </w:r>
        <w:r>
          <w:rPr>
            <w:i w:val="0"/>
            <w:iCs w:val="0"/>
            <w:noProof/>
            <w:webHidden/>
          </w:rPr>
          <w:t>16-82</w:t>
        </w:r>
        <w:r w:rsidR="001037E0" w:rsidRPr="001037E0">
          <w:rPr>
            <w:i w:val="0"/>
            <w:iCs w:val="0"/>
            <w:noProof/>
            <w:webHidden/>
          </w:rPr>
          <w:fldChar w:fldCharType="end"/>
        </w:r>
      </w:hyperlink>
    </w:p>
    <w:p w14:paraId="650FD744" w14:textId="26ADF5B0" w:rsidR="001037E0" w:rsidRPr="001037E0" w:rsidRDefault="001A683A">
      <w:pPr>
        <w:pStyle w:val="TOC3"/>
        <w:rPr>
          <w:rFonts w:eastAsiaTheme="minorEastAsia"/>
          <w:i w:val="0"/>
          <w:iCs w:val="0"/>
          <w:noProof/>
          <w:kern w:val="2"/>
          <w14:ligatures w14:val="standardContextual"/>
        </w:rPr>
      </w:pPr>
      <w:hyperlink w:anchor="_Toc175159198" w:history="1">
        <w:r w:rsidR="001037E0" w:rsidRPr="001037E0">
          <w:rPr>
            <w:rStyle w:val="Hyperlink"/>
            <w:i w:val="0"/>
            <w:iCs w:val="0"/>
            <w:noProof/>
          </w:rPr>
          <w:t>16.12.3</w:t>
        </w:r>
        <w:r w:rsidR="001037E0" w:rsidRPr="001037E0">
          <w:rPr>
            <w:rFonts w:eastAsiaTheme="minorEastAsia"/>
            <w:i w:val="0"/>
            <w:iCs w:val="0"/>
            <w:noProof/>
            <w:kern w:val="2"/>
            <w14:ligatures w14:val="standardContextual"/>
          </w:rPr>
          <w:tab/>
        </w:r>
        <w:r w:rsidR="001037E0" w:rsidRPr="001037E0">
          <w:rPr>
            <w:rStyle w:val="Hyperlink"/>
            <w:i w:val="0"/>
            <w:iCs w:val="0"/>
            <w:noProof/>
          </w:rPr>
          <w:t>Market Participant Audits of User Security Administrators and Digital Certificates</w:t>
        </w:r>
        <w:r w:rsidR="001037E0" w:rsidRPr="001037E0">
          <w:rPr>
            <w:i w:val="0"/>
            <w:iCs w:val="0"/>
            <w:noProof/>
            <w:webHidden/>
          </w:rPr>
          <w:tab/>
        </w:r>
        <w:r w:rsidR="001037E0" w:rsidRPr="001037E0">
          <w:rPr>
            <w:i w:val="0"/>
            <w:iCs w:val="0"/>
            <w:noProof/>
            <w:webHidden/>
          </w:rPr>
          <w:fldChar w:fldCharType="begin"/>
        </w:r>
        <w:r w:rsidR="001037E0" w:rsidRPr="001037E0">
          <w:rPr>
            <w:i w:val="0"/>
            <w:iCs w:val="0"/>
            <w:noProof/>
            <w:webHidden/>
          </w:rPr>
          <w:instrText xml:space="preserve"> PAGEREF _Toc175159198 \h </w:instrText>
        </w:r>
        <w:r w:rsidR="001037E0" w:rsidRPr="001037E0">
          <w:rPr>
            <w:i w:val="0"/>
            <w:iCs w:val="0"/>
            <w:noProof/>
            <w:webHidden/>
          </w:rPr>
        </w:r>
        <w:r w:rsidR="001037E0" w:rsidRPr="001037E0">
          <w:rPr>
            <w:i w:val="0"/>
            <w:iCs w:val="0"/>
            <w:noProof/>
            <w:webHidden/>
          </w:rPr>
          <w:fldChar w:fldCharType="separate"/>
        </w:r>
        <w:r>
          <w:rPr>
            <w:i w:val="0"/>
            <w:iCs w:val="0"/>
            <w:noProof/>
            <w:webHidden/>
          </w:rPr>
          <w:t>16-82</w:t>
        </w:r>
        <w:r w:rsidR="001037E0" w:rsidRPr="001037E0">
          <w:rPr>
            <w:i w:val="0"/>
            <w:iCs w:val="0"/>
            <w:noProof/>
            <w:webHidden/>
          </w:rPr>
          <w:fldChar w:fldCharType="end"/>
        </w:r>
      </w:hyperlink>
    </w:p>
    <w:p w14:paraId="2BC22CF6" w14:textId="098E086C" w:rsidR="001037E0" w:rsidRPr="001037E0" w:rsidRDefault="001A683A">
      <w:pPr>
        <w:pStyle w:val="TOC2"/>
        <w:rPr>
          <w:rFonts w:eastAsiaTheme="minorEastAsia"/>
          <w:kern w:val="2"/>
          <w14:ligatures w14:val="standardContextual"/>
        </w:rPr>
      </w:pPr>
      <w:hyperlink w:anchor="_Toc175159199" w:history="1">
        <w:r w:rsidR="001037E0" w:rsidRPr="001037E0">
          <w:rPr>
            <w:rStyle w:val="Hyperlink"/>
          </w:rPr>
          <w:t>16.13</w:t>
        </w:r>
        <w:r w:rsidR="001037E0" w:rsidRPr="001037E0">
          <w:rPr>
            <w:rFonts w:eastAsiaTheme="minorEastAsia"/>
            <w:kern w:val="2"/>
            <w14:ligatures w14:val="standardContextual"/>
          </w:rPr>
          <w:tab/>
        </w:r>
        <w:r w:rsidR="001037E0" w:rsidRPr="001037E0">
          <w:rPr>
            <w:rStyle w:val="Hyperlink"/>
          </w:rPr>
          <w:t>Registration of Emergency Response Service Resources</w:t>
        </w:r>
        <w:r w:rsidR="001037E0" w:rsidRPr="001037E0">
          <w:rPr>
            <w:webHidden/>
          </w:rPr>
          <w:tab/>
        </w:r>
        <w:r w:rsidR="001037E0" w:rsidRPr="001037E0">
          <w:rPr>
            <w:webHidden/>
          </w:rPr>
          <w:fldChar w:fldCharType="begin"/>
        </w:r>
        <w:r w:rsidR="001037E0" w:rsidRPr="001037E0">
          <w:rPr>
            <w:webHidden/>
          </w:rPr>
          <w:instrText xml:space="preserve"> PAGEREF _Toc175159199 \h </w:instrText>
        </w:r>
        <w:r w:rsidR="001037E0" w:rsidRPr="001037E0">
          <w:rPr>
            <w:webHidden/>
          </w:rPr>
        </w:r>
        <w:r w:rsidR="001037E0" w:rsidRPr="001037E0">
          <w:rPr>
            <w:webHidden/>
          </w:rPr>
          <w:fldChar w:fldCharType="separate"/>
        </w:r>
        <w:r>
          <w:rPr>
            <w:webHidden/>
          </w:rPr>
          <w:t>16-84</w:t>
        </w:r>
        <w:r w:rsidR="001037E0" w:rsidRPr="001037E0">
          <w:rPr>
            <w:webHidden/>
          </w:rPr>
          <w:fldChar w:fldCharType="end"/>
        </w:r>
      </w:hyperlink>
    </w:p>
    <w:p w14:paraId="5343AA5D" w14:textId="4A6291BF" w:rsidR="001037E0" w:rsidRPr="001037E0" w:rsidRDefault="001A683A">
      <w:pPr>
        <w:pStyle w:val="TOC2"/>
        <w:rPr>
          <w:rFonts w:eastAsiaTheme="minorEastAsia"/>
          <w:kern w:val="2"/>
          <w14:ligatures w14:val="standardContextual"/>
        </w:rPr>
      </w:pPr>
      <w:hyperlink w:anchor="_Toc175159200" w:history="1">
        <w:r w:rsidR="001037E0" w:rsidRPr="001037E0">
          <w:rPr>
            <w:rStyle w:val="Hyperlink"/>
          </w:rPr>
          <w:t>16.14</w:t>
        </w:r>
        <w:r w:rsidR="001037E0" w:rsidRPr="001037E0">
          <w:rPr>
            <w:rFonts w:eastAsiaTheme="minorEastAsia"/>
            <w:kern w:val="2"/>
            <w14:ligatures w14:val="standardContextual"/>
          </w:rPr>
          <w:tab/>
        </w:r>
        <w:r w:rsidR="001037E0" w:rsidRPr="001037E0">
          <w:rPr>
            <w:rStyle w:val="Hyperlink"/>
          </w:rPr>
          <w:t>Termination of Access Privileges to Restricted Computer Systems and Control Systems</w:t>
        </w:r>
        <w:r w:rsidR="001037E0" w:rsidRPr="001037E0">
          <w:rPr>
            <w:webHidden/>
          </w:rPr>
          <w:tab/>
        </w:r>
        <w:r w:rsidR="001037E0" w:rsidRPr="001037E0">
          <w:rPr>
            <w:webHidden/>
          </w:rPr>
          <w:fldChar w:fldCharType="begin"/>
        </w:r>
        <w:r w:rsidR="001037E0" w:rsidRPr="001037E0">
          <w:rPr>
            <w:webHidden/>
          </w:rPr>
          <w:instrText xml:space="preserve"> PAGEREF _Toc175159200 \h </w:instrText>
        </w:r>
        <w:r w:rsidR="001037E0" w:rsidRPr="001037E0">
          <w:rPr>
            <w:webHidden/>
          </w:rPr>
        </w:r>
        <w:r w:rsidR="001037E0" w:rsidRPr="001037E0">
          <w:rPr>
            <w:webHidden/>
          </w:rPr>
          <w:fldChar w:fldCharType="separate"/>
        </w:r>
        <w:r>
          <w:rPr>
            <w:webHidden/>
          </w:rPr>
          <w:t>16-84</w:t>
        </w:r>
        <w:r w:rsidR="001037E0" w:rsidRPr="001037E0">
          <w:rPr>
            <w:webHidden/>
          </w:rPr>
          <w:fldChar w:fldCharType="end"/>
        </w:r>
      </w:hyperlink>
    </w:p>
    <w:p w14:paraId="65EB992F" w14:textId="56B0A241" w:rsidR="001037E0" w:rsidRPr="001037E0" w:rsidRDefault="001A683A">
      <w:pPr>
        <w:pStyle w:val="TOC2"/>
        <w:rPr>
          <w:rFonts w:eastAsiaTheme="minorEastAsia"/>
          <w:kern w:val="2"/>
          <w14:ligatures w14:val="standardContextual"/>
        </w:rPr>
      </w:pPr>
      <w:hyperlink w:anchor="_Toc175159201" w:history="1">
        <w:r w:rsidR="001037E0" w:rsidRPr="001037E0">
          <w:rPr>
            <w:rStyle w:val="Hyperlink"/>
          </w:rPr>
          <w:t>16.15</w:t>
        </w:r>
        <w:r w:rsidR="001037E0" w:rsidRPr="001037E0">
          <w:rPr>
            <w:rFonts w:eastAsiaTheme="minorEastAsia"/>
            <w:kern w:val="2"/>
            <w14:ligatures w14:val="standardContextual"/>
          </w:rPr>
          <w:tab/>
        </w:r>
        <w:r w:rsidR="001037E0" w:rsidRPr="001037E0">
          <w:rPr>
            <w:rStyle w:val="Hyperlink"/>
          </w:rPr>
          <w:t>Registration of Independent Market Information System Registered Entity</w:t>
        </w:r>
        <w:r w:rsidR="001037E0" w:rsidRPr="001037E0">
          <w:rPr>
            <w:webHidden/>
          </w:rPr>
          <w:tab/>
        </w:r>
        <w:r w:rsidR="001037E0" w:rsidRPr="001037E0">
          <w:rPr>
            <w:webHidden/>
          </w:rPr>
          <w:fldChar w:fldCharType="begin"/>
        </w:r>
        <w:r w:rsidR="001037E0" w:rsidRPr="001037E0">
          <w:rPr>
            <w:webHidden/>
          </w:rPr>
          <w:instrText xml:space="preserve"> PAGEREF _Toc175159201 \h </w:instrText>
        </w:r>
        <w:r w:rsidR="001037E0" w:rsidRPr="001037E0">
          <w:rPr>
            <w:webHidden/>
          </w:rPr>
        </w:r>
        <w:r w:rsidR="001037E0" w:rsidRPr="001037E0">
          <w:rPr>
            <w:webHidden/>
          </w:rPr>
          <w:fldChar w:fldCharType="separate"/>
        </w:r>
        <w:r>
          <w:rPr>
            <w:webHidden/>
          </w:rPr>
          <w:t>16-85</w:t>
        </w:r>
        <w:r w:rsidR="001037E0" w:rsidRPr="001037E0">
          <w:rPr>
            <w:webHidden/>
          </w:rPr>
          <w:fldChar w:fldCharType="end"/>
        </w:r>
      </w:hyperlink>
    </w:p>
    <w:p w14:paraId="1A609364" w14:textId="0576F4EA" w:rsidR="001037E0" w:rsidRPr="001037E0" w:rsidRDefault="001A683A">
      <w:pPr>
        <w:pStyle w:val="TOC2"/>
        <w:rPr>
          <w:rFonts w:eastAsiaTheme="minorEastAsia"/>
          <w:kern w:val="2"/>
          <w14:ligatures w14:val="standardContextual"/>
        </w:rPr>
      </w:pPr>
      <w:hyperlink w:anchor="_Toc175159202" w:history="1">
        <w:r w:rsidR="001037E0" w:rsidRPr="001037E0">
          <w:rPr>
            <w:rStyle w:val="Hyperlink"/>
          </w:rPr>
          <w:t>16.16</w:t>
        </w:r>
        <w:r w:rsidR="001037E0" w:rsidRPr="001037E0">
          <w:rPr>
            <w:rFonts w:eastAsiaTheme="minorEastAsia"/>
            <w:kern w:val="2"/>
            <w14:ligatures w14:val="standardContextual"/>
          </w:rPr>
          <w:tab/>
        </w:r>
        <w:r w:rsidR="001037E0" w:rsidRPr="001037E0">
          <w:rPr>
            <w:rStyle w:val="Hyperlink"/>
          </w:rPr>
          <w:t>Additional Counter-Party Qualification Requirements</w:t>
        </w:r>
        <w:r w:rsidR="001037E0" w:rsidRPr="001037E0">
          <w:rPr>
            <w:webHidden/>
          </w:rPr>
          <w:tab/>
        </w:r>
        <w:r w:rsidR="001037E0" w:rsidRPr="001037E0">
          <w:rPr>
            <w:webHidden/>
          </w:rPr>
          <w:fldChar w:fldCharType="begin"/>
        </w:r>
        <w:r w:rsidR="001037E0" w:rsidRPr="001037E0">
          <w:rPr>
            <w:webHidden/>
          </w:rPr>
          <w:instrText xml:space="preserve"> PAGEREF _Toc175159202 \h </w:instrText>
        </w:r>
        <w:r w:rsidR="001037E0" w:rsidRPr="001037E0">
          <w:rPr>
            <w:webHidden/>
          </w:rPr>
        </w:r>
        <w:r w:rsidR="001037E0" w:rsidRPr="001037E0">
          <w:rPr>
            <w:webHidden/>
          </w:rPr>
          <w:fldChar w:fldCharType="separate"/>
        </w:r>
        <w:r>
          <w:rPr>
            <w:webHidden/>
          </w:rPr>
          <w:t>16-86</w:t>
        </w:r>
        <w:r w:rsidR="001037E0" w:rsidRPr="001037E0">
          <w:rPr>
            <w:webHidden/>
          </w:rPr>
          <w:fldChar w:fldCharType="end"/>
        </w:r>
      </w:hyperlink>
    </w:p>
    <w:p w14:paraId="06032BB6" w14:textId="51C06614" w:rsidR="001037E0" w:rsidRPr="001037E0" w:rsidRDefault="001A683A">
      <w:pPr>
        <w:pStyle w:val="TOC3"/>
        <w:rPr>
          <w:rFonts w:eastAsiaTheme="minorEastAsia"/>
          <w:i w:val="0"/>
          <w:iCs w:val="0"/>
          <w:noProof/>
          <w:kern w:val="2"/>
          <w14:ligatures w14:val="standardContextual"/>
        </w:rPr>
      </w:pPr>
      <w:hyperlink w:anchor="_Toc175159203" w:history="1">
        <w:r w:rsidR="001037E0" w:rsidRPr="001037E0">
          <w:rPr>
            <w:rStyle w:val="Hyperlink"/>
            <w:i w:val="0"/>
            <w:iCs w:val="0"/>
            <w:noProof/>
          </w:rPr>
          <w:t>16.16.1</w:t>
        </w:r>
        <w:r w:rsidR="001037E0" w:rsidRPr="001037E0">
          <w:rPr>
            <w:rFonts w:eastAsiaTheme="minorEastAsia"/>
            <w:i w:val="0"/>
            <w:iCs w:val="0"/>
            <w:noProof/>
            <w:kern w:val="2"/>
            <w14:ligatures w14:val="standardContextual"/>
          </w:rPr>
          <w:tab/>
        </w:r>
        <w:r w:rsidR="001037E0" w:rsidRPr="001037E0">
          <w:rPr>
            <w:rStyle w:val="Hyperlink"/>
            <w:i w:val="0"/>
            <w:iCs w:val="0"/>
            <w:noProof/>
          </w:rPr>
          <w:t>Counter-Party Criteria</w:t>
        </w:r>
        <w:r w:rsidR="001037E0" w:rsidRPr="001037E0">
          <w:rPr>
            <w:i w:val="0"/>
            <w:iCs w:val="0"/>
            <w:noProof/>
            <w:webHidden/>
          </w:rPr>
          <w:tab/>
        </w:r>
        <w:r w:rsidR="001037E0" w:rsidRPr="001037E0">
          <w:rPr>
            <w:i w:val="0"/>
            <w:iCs w:val="0"/>
            <w:noProof/>
            <w:webHidden/>
          </w:rPr>
          <w:fldChar w:fldCharType="begin"/>
        </w:r>
        <w:r w:rsidR="001037E0" w:rsidRPr="001037E0">
          <w:rPr>
            <w:i w:val="0"/>
            <w:iCs w:val="0"/>
            <w:noProof/>
            <w:webHidden/>
          </w:rPr>
          <w:instrText xml:space="preserve"> PAGEREF _Toc175159203 \h </w:instrText>
        </w:r>
        <w:r w:rsidR="001037E0" w:rsidRPr="001037E0">
          <w:rPr>
            <w:i w:val="0"/>
            <w:iCs w:val="0"/>
            <w:noProof/>
            <w:webHidden/>
          </w:rPr>
        </w:r>
        <w:r w:rsidR="001037E0" w:rsidRPr="001037E0">
          <w:rPr>
            <w:i w:val="0"/>
            <w:iCs w:val="0"/>
            <w:noProof/>
            <w:webHidden/>
          </w:rPr>
          <w:fldChar w:fldCharType="separate"/>
        </w:r>
        <w:r>
          <w:rPr>
            <w:i w:val="0"/>
            <w:iCs w:val="0"/>
            <w:noProof/>
            <w:webHidden/>
          </w:rPr>
          <w:t>16-86</w:t>
        </w:r>
        <w:r w:rsidR="001037E0" w:rsidRPr="001037E0">
          <w:rPr>
            <w:i w:val="0"/>
            <w:iCs w:val="0"/>
            <w:noProof/>
            <w:webHidden/>
          </w:rPr>
          <w:fldChar w:fldCharType="end"/>
        </w:r>
      </w:hyperlink>
    </w:p>
    <w:p w14:paraId="42B0AA6D" w14:textId="0BB01A5B" w:rsidR="001037E0" w:rsidRPr="001037E0" w:rsidRDefault="001A683A">
      <w:pPr>
        <w:pStyle w:val="TOC3"/>
        <w:rPr>
          <w:rFonts w:eastAsiaTheme="minorEastAsia"/>
          <w:i w:val="0"/>
          <w:iCs w:val="0"/>
          <w:noProof/>
          <w:kern w:val="2"/>
          <w14:ligatures w14:val="standardContextual"/>
        </w:rPr>
      </w:pPr>
      <w:hyperlink w:anchor="_Toc175159204" w:history="1">
        <w:r w:rsidR="001037E0" w:rsidRPr="001037E0">
          <w:rPr>
            <w:rStyle w:val="Hyperlink"/>
            <w:i w:val="0"/>
            <w:iCs w:val="0"/>
            <w:noProof/>
          </w:rPr>
          <w:t>16.16.2</w:t>
        </w:r>
        <w:r w:rsidR="001037E0" w:rsidRPr="001037E0">
          <w:rPr>
            <w:rFonts w:eastAsiaTheme="minorEastAsia"/>
            <w:i w:val="0"/>
            <w:iCs w:val="0"/>
            <w:noProof/>
            <w:kern w:val="2"/>
            <w14:ligatures w14:val="standardContextual"/>
          </w:rPr>
          <w:tab/>
        </w:r>
        <w:r w:rsidR="001037E0" w:rsidRPr="001037E0">
          <w:rPr>
            <w:rStyle w:val="Hyperlink"/>
            <w:i w:val="0"/>
            <w:iCs w:val="0"/>
            <w:noProof/>
          </w:rPr>
          <w:t>Annual Certification</w:t>
        </w:r>
        <w:r w:rsidR="001037E0" w:rsidRPr="001037E0">
          <w:rPr>
            <w:i w:val="0"/>
            <w:iCs w:val="0"/>
            <w:noProof/>
            <w:webHidden/>
          </w:rPr>
          <w:tab/>
        </w:r>
        <w:r w:rsidR="001037E0" w:rsidRPr="001037E0">
          <w:rPr>
            <w:i w:val="0"/>
            <w:iCs w:val="0"/>
            <w:noProof/>
            <w:webHidden/>
          </w:rPr>
          <w:fldChar w:fldCharType="begin"/>
        </w:r>
        <w:r w:rsidR="001037E0" w:rsidRPr="001037E0">
          <w:rPr>
            <w:i w:val="0"/>
            <w:iCs w:val="0"/>
            <w:noProof/>
            <w:webHidden/>
          </w:rPr>
          <w:instrText xml:space="preserve"> PAGEREF _Toc175159204 \h </w:instrText>
        </w:r>
        <w:r w:rsidR="001037E0" w:rsidRPr="001037E0">
          <w:rPr>
            <w:i w:val="0"/>
            <w:iCs w:val="0"/>
            <w:noProof/>
            <w:webHidden/>
          </w:rPr>
        </w:r>
        <w:r w:rsidR="001037E0" w:rsidRPr="001037E0">
          <w:rPr>
            <w:i w:val="0"/>
            <w:iCs w:val="0"/>
            <w:noProof/>
            <w:webHidden/>
          </w:rPr>
          <w:fldChar w:fldCharType="separate"/>
        </w:r>
        <w:r>
          <w:rPr>
            <w:i w:val="0"/>
            <w:iCs w:val="0"/>
            <w:noProof/>
            <w:webHidden/>
          </w:rPr>
          <w:t>16-87</w:t>
        </w:r>
        <w:r w:rsidR="001037E0" w:rsidRPr="001037E0">
          <w:rPr>
            <w:i w:val="0"/>
            <w:iCs w:val="0"/>
            <w:noProof/>
            <w:webHidden/>
          </w:rPr>
          <w:fldChar w:fldCharType="end"/>
        </w:r>
      </w:hyperlink>
    </w:p>
    <w:p w14:paraId="0E86F21D" w14:textId="13F3C96A" w:rsidR="001037E0" w:rsidRPr="001037E0" w:rsidRDefault="001A683A">
      <w:pPr>
        <w:pStyle w:val="TOC3"/>
        <w:rPr>
          <w:rFonts w:eastAsiaTheme="minorEastAsia"/>
          <w:i w:val="0"/>
          <w:iCs w:val="0"/>
          <w:noProof/>
          <w:kern w:val="2"/>
          <w14:ligatures w14:val="standardContextual"/>
        </w:rPr>
      </w:pPr>
      <w:hyperlink w:anchor="_Toc175159205" w:history="1">
        <w:r w:rsidR="001037E0" w:rsidRPr="001037E0">
          <w:rPr>
            <w:rStyle w:val="Hyperlink"/>
            <w:i w:val="0"/>
            <w:iCs w:val="0"/>
            <w:noProof/>
          </w:rPr>
          <w:t>16.16.3</w:t>
        </w:r>
        <w:r w:rsidR="001037E0" w:rsidRPr="001037E0">
          <w:rPr>
            <w:rFonts w:eastAsiaTheme="minorEastAsia"/>
            <w:i w:val="0"/>
            <w:iCs w:val="0"/>
            <w:noProof/>
            <w:kern w:val="2"/>
            <w14:ligatures w14:val="standardContextual"/>
          </w:rPr>
          <w:tab/>
        </w:r>
        <w:r w:rsidR="001037E0" w:rsidRPr="001037E0">
          <w:rPr>
            <w:rStyle w:val="Hyperlink"/>
            <w:i w:val="0"/>
            <w:iCs w:val="0"/>
            <w:noProof/>
          </w:rPr>
          <w:t>Verification of Risk Management Framework</w:t>
        </w:r>
        <w:r w:rsidR="001037E0" w:rsidRPr="001037E0">
          <w:rPr>
            <w:i w:val="0"/>
            <w:iCs w:val="0"/>
            <w:noProof/>
            <w:webHidden/>
          </w:rPr>
          <w:tab/>
        </w:r>
        <w:r w:rsidR="001037E0" w:rsidRPr="001037E0">
          <w:rPr>
            <w:i w:val="0"/>
            <w:iCs w:val="0"/>
            <w:noProof/>
            <w:webHidden/>
          </w:rPr>
          <w:fldChar w:fldCharType="begin"/>
        </w:r>
        <w:r w:rsidR="001037E0" w:rsidRPr="001037E0">
          <w:rPr>
            <w:i w:val="0"/>
            <w:iCs w:val="0"/>
            <w:noProof/>
            <w:webHidden/>
          </w:rPr>
          <w:instrText xml:space="preserve"> PAGEREF _Toc175159205 \h </w:instrText>
        </w:r>
        <w:r w:rsidR="001037E0" w:rsidRPr="001037E0">
          <w:rPr>
            <w:i w:val="0"/>
            <w:iCs w:val="0"/>
            <w:noProof/>
            <w:webHidden/>
          </w:rPr>
        </w:r>
        <w:r w:rsidR="001037E0" w:rsidRPr="001037E0">
          <w:rPr>
            <w:i w:val="0"/>
            <w:iCs w:val="0"/>
            <w:noProof/>
            <w:webHidden/>
          </w:rPr>
          <w:fldChar w:fldCharType="separate"/>
        </w:r>
        <w:r>
          <w:rPr>
            <w:i w:val="0"/>
            <w:iCs w:val="0"/>
            <w:noProof/>
            <w:webHidden/>
          </w:rPr>
          <w:t>16-88</w:t>
        </w:r>
        <w:r w:rsidR="001037E0" w:rsidRPr="001037E0">
          <w:rPr>
            <w:i w:val="0"/>
            <w:iCs w:val="0"/>
            <w:noProof/>
            <w:webHidden/>
          </w:rPr>
          <w:fldChar w:fldCharType="end"/>
        </w:r>
      </w:hyperlink>
    </w:p>
    <w:p w14:paraId="6A030631" w14:textId="260FE28B" w:rsidR="001037E0" w:rsidRPr="001037E0" w:rsidRDefault="001A683A">
      <w:pPr>
        <w:pStyle w:val="TOC2"/>
        <w:rPr>
          <w:rFonts w:eastAsiaTheme="minorEastAsia"/>
          <w:kern w:val="2"/>
          <w14:ligatures w14:val="standardContextual"/>
        </w:rPr>
      </w:pPr>
      <w:hyperlink w:anchor="_Toc175159206" w:history="1">
        <w:r w:rsidR="001037E0" w:rsidRPr="001037E0">
          <w:rPr>
            <w:rStyle w:val="Hyperlink"/>
          </w:rPr>
          <w:t>16.17</w:t>
        </w:r>
        <w:r w:rsidR="001037E0" w:rsidRPr="001037E0">
          <w:rPr>
            <w:rFonts w:eastAsiaTheme="minorEastAsia"/>
            <w:kern w:val="2"/>
            <w14:ligatures w14:val="standardContextual"/>
          </w:rPr>
          <w:tab/>
        </w:r>
        <w:r w:rsidR="001037E0" w:rsidRPr="001037E0">
          <w:rPr>
            <w:rStyle w:val="Hyperlink"/>
          </w:rPr>
          <w:t>Exemption for Qualified Scheduling Entities Participating Only in Emergency Response Service</w:t>
        </w:r>
        <w:r w:rsidR="001037E0" w:rsidRPr="001037E0">
          <w:rPr>
            <w:webHidden/>
          </w:rPr>
          <w:tab/>
        </w:r>
        <w:r w:rsidR="001037E0" w:rsidRPr="001037E0">
          <w:rPr>
            <w:webHidden/>
          </w:rPr>
          <w:fldChar w:fldCharType="begin"/>
        </w:r>
        <w:r w:rsidR="001037E0" w:rsidRPr="001037E0">
          <w:rPr>
            <w:webHidden/>
          </w:rPr>
          <w:instrText xml:space="preserve"> PAGEREF _Toc175159206 \h </w:instrText>
        </w:r>
        <w:r w:rsidR="001037E0" w:rsidRPr="001037E0">
          <w:rPr>
            <w:webHidden/>
          </w:rPr>
        </w:r>
        <w:r w:rsidR="001037E0" w:rsidRPr="001037E0">
          <w:rPr>
            <w:webHidden/>
          </w:rPr>
          <w:fldChar w:fldCharType="separate"/>
        </w:r>
        <w:r>
          <w:rPr>
            <w:webHidden/>
          </w:rPr>
          <w:t>16-90</w:t>
        </w:r>
        <w:r w:rsidR="001037E0" w:rsidRPr="001037E0">
          <w:rPr>
            <w:webHidden/>
          </w:rPr>
          <w:fldChar w:fldCharType="end"/>
        </w:r>
      </w:hyperlink>
    </w:p>
    <w:p w14:paraId="111186D5" w14:textId="08510502" w:rsidR="001037E0" w:rsidRPr="001037E0" w:rsidRDefault="001A683A">
      <w:pPr>
        <w:pStyle w:val="TOC2"/>
        <w:rPr>
          <w:rFonts w:eastAsiaTheme="minorEastAsia"/>
          <w:kern w:val="2"/>
          <w14:ligatures w14:val="standardContextual"/>
        </w:rPr>
      </w:pPr>
      <w:hyperlink w:anchor="_Toc175159207" w:history="1">
        <w:r w:rsidR="001037E0" w:rsidRPr="001037E0">
          <w:rPr>
            <w:rStyle w:val="Hyperlink"/>
          </w:rPr>
          <w:t>16.18</w:t>
        </w:r>
        <w:r w:rsidR="001037E0" w:rsidRPr="001037E0">
          <w:rPr>
            <w:rFonts w:eastAsiaTheme="minorEastAsia"/>
            <w:kern w:val="2"/>
            <w14:ligatures w14:val="standardContextual"/>
          </w:rPr>
          <w:tab/>
        </w:r>
        <w:r w:rsidR="001037E0" w:rsidRPr="001037E0">
          <w:rPr>
            <w:rStyle w:val="Hyperlink"/>
          </w:rPr>
          <w:t>Registration of a Direct Current Tie Operator</w:t>
        </w:r>
        <w:r w:rsidR="001037E0" w:rsidRPr="001037E0">
          <w:rPr>
            <w:webHidden/>
          </w:rPr>
          <w:tab/>
        </w:r>
        <w:r w:rsidR="001037E0" w:rsidRPr="001037E0">
          <w:rPr>
            <w:webHidden/>
          </w:rPr>
          <w:fldChar w:fldCharType="begin"/>
        </w:r>
        <w:r w:rsidR="001037E0" w:rsidRPr="001037E0">
          <w:rPr>
            <w:webHidden/>
          </w:rPr>
          <w:instrText xml:space="preserve"> PAGEREF _Toc175159207 \h </w:instrText>
        </w:r>
        <w:r w:rsidR="001037E0" w:rsidRPr="001037E0">
          <w:rPr>
            <w:webHidden/>
          </w:rPr>
        </w:r>
        <w:r w:rsidR="001037E0" w:rsidRPr="001037E0">
          <w:rPr>
            <w:webHidden/>
          </w:rPr>
          <w:fldChar w:fldCharType="separate"/>
        </w:r>
        <w:r>
          <w:rPr>
            <w:webHidden/>
          </w:rPr>
          <w:t>16-91</w:t>
        </w:r>
        <w:r w:rsidR="001037E0" w:rsidRPr="001037E0">
          <w:rPr>
            <w:webHidden/>
          </w:rPr>
          <w:fldChar w:fldCharType="end"/>
        </w:r>
      </w:hyperlink>
    </w:p>
    <w:p w14:paraId="694B0D74" w14:textId="5FC405D6" w:rsidR="001037E0" w:rsidRPr="001037E0" w:rsidRDefault="001A683A">
      <w:pPr>
        <w:pStyle w:val="TOC2"/>
        <w:rPr>
          <w:rFonts w:eastAsiaTheme="minorEastAsia"/>
          <w:kern w:val="2"/>
          <w14:ligatures w14:val="standardContextual"/>
        </w:rPr>
      </w:pPr>
      <w:hyperlink w:anchor="_Toc175159209" w:history="1">
        <w:r w:rsidR="001037E0" w:rsidRPr="001037E0">
          <w:rPr>
            <w:rStyle w:val="Hyperlink"/>
            <w:snapToGrid w:val="0"/>
          </w:rPr>
          <w:t>16.19</w:t>
        </w:r>
        <w:r w:rsidR="001037E0" w:rsidRPr="001037E0">
          <w:rPr>
            <w:rFonts w:eastAsiaTheme="minorEastAsia"/>
            <w:kern w:val="2"/>
            <w14:ligatures w14:val="standardContextual"/>
          </w:rPr>
          <w:tab/>
        </w:r>
        <w:r w:rsidR="001037E0" w:rsidRPr="001037E0">
          <w:rPr>
            <w:rStyle w:val="Hyperlink"/>
          </w:rPr>
          <w:t>Designation</w:t>
        </w:r>
        <w:r w:rsidR="001037E0" w:rsidRPr="001037E0">
          <w:rPr>
            <w:rStyle w:val="Hyperlink"/>
            <w:snapToGrid w:val="0"/>
          </w:rPr>
          <w:t xml:space="preserve"> of Transmission Operators</w:t>
        </w:r>
        <w:r w:rsidR="001037E0" w:rsidRPr="001037E0">
          <w:rPr>
            <w:webHidden/>
          </w:rPr>
          <w:tab/>
        </w:r>
        <w:r w:rsidR="001037E0" w:rsidRPr="001037E0">
          <w:rPr>
            <w:webHidden/>
          </w:rPr>
          <w:fldChar w:fldCharType="begin"/>
        </w:r>
        <w:r w:rsidR="001037E0" w:rsidRPr="001037E0">
          <w:rPr>
            <w:webHidden/>
          </w:rPr>
          <w:instrText xml:space="preserve"> PAGEREF _Toc175159209 \h </w:instrText>
        </w:r>
        <w:r w:rsidR="001037E0" w:rsidRPr="001037E0">
          <w:rPr>
            <w:webHidden/>
          </w:rPr>
        </w:r>
        <w:r w:rsidR="001037E0" w:rsidRPr="001037E0">
          <w:rPr>
            <w:webHidden/>
          </w:rPr>
          <w:fldChar w:fldCharType="separate"/>
        </w:r>
        <w:r>
          <w:rPr>
            <w:webHidden/>
          </w:rPr>
          <w:t>16-93</w:t>
        </w:r>
        <w:r w:rsidR="001037E0" w:rsidRPr="001037E0">
          <w:rPr>
            <w:webHidden/>
          </w:rPr>
          <w:fldChar w:fldCharType="end"/>
        </w:r>
      </w:hyperlink>
    </w:p>
    <w:p w14:paraId="5217AED2" w14:textId="3E165D93" w:rsidR="00FC1C5F" w:rsidRDefault="00816A7E">
      <w:pPr>
        <w:pStyle w:val="Heading1"/>
        <w:numPr>
          <w:ilvl w:val="0"/>
          <w:numId w:val="0"/>
        </w:numPr>
        <w:rPr>
          <w:bCs/>
          <w:i/>
          <w:caps w:val="0"/>
          <w:szCs w:val="24"/>
        </w:rPr>
        <w:sectPr w:rsidR="00FC1C5F">
          <w:headerReference w:type="default" r:id="rId12"/>
          <w:footerReference w:type="default" r:id="rId13"/>
          <w:headerReference w:type="first" r:id="rId14"/>
          <w:footerReference w:type="first" r:id="rId15"/>
          <w:pgSz w:w="12240" w:h="15840" w:code="1"/>
          <w:pgMar w:top="1440" w:right="1440" w:bottom="1440" w:left="1440" w:header="720" w:footer="720" w:gutter="0"/>
          <w:pgNumType w:start="0"/>
          <w:cols w:space="720"/>
        </w:sectPr>
      </w:pPr>
      <w:r w:rsidRPr="005250EA">
        <w:rPr>
          <w:b w:val="0"/>
          <w:szCs w:val="24"/>
        </w:rPr>
        <w:fldChar w:fldCharType="end"/>
      </w:r>
    </w:p>
    <w:p w14:paraId="719A87FA" w14:textId="77777777" w:rsidR="00FC1C5F" w:rsidRDefault="00727E32">
      <w:pPr>
        <w:pStyle w:val="Heading1"/>
      </w:pPr>
      <w:bookmarkStart w:id="0" w:name="_Toc71369169"/>
      <w:bookmarkStart w:id="1" w:name="_Toc71539385"/>
      <w:bookmarkStart w:id="2" w:name="_Toc390438909"/>
      <w:bookmarkStart w:id="3" w:name="_Toc405897606"/>
      <w:bookmarkStart w:id="4" w:name="_Toc415055710"/>
      <w:bookmarkStart w:id="5" w:name="_Toc415055836"/>
      <w:bookmarkStart w:id="6" w:name="_Toc415055935"/>
      <w:bookmarkStart w:id="7" w:name="_Toc415056036"/>
      <w:bookmarkStart w:id="8" w:name="_Toc175159099"/>
      <w:r>
        <w:lastRenderedPageBreak/>
        <w:t xml:space="preserve">REGISTRATION </w:t>
      </w:r>
      <w:smartTag w:uri="urn:schemas-microsoft-com:office:smarttags" w:element="stockticker">
        <w:r>
          <w:t>AND</w:t>
        </w:r>
      </w:smartTag>
      <w:r>
        <w:t xml:space="preserve"> QUALIFICATION OF MARKET PARTICIPANTS</w:t>
      </w:r>
      <w:bookmarkEnd w:id="0"/>
      <w:bookmarkEnd w:id="1"/>
      <w:bookmarkEnd w:id="2"/>
      <w:bookmarkEnd w:id="3"/>
      <w:bookmarkEnd w:id="4"/>
      <w:bookmarkEnd w:id="5"/>
      <w:bookmarkEnd w:id="6"/>
      <w:bookmarkEnd w:id="7"/>
      <w:bookmarkEnd w:id="8"/>
      <w:r>
        <w:t xml:space="preserve"> </w:t>
      </w:r>
    </w:p>
    <w:p w14:paraId="505F6BEB" w14:textId="77777777" w:rsidR="00FC1C5F" w:rsidRDefault="00727E32">
      <w:pPr>
        <w:pStyle w:val="H2"/>
      </w:pPr>
      <w:bookmarkStart w:id="9" w:name="_Toc71369170"/>
      <w:bookmarkStart w:id="10" w:name="_Toc71539386"/>
      <w:bookmarkStart w:id="11" w:name="_Toc390438910"/>
      <w:bookmarkStart w:id="12" w:name="_Toc405897607"/>
      <w:bookmarkStart w:id="13" w:name="_Toc415055711"/>
      <w:bookmarkStart w:id="14" w:name="_Toc415055837"/>
      <w:bookmarkStart w:id="15" w:name="_Toc415055936"/>
      <w:bookmarkStart w:id="16" w:name="_Toc415056037"/>
      <w:bookmarkStart w:id="17" w:name="_Toc175159100"/>
      <w:r>
        <w:t>16.1</w:t>
      </w:r>
      <w:r>
        <w:tab/>
        <w:t>Registration and Execution of Agreements</w:t>
      </w:r>
      <w:bookmarkEnd w:id="9"/>
      <w:bookmarkEnd w:id="10"/>
      <w:bookmarkEnd w:id="11"/>
      <w:bookmarkEnd w:id="12"/>
      <w:bookmarkEnd w:id="13"/>
      <w:bookmarkEnd w:id="14"/>
      <w:bookmarkEnd w:id="15"/>
      <w:bookmarkEnd w:id="16"/>
      <w:bookmarkEnd w:id="17"/>
    </w:p>
    <w:p w14:paraId="77BBF800" w14:textId="7498E5D1" w:rsidR="00FC1C5F" w:rsidRDefault="00727E32">
      <w:pPr>
        <w:pStyle w:val="List"/>
        <w:ind w:left="720"/>
      </w:pPr>
      <w:r>
        <w:t>(1)</w:t>
      </w:r>
      <w:r>
        <w:tab/>
        <w:t xml:space="preserve">ERCOT shall require each Market Participant to register and execute the Standard Form Market Participant Agreement and, as applicable, </w:t>
      </w:r>
      <w:r w:rsidR="00081A43">
        <w:t xml:space="preserve">Standard Form </w:t>
      </w:r>
      <w:r>
        <w:t>Reliability Must-Run Agreement</w:t>
      </w:r>
      <w:r w:rsidR="00573E18">
        <w:t xml:space="preserve">, </w:t>
      </w:r>
      <w:r>
        <w:t xml:space="preserve">and </w:t>
      </w:r>
      <w:r w:rsidR="00081A43">
        <w:t xml:space="preserve">Standard Form </w:t>
      </w:r>
      <w:r>
        <w:t>Black Start Agreement.</w:t>
      </w:r>
    </w:p>
    <w:p w14:paraId="01260BD8" w14:textId="5EC6866C" w:rsidR="00FC1C5F" w:rsidRDefault="00727E32">
      <w:pPr>
        <w:pStyle w:val="BodyText"/>
        <w:ind w:left="720" w:hanging="720"/>
      </w:pPr>
      <w:r>
        <w:t>(2)</w:t>
      </w:r>
      <w:r>
        <w:tab/>
        <w:t xml:space="preserve">A Standard Form Market Participant Agreement is in Section 22, </w:t>
      </w:r>
      <w:r w:rsidR="008E0107">
        <w:t>Attachments</w:t>
      </w:r>
      <w:r>
        <w:t xml:space="preserve">, and ERCOT shall also post this agreement on the </w:t>
      </w:r>
      <w:r w:rsidR="00F13002">
        <w:t>ERCOT website</w:t>
      </w:r>
      <w:r>
        <w:t>.</w:t>
      </w:r>
    </w:p>
    <w:p w14:paraId="2BA10A0D" w14:textId="011FC9A9" w:rsidR="00FC1C5F" w:rsidRDefault="00727E32">
      <w:pPr>
        <w:pStyle w:val="BodyText"/>
        <w:ind w:left="720" w:hanging="720"/>
      </w:pPr>
      <w:r>
        <w:t>(3)</w:t>
      </w:r>
      <w:r>
        <w:tab/>
        <w:t xml:space="preserve">ERCOT shall post on the </w:t>
      </w:r>
      <w:r w:rsidR="00F13002">
        <w:t>ERCOT website</w:t>
      </w:r>
      <w:r>
        <w:t xml:space="preserve"> all registration procedures and applications necessary to complete registration for any function described in these Protocols.  As part of its registration procedures, ERCOT may require one or more of the following:</w:t>
      </w:r>
    </w:p>
    <w:p w14:paraId="5C0B717C" w14:textId="77777777" w:rsidR="00FC1C5F" w:rsidRDefault="00727E32">
      <w:pPr>
        <w:pStyle w:val="List"/>
      </w:pPr>
      <w:r>
        <w:t>(a)</w:t>
      </w:r>
      <w:r>
        <w:tab/>
        <w:t>Reasonable tests of the ability of a Market Participant to communicate with ERCOT or perform as required under these Protocols;</w:t>
      </w:r>
    </w:p>
    <w:p w14:paraId="3E0D8271" w14:textId="77777777" w:rsidR="00FC1C5F" w:rsidRDefault="00727E32">
      <w:pPr>
        <w:pStyle w:val="List"/>
      </w:pPr>
      <w:r>
        <w:t>(b)</w:t>
      </w:r>
      <w:r>
        <w:tab/>
        <w:t xml:space="preserve">An application fee as determined by the ERCOT Board; </w:t>
      </w:r>
    </w:p>
    <w:p w14:paraId="275209DC" w14:textId="482B7B7B" w:rsidR="00FC1C5F" w:rsidRDefault="00727E32">
      <w:pPr>
        <w:pStyle w:val="List"/>
      </w:pPr>
      <w:r>
        <w:t>(c)</w:t>
      </w:r>
      <w:r>
        <w:tab/>
        <w:t>Related agreements for specific purposes (such as agency designation, meter splitting, or network interconnection) that apply only to some Market Participants</w:t>
      </w:r>
      <w:r w:rsidR="005444D9">
        <w:t>;</w:t>
      </w:r>
    </w:p>
    <w:p w14:paraId="454B3C9C" w14:textId="472CF0EE" w:rsidR="00B22CBC" w:rsidRPr="003A2715" w:rsidRDefault="005444D9" w:rsidP="00B22CBC">
      <w:pPr>
        <w:spacing w:after="240"/>
        <w:ind w:left="1440" w:hanging="720"/>
      </w:pPr>
      <w:r w:rsidRPr="00C717AD">
        <w:t>(</w:t>
      </w:r>
      <w:r>
        <w:t>d</w:t>
      </w:r>
      <w:r w:rsidRPr="00C717AD">
        <w:t>)</w:t>
      </w:r>
      <w:r w:rsidRPr="00C717AD">
        <w:tab/>
        <w:t xml:space="preserve">A representation to ERCOT that no officer, owner, partner or other equity interest owner of the Entity was CEO or President or collectively held more than a </w:t>
      </w:r>
      <w:r>
        <w:t>1</w:t>
      </w:r>
      <w:r w:rsidRPr="00C717AD">
        <w:t>0% equity interest in (as owner, partner or other equity interest owner) another Entity at the time of a default where the default resulted in amounts owed to ERCOT remaining unpaid on any Agreement with ERCOT</w:t>
      </w:r>
      <w:r w:rsidR="00B22CBC">
        <w:t>; and</w:t>
      </w:r>
    </w:p>
    <w:p w14:paraId="7260F9D8" w14:textId="77777777" w:rsidR="00B22CBC" w:rsidRDefault="00B22CBC" w:rsidP="00B22CBC">
      <w:pPr>
        <w:spacing w:after="240"/>
        <w:ind w:left="1440" w:hanging="720"/>
      </w:pPr>
      <w:r>
        <w:t>(e)</w:t>
      </w:r>
      <w:r>
        <w:tab/>
        <w:t xml:space="preserve">An </w:t>
      </w:r>
      <w:r w:rsidRPr="003A2715">
        <w:t>attestation</w:t>
      </w:r>
      <w:r>
        <w:t xml:space="preserve"> regarding citizenship, ownership, or headquarters of the Entity seeking to register as a Market Participant.</w:t>
      </w:r>
    </w:p>
    <w:p w14:paraId="6D0B9DB8" w14:textId="77777777" w:rsidR="00271ED3" w:rsidRDefault="00271ED3" w:rsidP="00271ED3">
      <w:pPr>
        <w:pStyle w:val="H3"/>
      </w:pPr>
      <w:bookmarkStart w:id="18" w:name="_Toc390438911"/>
      <w:bookmarkStart w:id="19" w:name="_Toc405897608"/>
      <w:bookmarkStart w:id="20" w:name="_Toc415055712"/>
      <w:bookmarkStart w:id="21" w:name="_Toc415055838"/>
      <w:bookmarkStart w:id="22" w:name="_Toc415055937"/>
      <w:bookmarkStart w:id="23" w:name="_Toc415056038"/>
      <w:bookmarkStart w:id="24" w:name="_Toc175159101"/>
      <w:bookmarkStart w:id="25" w:name="_Toc71369171"/>
      <w:bookmarkStart w:id="26" w:name="_Toc71539387"/>
      <w:r>
        <w:t>16.1.1</w:t>
      </w:r>
      <w:r>
        <w:tab/>
        <w:t>Re-Registration as a Market Participant</w:t>
      </w:r>
      <w:bookmarkEnd w:id="18"/>
      <w:bookmarkEnd w:id="19"/>
      <w:bookmarkEnd w:id="20"/>
      <w:bookmarkEnd w:id="21"/>
      <w:bookmarkEnd w:id="22"/>
      <w:bookmarkEnd w:id="23"/>
      <w:bookmarkEnd w:id="24"/>
    </w:p>
    <w:p w14:paraId="71AE8CE8" w14:textId="77777777" w:rsidR="00271ED3" w:rsidRDefault="00853D39" w:rsidP="009F10FE">
      <w:pPr>
        <w:pStyle w:val="BodyText"/>
        <w:ind w:left="720" w:hanging="720"/>
      </w:pPr>
      <w:r>
        <w:t>(1)</w:t>
      </w:r>
      <w:r>
        <w:tab/>
      </w:r>
      <w:r w:rsidR="00271ED3">
        <w:t>Any M</w:t>
      </w:r>
      <w:r w:rsidR="00FA18C9">
        <w:t xml:space="preserve">arket </w:t>
      </w:r>
      <w:r w:rsidR="00271ED3">
        <w:t>P</w:t>
      </w:r>
      <w:r w:rsidR="00FA18C9">
        <w:t>articipant</w:t>
      </w:r>
      <w:r w:rsidR="00271ED3">
        <w:t xml:space="preserve"> that has had one of the following occur must provide to ERCOT a new DUNS Number (DUNS #) to re-register as a M</w:t>
      </w:r>
      <w:r w:rsidR="00FA18C9">
        <w:t xml:space="preserve">arket </w:t>
      </w:r>
      <w:r w:rsidR="00271ED3">
        <w:t>P</w:t>
      </w:r>
      <w:r w:rsidR="00FA18C9">
        <w:t>articipant</w:t>
      </w:r>
      <w:r w:rsidR="00271ED3">
        <w:t xml:space="preserve"> with ERCOT:</w:t>
      </w:r>
    </w:p>
    <w:p w14:paraId="5060A43B" w14:textId="77777777" w:rsidR="00271ED3" w:rsidRDefault="00271ED3" w:rsidP="00271ED3">
      <w:pPr>
        <w:pStyle w:val="List"/>
      </w:pPr>
      <w:r>
        <w:t>(</w:t>
      </w:r>
      <w:r w:rsidR="00825A48">
        <w:t>a</w:t>
      </w:r>
      <w:r>
        <w:t>)</w:t>
      </w:r>
      <w:r>
        <w:tab/>
        <w:t>Its Agreement with ERCOT terminated;</w:t>
      </w:r>
    </w:p>
    <w:p w14:paraId="26894054" w14:textId="3B880581" w:rsidR="00271ED3" w:rsidRDefault="00825A48" w:rsidP="00271ED3">
      <w:pPr>
        <w:pStyle w:val="List"/>
      </w:pPr>
      <w:r>
        <w:t>(b</w:t>
      </w:r>
      <w:r w:rsidR="00271ED3">
        <w:t>)</w:t>
      </w:r>
      <w:r w:rsidR="00271ED3">
        <w:tab/>
        <w:t>Its Customers dropped to the Provider(s) of Last Resort (POLR(s)) pursuant to Section 15.1.3, Transition</w:t>
      </w:r>
      <w:r w:rsidR="00081A43">
        <w:t xml:space="preserve"> Process</w:t>
      </w:r>
      <w:r w:rsidR="00271ED3">
        <w:t>; or</w:t>
      </w:r>
    </w:p>
    <w:p w14:paraId="7A75A8A2" w14:textId="3E8D61EE" w:rsidR="00271ED3" w:rsidRDefault="00825A48" w:rsidP="00271ED3">
      <w:pPr>
        <w:pStyle w:val="List"/>
      </w:pPr>
      <w:r>
        <w:t>(c</w:t>
      </w:r>
      <w:r w:rsidR="00271ED3" w:rsidRPr="00927386">
        <w:t>)</w:t>
      </w:r>
      <w:r w:rsidR="00271ED3" w:rsidRPr="00927386">
        <w:tab/>
        <w:t xml:space="preserve">Its Customers dropped to a gaining </w:t>
      </w:r>
      <w:r w:rsidR="004A501E">
        <w:t>Competitive Retailer (</w:t>
      </w:r>
      <w:r w:rsidR="00271ED3" w:rsidRPr="00927386">
        <w:t>CR</w:t>
      </w:r>
      <w:r w:rsidR="004A501E">
        <w:t>)</w:t>
      </w:r>
      <w:r w:rsidR="00271ED3" w:rsidRPr="00927386">
        <w:t xml:space="preserve"> pursuant to Section 15.1.3.</w:t>
      </w:r>
    </w:p>
    <w:p w14:paraId="114D8F20" w14:textId="4CBF31D5" w:rsidR="006B2E4D" w:rsidRDefault="006B2E4D" w:rsidP="006B2E4D">
      <w:pPr>
        <w:pStyle w:val="H3"/>
        <w:rPr>
          <w:b w:val="0"/>
          <w:i w:val="0"/>
        </w:rPr>
      </w:pPr>
      <w:bookmarkStart w:id="27" w:name="_Toc175159102"/>
      <w:bookmarkStart w:id="28" w:name="_Hlk90904101"/>
      <w:r w:rsidRPr="00CB652F">
        <w:lastRenderedPageBreak/>
        <w:t>16.1.2</w:t>
      </w:r>
      <w:r w:rsidR="00963894" w:rsidRPr="00963894">
        <w:tab/>
      </w:r>
      <w:r w:rsidRPr="00CB652F">
        <w:t>Principal of a Market Participant</w:t>
      </w:r>
      <w:bookmarkEnd w:id="27"/>
      <w:r w:rsidRPr="009F2339">
        <w:t xml:space="preserve"> </w:t>
      </w:r>
    </w:p>
    <w:p w14:paraId="1339BB8F" w14:textId="77777777" w:rsidR="006B2E4D" w:rsidRDefault="006B2E4D" w:rsidP="006B2E4D">
      <w:pPr>
        <w:spacing w:after="240"/>
        <w:ind w:left="720" w:hanging="720"/>
      </w:pPr>
      <w:r>
        <w:t>(1)</w:t>
      </w:r>
      <w:r>
        <w:tab/>
        <w:t>For purposes of Section 16, Registration and Qualification of Market Participants, a Principal is any of the following, as related to a registered Market Participant or Market Participant applicant:</w:t>
      </w:r>
    </w:p>
    <w:p w14:paraId="28DD1E97" w14:textId="77777777" w:rsidR="006B2E4D" w:rsidRDefault="006B2E4D" w:rsidP="006B2E4D">
      <w:pPr>
        <w:spacing w:after="240"/>
        <w:ind w:left="720"/>
      </w:pPr>
      <w:r>
        <w:t>(a)</w:t>
      </w:r>
      <w:r>
        <w:tab/>
        <w:t>A sole proprietor of a sole proprietorship;</w:t>
      </w:r>
    </w:p>
    <w:p w14:paraId="45EB3ED4" w14:textId="77777777" w:rsidR="006B2E4D" w:rsidRDefault="006B2E4D" w:rsidP="006B2E4D">
      <w:pPr>
        <w:spacing w:after="240"/>
        <w:ind w:left="1440" w:hanging="720"/>
      </w:pPr>
      <w:r>
        <w:t>(b)</w:t>
      </w:r>
      <w:r>
        <w:tab/>
        <w:t>A general partner of a general partnership;</w:t>
      </w:r>
    </w:p>
    <w:p w14:paraId="6CD618CA" w14:textId="77777777" w:rsidR="006B2E4D" w:rsidRDefault="006B2E4D" w:rsidP="006B2E4D">
      <w:pPr>
        <w:spacing w:after="240"/>
        <w:ind w:left="1440" w:hanging="720"/>
      </w:pPr>
      <w:r>
        <w:t>(c)</w:t>
      </w:r>
      <w:r>
        <w:tab/>
        <w:t>An executive of a company (e.g., president, chief executive officer, chief operating officer, chief financial officer, general counsel, or equivalent position);</w:t>
      </w:r>
    </w:p>
    <w:p w14:paraId="6C81EC0D" w14:textId="77777777" w:rsidR="006B2E4D" w:rsidRDefault="006B2E4D" w:rsidP="006B2E4D">
      <w:pPr>
        <w:spacing w:after="240"/>
        <w:ind w:left="1440" w:hanging="720"/>
      </w:pPr>
      <w:r>
        <w:t>(d)</w:t>
      </w:r>
      <w:r>
        <w:tab/>
        <w:t>A manager, managing member, or a member vested with the management authority of a limited liability company or limited liability partnership;</w:t>
      </w:r>
    </w:p>
    <w:p w14:paraId="4F499380" w14:textId="77777777" w:rsidR="006B2E4D" w:rsidRDefault="006B2E4D" w:rsidP="006B2E4D">
      <w:pPr>
        <w:spacing w:after="240"/>
        <w:ind w:left="1440" w:hanging="720"/>
      </w:pPr>
      <w:r>
        <w:t>(e)</w:t>
      </w:r>
      <w:r>
        <w:tab/>
        <w:t xml:space="preserve">A </w:t>
      </w:r>
      <w:r w:rsidRPr="007172CC">
        <w:t xml:space="preserve">shareholder </w:t>
      </w:r>
      <w:r>
        <w:t>with</w:t>
      </w:r>
      <w:r w:rsidRPr="007172CC">
        <w:t xml:space="preserve"> more than 10% equity </w:t>
      </w:r>
      <w:r>
        <w:t>of the Entity; or</w:t>
      </w:r>
    </w:p>
    <w:p w14:paraId="50F2B90F" w14:textId="54AC7B2D" w:rsidR="006B2E4D" w:rsidRDefault="006B2E4D" w:rsidP="006B2E4D">
      <w:pPr>
        <w:pStyle w:val="List"/>
      </w:pPr>
      <w:r>
        <w:t>(f)</w:t>
      </w:r>
      <w:r>
        <w:tab/>
        <w:t>A</w:t>
      </w:r>
      <w:r>
        <w:rPr>
          <w:lang w:eastAsia="x-none"/>
        </w:rPr>
        <w:t xml:space="preserve"> </w:t>
      </w:r>
      <w:r>
        <w:rPr>
          <w:lang w:val="x-none" w:eastAsia="x-none"/>
        </w:rPr>
        <w:t xml:space="preserve">person </w:t>
      </w:r>
      <w:r>
        <w:rPr>
          <w:lang w:eastAsia="x-none"/>
        </w:rPr>
        <w:t xml:space="preserve">that has authority to </w:t>
      </w:r>
      <w:r>
        <w:rPr>
          <w:lang w:val="x-none" w:eastAsia="x-none"/>
        </w:rPr>
        <w:t xml:space="preserve">make decisions </w:t>
      </w:r>
      <w:r>
        <w:rPr>
          <w:lang w:eastAsia="x-none"/>
        </w:rPr>
        <w:t>under these Protocols on</w:t>
      </w:r>
      <w:r>
        <w:rPr>
          <w:lang w:val="x-none" w:eastAsia="x-none"/>
        </w:rPr>
        <w:t xml:space="preserve"> </w:t>
      </w:r>
      <w:r>
        <w:rPr>
          <w:lang w:eastAsia="x-none"/>
        </w:rPr>
        <w:t xml:space="preserve">behalf of the registered Market Participant or applicant, and is not otherwise controlled by any of the other Principal types listed above, </w:t>
      </w:r>
      <w:r w:rsidRPr="000D340C">
        <w:rPr>
          <w:lang w:eastAsia="x-none"/>
        </w:rPr>
        <w:t>or as otherwise identified by ERCOT</w:t>
      </w:r>
      <w:r>
        <w:rPr>
          <w:lang w:eastAsia="x-none"/>
        </w:rPr>
        <w:t>.</w:t>
      </w:r>
    </w:p>
    <w:p w14:paraId="3DCF89BB" w14:textId="77777777" w:rsidR="00B22CBC" w:rsidRPr="003A2715" w:rsidRDefault="00B22CBC" w:rsidP="00B22CBC">
      <w:pPr>
        <w:pStyle w:val="H3"/>
      </w:pPr>
      <w:bookmarkStart w:id="29" w:name="_Toc175159103"/>
      <w:bookmarkStart w:id="30" w:name="_Toc390438912"/>
      <w:bookmarkStart w:id="31" w:name="_Toc405897609"/>
      <w:bookmarkStart w:id="32" w:name="_Toc415055713"/>
      <w:bookmarkStart w:id="33" w:name="_Toc415055839"/>
      <w:bookmarkStart w:id="34" w:name="_Toc415055938"/>
      <w:bookmarkStart w:id="35" w:name="_Toc415056039"/>
      <w:bookmarkEnd w:id="28"/>
      <w:r w:rsidRPr="003A2715">
        <w:t>16.1.3</w:t>
      </w:r>
      <w:r w:rsidRPr="003A2715">
        <w:tab/>
        <w:t>Market Participant Citizenship, Ownership, or Headquarters</w:t>
      </w:r>
      <w:bookmarkEnd w:id="29"/>
    </w:p>
    <w:p w14:paraId="5DE3AFC9" w14:textId="77777777" w:rsidR="00B22CBC" w:rsidRDefault="00B22CBC" w:rsidP="00B22CBC">
      <w:pPr>
        <w:spacing w:after="240"/>
        <w:ind w:left="720" w:hanging="720"/>
      </w:pPr>
      <w:r w:rsidRPr="00AF1FB5">
        <w:t>(1)</w:t>
      </w:r>
      <w:r>
        <w:tab/>
      </w:r>
      <w:r w:rsidRPr="00AF1FB5">
        <w:t xml:space="preserve">An Entity is not eligible to register </w:t>
      </w:r>
      <w:r>
        <w:t xml:space="preserve">or maintain its registration </w:t>
      </w:r>
      <w:r w:rsidRPr="00AF1FB5">
        <w:t>with ERCOT as a Market Participant if the Entity</w:t>
      </w:r>
      <w:r>
        <w:t>:</w:t>
      </w:r>
    </w:p>
    <w:p w14:paraId="02DB9E98" w14:textId="4010DCCA" w:rsidR="00B22CBC" w:rsidRDefault="00B22CBC" w:rsidP="00B22CBC">
      <w:pPr>
        <w:spacing w:after="240"/>
        <w:ind w:left="1440" w:hanging="720"/>
      </w:pPr>
      <w:r>
        <w:t>(a)</w:t>
      </w:r>
      <w:r>
        <w:tab/>
        <w:t xml:space="preserve">Is a person who is a citizen of </w:t>
      </w:r>
      <w:r w:rsidR="00461B44" w:rsidRPr="00AC0350">
        <w:t>a Lone Star Infrastructure Protection Act (LSIPA) Designated Country</w:t>
      </w:r>
      <w:r>
        <w:t>; or</w:t>
      </w:r>
      <w:r w:rsidRPr="00F43105">
        <w:t xml:space="preserve">   </w:t>
      </w:r>
    </w:p>
    <w:p w14:paraId="3E5FE843" w14:textId="41F2DE9C" w:rsidR="00B22CBC" w:rsidRDefault="00B22CBC" w:rsidP="00B22CBC">
      <w:pPr>
        <w:spacing w:after="240"/>
        <w:ind w:left="1440" w:hanging="720"/>
      </w:pPr>
      <w:r>
        <w:t>(b)</w:t>
      </w:r>
      <w:r>
        <w:tab/>
        <w:t xml:space="preserve">Is an </w:t>
      </w:r>
      <w:r w:rsidR="00461B44" w:rsidRPr="00AC0350">
        <w:t>LSIPA Designated Company</w:t>
      </w:r>
      <w:r w:rsidRPr="00AF1FB5">
        <w:t xml:space="preserve">.  </w:t>
      </w:r>
    </w:p>
    <w:p w14:paraId="005E3148" w14:textId="1D52E349" w:rsidR="00B22CBC" w:rsidRDefault="00B22CBC" w:rsidP="00B22CBC">
      <w:pPr>
        <w:spacing w:after="240"/>
        <w:ind w:left="720" w:hanging="720"/>
      </w:pPr>
      <w:r w:rsidRPr="00441345">
        <w:t>(2)</w:t>
      </w:r>
      <w:r w:rsidRPr="00441345">
        <w:tab/>
        <w:t xml:space="preserve">If an Entity meets any of the above listed criteria solely due to the citizenship, ownership or headquarters of a wholly owned subsidiary, majority-owned subsidiary, or </w:t>
      </w:r>
      <w:r>
        <w:t>A</w:t>
      </w:r>
      <w:r w:rsidRPr="00441345">
        <w:t xml:space="preserve">ffiliate, the Entity </w:t>
      </w:r>
      <w:r w:rsidR="00461B44">
        <w:t>will</w:t>
      </w:r>
      <w:r w:rsidRPr="00441345">
        <w:t xml:space="preserve"> be eligible to register as a Market Participant</w:t>
      </w:r>
      <w:r w:rsidR="00461B44" w:rsidRPr="00AC0350">
        <w:t>, subject to paragraph (5) below,</w:t>
      </w:r>
      <w:r w:rsidRPr="00441345">
        <w:t xml:space="preserve"> if it certifies that the subsidiary or </w:t>
      </w:r>
      <w:r>
        <w:t>A</w:t>
      </w:r>
      <w:r w:rsidRPr="00441345">
        <w:t xml:space="preserve">ffiliate at issue will not have direct or remote access to or control of ERCOT’s Wide Area Network (WAN), Market Information System (MIS), or any data from such ERCOT systems. </w:t>
      </w:r>
    </w:p>
    <w:p w14:paraId="38954098" w14:textId="6C92FB6F" w:rsidR="00B22CBC" w:rsidRDefault="00B22CBC" w:rsidP="00B22CBC">
      <w:pPr>
        <w:spacing w:after="240"/>
        <w:ind w:left="720" w:hanging="720"/>
      </w:pPr>
      <w:r>
        <w:t>(3)</w:t>
      </w:r>
      <w:r>
        <w:tab/>
      </w:r>
      <w:r w:rsidRPr="00AF1FB5">
        <w:t>Any Entity that seeks to register as a Market Participant shall submit an attestation</w:t>
      </w:r>
      <w:r>
        <w:t xml:space="preserve"> as reflected in</w:t>
      </w:r>
      <w:r w:rsidRPr="00AF1FB5">
        <w:t xml:space="preserve"> Section 23, Form Q, </w:t>
      </w:r>
      <w:bookmarkStart w:id="36" w:name="_Hlk113545603"/>
      <w:r w:rsidRPr="00FA221F">
        <w:t xml:space="preserve">Attestation Regarding </w:t>
      </w:r>
      <w:r>
        <w:t>Market Participant Citizenship, Ownership, or Headquarters</w:t>
      </w:r>
      <w:bookmarkEnd w:id="36"/>
      <w:r w:rsidRPr="00AF1FB5">
        <w:t xml:space="preserve">, </w:t>
      </w:r>
      <w:r>
        <w:t>certifying</w:t>
      </w:r>
      <w:r w:rsidRPr="00AF1FB5">
        <w:t xml:space="preserve"> that the Entity </w:t>
      </w:r>
      <w:r>
        <w:t>complies with</w:t>
      </w:r>
      <w:r w:rsidRPr="00AF1FB5">
        <w:t xml:space="preserve"> the </w:t>
      </w:r>
      <w:r>
        <w:t xml:space="preserve">above </w:t>
      </w:r>
      <w:r w:rsidRPr="00AF1FB5">
        <w:t>criteria</w:t>
      </w:r>
      <w:r w:rsidR="00461B44" w:rsidRPr="00AC0350">
        <w:t>, to the best of the Entity’s knowledge and belief following reasonable diligence</w:t>
      </w:r>
      <w:r>
        <w:t>.</w:t>
      </w:r>
    </w:p>
    <w:p w14:paraId="50DBCBDB" w14:textId="14839746" w:rsidR="00B22CBC" w:rsidRDefault="00B22CBC" w:rsidP="00B22CBC">
      <w:pPr>
        <w:spacing w:after="240"/>
        <w:ind w:left="720" w:hanging="720"/>
        <w:rPr>
          <w:iCs/>
        </w:rPr>
      </w:pPr>
      <w:r>
        <w:t>(4)</w:t>
      </w:r>
      <w:r>
        <w:tab/>
      </w:r>
      <w:r>
        <w:rPr>
          <w:iCs/>
        </w:rPr>
        <w:t xml:space="preserve">If there are changes </w:t>
      </w:r>
      <w:r w:rsidRPr="001C6A63">
        <w:rPr>
          <w:iCs/>
        </w:rPr>
        <w:t>t</w:t>
      </w:r>
      <w:r>
        <w:rPr>
          <w:iCs/>
        </w:rPr>
        <w:t>o a</w:t>
      </w:r>
      <w:r w:rsidRPr="001C6A63">
        <w:rPr>
          <w:iCs/>
        </w:rPr>
        <w:t xml:space="preserve"> </w:t>
      </w:r>
      <w:r>
        <w:rPr>
          <w:iCs/>
        </w:rPr>
        <w:t xml:space="preserve">Market Participant’s citizenship, ownership, or headquarters such that the Market Participant </w:t>
      </w:r>
      <w:r w:rsidRPr="001C6A63">
        <w:rPr>
          <w:iCs/>
        </w:rPr>
        <w:t xml:space="preserve">meets any of the prohibited company </w:t>
      </w:r>
      <w:r>
        <w:rPr>
          <w:iCs/>
        </w:rPr>
        <w:t xml:space="preserve">citizenship, </w:t>
      </w:r>
      <w:r w:rsidRPr="001C6A63">
        <w:rPr>
          <w:iCs/>
        </w:rPr>
        <w:lastRenderedPageBreak/>
        <w:t xml:space="preserve">ownership (including </w:t>
      </w:r>
      <w:r>
        <w:rPr>
          <w:iCs/>
        </w:rPr>
        <w:t>A</w:t>
      </w:r>
      <w:r w:rsidRPr="001C6A63">
        <w:rPr>
          <w:iCs/>
        </w:rPr>
        <w:t xml:space="preserve">ffiliations) or headquarters criteria </w:t>
      </w:r>
      <w:r w:rsidR="00461B44" w:rsidRPr="00AC0350">
        <w:rPr>
          <w:iCs/>
        </w:rPr>
        <w:t>of an LSIPA Designated Company</w:t>
      </w:r>
      <w:r>
        <w:rPr>
          <w:iCs/>
        </w:rPr>
        <w:t xml:space="preserve">, </w:t>
      </w:r>
      <w:r w:rsidRPr="001C6A63">
        <w:rPr>
          <w:iCs/>
        </w:rPr>
        <w:t xml:space="preserve">then the </w:t>
      </w:r>
      <w:r>
        <w:rPr>
          <w:iCs/>
        </w:rPr>
        <w:t>Market Participant</w:t>
      </w:r>
      <w:r w:rsidRPr="001C6A63">
        <w:rPr>
          <w:iCs/>
        </w:rPr>
        <w:t xml:space="preserve"> shall execute and submit a new attestation </w:t>
      </w:r>
      <w:r>
        <w:rPr>
          <w:iCs/>
        </w:rPr>
        <w:t xml:space="preserve">to ERCOT </w:t>
      </w:r>
      <w:r w:rsidRPr="001C6A63">
        <w:rPr>
          <w:iCs/>
        </w:rPr>
        <w:t xml:space="preserve">within ten Business Days of the change </w:t>
      </w:r>
      <w:r>
        <w:rPr>
          <w:iCs/>
        </w:rPr>
        <w:t>becoming effective</w:t>
      </w:r>
      <w:r w:rsidRPr="001C6A63">
        <w:rPr>
          <w:iCs/>
        </w:rPr>
        <w:t>.</w:t>
      </w:r>
    </w:p>
    <w:p w14:paraId="00CDCE8D" w14:textId="77777777" w:rsidR="00461B44" w:rsidRPr="00AC0350" w:rsidRDefault="00461B44" w:rsidP="00461B44">
      <w:pPr>
        <w:spacing w:after="240"/>
        <w:ind w:left="720" w:hanging="720"/>
        <w:rPr>
          <w:iCs/>
        </w:rPr>
      </w:pPr>
      <w:r w:rsidRPr="00AC0350">
        <w:rPr>
          <w:iCs/>
        </w:rPr>
        <w:t>(5)</w:t>
      </w:r>
      <w:r w:rsidRPr="00AC0350">
        <w:rPr>
          <w:iCs/>
        </w:rPr>
        <w:tab/>
      </w:r>
      <w:bookmarkStart w:id="37" w:name="_Hlk141972803"/>
      <w:r w:rsidRPr="00AC0350">
        <w:rPr>
          <w:iCs/>
        </w:rPr>
        <w:t>ERCOT may immediately suspend or terminate a Market Participant’s registration or access to any of ERCOT’s systems if ERCOT has a reasonable suspicion that the Entity meets any of the criteria described by paragraph (1) above or that an Entity has provided access or control to a subsidiary or Affiliate as described by paragraph (2) above.</w:t>
      </w:r>
      <w:bookmarkEnd w:id="37"/>
    </w:p>
    <w:p w14:paraId="15D23589" w14:textId="77777777" w:rsidR="00461B44" w:rsidRPr="00461B44" w:rsidRDefault="00461B44" w:rsidP="00461B44">
      <w:pPr>
        <w:pStyle w:val="H3"/>
      </w:pPr>
      <w:bookmarkStart w:id="38" w:name="_Toc175159104"/>
      <w:r w:rsidRPr="00AC0350">
        <w:t>16.1.4</w:t>
      </w:r>
      <w:r w:rsidRPr="00461B44">
        <w:tab/>
      </w:r>
      <w:bookmarkStart w:id="39" w:name="_Hlk158744000"/>
      <w:r w:rsidRPr="00461B44">
        <w:t>Market Participant Reporting of Critical Electric Grid Equipment and Services-Related Purchases</w:t>
      </w:r>
      <w:bookmarkEnd w:id="39"/>
      <w:bookmarkEnd w:id="38"/>
    </w:p>
    <w:p w14:paraId="3C5C8EAE" w14:textId="70DD9F09" w:rsidR="00461B44" w:rsidRPr="00AC0350" w:rsidRDefault="00461B44" w:rsidP="00461B44">
      <w:pPr>
        <w:spacing w:after="240"/>
        <w:ind w:left="720" w:hanging="720"/>
        <w:rPr>
          <w:iCs/>
        </w:rPr>
      </w:pPr>
      <w:r w:rsidRPr="00AC0350">
        <w:rPr>
          <w:iCs/>
        </w:rPr>
        <w:t>(1)</w:t>
      </w:r>
      <w:r w:rsidRPr="00AC0350">
        <w:rPr>
          <w:iCs/>
        </w:rPr>
        <w:tab/>
        <w:t>As a condition of registering and maintaining registration with ERCOT as a Market Participant, an Entity shall report to ERCOT the purchase, lease, or receipt (referred to in this Section as a “purchase”) of any Critical Electric Grid Equipment (CEGE) or Critical Electric Grid Services (CEGS) that the Entity knows to be from a</w:t>
      </w:r>
      <w:r w:rsidR="00363641">
        <w:rPr>
          <w:iCs/>
        </w:rPr>
        <w:t>n</w:t>
      </w:r>
      <w:r w:rsidRPr="00AC0350">
        <w:rPr>
          <w:iCs/>
        </w:rPr>
        <w:t xml:space="preserve"> LSIPA Designated Company or an LSIPA Designated Country.  This includes, but is not limited to, a purchase of CEGE or CEGS that were </w:t>
      </w:r>
      <w:bookmarkStart w:id="40" w:name="_Hlk154135678"/>
      <w:r w:rsidRPr="00AC0350">
        <w:rPr>
          <w:iCs/>
        </w:rPr>
        <w:t xml:space="preserve">manufactured, produced, created, or otherwise provided by a company known to the Entity to be an </w:t>
      </w:r>
      <w:bookmarkEnd w:id="40"/>
      <w:r w:rsidRPr="00AC0350">
        <w:rPr>
          <w:iCs/>
        </w:rPr>
        <w:t xml:space="preserve">LSIPA Designated Company and subsequently sold to the Entity by a non-LSIPA Designated Company.  </w:t>
      </w:r>
    </w:p>
    <w:p w14:paraId="45DA6EBF" w14:textId="02058C4C" w:rsidR="00461B44" w:rsidRPr="00AC0350" w:rsidRDefault="00461B44" w:rsidP="00461B44">
      <w:pPr>
        <w:spacing w:after="240"/>
        <w:ind w:left="1440" w:hanging="720"/>
        <w:rPr>
          <w:iCs/>
        </w:rPr>
      </w:pPr>
      <w:r w:rsidRPr="00AC0350">
        <w:rPr>
          <w:iCs/>
        </w:rPr>
        <w:t>(a)</w:t>
      </w:r>
      <w:r w:rsidRPr="00AC0350">
        <w:rPr>
          <w:iCs/>
        </w:rPr>
        <w:tab/>
        <w:t xml:space="preserve">As used in this Section 16.1.4 and Section 23, Form S, </w:t>
      </w:r>
      <w:r w:rsidR="00C934BD" w:rsidRPr="00C934BD">
        <w:rPr>
          <w:iCs/>
        </w:rPr>
        <w:t>Reporting and Attestation Regarding Purchase of Critical Electric Grid Equipment (CEGE) and Critical Electric Grid Services (CEGS) from a Lone Star Infrastructure Protection Act (LSIPA) Designated Company or LSIPA Designated Country</w:t>
      </w:r>
      <w:r w:rsidR="00C934BD">
        <w:rPr>
          <w:iCs/>
        </w:rPr>
        <w:t xml:space="preserve">, </w:t>
      </w:r>
      <w:r w:rsidRPr="00AC0350">
        <w:rPr>
          <w:iCs/>
        </w:rPr>
        <w:t xml:space="preserve">the terms “knows,” “known,” and “knowledge” refer to the Entity’s actual knowledge or knowledge that the Entity could have obtained through reasonable inquiry with respect to any clearly evident, non-obscure information indicating that the equipment or service was manufactured, produced, created, or otherwise provided by an LSIPA Designated Company.   </w:t>
      </w:r>
    </w:p>
    <w:p w14:paraId="67D75E71" w14:textId="77777777" w:rsidR="00461B44" w:rsidRPr="00AC0350" w:rsidRDefault="00461B44" w:rsidP="00461B44">
      <w:pPr>
        <w:spacing w:after="240"/>
        <w:ind w:left="1440" w:hanging="720"/>
        <w:rPr>
          <w:iCs/>
        </w:rPr>
      </w:pPr>
      <w:r w:rsidRPr="00AC0350">
        <w:rPr>
          <w:iCs/>
        </w:rPr>
        <w:t>(b)</w:t>
      </w:r>
      <w:r w:rsidRPr="00AC0350">
        <w:rPr>
          <w:iCs/>
        </w:rPr>
        <w:tab/>
        <w:t>If the Entity obtains a contractual representation (or either a letter of attestation or a contractual representation if the purchase was made before June 8, 2023) from the seller of CEGE or CEGS that the equipment or services were not manufactured, produced, created, or otherwise provided by an LSIPA Designated Company, then absent some clearly evident, non-obscure information raising such suspicion, this Section 16.1.4 does not require the Entity to conduct diligence or otherwise inquire as to the identity or location of the manufacturer, producer, or creator of the CEGE or CEGS that the Entity purchases or any component parts thereof.  For the avoidance of doubt, this subsection does not create or suggest a requirement not otherwise imposed by this Section 16.1.4.</w:t>
      </w:r>
    </w:p>
    <w:p w14:paraId="4C4EF2B6" w14:textId="3EF7CEF6" w:rsidR="00461B44" w:rsidRPr="00AC0350" w:rsidRDefault="00461B44" w:rsidP="00461B44">
      <w:pPr>
        <w:spacing w:after="240"/>
        <w:ind w:left="1440" w:hanging="720"/>
        <w:rPr>
          <w:iCs/>
        </w:rPr>
      </w:pPr>
      <w:r w:rsidRPr="00AC0350">
        <w:rPr>
          <w:iCs/>
        </w:rPr>
        <w:t>(c)</w:t>
      </w:r>
      <w:r w:rsidRPr="00AC0350">
        <w:rPr>
          <w:iCs/>
        </w:rPr>
        <w:tab/>
        <w:t xml:space="preserve">If a Market Participant or an Entity applying for registration purchases CEGE from a non-LSIPA Designated Company and clearly evident, non-obscure information indicates that such equipment has a part or component (which itself has routable connectivity) that originated from an LSIPA Designated Company or </w:t>
      </w:r>
      <w:r w:rsidRPr="00AC0350">
        <w:rPr>
          <w:iCs/>
        </w:rPr>
        <w:lastRenderedPageBreak/>
        <w:t xml:space="preserve">LSIPA Designated Country, then such part or component shall be reported using Section 23, Form S, but in Subsections 2(a)-(b) of </w:t>
      </w:r>
      <w:r w:rsidR="00851767">
        <w:rPr>
          <w:iCs/>
        </w:rPr>
        <w:t xml:space="preserve">Section 23, </w:t>
      </w:r>
      <w:r w:rsidRPr="00AC0350">
        <w:rPr>
          <w:iCs/>
        </w:rPr>
        <w:t xml:space="preserve">Form S, the Entity or Market Participant is only required to provide the following information for the part or component: </w:t>
      </w:r>
    </w:p>
    <w:p w14:paraId="0BC20BE8" w14:textId="77777777" w:rsidR="00461B44" w:rsidRPr="00AC0350" w:rsidRDefault="00461B44" w:rsidP="00461B44">
      <w:pPr>
        <w:spacing w:after="240"/>
        <w:ind w:left="2160" w:hanging="720"/>
        <w:rPr>
          <w:iCs/>
        </w:rPr>
      </w:pPr>
      <w:r w:rsidRPr="00AC0350">
        <w:rPr>
          <w:iCs/>
        </w:rPr>
        <w:t>(i)</w:t>
      </w:r>
      <w:r w:rsidRPr="00AC0350">
        <w:rPr>
          <w:iCs/>
        </w:rPr>
        <w:tab/>
        <w:t xml:space="preserve">A general description of the part or component; </w:t>
      </w:r>
    </w:p>
    <w:p w14:paraId="2E4F8A51" w14:textId="77777777" w:rsidR="00461B44" w:rsidRPr="00AC0350" w:rsidRDefault="00461B44" w:rsidP="00461B44">
      <w:pPr>
        <w:spacing w:after="240"/>
        <w:ind w:left="2160" w:hanging="720"/>
        <w:rPr>
          <w:iCs/>
        </w:rPr>
      </w:pPr>
      <w:r w:rsidRPr="00AC0350">
        <w:rPr>
          <w:iCs/>
        </w:rPr>
        <w:t>(ii)</w:t>
      </w:r>
      <w:r w:rsidRPr="00AC0350">
        <w:rPr>
          <w:iCs/>
        </w:rPr>
        <w:tab/>
        <w:t xml:space="preserve">The name of the LSIPA Designated Country from which the part or component originated; and </w:t>
      </w:r>
    </w:p>
    <w:p w14:paraId="3C7A0065" w14:textId="77777777" w:rsidR="00461B44" w:rsidRPr="00AC0350" w:rsidRDefault="00461B44" w:rsidP="00461B44">
      <w:pPr>
        <w:spacing w:after="240"/>
        <w:ind w:left="2160" w:hanging="720"/>
        <w:rPr>
          <w:iCs/>
        </w:rPr>
      </w:pPr>
      <w:r w:rsidRPr="00AC0350">
        <w:rPr>
          <w:iCs/>
        </w:rPr>
        <w:t>(iii)</w:t>
      </w:r>
      <w:r w:rsidRPr="00AC0350">
        <w:rPr>
          <w:iCs/>
        </w:rPr>
        <w:tab/>
        <w:t xml:space="preserve">The name of the LSIPA Designated Company from which the part or component originated, unless the Market Participant or Entity applying for registration does not actually know the name of the LSIPA Designated Company.  </w:t>
      </w:r>
    </w:p>
    <w:p w14:paraId="2F6DFAA9" w14:textId="77777777" w:rsidR="00461B44" w:rsidRPr="00AC0350" w:rsidRDefault="00461B44" w:rsidP="00461B44">
      <w:pPr>
        <w:spacing w:after="240"/>
        <w:ind w:left="1440" w:hanging="720"/>
        <w:rPr>
          <w:iCs/>
        </w:rPr>
      </w:pPr>
      <w:r w:rsidRPr="00AC0350">
        <w:rPr>
          <w:iCs/>
        </w:rPr>
        <w:t>(d)</w:t>
      </w:r>
      <w:r w:rsidRPr="00AC0350">
        <w:rPr>
          <w:iCs/>
        </w:rPr>
        <w:tab/>
        <w:t xml:space="preserve">For each reported purchase made after June 8, 2023, the Market Participant or Entity applying for registration shall attest that the purchase will not result in access to or control of CEGE by an LSIPA Designated Company or an LSIPA Designated Country, excluding access specifically allowed by the Market Participant or Entity applying for registration for product warranty and support purposes. </w:t>
      </w:r>
    </w:p>
    <w:p w14:paraId="2935E250" w14:textId="77777777" w:rsidR="00461B44" w:rsidRPr="00AC0350" w:rsidRDefault="00461B44" w:rsidP="00461B44">
      <w:pPr>
        <w:spacing w:after="240"/>
        <w:ind w:left="1440" w:hanging="720"/>
        <w:rPr>
          <w:iCs/>
        </w:rPr>
      </w:pPr>
      <w:r w:rsidRPr="00AC0350">
        <w:rPr>
          <w:iCs/>
        </w:rPr>
        <w:t>(e)</w:t>
      </w:r>
      <w:r w:rsidRPr="00AC0350">
        <w:rPr>
          <w:iCs/>
        </w:rPr>
        <w:tab/>
        <w:t xml:space="preserve">For any purchases made before June 8, 2023, the Market Participant or Entity applying for registration shall take reasonable and necessary actions to mitigate access to or control of its CEGE by a company known to the Entity to be an LSIPA Designated Company or an LSIPA Designated Country, excluding access specifically allowed by the Market Participant or Entity applying for registration for product warranty and support purposes, and shall report those actions to ERCOT on the form reflected in Section 23, Form S. </w:t>
      </w:r>
    </w:p>
    <w:p w14:paraId="1337E464" w14:textId="579BBDD6" w:rsidR="00461B44" w:rsidRPr="00AC0350" w:rsidRDefault="00461B44" w:rsidP="00461B44">
      <w:pPr>
        <w:spacing w:after="240"/>
        <w:ind w:left="720" w:hanging="720"/>
        <w:rPr>
          <w:iCs/>
        </w:rPr>
      </w:pPr>
      <w:r w:rsidRPr="00AC0350">
        <w:rPr>
          <w:iCs/>
        </w:rPr>
        <w:t>(2)</w:t>
      </w:r>
      <w:r w:rsidRPr="00AC0350">
        <w:rPr>
          <w:iCs/>
        </w:rPr>
        <w:tab/>
        <w:t>Market Participants and Entities applying for registration with ERCOT shall submit an initial report and attestation, on the form reflected in Section 23, Form S</w:t>
      </w:r>
      <w:r w:rsidRPr="007710BA">
        <w:rPr>
          <w:iCs/>
        </w:rPr>
        <w:t xml:space="preserve"> </w:t>
      </w:r>
      <w:r w:rsidRPr="00AC0350">
        <w:rPr>
          <w:iCs/>
        </w:rPr>
        <w:t>identifying any purchase described in paragraph (1) above that occurred during the following time periods:</w:t>
      </w:r>
    </w:p>
    <w:p w14:paraId="6241952F" w14:textId="77777777" w:rsidR="00461B44" w:rsidRPr="00AC0350" w:rsidRDefault="00461B44" w:rsidP="00461B44">
      <w:pPr>
        <w:spacing w:after="240"/>
        <w:ind w:left="1440" w:hanging="720"/>
        <w:rPr>
          <w:iCs/>
        </w:rPr>
      </w:pPr>
      <w:r w:rsidRPr="00AC0350">
        <w:rPr>
          <w:iCs/>
        </w:rPr>
        <w:t>(a)</w:t>
      </w:r>
      <w:r w:rsidRPr="00AC0350">
        <w:rPr>
          <w:iCs/>
        </w:rPr>
        <w:tab/>
        <w:t xml:space="preserve">For a Market Participant, purchase(s) that were made after June 18, 2021.  This initial report and attestation shall be submitted by October 28, 2024; </w:t>
      </w:r>
    </w:p>
    <w:p w14:paraId="09052982" w14:textId="77777777" w:rsidR="00461B44" w:rsidRPr="00AC0350" w:rsidRDefault="00461B44" w:rsidP="00461B44">
      <w:pPr>
        <w:spacing w:after="240"/>
        <w:ind w:left="1440" w:hanging="720"/>
        <w:rPr>
          <w:iCs/>
        </w:rPr>
      </w:pPr>
      <w:r w:rsidRPr="00AC0350">
        <w:rPr>
          <w:iCs/>
        </w:rPr>
        <w:t>(b)</w:t>
      </w:r>
      <w:r w:rsidRPr="00AC0350">
        <w:rPr>
          <w:iCs/>
        </w:rPr>
        <w:tab/>
        <w:t>For a Market Participant, purchase(s) that were made between June 8, 2018 through June 18, 2021.  This initial report and attestation shall be submitted by December 15, 2024; and</w:t>
      </w:r>
    </w:p>
    <w:p w14:paraId="26161640" w14:textId="77777777" w:rsidR="00461B44" w:rsidRPr="00AC0350" w:rsidRDefault="00461B44" w:rsidP="00461B44">
      <w:pPr>
        <w:spacing w:after="240"/>
        <w:ind w:left="1440" w:hanging="720"/>
        <w:rPr>
          <w:iCs/>
        </w:rPr>
      </w:pPr>
      <w:r w:rsidRPr="00AC0350">
        <w:rPr>
          <w:iCs/>
        </w:rPr>
        <w:t>(c)</w:t>
      </w:r>
      <w:r w:rsidRPr="00AC0350">
        <w:rPr>
          <w:iCs/>
        </w:rPr>
        <w:tab/>
        <w:t>For an Entity applying for registration with ERCOT, purchase(s) that were made within the five years preceding the date on which the Entity signed the Standard Form Agreement.  This initial report and attestation must be submitted before ERCOT may approve registration.</w:t>
      </w:r>
    </w:p>
    <w:p w14:paraId="38606DAB" w14:textId="77777777" w:rsidR="00461B44" w:rsidRPr="00AC0350" w:rsidRDefault="00461B44" w:rsidP="00461B44">
      <w:pPr>
        <w:spacing w:after="240"/>
        <w:ind w:left="720" w:hanging="720"/>
        <w:rPr>
          <w:iCs/>
        </w:rPr>
      </w:pPr>
      <w:r w:rsidRPr="00AC0350">
        <w:rPr>
          <w:iCs/>
        </w:rPr>
        <w:lastRenderedPageBreak/>
        <w:t>(3)</w:t>
      </w:r>
      <w:r w:rsidRPr="00AC0350">
        <w:rPr>
          <w:iCs/>
        </w:rPr>
        <w:tab/>
        <w:t xml:space="preserve">A Market Participant shall submit a report and attestation, on the form reflected in Section 23, Form S, identifying any purchase(s) described in paragraph (1) above that occur after the date(s) of the purchases reported pursuant to paragraph (2) above and that have not already been reported pursuant to this Section. </w:t>
      </w:r>
    </w:p>
    <w:p w14:paraId="665BF97C" w14:textId="77777777" w:rsidR="00461B44" w:rsidRPr="00AC0350" w:rsidRDefault="00461B44" w:rsidP="00461B44">
      <w:pPr>
        <w:spacing w:after="240"/>
        <w:ind w:left="720" w:hanging="720"/>
        <w:rPr>
          <w:iCs/>
        </w:rPr>
      </w:pPr>
      <w:bookmarkStart w:id="41" w:name="_Hlk155261380"/>
      <w:r w:rsidRPr="00AC0350">
        <w:rPr>
          <w:iCs/>
        </w:rPr>
        <w:t>(4)</w:t>
      </w:r>
      <w:r w:rsidRPr="00AC0350">
        <w:rPr>
          <w:iCs/>
        </w:rPr>
        <w:tab/>
        <w:t xml:space="preserve">Reports and attestations submitted pursuant to paragraph (3) above shall be submitted within 180 days of the date of the  purchase. </w:t>
      </w:r>
    </w:p>
    <w:p w14:paraId="0ED3520E" w14:textId="77777777" w:rsidR="00FC1C5F" w:rsidRDefault="00727E32" w:rsidP="00FE610C">
      <w:pPr>
        <w:pStyle w:val="H2"/>
      </w:pPr>
      <w:bookmarkStart w:id="42" w:name="_Toc175159105"/>
      <w:bookmarkEnd w:id="41"/>
      <w:r>
        <w:t>16.2</w:t>
      </w:r>
      <w:r>
        <w:tab/>
        <w:t>Registration and Qualification of Qualified Scheduling Entities</w:t>
      </w:r>
      <w:bookmarkEnd w:id="25"/>
      <w:bookmarkEnd w:id="26"/>
      <w:bookmarkEnd w:id="30"/>
      <w:bookmarkEnd w:id="31"/>
      <w:bookmarkEnd w:id="32"/>
      <w:bookmarkEnd w:id="33"/>
      <w:bookmarkEnd w:id="34"/>
      <w:bookmarkEnd w:id="35"/>
      <w:bookmarkEnd w:id="42"/>
    </w:p>
    <w:p w14:paraId="5BFF98A9" w14:textId="77777777" w:rsidR="00FC1C5F" w:rsidRDefault="00727E32">
      <w:pPr>
        <w:pStyle w:val="H3"/>
      </w:pPr>
      <w:bookmarkStart w:id="43" w:name="_Toc71369172"/>
      <w:bookmarkStart w:id="44" w:name="_Toc71539388"/>
      <w:bookmarkStart w:id="45" w:name="_Toc390438913"/>
      <w:bookmarkStart w:id="46" w:name="_Toc405897610"/>
      <w:bookmarkStart w:id="47" w:name="_Toc415055714"/>
      <w:bookmarkStart w:id="48" w:name="_Toc415055840"/>
      <w:bookmarkStart w:id="49" w:name="_Toc415055939"/>
      <w:bookmarkStart w:id="50" w:name="_Toc415056040"/>
      <w:bookmarkStart w:id="51" w:name="_Toc175159106"/>
      <w:r>
        <w:t>16.2.1</w:t>
      </w:r>
      <w:r>
        <w:tab/>
        <w:t>Criteria for Qualification as a Qualified Scheduling Entity</w:t>
      </w:r>
      <w:bookmarkEnd w:id="43"/>
      <w:bookmarkEnd w:id="44"/>
      <w:bookmarkEnd w:id="45"/>
      <w:bookmarkEnd w:id="46"/>
      <w:bookmarkEnd w:id="47"/>
      <w:bookmarkEnd w:id="48"/>
      <w:bookmarkEnd w:id="49"/>
      <w:bookmarkEnd w:id="50"/>
      <w:bookmarkEnd w:id="51"/>
      <w:r>
        <w:t xml:space="preserve"> </w:t>
      </w:r>
    </w:p>
    <w:p w14:paraId="7790605C" w14:textId="77777777" w:rsidR="00FC1C5F" w:rsidRDefault="00727E32">
      <w:pPr>
        <w:pStyle w:val="BodyText"/>
        <w:ind w:left="720" w:hanging="720"/>
      </w:pPr>
      <w:r>
        <w:t>(1)</w:t>
      </w:r>
      <w:r>
        <w:tab/>
        <w:t xml:space="preserve">To become and remain a </w:t>
      </w:r>
      <w:r w:rsidR="00BD6527">
        <w:t>Qualified Scheduling Entity (</w:t>
      </w:r>
      <w:r>
        <w:t>QSE</w:t>
      </w:r>
      <w:r w:rsidR="00BD6527">
        <w:t>)</w:t>
      </w:r>
      <w:r>
        <w:t>, an Entity must meet the following requirements:</w:t>
      </w:r>
    </w:p>
    <w:p w14:paraId="78CDA8DF" w14:textId="0FDD2B89" w:rsidR="00FC1C5F" w:rsidRDefault="00727E32">
      <w:pPr>
        <w:pStyle w:val="List"/>
      </w:pPr>
      <w:bookmarkStart w:id="52" w:name="_Hlk90904109"/>
      <w:r>
        <w:t>(a)</w:t>
      </w:r>
      <w:r>
        <w:tab/>
      </w:r>
      <w:r w:rsidR="00BB1306">
        <w:t>Submit a properly completed QSE application for qualification, including any applicable fee, necessary disclosures, and designation of Authorized Representatives, each of whom is responsible for administrative communications with the QSE and each of whom has enough authority to commit and bind the QSE and the Entities it represents;</w:t>
      </w:r>
      <w:bookmarkEnd w:id="52"/>
    </w:p>
    <w:p w14:paraId="035B326B" w14:textId="77777777" w:rsidR="0028005C" w:rsidRPr="00636B19" w:rsidRDefault="0028005C" w:rsidP="00373358">
      <w:pPr>
        <w:pStyle w:val="List"/>
      </w:pPr>
      <w:r>
        <w:t>(b)</w:t>
      </w:r>
      <w:r>
        <w:tab/>
      </w:r>
      <w:r w:rsidRPr="00636B19">
        <w:t>Comply with ERCOT’s background check process, as described in Section 16.2.1.1, QSE Background Check Process;</w:t>
      </w:r>
    </w:p>
    <w:p w14:paraId="5CA9EE83" w14:textId="075F89E0" w:rsidR="0028005C" w:rsidRDefault="0028005C" w:rsidP="00373358">
      <w:pPr>
        <w:pStyle w:val="List"/>
      </w:pPr>
      <w:r w:rsidRPr="003A5651">
        <w:t>(c)</w:t>
      </w:r>
      <w:r w:rsidRPr="003A5651">
        <w:tab/>
        <w:t xml:space="preserve">Demonstrate to ERCOT’s reasonable satisfaction that the Entity does not pose an </w:t>
      </w:r>
      <w:r w:rsidR="000475FE">
        <w:t>“</w:t>
      </w:r>
      <w:r w:rsidRPr="00804822">
        <w:t>Unreasonable Financial Risk</w:t>
      </w:r>
      <w:r w:rsidR="000475FE">
        <w:t>”</w:t>
      </w:r>
      <w:r w:rsidRPr="003A5651">
        <w:t>, as defined in this Section;</w:t>
      </w:r>
    </w:p>
    <w:p w14:paraId="04D4722B" w14:textId="1EB89368" w:rsidR="00FC1C5F" w:rsidRDefault="00727E32" w:rsidP="00FE610C">
      <w:pPr>
        <w:pStyle w:val="List"/>
      </w:pPr>
      <w:r>
        <w:t>(</w:t>
      </w:r>
      <w:r w:rsidR="0028005C">
        <w:t>d</w:t>
      </w:r>
      <w:r>
        <w:t>)</w:t>
      </w:r>
      <w:r>
        <w:tab/>
        <w:t xml:space="preserve">Sign a Standard Form Market Participant Agreement; </w:t>
      </w:r>
    </w:p>
    <w:p w14:paraId="652C9889" w14:textId="48B0AAB6" w:rsidR="00FC1C5F" w:rsidRDefault="00727E32">
      <w:pPr>
        <w:pStyle w:val="List"/>
      </w:pPr>
      <w:r>
        <w:t>(</w:t>
      </w:r>
      <w:r w:rsidR="0028005C">
        <w:t>e</w:t>
      </w:r>
      <w:r>
        <w:t>)</w:t>
      </w:r>
      <w:r>
        <w:tab/>
        <w:t xml:space="preserve">Sign any required Agreements relating to use of the ERCOT </w:t>
      </w:r>
      <w:r w:rsidR="00F52CAC">
        <w:t>Wide Area N</w:t>
      </w:r>
      <w:r>
        <w:t>etwork</w:t>
      </w:r>
      <w:r w:rsidR="00F52CAC">
        <w:t xml:space="preserve"> (WAN)</w:t>
      </w:r>
      <w:r>
        <w:t>, software, and systems;</w:t>
      </w:r>
    </w:p>
    <w:p w14:paraId="7AE4B375" w14:textId="55747E6E" w:rsidR="00FC1C5F" w:rsidRDefault="00727E32">
      <w:pPr>
        <w:pStyle w:val="List"/>
      </w:pPr>
      <w:r>
        <w:t>(</w:t>
      </w:r>
      <w:r w:rsidR="0028005C">
        <w:t>f</w:t>
      </w:r>
      <w:r>
        <w:t>)</w:t>
      </w:r>
      <w:r>
        <w:tab/>
        <w:t xml:space="preserve">Demonstrate to ERCOT’s reasonable satisfaction that the Entity is capable of performing the functions of a QSE; </w:t>
      </w:r>
    </w:p>
    <w:p w14:paraId="32C57ABA" w14:textId="45543E55" w:rsidR="00FC1C5F" w:rsidRDefault="00727E32">
      <w:pPr>
        <w:pStyle w:val="List"/>
      </w:pPr>
      <w:r>
        <w:t>(</w:t>
      </w:r>
      <w:r w:rsidR="0028005C">
        <w:t>g</w:t>
      </w:r>
      <w:r>
        <w:t>)</w:t>
      </w:r>
      <w:r>
        <w:tab/>
        <w:t xml:space="preserve">Demonstrate to ERCOT’s reasonable satisfaction that the Entity is capable of complying with the requirements of all ERCOT Protocols and Operating Guides; </w:t>
      </w:r>
    </w:p>
    <w:p w14:paraId="5D0208B6" w14:textId="19E00FC8" w:rsidR="00FC1C5F" w:rsidRDefault="00727E32">
      <w:pPr>
        <w:pStyle w:val="List"/>
      </w:pPr>
      <w:r>
        <w:t>(</w:t>
      </w:r>
      <w:r w:rsidR="0028005C">
        <w:t>h</w:t>
      </w:r>
      <w:r>
        <w:t>)</w:t>
      </w:r>
      <w:r>
        <w:tab/>
      </w:r>
      <w:r w:rsidR="00B55C27" w:rsidRPr="00F52CAC">
        <w:t>Satisfy ERCOT’s creditworthiness requirements as set forth in this Section, unless exempted from these requirements by Section 16.17, Exemption for Qualified Scheduling Entities Participating Only in Emergency Response Service;</w:t>
      </w:r>
    </w:p>
    <w:p w14:paraId="32151179" w14:textId="1A9E7DC0" w:rsidR="00FC1C5F" w:rsidRDefault="00727E32" w:rsidP="00D9080F">
      <w:pPr>
        <w:pStyle w:val="List"/>
      </w:pPr>
      <w:r>
        <w:t>(</w:t>
      </w:r>
      <w:r w:rsidR="0028005C">
        <w:t>i</w:t>
      </w:r>
      <w:r>
        <w:t>)</w:t>
      </w:r>
      <w:r>
        <w:tab/>
        <w:t>Be generally able to pay its debts as they come due</w:t>
      </w:r>
      <w:r w:rsidR="008458E2">
        <w:t>.</w:t>
      </w:r>
      <w:r>
        <w:t xml:space="preserve"> </w:t>
      </w:r>
      <w:r w:rsidR="008458E2">
        <w:t xml:space="preserve"> </w:t>
      </w:r>
      <w:r>
        <w:t>ERCOT may request evidence of compliance with this qualification only if ERCOT reasonably believes that a QSE is failing to comply with it;</w:t>
      </w:r>
    </w:p>
    <w:p w14:paraId="6D4C2340" w14:textId="0BAFBB19" w:rsidR="00FC1C5F" w:rsidRDefault="00727E32">
      <w:pPr>
        <w:pStyle w:val="List"/>
      </w:pPr>
      <w:r>
        <w:lastRenderedPageBreak/>
        <w:t>(</w:t>
      </w:r>
      <w:r w:rsidR="0028005C">
        <w:t>j</w:t>
      </w:r>
      <w:r>
        <w:t>)</w:t>
      </w:r>
      <w:r>
        <w:tab/>
        <w:t xml:space="preserve">Provide all necessary bank account information and arrange for Fedwire system transfers for two-way confirmation; </w:t>
      </w:r>
    </w:p>
    <w:p w14:paraId="1CF1355B" w14:textId="2D13915E" w:rsidR="00FC1C5F" w:rsidRDefault="00727E32">
      <w:pPr>
        <w:pStyle w:val="List"/>
      </w:pPr>
      <w:r>
        <w:t>(</w:t>
      </w:r>
      <w:r w:rsidR="0028005C">
        <w:t>k</w:t>
      </w:r>
      <w:r>
        <w:t>)</w:t>
      </w:r>
      <w:r>
        <w:tab/>
        <w:t xml:space="preserve">Be financially responsible for payment of </w:t>
      </w:r>
      <w:r w:rsidR="007349BB">
        <w:t>S</w:t>
      </w:r>
      <w:r>
        <w:t>ettlement charges for those Entities it represents under these Protocols;</w:t>
      </w:r>
    </w:p>
    <w:p w14:paraId="1AC60F76" w14:textId="77777777" w:rsidR="007642E6" w:rsidRDefault="007642E6" w:rsidP="007642E6">
      <w:pPr>
        <w:pStyle w:val="List"/>
      </w:pPr>
      <w:r>
        <w:t>(l)</w:t>
      </w:r>
      <w:r>
        <w:tab/>
        <w:t xml:space="preserve">Submit an executed ERCOT Private Wide Area Network (WAN) Agreement under Section 23, Form K, Wide Area Network (WAN) Agreement, for WAN Participants; </w:t>
      </w:r>
    </w:p>
    <w:p w14:paraId="6C989522" w14:textId="535F7A23" w:rsidR="00FC1C5F" w:rsidRDefault="00727E32">
      <w:pPr>
        <w:pStyle w:val="List"/>
      </w:pPr>
      <w:r>
        <w:t>(</w:t>
      </w:r>
      <w:r w:rsidR="007642E6">
        <w:t>m</w:t>
      </w:r>
      <w:r>
        <w:t>)</w:t>
      </w:r>
      <w:r>
        <w:tab/>
        <w:t>Comply with the backup plan requirements</w:t>
      </w:r>
      <w:r w:rsidR="007642E6" w:rsidRPr="007642E6">
        <w:t xml:space="preserve"> </w:t>
      </w:r>
      <w:r w:rsidR="007642E6" w:rsidRPr="0007138D">
        <w:t>for WAN Participants, if applicable,</w:t>
      </w:r>
      <w:r>
        <w:t xml:space="preserve"> in </w:t>
      </w:r>
      <w:r w:rsidR="007642E6">
        <w:t xml:space="preserve">accordance with </w:t>
      </w:r>
      <w:r>
        <w:t xml:space="preserve">the Operating Guides; </w:t>
      </w:r>
    </w:p>
    <w:p w14:paraId="349E3895" w14:textId="14971680" w:rsidR="00FC1C5F" w:rsidRDefault="00727E32">
      <w:pPr>
        <w:pStyle w:val="List"/>
        <w:rPr>
          <w:b/>
        </w:rPr>
      </w:pPr>
      <w:r>
        <w:t>(</w:t>
      </w:r>
      <w:r w:rsidR="007642E6">
        <w:t>n</w:t>
      </w:r>
      <w:r>
        <w:t>)</w:t>
      </w:r>
      <w:r>
        <w:tab/>
      </w:r>
      <w:bookmarkStart w:id="53" w:name="_Hlk147130589"/>
      <w:r w:rsidR="007642E6">
        <w:rPr>
          <w:szCs w:val="24"/>
        </w:rPr>
        <w:t>D</w:t>
      </w:r>
      <w:r w:rsidR="007642E6">
        <w:t xml:space="preserve">emonstrate to ERCOT’s reasonable satisfaction that the Entity can </w:t>
      </w:r>
      <w:bookmarkEnd w:id="53"/>
      <w:r w:rsidR="007642E6">
        <w:t>m</w:t>
      </w:r>
      <w:r w:rsidR="00EE1CAB" w:rsidRPr="000021D0">
        <w:t xml:space="preserve">aintain a 24-hour, seven-day-per-week </w:t>
      </w:r>
      <w:r w:rsidR="007642E6">
        <w:t>control or operations</w:t>
      </w:r>
      <w:r w:rsidR="00EE1CAB" w:rsidRPr="000021D0">
        <w:t xml:space="preserve"> center with qualified personnel for the purposes of communicating with ERCOT </w:t>
      </w:r>
      <w:r w:rsidR="00EE1CAB">
        <w:t>relating to</w:t>
      </w:r>
      <w:r w:rsidR="00EE1CAB" w:rsidRPr="000021D0">
        <w:t xml:space="preserve"> Day-Ahead and Operating Day exchange of market and operational obligations.  </w:t>
      </w:r>
      <w:r w:rsidR="007642E6">
        <w:t>This requirement applies to QSEs that are WAN Participants.</w:t>
      </w:r>
      <w:r w:rsidR="007642E6" w:rsidRPr="00F90BA1">
        <w:rPr>
          <w:szCs w:val="24"/>
        </w:rPr>
        <w:t xml:space="preserve"> </w:t>
      </w:r>
      <w:r w:rsidR="007642E6">
        <w:rPr>
          <w:szCs w:val="24"/>
        </w:rPr>
        <w:t xml:space="preserve"> C</w:t>
      </w:r>
      <w:r w:rsidR="007642E6">
        <w:t>ontrol or operations</w:t>
      </w:r>
      <w:r w:rsidR="007642E6" w:rsidRPr="000021D0">
        <w:t xml:space="preserve"> center</w:t>
      </w:r>
      <w:r w:rsidR="00EE1CAB" w:rsidRPr="000021D0">
        <w:t xml:space="preserve"> personnel must be responsible for operational communications and must have sufficient authority to commit and bind the QSE and the Entities that it represents;</w:t>
      </w:r>
    </w:p>
    <w:p w14:paraId="34ED7017" w14:textId="7BAAB496" w:rsidR="00FC1C5F" w:rsidRDefault="00727E32" w:rsidP="00350FB0">
      <w:pPr>
        <w:pStyle w:val="List"/>
      </w:pPr>
      <w:r>
        <w:t>(</w:t>
      </w:r>
      <w:r w:rsidR="0028005C">
        <w:t>o</w:t>
      </w:r>
      <w:r>
        <w:t>)</w:t>
      </w:r>
      <w:r>
        <w:tab/>
        <w:t>Demonstrate and maintain a working functional interface with all required ERCOT computer systems;</w:t>
      </w:r>
    </w:p>
    <w:p w14:paraId="13F1F288" w14:textId="476FD3B8" w:rsidR="00FC1C5F" w:rsidRDefault="00727E32">
      <w:pPr>
        <w:pStyle w:val="List"/>
      </w:pPr>
      <w:r>
        <w:t>(</w:t>
      </w:r>
      <w:r w:rsidR="0028005C">
        <w:t>p</w:t>
      </w:r>
      <w:r>
        <w:t>)</w:t>
      </w:r>
      <w:r>
        <w:tab/>
        <w:t>Allow ERCOT, upon reasonable notice, to conduct a site visit to verify information provided by the QSE</w:t>
      </w:r>
      <w:r w:rsidR="00F52CAC">
        <w:t>; and</w:t>
      </w:r>
    </w:p>
    <w:p w14:paraId="35D83FAD" w14:textId="45946DCE" w:rsidR="00F52CAC" w:rsidRDefault="00F52CAC">
      <w:pPr>
        <w:pStyle w:val="List"/>
      </w:pPr>
      <w:r>
        <w:t>(</w:t>
      </w:r>
      <w:r w:rsidR="0028005C">
        <w:t>q</w:t>
      </w:r>
      <w:r>
        <w:t>)</w:t>
      </w:r>
      <w:r>
        <w:tab/>
      </w:r>
      <w:r w:rsidRPr="000C7BD5">
        <w:t xml:space="preserve">If a QSE represents a Resource Entity, Emergency Response Service (ERS) Resource, or another QSE and receives or transmits WAN Data, it must maintain connection to a Secure Private Network (SPN) </w:t>
      </w:r>
      <w:r>
        <w:t xml:space="preserve">or equivalent network </w:t>
      </w:r>
      <w:r w:rsidRPr="000C7BD5">
        <w:t>as described in Nodal Operating Guide Section 7</w:t>
      </w:r>
      <w:r>
        <w:t>.1.2</w:t>
      </w:r>
      <w:r w:rsidRPr="000C7BD5">
        <w:t xml:space="preserve">, </w:t>
      </w:r>
      <w:r>
        <w:t>WAN Participant Responsibilities</w:t>
      </w:r>
      <w:r w:rsidRPr="000C7BD5">
        <w:t xml:space="preserve">.  </w:t>
      </w:r>
    </w:p>
    <w:p w14:paraId="43F20C85" w14:textId="78F9B1B0" w:rsidR="00FC1C5F" w:rsidRDefault="00727E32">
      <w:pPr>
        <w:pStyle w:val="BodyTextNumbered"/>
      </w:pPr>
      <w:r>
        <w:t>(2)</w:t>
      </w:r>
      <w:r>
        <w:tab/>
        <w:t xml:space="preserve">If a QSE chooses to use </w:t>
      </w:r>
      <w:r w:rsidR="007349BB">
        <w:t>E</w:t>
      </w:r>
      <w:r>
        <w:t xml:space="preserve">lectronic </w:t>
      </w:r>
      <w:r w:rsidR="007349BB">
        <w:t>D</w:t>
      </w:r>
      <w:r>
        <w:t xml:space="preserve">ata </w:t>
      </w:r>
      <w:r w:rsidR="007349BB">
        <w:t>I</w:t>
      </w:r>
      <w:r>
        <w:t xml:space="preserve">nterchange (EDI) transactions to receive Settlement Statements and Invoices, it must participate in and successfully complete testing as described in Section </w:t>
      </w:r>
      <w:r w:rsidR="007349BB">
        <w:t>19.8</w:t>
      </w:r>
      <w:r>
        <w:t>, Retail Market Testing, before starting operations with ERCOT as a QSE.</w:t>
      </w:r>
    </w:p>
    <w:p w14:paraId="504A4C00" w14:textId="13436EA2" w:rsidR="0028005C" w:rsidRPr="000046B5" w:rsidRDefault="0028005C" w:rsidP="0028005C">
      <w:pPr>
        <w:pStyle w:val="BodyTextNumbered"/>
      </w:pPr>
      <w:bookmarkStart w:id="54" w:name="_Hlk90904129"/>
      <w:r>
        <w:t>(3)</w:t>
      </w:r>
      <w:r>
        <w:tab/>
      </w:r>
      <w:bookmarkStart w:id="55" w:name="_Hlk130290091"/>
      <w:r w:rsidRPr="00440DBF">
        <w:rPr>
          <w:rFonts w:eastAsiaTheme="minorHAnsi"/>
          <w:szCs w:val="24"/>
        </w:rPr>
        <w:t xml:space="preserve">A QSE must be able to demonstrate to ERCOT’s reasonable satisfaction that it does not pose an </w:t>
      </w:r>
      <w:r>
        <w:rPr>
          <w:rFonts w:eastAsiaTheme="minorHAnsi"/>
          <w:szCs w:val="24"/>
        </w:rPr>
        <w:t>U</w:t>
      </w:r>
      <w:r w:rsidRPr="00440DBF">
        <w:rPr>
          <w:rFonts w:eastAsiaTheme="minorHAnsi"/>
          <w:szCs w:val="24"/>
        </w:rPr>
        <w:t xml:space="preserve">nreasonable </w:t>
      </w:r>
      <w:r>
        <w:rPr>
          <w:rFonts w:eastAsiaTheme="minorHAnsi"/>
          <w:szCs w:val="24"/>
        </w:rPr>
        <w:t>Financial</w:t>
      </w:r>
      <w:r w:rsidRPr="00440DBF">
        <w:rPr>
          <w:rFonts w:eastAsiaTheme="minorHAnsi"/>
          <w:szCs w:val="24"/>
        </w:rPr>
        <w:t xml:space="preserve"> </w:t>
      </w:r>
      <w:r>
        <w:rPr>
          <w:rFonts w:eastAsiaTheme="minorHAnsi"/>
          <w:szCs w:val="24"/>
        </w:rPr>
        <w:t>R</w:t>
      </w:r>
      <w:r w:rsidRPr="00440DBF">
        <w:rPr>
          <w:rFonts w:eastAsiaTheme="minorHAnsi"/>
          <w:szCs w:val="24"/>
        </w:rPr>
        <w:t>isk</w:t>
      </w:r>
      <w:r>
        <w:rPr>
          <w:rFonts w:eastAsiaTheme="minorHAnsi"/>
          <w:szCs w:val="24"/>
        </w:rPr>
        <w:t>.</w:t>
      </w:r>
      <w:r>
        <w:t xml:space="preserve"> </w:t>
      </w:r>
      <w:r w:rsidRPr="00440DBF">
        <w:rPr>
          <w:rFonts w:eastAsiaTheme="minorHAnsi"/>
          <w:szCs w:val="24"/>
        </w:rPr>
        <w:t xml:space="preserve"> </w:t>
      </w:r>
      <w:r w:rsidRPr="002C6C1A">
        <w:rPr>
          <w:rFonts w:eastAsiaTheme="minorHAnsi"/>
          <w:szCs w:val="24"/>
        </w:rPr>
        <w:t xml:space="preserve">Unreasonable </w:t>
      </w:r>
      <w:r>
        <w:rPr>
          <w:rFonts w:eastAsiaTheme="minorHAnsi"/>
          <w:szCs w:val="24"/>
        </w:rPr>
        <w:t>Financial</w:t>
      </w:r>
      <w:r w:rsidRPr="002C6C1A">
        <w:rPr>
          <w:rFonts w:eastAsiaTheme="minorHAnsi"/>
          <w:szCs w:val="24"/>
        </w:rPr>
        <w:t xml:space="preserve"> Risk</w:t>
      </w:r>
      <w:r>
        <w:rPr>
          <w:rFonts w:eastAsiaTheme="minorHAnsi"/>
          <w:szCs w:val="24"/>
        </w:rPr>
        <w:t xml:space="preserve"> </w:t>
      </w:r>
      <w:r w:rsidRPr="002C6C1A">
        <w:rPr>
          <w:rFonts w:eastAsiaTheme="minorHAnsi"/>
          <w:szCs w:val="24"/>
        </w:rPr>
        <w:t>as used in Section</w:t>
      </w:r>
      <w:r>
        <w:rPr>
          <w:rFonts w:eastAsiaTheme="minorHAnsi"/>
          <w:szCs w:val="24"/>
        </w:rPr>
        <w:t xml:space="preserve"> 16, Registration and Qualification of Market </w:t>
      </w:r>
      <w:r w:rsidRPr="00154BB0">
        <w:rPr>
          <w:rFonts w:eastAsiaTheme="minorHAnsi"/>
          <w:szCs w:val="24"/>
        </w:rPr>
        <w:t>Participants, is a risk of financial default posed</w:t>
      </w:r>
      <w:r w:rsidRPr="00154BB0">
        <w:t xml:space="preserve"> </w:t>
      </w:r>
      <w:r w:rsidRPr="00154BB0">
        <w:rPr>
          <w:rFonts w:eastAsiaTheme="minorHAnsi"/>
          <w:szCs w:val="24"/>
        </w:rPr>
        <w:t>to ERCOT or its Market Participants by participation of an Entity or its Principals in the ERCOT market.  Indicators of Unreasonable Financial Risk may include, but are not limited to: past market manipulation, trading violations, or other finance-related violations based upon a final adjudication in state or federal regulatory or legal proceedings; financial defaults in ERCOT or other energy markets resulting in lo</w:t>
      </w:r>
      <w:r>
        <w:rPr>
          <w:rFonts w:eastAsiaTheme="minorHAnsi"/>
          <w:szCs w:val="24"/>
        </w:rPr>
        <w:t>s</w:t>
      </w:r>
      <w:r w:rsidRPr="00154BB0">
        <w:rPr>
          <w:rFonts w:eastAsiaTheme="minorHAnsi"/>
          <w:szCs w:val="24"/>
        </w:rPr>
        <w:t>ses or uplifts; indications of imminent bankruptcy or insolvency</w:t>
      </w:r>
      <w:r>
        <w:rPr>
          <w:rFonts w:eastAsiaTheme="minorHAnsi"/>
          <w:szCs w:val="24"/>
        </w:rPr>
        <w:t xml:space="preserve">, or other past civil judgement </w:t>
      </w:r>
      <w:r>
        <w:rPr>
          <w:rFonts w:eastAsiaTheme="minorHAnsi"/>
          <w:szCs w:val="24"/>
        </w:rPr>
        <w:lastRenderedPageBreak/>
        <w:t>or criminal conviction that reflects problematic behavior on the part of the Entity or its Principals</w:t>
      </w:r>
      <w:r w:rsidRPr="00154BB0">
        <w:rPr>
          <w:rFonts w:eastAsiaTheme="minorHAnsi"/>
          <w:szCs w:val="24"/>
        </w:rPr>
        <w:t>.</w:t>
      </w:r>
      <w:bookmarkEnd w:id="55"/>
    </w:p>
    <w:p w14:paraId="32423C72" w14:textId="20D32823" w:rsidR="00BB1306" w:rsidRDefault="00BB1306" w:rsidP="00BB1306">
      <w:pPr>
        <w:pStyle w:val="BodyTextNumbered"/>
      </w:pPr>
      <w:r>
        <w:t>(</w:t>
      </w:r>
      <w:r w:rsidR="0028005C">
        <w:t>4</w:t>
      </w:r>
      <w:r>
        <w:t>)</w:t>
      </w:r>
      <w:r>
        <w:tab/>
        <w:t>A QSE or QSE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QSE or QSE applicant who were Principals of the other Entity at a time during which the unpaid financial obligation remained owing to ERCOT or during the 120-day period prior to the date on which the unpaid financial obligation first became due and owing to ERCOT.</w:t>
      </w:r>
    </w:p>
    <w:p w14:paraId="1E22A5E0" w14:textId="36D016F2" w:rsidR="00BB1306" w:rsidRDefault="00BB1306" w:rsidP="00BB1306">
      <w:pPr>
        <w:pStyle w:val="BodyTextNumbered"/>
      </w:pPr>
      <w:r>
        <w:t>(</w:t>
      </w:r>
      <w:r w:rsidR="0028005C">
        <w:t>5</w:t>
      </w:r>
      <w:r>
        <w:t>)</w:t>
      </w:r>
      <w:r>
        <w:tab/>
        <w:t xml:space="preserve">If any of a QSE’s or QSE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 </w:t>
      </w:r>
      <w:r w:rsidRPr="00530DEE">
        <w:t xml:space="preserve">QSE </w:t>
      </w:r>
      <w:r>
        <w:t>to remain, or QSE applicant to become, a registered QSE.  For purposes of this Section, ERCOT will only consider as disqualifying those Principals of the QSE or QSE applicant who were Principals of the other Entity at a time during which the other Entity was not current on its payment obligation for Default Uplift Invoices or 120 days prior to the date the other Entity first failed to pay a Default Uplift Invoice.</w:t>
      </w:r>
    </w:p>
    <w:p w14:paraId="37D71E3D" w14:textId="3A17641D" w:rsidR="00FC1C5F" w:rsidRDefault="00727E32" w:rsidP="00FE610C">
      <w:pPr>
        <w:pStyle w:val="BodyTextNumbered"/>
      </w:pPr>
      <w:bookmarkStart w:id="56" w:name="_Hlk90904142"/>
      <w:bookmarkEnd w:id="54"/>
      <w:r>
        <w:t>(</w:t>
      </w:r>
      <w:r w:rsidR="0028005C">
        <w:t>6</w:t>
      </w:r>
      <w:r>
        <w:t>)</w:t>
      </w:r>
      <w:r>
        <w:tab/>
      </w:r>
      <w:r w:rsidR="00BB1306">
        <w:t xml:space="preserve">A QSE shall promptly notify ERCOT of any change that a reasonable examiner may deem material to the QSE’s ability to continue to meet the requirements set forth in this Section, and any material change in the information provided by the QSE to ERCOT that may adversely affect the reliability or safety of the ERCOT System or the financial security of ERCOT.  </w:t>
      </w:r>
      <w:r w:rsidR="00BB1306" w:rsidRPr="00EC565B">
        <w:t>This includes any changes in the Principals of the QSE.</w:t>
      </w:r>
      <w:r w:rsidR="00BB1306">
        <w:t xml:space="preserve">  If the QSE fails to so notify ERCOT of such change </w:t>
      </w:r>
      <w:r w:rsidR="00BB1306" w:rsidRPr="00E231EE">
        <w:t xml:space="preserve">within </w:t>
      </w:r>
      <w:r w:rsidR="00BB1306" w:rsidRPr="000D340C">
        <w:t xml:space="preserve">two Business </w:t>
      </w:r>
      <w:r w:rsidR="00BB1306" w:rsidRPr="00CF54FA">
        <w:t>D</w:t>
      </w:r>
      <w:r w:rsidR="00BB1306" w:rsidRPr="00DF09AE">
        <w:t>ays</w:t>
      </w:r>
      <w:r w:rsidR="00BB1306">
        <w:t xml:space="preserve"> after becoming aware of the change, then ERCOT may, after providing notice to each Entity represented by the QSE, refuse to allow the QSE to perform as a QSE and take any other action ERCOT deems appropriate, in its sole discretion, to prevent ERCOT or Market Participants from bearing potential or actual risks, financial or otherwise, arising from those changes, and in accordance with these Protocols.</w:t>
      </w:r>
      <w:r w:rsidR="00BB1306" w:rsidDel="00BB1306">
        <w:t xml:space="preserve"> </w:t>
      </w:r>
      <w:bookmarkEnd w:id="56"/>
      <w:r>
        <w:t xml:space="preserve"> </w:t>
      </w:r>
    </w:p>
    <w:p w14:paraId="52AFCE6B" w14:textId="5F3F13FE" w:rsidR="00FC1C5F" w:rsidRDefault="00727E32" w:rsidP="00FE610C">
      <w:pPr>
        <w:pStyle w:val="List"/>
        <w:ind w:left="720"/>
      </w:pPr>
      <w:r>
        <w:t>(</w:t>
      </w:r>
      <w:r w:rsidR="0028005C">
        <w:t>7</w:t>
      </w:r>
      <w:r>
        <w:t>)</w:t>
      </w:r>
      <w:r>
        <w:tab/>
        <w:t xml:space="preserve">Subject to the following provisions of this </w:t>
      </w:r>
      <w:r w:rsidR="004E101F">
        <w:t>paragraph</w:t>
      </w:r>
      <w:r>
        <w:t xml:space="preserve">, a QSE may partition itself into any number of subordinate QSEs (“Subordinate QSEs”).  </w:t>
      </w:r>
      <w:r>
        <w:rPr>
          <w:color w:val="000000"/>
        </w:rPr>
        <w:t>If a single Entity requests to partition itself into more than four Subordinate QSEs, ERCOT may implement the request subject to ERCOT’s reasonable determination that the additional requested Subordinate QSEs will not be likely to overburden ERCOT’s staffing or systems.  ERCOT shall adopt an implementation plan allowing phased-in registration for these additional Subordinate QSEs in order to mitigate system or staffing impacts.  However, ERCOT may not unreasonably delay that registration.</w:t>
      </w:r>
      <w:r>
        <w:t xml:space="preserve"> </w:t>
      </w:r>
    </w:p>
    <w:p w14:paraId="3D8ECAEB" w14:textId="3F860E7C" w:rsidR="00FC1C5F" w:rsidRDefault="00727E32">
      <w:pPr>
        <w:pStyle w:val="BodyTextNumbered"/>
      </w:pPr>
      <w:r>
        <w:t>(</w:t>
      </w:r>
      <w:r w:rsidR="0028005C">
        <w:t>8</w:t>
      </w:r>
      <w:r>
        <w:t>)</w:t>
      </w:r>
      <w:r>
        <w:tab/>
        <w:t xml:space="preserve">Each Subordinate QSE must be treated as an individual QSE for all purposes including communications and control functions except for liability, financial security, and financial liability requirements under this Section.  That liability, financial security, and </w:t>
      </w:r>
      <w:r>
        <w:lastRenderedPageBreak/>
        <w:t xml:space="preserve">financial liability is cumulative for all Subordinate QSEs for the single Entity signing the QSE Agreement.    </w:t>
      </w:r>
    </w:p>
    <w:p w14:paraId="700AF157" w14:textId="3E23BCF7" w:rsidR="00747E08" w:rsidRDefault="00727E32">
      <w:pPr>
        <w:pStyle w:val="BodyTextNumbered"/>
      </w:pPr>
      <w:r>
        <w:t>(</w:t>
      </w:r>
      <w:r w:rsidR="0028005C">
        <w:t>9</w:t>
      </w:r>
      <w:r>
        <w:t>)</w:t>
      </w:r>
      <w:r>
        <w:tab/>
        <w:t>Continued qualification as a QSE is contingent upon compliance with all applicable requirements in these Protocols.  ERCOT may suspend a QSE’s rights as a Market Participant when ERCOT reasonably determines that it is an appropriate remedy for the Entity’s failure to satisfy any applicable requirement.</w:t>
      </w:r>
    </w:p>
    <w:p w14:paraId="2A0B705D" w14:textId="5E522232" w:rsidR="00FC1C5F" w:rsidRDefault="00747E08">
      <w:pPr>
        <w:pStyle w:val="BodyTextNumbered"/>
      </w:pPr>
      <w:r w:rsidRPr="00747E08">
        <w:t>(</w:t>
      </w:r>
      <w:r w:rsidR="0028005C">
        <w:t>10</w:t>
      </w:r>
      <w:r w:rsidRPr="00747E08">
        <w:t>)</w:t>
      </w:r>
      <w:r w:rsidRPr="00747E08">
        <w:tab/>
        <w:t>Each QSE</w:t>
      </w:r>
      <w:r w:rsidR="007642E6" w:rsidRPr="007642E6">
        <w:t xml:space="preserve"> </w:t>
      </w:r>
      <w:r w:rsidR="007642E6">
        <w:t>that is a WAN Participant</w:t>
      </w:r>
      <w:r w:rsidRPr="00747E08">
        <w:t>, or its designated QSE agent, shall maintain 24-hour, seven-day-per-week operations and Hotline communications with ERCOT</w:t>
      </w:r>
      <w:r w:rsidR="007642E6">
        <w:t xml:space="preserve"> and</w:t>
      </w:r>
      <w:r w:rsidRPr="00747E08">
        <w:t xml:space="preserve"> answer each QSE Hotline call.</w:t>
      </w:r>
    </w:p>
    <w:p w14:paraId="6C6B9206" w14:textId="77777777" w:rsidR="0028005C" w:rsidRPr="0028005C" w:rsidRDefault="0028005C" w:rsidP="0028005C">
      <w:pPr>
        <w:pStyle w:val="H4"/>
        <w:rPr>
          <w:b/>
        </w:rPr>
      </w:pPr>
      <w:bookmarkStart w:id="57" w:name="_Toc175159107"/>
      <w:r w:rsidRPr="0028005C">
        <w:rPr>
          <w:b/>
        </w:rPr>
        <w:t>16.2.1.1</w:t>
      </w:r>
      <w:r w:rsidRPr="0028005C">
        <w:rPr>
          <w:b/>
        </w:rPr>
        <w:tab/>
        <w:t>QSE Background Check Process</w:t>
      </w:r>
      <w:bookmarkEnd w:id="57"/>
    </w:p>
    <w:p w14:paraId="75CDE909" w14:textId="77777777" w:rsidR="0028005C" w:rsidRPr="00636B19" w:rsidRDefault="0028005C" w:rsidP="0028005C">
      <w:pPr>
        <w:spacing w:after="240"/>
        <w:ind w:left="720" w:hanging="720"/>
      </w:pPr>
      <w:r w:rsidRPr="00636B19">
        <w:t>(1)</w:t>
      </w:r>
      <w:r w:rsidRPr="00636B19">
        <w:tab/>
        <w:t xml:space="preserve">A QSE applicant must satisfy a background check as a part of the ERCOT registration process.  </w:t>
      </w:r>
      <w:r>
        <w:t xml:space="preserve">All background checks will be performed by a third-party acting on ERCOT’s behalf.  </w:t>
      </w:r>
      <w:r w:rsidRPr="00636B19">
        <w:t xml:space="preserve">Upon ERCOT’s request, a registered QSE may be required to satisfy a background check as a condition of maintaining its ERCOT registration.  </w:t>
      </w:r>
    </w:p>
    <w:p w14:paraId="7771FE05" w14:textId="77777777" w:rsidR="0028005C" w:rsidRPr="00636B19" w:rsidRDefault="0028005C" w:rsidP="0028005C">
      <w:pPr>
        <w:spacing w:after="240"/>
        <w:ind w:left="720" w:hanging="720"/>
      </w:pPr>
      <w:r w:rsidRPr="00636B19">
        <w:t>(2)</w:t>
      </w:r>
      <w:r w:rsidRPr="00636B19">
        <w:tab/>
        <w:t>A QSE</w:t>
      </w:r>
      <w:r>
        <w:t>, QSE applicants, and their Principals,</w:t>
      </w:r>
      <w:r w:rsidRPr="00636B19">
        <w:t xml:space="preserve"> will provide the following disclosures to complete a QSE background check:</w:t>
      </w:r>
    </w:p>
    <w:p w14:paraId="6B2AFA7A" w14:textId="77777777" w:rsidR="0028005C" w:rsidRPr="00636B19" w:rsidRDefault="0028005C" w:rsidP="0028005C">
      <w:pPr>
        <w:spacing w:after="240"/>
        <w:ind w:left="1440" w:hanging="720"/>
      </w:pPr>
      <w:r w:rsidRPr="00636B19">
        <w:t>(a)</w:t>
      </w:r>
      <w:r w:rsidRPr="00636B19">
        <w:tab/>
        <w:t xml:space="preserve">Any </w:t>
      </w:r>
      <w:r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p>
    <w:p w14:paraId="6AD8137A" w14:textId="41C7BC31" w:rsidR="0028005C" w:rsidRPr="00636B19" w:rsidRDefault="0028005C" w:rsidP="0028005C">
      <w:pPr>
        <w:spacing w:after="240"/>
        <w:ind w:left="1440" w:hanging="720"/>
      </w:pPr>
      <w:r w:rsidRPr="00636B19">
        <w:t>(b)</w:t>
      </w:r>
      <w:r w:rsidRPr="00636B19">
        <w:tab/>
        <w:t xml:space="preserve">Any </w:t>
      </w:r>
      <w:r w:rsidRPr="00154BB0">
        <w:t xml:space="preserve">complaint, </w:t>
      </w:r>
      <w:r>
        <w:t xml:space="preserve">formal </w:t>
      </w:r>
      <w:r w:rsidRPr="00154BB0">
        <w:t xml:space="preserve">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the Securities and Exchange Commission (SEC), Commodit</w:t>
      </w:r>
      <w:r w:rsidR="006F1A53">
        <w:t>y</w:t>
      </w:r>
      <w:r w:rsidRPr="00154BB0">
        <w:t xml:space="preserve"> Futures Trading Commission (CFTC), Federal Energy Regulatory Commission (FERC), a self-regulatory organization, Independent System Operator or Regional Transmission Organization, or a state public utility commission or securities board </w:t>
      </w:r>
      <w:r>
        <w:t xml:space="preserve">directly </w:t>
      </w:r>
      <w:r w:rsidRPr="00154BB0">
        <w:t xml:space="preserve">involving the </w:t>
      </w:r>
      <w:r>
        <w:t xml:space="preserve">actions of the </w:t>
      </w:r>
      <w:r w:rsidRPr="00154BB0">
        <w:t>applicant, its predecessors, Affiliates, or Principals within the last ten years;</w:t>
      </w:r>
    </w:p>
    <w:p w14:paraId="7E702494" w14:textId="461EC2B1" w:rsidR="0028005C" w:rsidRPr="00636B19" w:rsidRDefault="0028005C" w:rsidP="0028005C">
      <w:pPr>
        <w:spacing w:after="240"/>
        <w:ind w:left="1440" w:hanging="720"/>
      </w:pPr>
      <w:r w:rsidRPr="00636B19">
        <w:t>(c)</w:t>
      </w:r>
      <w:r w:rsidRPr="00636B19">
        <w:tab/>
        <w:t xml:space="preserve">Any </w:t>
      </w:r>
      <w:r w:rsidRPr="00154BB0">
        <w:t xml:space="preserve">default involving the applicant, its predecessors, Affiliates, or Principals, </w:t>
      </w:r>
      <w:r w:rsidRPr="00E76955">
        <w:t xml:space="preserve">that impacted or revoked the </w:t>
      </w:r>
      <w:r w:rsidRPr="00154BB0">
        <w:t>right</w:t>
      </w:r>
      <w:r w:rsidRPr="00636B19">
        <w:t xml:space="preserve"> to operate in any other energy market within the last ten years;</w:t>
      </w:r>
    </w:p>
    <w:p w14:paraId="2F384C4F" w14:textId="23044E78" w:rsidR="0028005C" w:rsidRPr="00636B19" w:rsidRDefault="0028005C" w:rsidP="0028005C">
      <w:pPr>
        <w:spacing w:after="240"/>
        <w:ind w:left="1440" w:hanging="720"/>
      </w:pPr>
      <w:r w:rsidRPr="00636B19">
        <w:t>(d)</w:t>
      </w:r>
      <w:r w:rsidRPr="00636B19">
        <w:tab/>
        <w:t xml:space="preserve">Any bankruptcy by </w:t>
      </w:r>
      <w:r w:rsidRPr="00154BB0">
        <w:t>the applicant, its predecessors, Affiliates, or Principals</w:t>
      </w:r>
      <w:r w:rsidRPr="00636B19">
        <w:t xml:space="preserve"> within the last ten years; and</w:t>
      </w:r>
    </w:p>
    <w:p w14:paraId="1DD446FF" w14:textId="77777777" w:rsidR="0028005C" w:rsidRPr="00636B19" w:rsidRDefault="0028005C" w:rsidP="0028005C">
      <w:pPr>
        <w:spacing w:after="240"/>
        <w:ind w:left="1440" w:hanging="720"/>
      </w:pPr>
      <w:r w:rsidRPr="00636B19">
        <w:t>(e)</w:t>
      </w:r>
      <w:r w:rsidRPr="00636B19">
        <w:tab/>
        <w:t xml:space="preserve">Any other information ERCOT deems reasonably necessary to complete a background check (e.g., </w:t>
      </w:r>
      <w:r w:rsidRPr="00636B19" w:rsidDel="0094125D">
        <w:t>Social Security Number</w:t>
      </w:r>
      <w:r w:rsidRPr="00636B19">
        <w:t xml:space="preserve">(s), birth dates, </w:t>
      </w:r>
      <w:r w:rsidRPr="00636B19" w:rsidDel="0094125D">
        <w:t>home address</w:t>
      </w:r>
      <w:r w:rsidRPr="00636B19">
        <w:t>es)</w:t>
      </w:r>
      <w:r w:rsidRPr="00636B19" w:rsidDel="0094125D">
        <w:t xml:space="preserve">.  </w:t>
      </w:r>
    </w:p>
    <w:p w14:paraId="1BA0F5E7" w14:textId="77777777" w:rsidR="0028005C" w:rsidRDefault="0028005C" w:rsidP="0028005C">
      <w:pPr>
        <w:spacing w:after="240"/>
        <w:ind w:left="720" w:hanging="720"/>
      </w:pPr>
      <w:r w:rsidRPr="00636B19">
        <w:t>(3)</w:t>
      </w:r>
      <w:r w:rsidRPr="00636B19">
        <w:tab/>
        <w:t>As required by paragraph (6) of Section 16.2.1, Criteria for Qualification as a Qualified Scheduling Entity, a QSE</w:t>
      </w:r>
      <w:r>
        <w:t>, QSE applicants, and their Principals,</w:t>
      </w:r>
      <w:r w:rsidRPr="00636B19">
        <w:t xml:space="preserve"> must </w:t>
      </w:r>
      <w:r w:rsidRPr="00C445D9">
        <w:t>promptly</w:t>
      </w:r>
      <w:r>
        <w:t xml:space="preserve"> </w:t>
      </w:r>
      <w:r w:rsidRPr="00636B19">
        <w:t xml:space="preserve">provide </w:t>
      </w:r>
      <w:r w:rsidRPr="00636B19">
        <w:lastRenderedPageBreak/>
        <w:t>ERCOT notice of any change that a reasonable examiner could deem material to the QSE’s ability to continue to satisfy the background check requirement, including any change to information that must be disclosed under this Section.</w:t>
      </w:r>
    </w:p>
    <w:p w14:paraId="13E27535" w14:textId="007E6602" w:rsidR="00EE1CAB" w:rsidRPr="00EE1CAB" w:rsidRDefault="00EE1CAB" w:rsidP="0028005C">
      <w:pPr>
        <w:pStyle w:val="H4"/>
        <w:rPr>
          <w:b/>
        </w:rPr>
      </w:pPr>
      <w:bookmarkStart w:id="58" w:name="_Toc175159108"/>
      <w:r w:rsidRPr="00EE1CAB">
        <w:rPr>
          <w:b/>
        </w:rPr>
        <w:t>16.2.1.</w:t>
      </w:r>
      <w:r w:rsidR="0028005C">
        <w:rPr>
          <w:b/>
        </w:rPr>
        <w:t>2</w:t>
      </w:r>
      <w:r w:rsidRPr="00EE1CAB">
        <w:rPr>
          <w:b/>
        </w:rPr>
        <w:tab/>
        <w:t xml:space="preserve">Data </w:t>
      </w:r>
      <w:r w:rsidRPr="00443D81">
        <w:rPr>
          <w:b/>
        </w:rPr>
        <w:t>Agent</w:t>
      </w:r>
      <w:r w:rsidRPr="00EE1CAB">
        <w:rPr>
          <w:b/>
        </w:rPr>
        <w:t>-Only Qualified Scheduling Entities</w:t>
      </w:r>
      <w:bookmarkEnd w:id="58"/>
    </w:p>
    <w:p w14:paraId="71B7286D" w14:textId="77777777" w:rsidR="00EE1CAB" w:rsidRPr="00443D81" w:rsidRDefault="00EE1CAB" w:rsidP="00EE1CAB">
      <w:pPr>
        <w:spacing w:after="240"/>
        <w:ind w:left="720" w:hanging="720"/>
        <w:rPr>
          <w:iCs/>
        </w:rPr>
      </w:pPr>
      <w:r w:rsidRPr="00443D81">
        <w:rPr>
          <w:iCs/>
        </w:rPr>
        <w:t>(1)</w:t>
      </w:r>
      <w:r w:rsidRPr="00443D81">
        <w:rPr>
          <w:iCs/>
        </w:rPr>
        <w:tab/>
        <w:t>An Entity may request registration as a Data Agent-Only QSE by submitting a completed Data Agent-Only QSE application.  ERCOT will consider the application and register the Entity as a Data Agent-Only QSE in accordance with the same processes in Section 16.2</w:t>
      </w:r>
      <w:r>
        <w:rPr>
          <w:iCs/>
        </w:rPr>
        <w:t>, Registration and Qualification of Qualified Scheduling Entities,</w:t>
      </w:r>
      <w:r w:rsidRPr="00443D81">
        <w:rPr>
          <w:iCs/>
        </w:rPr>
        <w:t xml:space="preserve"> generally applicable to the QSE application process.  </w:t>
      </w:r>
    </w:p>
    <w:p w14:paraId="1A96C3F4" w14:textId="77777777" w:rsidR="00EE1CAB" w:rsidRPr="00443D81" w:rsidRDefault="00EE1CAB" w:rsidP="00EE1CAB">
      <w:pPr>
        <w:spacing w:after="240"/>
        <w:ind w:left="720" w:hanging="720"/>
        <w:rPr>
          <w:iCs/>
        </w:rPr>
      </w:pPr>
      <w:r w:rsidRPr="00443D81">
        <w:rPr>
          <w:iCs/>
        </w:rPr>
        <w:t>(2)</w:t>
      </w:r>
      <w:r w:rsidRPr="00443D81">
        <w:rPr>
          <w:iCs/>
        </w:rPr>
        <w:tab/>
        <w:t>An Entity is eligible to register as a Data Agent-Only QSE and maintain that registration if it:</w:t>
      </w:r>
    </w:p>
    <w:p w14:paraId="24E81FEA" w14:textId="65041852" w:rsidR="00EE1CAB" w:rsidRPr="00443D81" w:rsidRDefault="00EE1CAB" w:rsidP="00EE1CAB">
      <w:pPr>
        <w:spacing w:after="240"/>
        <w:ind w:left="1440" w:hanging="720"/>
        <w:rPr>
          <w:iCs/>
        </w:rPr>
      </w:pPr>
      <w:r w:rsidRPr="00443D81">
        <w:rPr>
          <w:iCs/>
        </w:rPr>
        <w:t>(a)</w:t>
      </w:r>
      <w:r w:rsidRPr="00443D81">
        <w:rPr>
          <w:iCs/>
        </w:rPr>
        <w:tab/>
        <w:t xml:space="preserve">Meets all the eligibility criteria to qualify as a QSE under paragraph (1) of Section 16.2.1, Criteria for Qualification as a Qualified Scheduling Entity, except for items </w:t>
      </w:r>
      <w:r w:rsidR="0028005C" w:rsidRPr="00636B19">
        <w:rPr>
          <w:iCs/>
        </w:rPr>
        <w:t xml:space="preserve">(b), (c), </w:t>
      </w:r>
      <w:r w:rsidRPr="00443D81">
        <w:rPr>
          <w:iCs/>
        </w:rPr>
        <w:t>(</w:t>
      </w:r>
      <w:r w:rsidR="0028005C">
        <w:rPr>
          <w:iCs/>
        </w:rPr>
        <w:t>h</w:t>
      </w:r>
      <w:r w:rsidRPr="00443D81">
        <w:rPr>
          <w:iCs/>
        </w:rPr>
        <w:t>), (</w:t>
      </w:r>
      <w:r w:rsidR="0028005C">
        <w:rPr>
          <w:iCs/>
        </w:rPr>
        <w:t>j</w:t>
      </w:r>
      <w:r w:rsidRPr="00443D81">
        <w:rPr>
          <w:iCs/>
        </w:rPr>
        <w:t>), (</w:t>
      </w:r>
      <w:r w:rsidR="004E5204">
        <w:rPr>
          <w:iCs/>
        </w:rPr>
        <w:t>m</w:t>
      </w:r>
      <w:r w:rsidRPr="00443D81">
        <w:rPr>
          <w:iCs/>
        </w:rPr>
        <w:t>), and (</w:t>
      </w:r>
      <w:r w:rsidR="004E5204">
        <w:rPr>
          <w:iCs/>
        </w:rPr>
        <w:t>n</w:t>
      </w:r>
      <w:r w:rsidRPr="00443D81">
        <w:rPr>
          <w:iCs/>
        </w:rPr>
        <w:t>);</w:t>
      </w:r>
    </w:p>
    <w:p w14:paraId="781D174A" w14:textId="77777777" w:rsidR="00EE1CAB" w:rsidRPr="00443D81" w:rsidRDefault="00EE1CAB" w:rsidP="00EE1CAB">
      <w:pPr>
        <w:spacing w:after="240"/>
        <w:ind w:left="1440" w:hanging="720"/>
        <w:rPr>
          <w:iCs/>
        </w:rPr>
      </w:pPr>
      <w:r w:rsidRPr="00443D81">
        <w:rPr>
          <w:iCs/>
        </w:rPr>
        <w:t>(b)</w:t>
      </w:r>
      <w:r w:rsidRPr="00443D81">
        <w:rPr>
          <w:iCs/>
        </w:rPr>
        <w:tab/>
        <w:t>Is not also registered as a Congestion Revenue Right (CRR) Account Holder;</w:t>
      </w:r>
    </w:p>
    <w:p w14:paraId="0F13766F" w14:textId="77777777" w:rsidR="00EE1CAB" w:rsidRPr="00443D81" w:rsidRDefault="00EE1CAB" w:rsidP="00EE1CAB">
      <w:pPr>
        <w:spacing w:after="240"/>
        <w:ind w:left="1440" w:hanging="720"/>
        <w:rPr>
          <w:iCs/>
        </w:rPr>
      </w:pPr>
      <w:r w:rsidRPr="00443D81">
        <w:rPr>
          <w:iCs/>
        </w:rPr>
        <w:t>(c)</w:t>
      </w:r>
      <w:r w:rsidRPr="00443D81">
        <w:rPr>
          <w:iCs/>
        </w:rPr>
        <w:tab/>
        <w:t>Does not participate in the Day-Ahead Market (DAM) or Real-Time Market (RTM);</w:t>
      </w:r>
    </w:p>
    <w:p w14:paraId="78B3403C" w14:textId="1D245CC8" w:rsidR="00EE1CAB" w:rsidRPr="00443D81" w:rsidRDefault="00EE1CAB" w:rsidP="00EE1CAB">
      <w:pPr>
        <w:spacing w:after="240"/>
        <w:ind w:left="1440" w:hanging="720"/>
        <w:rPr>
          <w:iCs/>
        </w:rPr>
      </w:pPr>
      <w:r w:rsidRPr="00443D81">
        <w:rPr>
          <w:iCs/>
        </w:rPr>
        <w:t>(d)</w:t>
      </w:r>
      <w:r w:rsidRPr="00443D81">
        <w:rPr>
          <w:iCs/>
        </w:rPr>
        <w:tab/>
        <w:t>Does not participate in the ERS market;</w:t>
      </w:r>
    </w:p>
    <w:p w14:paraId="0FB43BAE" w14:textId="4842585C" w:rsidR="00EE1CAB" w:rsidRPr="00443D81" w:rsidRDefault="00EE1CAB" w:rsidP="00EE1CAB">
      <w:pPr>
        <w:spacing w:after="240"/>
        <w:ind w:left="1440" w:hanging="720"/>
      </w:pPr>
      <w:r w:rsidRPr="00443D81">
        <w:rPr>
          <w:iCs/>
        </w:rPr>
        <w:t>(e)</w:t>
      </w:r>
      <w:r w:rsidRPr="00443D81">
        <w:rPr>
          <w:iCs/>
        </w:rPr>
        <w:tab/>
        <w:t>Does not have</w:t>
      </w:r>
      <w:r w:rsidRPr="00443D81">
        <w:t xml:space="preserve"> decision making authority over the Resources for which the Entity provides agency services;</w:t>
      </w:r>
      <w:r w:rsidR="004E5204">
        <w:t xml:space="preserve"> and</w:t>
      </w:r>
    </w:p>
    <w:p w14:paraId="4D59E45F" w14:textId="03F04CC6" w:rsidR="00747E08" w:rsidRPr="00443D81" w:rsidRDefault="00EE1CAB" w:rsidP="004E5204">
      <w:pPr>
        <w:spacing w:after="240"/>
        <w:ind w:left="1440" w:hanging="720"/>
      </w:pPr>
      <w:r w:rsidRPr="00443D81">
        <w:rPr>
          <w:iCs/>
        </w:rPr>
        <w:t>(f)</w:t>
      </w:r>
      <w:r w:rsidRPr="00443D81">
        <w:rPr>
          <w:iCs/>
        </w:rPr>
        <w:tab/>
        <w:t xml:space="preserve">Maintains </w:t>
      </w:r>
      <w:r w:rsidR="00FF324B">
        <w:rPr>
          <w:iCs/>
        </w:rPr>
        <w:t xml:space="preserve">a </w:t>
      </w:r>
      <w:r w:rsidRPr="00443D81">
        <w:rPr>
          <w:iCs/>
        </w:rPr>
        <w:t>24</w:t>
      </w:r>
      <w:r w:rsidRPr="00443D81">
        <w:t>-hour, seven-day-per-week support contact with qualified personnel to support and resolve any data or communication issues with ERCOT</w:t>
      </w:r>
      <w:r w:rsidR="00747E08">
        <w:t xml:space="preserve">.  </w:t>
      </w:r>
    </w:p>
    <w:p w14:paraId="23986844" w14:textId="34BE01DA" w:rsidR="00EE1CAB" w:rsidRPr="00443D81" w:rsidRDefault="00EE1CAB" w:rsidP="00EE1CAB">
      <w:pPr>
        <w:spacing w:after="240"/>
        <w:ind w:left="720" w:hanging="720"/>
      </w:pPr>
      <w:r w:rsidRPr="00443D81">
        <w:rPr>
          <w:iCs/>
        </w:rPr>
        <w:t>(3)</w:t>
      </w:r>
      <w:r w:rsidRPr="00443D81">
        <w:rPr>
          <w:iCs/>
        </w:rPr>
        <w:tab/>
        <w:t>A registered Data Agent-Only QSE may only be appointed to act as the authorized agent of a QSE that meets all requirements of Section 16.2.1 for the limited purpose of exchanging or communicating certain types of data with ERCOT</w:t>
      </w:r>
      <w:r w:rsidRPr="00443D81">
        <w:t xml:space="preserve"> provided that a QSE Agency Agreement making such appointment has been properly executed by the parties and accepted by ERCOT.  If a </w:t>
      </w:r>
      <w:r w:rsidRPr="00443D81">
        <w:rPr>
          <w:iCs/>
        </w:rPr>
        <w:t xml:space="preserve">Data </w:t>
      </w:r>
      <w:r w:rsidRPr="00443D81">
        <w:t>Agent-Only QSE is appointed as such an agent, it shall perform its agency services in accordance with the terms of the QSE Agency Agreement and the requirements for WAN Participants under the Nodal Operating Guide Section 7, Telemetry and Communication.</w:t>
      </w:r>
    </w:p>
    <w:p w14:paraId="28E4BB51" w14:textId="77777777" w:rsidR="00EE1CAB" w:rsidRPr="00443D81" w:rsidRDefault="00EE1CAB" w:rsidP="00EE1CAB">
      <w:pPr>
        <w:spacing w:after="240"/>
        <w:ind w:left="720" w:hanging="720"/>
        <w:rPr>
          <w:iCs/>
        </w:rPr>
      </w:pPr>
      <w:r w:rsidRPr="00443D81">
        <w:rPr>
          <w:iCs/>
        </w:rPr>
        <w:t>(4)</w:t>
      </w:r>
      <w:r w:rsidRPr="00443D81">
        <w:rPr>
          <w:iCs/>
        </w:rPr>
        <w:tab/>
        <w:t xml:space="preserve">A Data Agent-Only QSE shall comply with the obligations applicable to QSEs under this Section 16, </w:t>
      </w:r>
      <w:r>
        <w:rPr>
          <w:iCs/>
        </w:rPr>
        <w:t xml:space="preserve">Registration and Qualification of Market Participants, </w:t>
      </w:r>
      <w:r w:rsidRPr="00443D81">
        <w:rPr>
          <w:iCs/>
        </w:rPr>
        <w:t>but is exempt from the following requirements:</w:t>
      </w:r>
    </w:p>
    <w:p w14:paraId="35AB181E" w14:textId="22E8A65B" w:rsidR="0028005C" w:rsidRDefault="00EE1CAB" w:rsidP="0028005C">
      <w:pPr>
        <w:spacing w:after="240"/>
        <w:ind w:left="1440" w:hanging="720"/>
        <w:rPr>
          <w:iCs/>
        </w:rPr>
      </w:pPr>
      <w:r w:rsidRPr="00443D81">
        <w:rPr>
          <w:iCs/>
        </w:rPr>
        <w:t>(a)</w:t>
      </w:r>
      <w:r w:rsidRPr="00443D81">
        <w:rPr>
          <w:iCs/>
        </w:rPr>
        <w:tab/>
      </w:r>
      <w:r w:rsidR="0028005C" w:rsidRPr="00443D81">
        <w:rPr>
          <w:iCs/>
        </w:rPr>
        <w:t>Paragraph (1)(</w:t>
      </w:r>
      <w:r w:rsidR="0028005C">
        <w:rPr>
          <w:iCs/>
        </w:rPr>
        <w:t>b</w:t>
      </w:r>
      <w:r w:rsidR="0028005C" w:rsidRPr="00443D81">
        <w:rPr>
          <w:iCs/>
        </w:rPr>
        <w:t>) of Section 16.2.1</w:t>
      </w:r>
      <w:r w:rsidR="0028005C">
        <w:rPr>
          <w:iCs/>
        </w:rPr>
        <w:t>;</w:t>
      </w:r>
    </w:p>
    <w:p w14:paraId="7FC8F59C" w14:textId="46FDA423" w:rsidR="0028005C" w:rsidRDefault="0028005C" w:rsidP="0028005C">
      <w:pPr>
        <w:spacing w:after="240"/>
        <w:ind w:left="1440" w:hanging="720"/>
        <w:rPr>
          <w:iCs/>
        </w:rPr>
      </w:pPr>
      <w:r>
        <w:rPr>
          <w:iCs/>
        </w:rPr>
        <w:lastRenderedPageBreak/>
        <w:t>(b)</w:t>
      </w:r>
      <w:r>
        <w:rPr>
          <w:iCs/>
        </w:rPr>
        <w:tab/>
      </w:r>
      <w:r w:rsidRPr="00443D81">
        <w:rPr>
          <w:iCs/>
        </w:rPr>
        <w:t>Paragraph (1)(</w:t>
      </w:r>
      <w:r>
        <w:rPr>
          <w:iCs/>
        </w:rPr>
        <w:t>c</w:t>
      </w:r>
      <w:r w:rsidRPr="00443D81">
        <w:rPr>
          <w:iCs/>
        </w:rPr>
        <w:t>) of Section 16.2.1</w:t>
      </w:r>
      <w:r>
        <w:rPr>
          <w:iCs/>
        </w:rPr>
        <w:t>;</w:t>
      </w:r>
    </w:p>
    <w:p w14:paraId="69F2D842" w14:textId="202F436B" w:rsidR="00EE1CAB" w:rsidRPr="00443D81" w:rsidRDefault="0028005C" w:rsidP="00EE1CAB">
      <w:pPr>
        <w:spacing w:after="240"/>
        <w:ind w:left="1440" w:hanging="720"/>
        <w:rPr>
          <w:iCs/>
        </w:rPr>
      </w:pPr>
      <w:r>
        <w:rPr>
          <w:iCs/>
        </w:rPr>
        <w:t>(c)</w:t>
      </w:r>
      <w:r>
        <w:rPr>
          <w:iCs/>
        </w:rPr>
        <w:tab/>
      </w:r>
      <w:r w:rsidR="00EE1CAB" w:rsidRPr="00443D81">
        <w:rPr>
          <w:iCs/>
        </w:rPr>
        <w:t>Paragraph (1)(</w:t>
      </w:r>
      <w:r>
        <w:rPr>
          <w:iCs/>
        </w:rPr>
        <w:t>h</w:t>
      </w:r>
      <w:r w:rsidR="00EE1CAB" w:rsidRPr="00443D81">
        <w:rPr>
          <w:iCs/>
        </w:rPr>
        <w:t>) of Section 16.2.1;</w:t>
      </w:r>
    </w:p>
    <w:p w14:paraId="245F40E8" w14:textId="0C77CBEB" w:rsidR="00EE1CAB" w:rsidRPr="00443D81" w:rsidRDefault="00EE1CAB" w:rsidP="00EE1CAB">
      <w:pPr>
        <w:spacing w:after="240"/>
        <w:ind w:left="1440" w:hanging="720"/>
        <w:rPr>
          <w:iCs/>
        </w:rPr>
      </w:pPr>
      <w:r w:rsidRPr="00443D81">
        <w:rPr>
          <w:iCs/>
        </w:rPr>
        <w:t>(</w:t>
      </w:r>
      <w:r w:rsidR="0028005C">
        <w:rPr>
          <w:iCs/>
        </w:rPr>
        <w:t>d</w:t>
      </w:r>
      <w:r w:rsidRPr="00443D81">
        <w:rPr>
          <w:iCs/>
        </w:rPr>
        <w:t>)</w:t>
      </w:r>
      <w:r w:rsidRPr="00443D81">
        <w:rPr>
          <w:iCs/>
        </w:rPr>
        <w:tab/>
        <w:t>Paragraph (1)(</w:t>
      </w:r>
      <w:r w:rsidR="0028005C">
        <w:rPr>
          <w:iCs/>
        </w:rPr>
        <w:t>j</w:t>
      </w:r>
      <w:r w:rsidRPr="00443D81">
        <w:rPr>
          <w:iCs/>
        </w:rPr>
        <w:t>) of Section 16.2.1;</w:t>
      </w:r>
    </w:p>
    <w:p w14:paraId="7549D174" w14:textId="448CA779" w:rsidR="00EE1CAB" w:rsidRPr="00443D81" w:rsidRDefault="00EE1CAB" w:rsidP="00EE1CAB">
      <w:pPr>
        <w:spacing w:after="240"/>
        <w:ind w:left="1440" w:hanging="720"/>
        <w:rPr>
          <w:iCs/>
        </w:rPr>
      </w:pPr>
      <w:r w:rsidRPr="00443D81">
        <w:rPr>
          <w:iCs/>
        </w:rPr>
        <w:t>(</w:t>
      </w:r>
      <w:r w:rsidR="0028005C">
        <w:rPr>
          <w:iCs/>
        </w:rPr>
        <w:t>e</w:t>
      </w:r>
      <w:r w:rsidRPr="00443D81">
        <w:rPr>
          <w:iCs/>
        </w:rPr>
        <w:t>)</w:t>
      </w:r>
      <w:r w:rsidRPr="00443D81">
        <w:rPr>
          <w:iCs/>
        </w:rPr>
        <w:tab/>
        <w:t>Paragraph (1)(</w:t>
      </w:r>
      <w:r w:rsidR="004E5204">
        <w:rPr>
          <w:iCs/>
        </w:rPr>
        <w:t>m</w:t>
      </w:r>
      <w:r w:rsidRPr="00443D81">
        <w:rPr>
          <w:iCs/>
        </w:rPr>
        <w:t>) of Section 16.2.1;</w:t>
      </w:r>
    </w:p>
    <w:p w14:paraId="2BF552CB" w14:textId="3D085CF6" w:rsidR="00EE1CAB" w:rsidRPr="00443D81" w:rsidRDefault="00EE1CAB" w:rsidP="00EE1CAB">
      <w:pPr>
        <w:spacing w:after="240"/>
        <w:ind w:left="1440" w:hanging="720"/>
        <w:rPr>
          <w:iCs/>
        </w:rPr>
      </w:pPr>
      <w:r w:rsidRPr="00443D81">
        <w:rPr>
          <w:iCs/>
        </w:rPr>
        <w:t>(</w:t>
      </w:r>
      <w:r w:rsidR="0028005C">
        <w:rPr>
          <w:iCs/>
        </w:rPr>
        <w:t>f</w:t>
      </w:r>
      <w:r w:rsidRPr="00443D81">
        <w:rPr>
          <w:iCs/>
        </w:rPr>
        <w:t>)</w:t>
      </w:r>
      <w:r w:rsidRPr="00443D81">
        <w:rPr>
          <w:iCs/>
        </w:rPr>
        <w:tab/>
        <w:t>Paragraph (1)(</w:t>
      </w:r>
      <w:r w:rsidR="004E5204">
        <w:rPr>
          <w:iCs/>
        </w:rPr>
        <w:t>n</w:t>
      </w:r>
      <w:r w:rsidRPr="00443D81">
        <w:rPr>
          <w:iCs/>
        </w:rPr>
        <w:t>) of Section 16.2.1;</w:t>
      </w:r>
    </w:p>
    <w:p w14:paraId="7D75EEC3" w14:textId="69F3F15F" w:rsidR="00EE1CAB" w:rsidRPr="00443D81" w:rsidRDefault="00EE1CAB" w:rsidP="00EE1CAB">
      <w:pPr>
        <w:spacing w:after="240"/>
        <w:ind w:left="1440" w:hanging="720"/>
        <w:rPr>
          <w:iCs/>
        </w:rPr>
      </w:pPr>
      <w:r w:rsidRPr="00443D81">
        <w:rPr>
          <w:iCs/>
        </w:rPr>
        <w:t>(</w:t>
      </w:r>
      <w:r w:rsidR="0028005C">
        <w:rPr>
          <w:iCs/>
        </w:rPr>
        <w:t>g</w:t>
      </w:r>
      <w:r w:rsidRPr="00443D81">
        <w:rPr>
          <w:iCs/>
        </w:rPr>
        <w:t>)</w:t>
      </w:r>
      <w:r w:rsidRPr="00443D81">
        <w:rPr>
          <w:iCs/>
        </w:rPr>
        <w:tab/>
        <w:t>Section 16.11, Financial Security for Counter-Parties; and</w:t>
      </w:r>
    </w:p>
    <w:p w14:paraId="3055B7CF" w14:textId="7B5B1E4F" w:rsidR="00EE1CAB" w:rsidRPr="00443D81" w:rsidRDefault="00EE1CAB" w:rsidP="00EE1CAB">
      <w:pPr>
        <w:spacing w:after="240"/>
        <w:ind w:left="1440" w:hanging="720"/>
        <w:rPr>
          <w:iCs/>
        </w:rPr>
      </w:pPr>
      <w:r w:rsidRPr="00443D81">
        <w:rPr>
          <w:iCs/>
        </w:rPr>
        <w:t>(</w:t>
      </w:r>
      <w:r w:rsidR="0028005C">
        <w:rPr>
          <w:iCs/>
        </w:rPr>
        <w:t>h</w:t>
      </w:r>
      <w:r w:rsidRPr="00443D81">
        <w:rPr>
          <w:iCs/>
        </w:rPr>
        <w:t>)</w:t>
      </w:r>
      <w:r w:rsidRPr="00443D81">
        <w:rPr>
          <w:iCs/>
        </w:rPr>
        <w:tab/>
        <w:t>Section 16.16, Additional Counter-Party Qualification Requirements.</w:t>
      </w:r>
    </w:p>
    <w:p w14:paraId="63795B89" w14:textId="77777777" w:rsidR="00EE1CAB" w:rsidRPr="00443D81" w:rsidRDefault="00EE1CAB" w:rsidP="00EE1CAB">
      <w:pPr>
        <w:spacing w:after="240"/>
        <w:ind w:left="720" w:hanging="720"/>
        <w:rPr>
          <w:iCs/>
        </w:rPr>
      </w:pPr>
      <w:r w:rsidRPr="00443D81">
        <w:rPr>
          <w:iCs/>
        </w:rPr>
        <w:t>(5)</w:t>
      </w:r>
      <w:r w:rsidRPr="00443D81">
        <w:rPr>
          <w:iCs/>
        </w:rPr>
        <w:tab/>
        <w:t>ERCOT will ensure that its systems prevent participation by a Data Agent-Only QSE in the DAM and RTM.</w:t>
      </w:r>
    </w:p>
    <w:p w14:paraId="41B980B8" w14:textId="77777777" w:rsidR="00EE1CAB" w:rsidRPr="00443D81" w:rsidRDefault="00EE1CAB" w:rsidP="00EE1CAB">
      <w:pPr>
        <w:spacing w:after="240"/>
        <w:ind w:left="720" w:hanging="720"/>
        <w:rPr>
          <w:iCs/>
        </w:rPr>
      </w:pPr>
      <w:r w:rsidRPr="00443D81">
        <w:rPr>
          <w:iCs/>
        </w:rPr>
        <w:t>(6)</w:t>
      </w:r>
      <w:r w:rsidRPr="00443D81">
        <w:rPr>
          <w:iCs/>
        </w:rPr>
        <w:tab/>
        <w:t>A Data Agent-Only QSE may request to change its registration to a QSE that meets all the requirements of Section 16.2.1 and is registered with ERCOT as such by submitting a written request to ERCOT.  ERCOT will change the Data Agent-Only QSE’s registration upon satisfaction of all requirements in Section 16.2.1.</w:t>
      </w:r>
    </w:p>
    <w:p w14:paraId="00A2A986" w14:textId="52BD3BF2" w:rsidR="00747E08" w:rsidRDefault="00EE1CAB" w:rsidP="00EE1CAB">
      <w:pPr>
        <w:pStyle w:val="BodyTextNumbered"/>
      </w:pPr>
      <w:r w:rsidRPr="00443D81">
        <w:rPr>
          <w:iCs w:val="0"/>
        </w:rPr>
        <w:t>(7)</w:t>
      </w:r>
      <w:r w:rsidRPr="00443D81">
        <w:rPr>
          <w:iCs w:val="0"/>
        </w:rPr>
        <w:tab/>
        <w:t xml:space="preserve">Nothing in this </w:t>
      </w:r>
      <w:r w:rsidR="00A01AC4">
        <w:rPr>
          <w:iCs w:val="0"/>
        </w:rPr>
        <w:t>S</w:t>
      </w:r>
      <w:r w:rsidRPr="00443D81">
        <w:rPr>
          <w:iCs w:val="0"/>
        </w:rPr>
        <w:t>ection affects a Data Agent-Only QSE’s obligation under paragraph (</w:t>
      </w:r>
      <w:r w:rsidR="000475FE">
        <w:rPr>
          <w:iCs w:val="0"/>
        </w:rPr>
        <w:t>6</w:t>
      </w:r>
      <w:r w:rsidRPr="00443D81">
        <w:rPr>
          <w:iCs w:val="0"/>
        </w:rPr>
        <w:t>) of Section 16.2.1 to provide ERCOT notice of any material change that could adversely affect the reliability or safety of the ERCOT System.</w:t>
      </w:r>
    </w:p>
    <w:p w14:paraId="048BE68B" w14:textId="7AAF1DED" w:rsidR="00EE1CAB" w:rsidRDefault="00747E08" w:rsidP="00EE1CAB">
      <w:pPr>
        <w:pStyle w:val="BodyTextNumbered"/>
      </w:pPr>
      <w:r w:rsidRPr="00747E08">
        <w:rPr>
          <w:iCs w:val="0"/>
        </w:rPr>
        <w:t>(8)</w:t>
      </w:r>
      <w:r w:rsidRPr="00747E08">
        <w:rPr>
          <w:iCs w:val="0"/>
        </w:rPr>
        <w:tab/>
        <w:t xml:space="preserve">Each Data Agent-Only QSE </w:t>
      </w:r>
      <w:r w:rsidR="004E5204">
        <w:rPr>
          <w:iCs w:val="0"/>
        </w:rPr>
        <w:t>shall</w:t>
      </w:r>
      <w:r w:rsidRPr="00747E08">
        <w:rPr>
          <w:iCs w:val="0"/>
        </w:rPr>
        <w:t xml:space="preserve"> maintain 24-hour, seven-day-per-week operations and Hotline communications with ERCOT</w:t>
      </w:r>
      <w:r w:rsidR="004E5204">
        <w:rPr>
          <w:iCs w:val="0"/>
        </w:rPr>
        <w:t xml:space="preserve"> and</w:t>
      </w:r>
      <w:r w:rsidRPr="00747E08">
        <w:rPr>
          <w:iCs w:val="0"/>
        </w:rPr>
        <w:t xml:space="preserve"> answer each QSE Hotline call.</w:t>
      </w:r>
    </w:p>
    <w:p w14:paraId="061811DB" w14:textId="77777777" w:rsidR="00FC1C5F" w:rsidRDefault="00727E32" w:rsidP="00350FB0">
      <w:pPr>
        <w:pStyle w:val="H3"/>
      </w:pPr>
      <w:bookmarkStart w:id="59" w:name="_Toc390438914"/>
      <w:bookmarkStart w:id="60" w:name="_Toc405897611"/>
      <w:bookmarkStart w:id="61" w:name="_Toc415055715"/>
      <w:bookmarkStart w:id="62" w:name="_Toc415055841"/>
      <w:bookmarkStart w:id="63" w:name="_Toc415055940"/>
      <w:bookmarkStart w:id="64" w:name="_Toc415056041"/>
      <w:bookmarkStart w:id="65" w:name="_Toc175159109"/>
      <w:bookmarkStart w:id="66" w:name="_Toc71369174"/>
      <w:bookmarkStart w:id="67" w:name="_Toc71539390"/>
      <w:r>
        <w:t>16.2.2</w:t>
      </w:r>
      <w:r>
        <w:tab/>
        <w:t>QSE Application Process</w:t>
      </w:r>
      <w:bookmarkEnd w:id="59"/>
      <w:bookmarkEnd w:id="60"/>
      <w:bookmarkEnd w:id="61"/>
      <w:bookmarkEnd w:id="62"/>
      <w:bookmarkEnd w:id="63"/>
      <w:bookmarkEnd w:id="64"/>
      <w:bookmarkEnd w:id="65"/>
      <w:r>
        <w:t xml:space="preserve">  </w:t>
      </w:r>
      <w:bookmarkEnd w:id="66"/>
      <w:bookmarkEnd w:id="67"/>
    </w:p>
    <w:p w14:paraId="6471AA3D" w14:textId="49A9E130" w:rsidR="00FC1C5F" w:rsidRDefault="00853D39" w:rsidP="009F10FE">
      <w:pPr>
        <w:pStyle w:val="BodyText"/>
        <w:ind w:left="720" w:hanging="720"/>
      </w:pPr>
      <w:bookmarkStart w:id="68" w:name="_Hlk90904166"/>
      <w:r>
        <w:t>(1)</w:t>
      </w:r>
      <w:r>
        <w:tab/>
      </w:r>
      <w:r w:rsidR="00BB1306">
        <w:t>To register as a QSE, an applicant must submit to ERCOT a completed Section 23, Form G, QSE Application and Service Filing for Registration Form, and any applicable fee.  ERCOT shall post on the ERCOT website the form in which QSE applications must be submitted, all materials that must be provided with the QSE application and the fee schedule, if any, applicable to QSE applications.  The QSE application shall be attested to by a duly authorized officer or agent of the applicant.  The QSE applicant shall promptly notify ERCOT of any material changes affecting a pending application using the appropriate form posted on the ERCOT website.  The application must be submitted at least 60 days before the proposed date of commencement of service.</w:t>
      </w:r>
      <w:bookmarkEnd w:id="68"/>
    </w:p>
    <w:p w14:paraId="779CE263" w14:textId="77777777" w:rsidR="00FC1C5F" w:rsidRPr="00D63F95" w:rsidRDefault="00727E32" w:rsidP="00FE610C">
      <w:pPr>
        <w:pStyle w:val="H4"/>
        <w:ind w:left="1267" w:hanging="1267"/>
        <w:rPr>
          <w:b/>
        </w:rPr>
      </w:pPr>
      <w:bookmarkStart w:id="69" w:name="_Toc390438915"/>
      <w:bookmarkStart w:id="70" w:name="_Toc405897612"/>
      <w:bookmarkStart w:id="71" w:name="_Toc415055716"/>
      <w:bookmarkStart w:id="72" w:name="_Toc415055842"/>
      <w:bookmarkStart w:id="73" w:name="_Toc415055941"/>
      <w:bookmarkStart w:id="74" w:name="_Toc415056042"/>
      <w:bookmarkStart w:id="75" w:name="_Toc175159110"/>
      <w:r w:rsidRPr="00D63F95">
        <w:rPr>
          <w:b/>
        </w:rPr>
        <w:t>16.2.2.1</w:t>
      </w:r>
      <w:r w:rsidRPr="00D63F95">
        <w:rPr>
          <w:b/>
        </w:rPr>
        <w:tab/>
        <w:t>Notice of Receipt of Qualified Scheduling Entity Application</w:t>
      </w:r>
      <w:bookmarkEnd w:id="69"/>
      <w:bookmarkEnd w:id="70"/>
      <w:bookmarkEnd w:id="71"/>
      <w:bookmarkEnd w:id="72"/>
      <w:bookmarkEnd w:id="73"/>
      <w:bookmarkEnd w:id="74"/>
      <w:bookmarkEnd w:id="75"/>
    </w:p>
    <w:p w14:paraId="58A5F64F" w14:textId="77777777" w:rsidR="00FC1C5F" w:rsidRDefault="00853D39" w:rsidP="009F10FE">
      <w:pPr>
        <w:pStyle w:val="BodyText"/>
        <w:ind w:left="720" w:hanging="720"/>
      </w:pPr>
      <w:r>
        <w:t>(1)</w:t>
      </w:r>
      <w:r>
        <w:tab/>
      </w:r>
      <w:r w:rsidR="00727E32">
        <w:t xml:space="preserve">Within three Business Days after receiving a QSE application, ERCOT shall issue to the applicant a written confirmation that ERCOT has received the QSE application.  ERCOT shall return without review any QSE application that does not include the proper </w:t>
      </w:r>
      <w:r w:rsidR="00727E32">
        <w:lastRenderedPageBreak/>
        <w:t>application fee.  The remainder of this Section does not apply to any QSE application returned for failure to include the proper application fee.</w:t>
      </w:r>
    </w:p>
    <w:p w14:paraId="71E728C3" w14:textId="65BDE809" w:rsidR="00FC1C5F" w:rsidRPr="00D63F95" w:rsidRDefault="00727E32">
      <w:pPr>
        <w:pStyle w:val="H4"/>
        <w:rPr>
          <w:b/>
        </w:rPr>
      </w:pPr>
      <w:bookmarkStart w:id="76" w:name="_Toc390438916"/>
      <w:bookmarkStart w:id="77" w:name="_Toc405897613"/>
      <w:bookmarkStart w:id="78" w:name="_Toc415055717"/>
      <w:bookmarkStart w:id="79" w:name="_Toc415055843"/>
      <w:bookmarkStart w:id="80" w:name="_Toc415055942"/>
      <w:bookmarkStart w:id="81" w:name="_Toc415056043"/>
      <w:bookmarkStart w:id="82" w:name="_Toc175159111"/>
      <w:bookmarkStart w:id="83" w:name="_Hlk90904178"/>
      <w:r w:rsidRPr="00D63F95">
        <w:rPr>
          <w:b/>
        </w:rPr>
        <w:t>16.2.2.2</w:t>
      </w:r>
      <w:r w:rsidRPr="00D63F95">
        <w:rPr>
          <w:b/>
        </w:rPr>
        <w:tab/>
        <w:t xml:space="preserve">Incomplete </w:t>
      </w:r>
      <w:r w:rsidR="00BB1306">
        <w:rPr>
          <w:b/>
        </w:rPr>
        <w:t xml:space="preserve">QSE </w:t>
      </w:r>
      <w:r w:rsidRPr="00D63F95">
        <w:rPr>
          <w:b/>
        </w:rPr>
        <w:t>Applications</w:t>
      </w:r>
      <w:bookmarkEnd w:id="76"/>
      <w:bookmarkEnd w:id="77"/>
      <w:bookmarkEnd w:id="78"/>
      <w:bookmarkEnd w:id="79"/>
      <w:bookmarkEnd w:id="80"/>
      <w:bookmarkEnd w:id="81"/>
      <w:bookmarkEnd w:id="82"/>
      <w:r w:rsidRPr="00D63F95">
        <w:rPr>
          <w:b/>
        </w:rPr>
        <w:t xml:space="preserve">  </w:t>
      </w:r>
    </w:p>
    <w:p w14:paraId="432029E7" w14:textId="552F0E87" w:rsidR="00400902" w:rsidRDefault="00400902" w:rsidP="00400902">
      <w:pPr>
        <w:pStyle w:val="BodyTextNumbered"/>
      </w:pPr>
      <w:r>
        <w:t>(1)</w:t>
      </w:r>
      <w:r>
        <w:tab/>
        <w:t>Within ten Business Days after receiving a QSE application, ERCOT shall notify the applicant in writing if the application is incomplete.  An application will not be deemed complete until ERCOT has received all information necessary to conduct an evaluation of whether the applicant satisfies the requirements to be registered as a QSE</w:t>
      </w:r>
      <w:r w:rsidR="0028005C" w:rsidRPr="00636B19">
        <w:t>, including information necessary to complete any background checks</w:t>
      </w:r>
      <w:r>
        <w:t xml:space="preserve">. </w:t>
      </w:r>
    </w:p>
    <w:p w14:paraId="43F46B98" w14:textId="77777777" w:rsidR="00400902" w:rsidRDefault="00400902" w:rsidP="00400902">
      <w:pPr>
        <w:pStyle w:val="BodyTextNumbered"/>
      </w:pPr>
      <w:r>
        <w:t>(2)</w:t>
      </w:r>
      <w:r>
        <w:tab/>
        <w:t xml:space="preserve">If a QSE application is incomplete, ERCOT’s notice of incompletion to the applicant must explain the deficiencies and describe the additional information necessary to make the QSE application complete.  The QSE applicant has five Business Days after it receives the notice, or a longer period if ERCOT allows, to provide the additional required information. </w:t>
      </w:r>
    </w:p>
    <w:p w14:paraId="12D0768C" w14:textId="77777777" w:rsidR="00400902" w:rsidRDefault="00400902" w:rsidP="00400902">
      <w:pPr>
        <w:pStyle w:val="BodyTextNumbered"/>
      </w:pPr>
      <w:r>
        <w:t>(3)</w:t>
      </w:r>
      <w:r>
        <w:tab/>
        <w:t xml:space="preserve">If the applicant does not respond to the incompletion notice within the time allotted, ERCOT shall reject the application and shall notify the applicant using the procedures below. </w:t>
      </w:r>
    </w:p>
    <w:p w14:paraId="091FFB44" w14:textId="00AB1E29" w:rsidR="00FC1C5F" w:rsidRDefault="00400902">
      <w:pPr>
        <w:pStyle w:val="BodyTextNumbered"/>
      </w:pPr>
      <w:r>
        <w:t>(4)</w:t>
      </w:r>
      <w:r>
        <w:tab/>
        <w:t>ERCOT will notify the applicant of the date on which the application is deemed complete.</w:t>
      </w:r>
    </w:p>
    <w:p w14:paraId="2AF72683" w14:textId="77777777" w:rsidR="00FC1C5F" w:rsidRPr="00D63F95" w:rsidRDefault="00727E32" w:rsidP="00FE610C">
      <w:pPr>
        <w:pStyle w:val="H4"/>
        <w:rPr>
          <w:b/>
        </w:rPr>
      </w:pPr>
      <w:bookmarkStart w:id="84" w:name="_Toc390438917"/>
      <w:bookmarkStart w:id="85" w:name="_Toc405897614"/>
      <w:bookmarkStart w:id="86" w:name="_Toc415055718"/>
      <w:bookmarkStart w:id="87" w:name="_Toc415055844"/>
      <w:bookmarkStart w:id="88" w:name="_Toc415055943"/>
      <w:bookmarkStart w:id="89" w:name="_Toc415056044"/>
      <w:bookmarkStart w:id="90" w:name="_Toc175159112"/>
      <w:bookmarkEnd w:id="83"/>
      <w:r w:rsidRPr="00D63F95">
        <w:rPr>
          <w:b/>
        </w:rPr>
        <w:t>16.2.2.3</w:t>
      </w:r>
      <w:r w:rsidRPr="00D63F95">
        <w:rPr>
          <w:b/>
        </w:rPr>
        <w:tab/>
        <w:t>ERCOT Approval or Rejection of Qualified Scheduling Entity Application</w:t>
      </w:r>
      <w:bookmarkEnd w:id="84"/>
      <w:bookmarkEnd w:id="85"/>
      <w:bookmarkEnd w:id="86"/>
      <w:bookmarkEnd w:id="87"/>
      <w:bookmarkEnd w:id="88"/>
      <w:bookmarkEnd w:id="89"/>
      <w:bookmarkEnd w:id="90"/>
    </w:p>
    <w:p w14:paraId="668D3C04" w14:textId="375DC34F" w:rsidR="00FC1C5F" w:rsidRDefault="00727E32">
      <w:pPr>
        <w:pStyle w:val="BodyTextNumbered"/>
      </w:pPr>
      <w:bookmarkStart w:id="91" w:name="_Hlk90904186"/>
      <w:r>
        <w:t>(1)</w:t>
      </w:r>
      <w:r>
        <w:tab/>
      </w:r>
      <w:r w:rsidR="00400902" w:rsidRPr="008552F8">
        <w:t xml:space="preserve">ERCOT will approve or reject a QSE application within 60 days after the application has been deemed complete as provided for in Section 16.2.2.2, Incomplete QSE Applications, unless ERCOT determines that additional time is needed to complete its review of the application. </w:t>
      </w:r>
      <w:r w:rsidR="00400902">
        <w:t xml:space="preserve"> </w:t>
      </w:r>
      <w:r w:rsidR="00400902" w:rsidRPr="008552F8">
        <w:t xml:space="preserve">ERCOT will notify the applicant when additional time is needed to complete its review and will provide a date by which ERCOT expects to complete its review. </w:t>
      </w:r>
      <w:r w:rsidR="00400902">
        <w:t xml:space="preserve"> </w:t>
      </w:r>
      <w:r w:rsidR="00400902" w:rsidRPr="008552F8">
        <w:t>If ERCOT’s initial evaluation indicates that there may be a basis to reject the application, ERCOT may contact the applicant prior to rendering a final decision on the application to determine if further information can be provided by the applicant to resolve the identified concern.</w:t>
      </w:r>
      <w:bookmarkEnd w:id="91"/>
    </w:p>
    <w:p w14:paraId="534449C8" w14:textId="0FE224EF" w:rsidR="00FC1C5F" w:rsidRDefault="00727E32" w:rsidP="00FE610C">
      <w:pPr>
        <w:pStyle w:val="BodyTextNumbered"/>
      </w:pPr>
      <w:r>
        <w:t>(2)</w:t>
      </w:r>
      <w:r>
        <w:tab/>
        <w:t>If ERCOT rejects a QSE application, ERCOT shall send the applicant a rejection letter explaining the grounds upon which ERCOT rejected the QSE application.  Appropriate grounds for rejecting a QSE application include the following:</w:t>
      </w:r>
    </w:p>
    <w:p w14:paraId="7DCF5FCF" w14:textId="77777777" w:rsidR="00FC1C5F" w:rsidRDefault="00727E32">
      <w:pPr>
        <w:pStyle w:val="List"/>
        <w:ind w:left="1260" w:hanging="540"/>
      </w:pPr>
      <w:r>
        <w:t>(a)</w:t>
      </w:r>
      <w:r>
        <w:tab/>
        <w:t>Required information is not provided to ERCOT in the allotted time;</w:t>
      </w:r>
    </w:p>
    <w:p w14:paraId="179B8675" w14:textId="77777777" w:rsidR="00FC1C5F" w:rsidRDefault="00727E32">
      <w:pPr>
        <w:pStyle w:val="List"/>
        <w:ind w:left="1260" w:hanging="540"/>
      </w:pPr>
      <w:r>
        <w:t>(b)</w:t>
      </w:r>
      <w:r>
        <w:tab/>
        <w:t>Noncompliance with technical requirements; and</w:t>
      </w:r>
    </w:p>
    <w:p w14:paraId="4481EC87" w14:textId="77777777" w:rsidR="00FC1C5F" w:rsidRDefault="00727E32">
      <w:pPr>
        <w:pStyle w:val="List"/>
        <w:ind w:left="1260" w:hanging="540"/>
      </w:pPr>
      <w:r>
        <w:t>(c)</w:t>
      </w:r>
      <w:r>
        <w:tab/>
        <w:t>Noncompliance with other specific eligibility requirements in this Section or in any other Protocols.</w:t>
      </w:r>
    </w:p>
    <w:p w14:paraId="475BCF75" w14:textId="77777777" w:rsidR="00FC1C5F" w:rsidRDefault="00727E32">
      <w:pPr>
        <w:pStyle w:val="BodyText"/>
        <w:ind w:left="720" w:hanging="720"/>
      </w:pPr>
      <w:r>
        <w:lastRenderedPageBreak/>
        <w:t>(3)</w:t>
      </w:r>
      <w:r>
        <w:tab/>
        <w:t>Not later than ten Business Days after receiving a rejection letter, the QSE applicant may challenge the rejection of its QSE application using the dispute resolution procedures set forth in Section 20, Alternative Dispute Resolution Procedure.</w:t>
      </w:r>
      <w:r>
        <w:rPr>
          <w:b/>
        </w:rPr>
        <w:t xml:space="preserve">  </w:t>
      </w:r>
      <w:r>
        <w:t>The applicant may submit a new QSE application and fee at any time, and ERCOT shall process the new QSE application under this Section.</w:t>
      </w:r>
    </w:p>
    <w:p w14:paraId="2832A23B" w14:textId="7C44FFDB" w:rsidR="00FC1C5F" w:rsidRDefault="00727E32">
      <w:pPr>
        <w:pStyle w:val="BodyText"/>
        <w:ind w:left="720" w:hanging="720"/>
      </w:pPr>
      <w:bookmarkStart w:id="92" w:name="_Hlk90904196"/>
      <w:r>
        <w:t>(4)</w:t>
      </w:r>
      <w:r>
        <w:tab/>
      </w:r>
      <w:r w:rsidR="00400902">
        <w:t>If ERCOT approves the QSE application, ERCOT shall send the applicant a Standard Form Market Participant Agreement and any other required Agreements relating to use of the ERCOT network, software, and systems for the applicant’s signature.</w:t>
      </w:r>
    </w:p>
    <w:p w14:paraId="425E209F" w14:textId="30165DF0" w:rsidR="00400902" w:rsidRDefault="00400902">
      <w:pPr>
        <w:pStyle w:val="BodyText"/>
        <w:ind w:left="720" w:hanging="720"/>
      </w:pPr>
      <w:r>
        <w:t>(5)</w:t>
      </w:r>
      <w:r>
        <w:tab/>
        <w:t>If ERCOT fails to approve or deny the QSE application within 60 days after the application is deemed complete, and also fails to notify the applicant that additional time is needed to complete its review, the QSE applicant may seek relief using the dispute resolution procedures set forth in Section 20.</w:t>
      </w:r>
    </w:p>
    <w:p w14:paraId="39868C66" w14:textId="77777777" w:rsidR="00FC1C5F" w:rsidRDefault="00727E32" w:rsidP="00FE610C">
      <w:pPr>
        <w:pStyle w:val="H3"/>
      </w:pPr>
      <w:bookmarkStart w:id="93" w:name="_Toc71369175"/>
      <w:bookmarkStart w:id="94" w:name="_Toc71539391"/>
      <w:bookmarkStart w:id="95" w:name="_Toc390438918"/>
      <w:bookmarkStart w:id="96" w:name="_Toc405897615"/>
      <w:bookmarkStart w:id="97" w:name="_Toc415055719"/>
      <w:bookmarkStart w:id="98" w:name="_Toc415055845"/>
      <w:bookmarkStart w:id="99" w:name="_Toc415055944"/>
      <w:bookmarkStart w:id="100" w:name="_Toc415056045"/>
      <w:bookmarkStart w:id="101" w:name="_Toc175159113"/>
      <w:bookmarkEnd w:id="92"/>
      <w:r>
        <w:t>16.2.3</w:t>
      </w:r>
      <w:r>
        <w:tab/>
        <w:t xml:space="preserve">Remaining Steps for Qualified Scheduling Entity </w:t>
      </w:r>
      <w:bookmarkEnd w:id="93"/>
      <w:bookmarkEnd w:id="94"/>
      <w:r>
        <w:t>Registration</w:t>
      </w:r>
      <w:bookmarkEnd w:id="95"/>
      <w:bookmarkEnd w:id="96"/>
      <w:bookmarkEnd w:id="97"/>
      <w:bookmarkEnd w:id="98"/>
      <w:bookmarkEnd w:id="99"/>
      <w:bookmarkEnd w:id="100"/>
      <w:bookmarkEnd w:id="101"/>
    </w:p>
    <w:p w14:paraId="79C4EC29" w14:textId="77777777" w:rsidR="00FC1C5F" w:rsidRDefault="00853D39" w:rsidP="009F10FE">
      <w:pPr>
        <w:pStyle w:val="ListIntroduction"/>
        <w:ind w:left="720" w:hanging="720"/>
      </w:pPr>
      <w:r>
        <w:rPr>
          <w:lang w:val="en-US"/>
        </w:rPr>
        <w:t>(1)</w:t>
      </w:r>
      <w:r>
        <w:rPr>
          <w:lang w:val="en-US"/>
        </w:rPr>
        <w:tab/>
      </w:r>
      <w:r w:rsidR="00727E32">
        <w:t>After a QSE application is deemed approved under Section 16.2.2.3, ERCOT Approval or Rejection of Qualified Scheduling Entity Application, the applicant shall coordinate or perform the following:</w:t>
      </w:r>
    </w:p>
    <w:p w14:paraId="12A4C933" w14:textId="77777777" w:rsidR="00FC1C5F" w:rsidRDefault="00727E32" w:rsidP="00A643DE">
      <w:pPr>
        <w:pStyle w:val="List"/>
      </w:pPr>
      <w:r>
        <w:t>(a)</w:t>
      </w:r>
      <w:r>
        <w:tab/>
        <w:t>Return the signed Standard Form Market Participant Agreement and other related agreements to ERCOT;</w:t>
      </w:r>
    </w:p>
    <w:p w14:paraId="56C75702" w14:textId="77777777" w:rsidR="00FC1C5F" w:rsidRDefault="00727E32" w:rsidP="00A643DE">
      <w:pPr>
        <w:pStyle w:val="List"/>
      </w:pPr>
      <w:r>
        <w:t>(b)</w:t>
      </w:r>
      <w:r>
        <w:tab/>
        <w:t>Coordinate with ERCOT and other Entities, as necessary, to test all communications necessary to participate in the market in the ERCOT Region;</w:t>
      </w:r>
    </w:p>
    <w:p w14:paraId="3861CB62" w14:textId="77777777" w:rsidR="004E6267" w:rsidRDefault="004E6267" w:rsidP="00A643DE">
      <w:pPr>
        <w:pStyle w:val="List"/>
      </w:pPr>
      <w:r>
        <w:t>(c)</w:t>
      </w:r>
      <w:r>
        <w:tab/>
      </w:r>
      <w:r w:rsidRPr="00B64491">
        <w:t>If applicable, a</w:t>
      </w:r>
      <w:r>
        <w:t xml:space="preserve"> QSE offering services in a </w:t>
      </w:r>
      <w:r w:rsidR="00022A2E">
        <w:t>Non-Opt-In Entity (</w:t>
      </w:r>
      <w:r>
        <w:t>NOIE</w:t>
      </w:r>
      <w:r w:rsidR="00022A2E">
        <w:t>)</w:t>
      </w:r>
      <w:r>
        <w:t xml:space="preserve"> service territory must obtain written authorization from the NOIE, and submit such authorization to ERCOT;</w:t>
      </w:r>
      <w:r w:rsidR="00D56D45">
        <w:t xml:space="preserve">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44" w:type="dxa"/>
          <w:left w:w="115" w:type="dxa"/>
          <w:right w:w="115" w:type="dxa"/>
        </w:tblCellMar>
        <w:tblLook w:val="01E0" w:firstRow="1" w:lastRow="1" w:firstColumn="1" w:lastColumn="1" w:noHBand="0" w:noVBand="0"/>
      </w:tblPr>
      <w:tblGrid>
        <w:gridCol w:w="9350"/>
      </w:tblGrid>
      <w:tr w:rsidR="001C6988" w14:paraId="3896DBE4" w14:textId="77777777" w:rsidTr="003532D1">
        <w:tc>
          <w:tcPr>
            <w:tcW w:w="9350" w:type="dxa"/>
            <w:shd w:val="clear" w:color="auto" w:fill="FFFFFF"/>
          </w:tcPr>
          <w:p w14:paraId="2F4F72CA" w14:textId="527D8CD1" w:rsidR="001C6988" w:rsidRPr="00307CAD" w:rsidRDefault="001C6988" w:rsidP="001C6988">
            <w:pPr>
              <w:pStyle w:val="Instructions"/>
            </w:pPr>
            <w:r w:rsidRPr="00307CAD">
              <w:t>[P</w:t>
            </w:r>
            <w:r>
              <w:t>IR005</w:t>
            </w:r>
            <w:r w:rsidRPr="00307CAD">
              <w:t xml:space="preserve">:  ERCOT </w:t>
            </w:r>
            <w:r>
              <w:t xml:space="preserve">Protocol </w:t>
            </w:r>
            <w:r w:rsidRPr="00307CAD">
              <w:t xml:space="preserve">Interpretation of </w:t>
            </w:r>
            <w:r>
              <w:t>paragraph (1)(c) of Section 16.2.3 above</w:t>
            </w:r>
            <w:r w:rsidRPr="00307CAD">
              <w:t>:]</w:t>
            </w:r>
          </w:p>
          <w:p w14:paraId="15F379DD" w14:textId="1EB042EE" w:rsidR="001C6988" w:rsidRPr="00307CAD" w:rsidRDefault="001C6988" w:rsidP="0050013B">
            <w:pPr>
              <w:spacing w:after="240"/>
              <w:jc w:val="both"/>
              <w:rPr>
                <w:szCs w:val="24"/>
              </w:rPr>
            </w:pPr>
            <w:r>
              <w:t xml:space="preserve">On June 29, 2021, ERCOT issued a Protocol Interpretation regarding the applicability of </w:t>
            </w:r>
            <w:r w:rsidR="0050013B">
              <w:t xml:space="preserve">paragraph </w:t>
            </w:r>
            <w:r>
              <w:t>(1)(c)</w:t>
            </w:r>
            <w:r w:rsidR="0050013B">
              <w:t xml:space="preserve"> of Section 16.2.3</w:t>
            </w:r>
            <w:r>
              <w:t xml:space="preserve"> to QSEs representing Energy Storage Resources. See Market Notice</w:t>
            </w:r>
            <w:r w:rsidR="00B93E20">
              <w:t xml:space="preserve"> </w:t>
            </w:r>
            <w:r w:rsidR="00B93E20" w:rsidRPr="00B93E20">
              <w:t>M-A062921-01</w:t>
            </w:r>
            <w:r>
              <w:t xml:space="preserve">, Protocol Interpretation Regarding Necessity of Non-Opt-In Entity Consent to Qualified Scheduling Entity Representation of Energy Storage Resource in Non-Opt-In Entity Service Territory, at </w:t>
            </w:r>
            <w:hyperlink r:id="rId16" w:history="1">
              <w:r>
                <w:rPr>
                  <w:rStyle w:val="Hyperlink"/>
                </w:rPr>
                <w:t>http://www.ercot.com/mktrules/nprotocols/pir_process.html</w:t>
              </w:r>
            </w:hyperlink>
            <w:r>
              <w:t xml:space="preserve"> for full details of this Protocol Interpretation.</w:t>
            </w:r>
          </w:p>
        </w:tc>
      </w:tr>
    </w:tbl>
    <w:p w14:paraId="1AC43869" w14:textId="77777777" w:rsidR="00FC1C5F" w:rsidRDefault="00727E32" w:rsidP="003532D1">
      <w:pPr>
        <w:pStyle w:val="List"/>
        <w:spacing w:before="240"/>
        <w:ind w:left="720" w:firstLine="0"/>
      </w:pPr>
      <w:r>
        <w:t>(</w:t>
      </w:r>
      <w:r w:rsidR="00D56D45">
        <w:t>d</w:t>
      </w:r>
      <w:r>
        <w:t>)</w:t>
      </w:r>
      <w:r>
        <w:tab/>
        <w:t>Demonstrate compliance with security and financial requirements.</w:t>
      </w:r>
    </w:p>
    <w:p w14:paraId="74B4C465" w14:textId="77777777" w:rsidR="00FC1C5F" w:rsidRPr="00D63F95" w:rsidRDefault="00727E32">
      <w:pPr>
        <w:pStyle w:val="H4"/>
        <w:rPr>
          <w:b/>
        </w:rPr>
      </w:pPr>
      <w:bookmarkStart w:id="102" w:name="_Toc390438919"/>
      <w:bookmarkStart w:id="103" w:name="_Toc405897616"/>
      <w:bookmarkStart w:id="104" w:name="_Toc415055720"/>
      <w:bookmarkStart w:id="105" w:name="_Toc415055846"/>
      <w:bookmarkStart w:id="106" w:name="_Toc415055945"/>
      <w:bookmarkStart w:id="107" w:name="_Toc415056046"/>
      <w:bookmarkStart w:id="108" w:name="_Toc175159114"/>
      <w:r w:rsidRPr="00D63F95">
        <w:rPr>
          <w:b/>
        </w:rPr>
        <w:lastRenderedPageBreak/>
        <w:t>16.2.3.</w:t>
      </w:r>
      <w:r w:rsidR="00D56D45">
        <w:rPr>
          <w:b/>
        </w:rPr>
        <w:t>1</w:t>
      </w:r>
      <w:r w:rsidRPr="00D63F95">
        <w:rPr>
          <w:b/>
        </w:rPr>
        <w:tab/>
        <w:t>Process to Gain Approval to Follow DSR Load</w:t>
      </w:r>
      <w:bookmarkEnd w:id="102"/>
      <w:bookmarkEnd w:id="103"/>
      <w:bookmarkEnd w:id="104"/>
      <w:bookmarkEnd w:id="105"/>
      <w:bookmarkEnd w:id="106"/>
      <w:bookmarkEnd w:id="107"/>
      <w:bookmarkEnd w:id="108"/>
    </w:p>
    <w:p w14:paraId="55DF55FE" w14:textId="77777777" w:rsidR="00FC1C5F" w:rsidRDefault="00727E32">
      <w:pPr>
        <w:pStyle w:val="BodyTextNumbered"/>
      </w:pPr>
      <w:r>
        <w:t>(1)</w:t>
      </w:r>
      <w:r>
        <w:tab/>
        <w:t xml:space="preserve">Each QSE wanting to use Resources to follow </w:t>
      </w:r>
      <w:r w:rsidR="00D56D45">
        <w:t>Dynamically Scheduled Resource (</w:t>
      </w:r>
      <w:r>
        <w:t>DSR</w:t>
      </w:r>
      <w:r w:rsidR="00D56D45">
        <w:t>)</w:t>
      </w:r>
      <w:r>
        <w:t xml:space="preserve"> Load shall submit a proposal to ERCOT for analysis of the feasibility and reliability of the telemetry required by the proposal.  ERCOT shall either approve or disapprove that proposal based on ERCOT’s ability to monitor the DSR Load behavior.</w:t>
      </w:r>
    </w:p>
    <w:p w14:paraId="73F2E27D" w14:textId="77777777" w:rsidR="00FC1C5F" w:rsidRDefault="00727E32">
      <w:pPr>
        <w:pStyle w:val="BodyTextNumbered"/>
      </w:pPr>
      <w:r>
        <w:t>(2)</w:t>
      </w:r>
      <w:r>
        <w:tab/>
        <w:t>Each DSR Load must be associated with a Load meter or group of Load meters.  This includes Load that is calculated by subtracting interchange telemetry from actual generation telemetry, appropriately adjusted for Transmission and Distribution Losses.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B70D89" w14:paraId="1FCF23C3" w14:textId="77777777" w:rsidTr="00CD51A8">
        <w:tc>
          <w:tcPr>
            <w:tcW w:w="9332" w:type="dxa"/>
            <w:shd w:val="pct12" w:color="auto" w:fill="auto"/>
          </w:tcPr>
          <w:p w14:paraId="3D206BAA" w14:textId="0FD932CA" w:rsidR="00B70D89" w:rsidRPr="00365293" w:rsidRDefault="00B70D89" w:rsidP="00B70D89">
            <w:pPr>
              <w:pStyle w:val="Instructions"/>
              <w:spacing w:before="120"/>
              <w:rPr>
                <w:iCs/>
              </w:rPr>
            </w:pPr>
            <w:bookmarkStart w:id="109" w:name="_Toc390438920"/>
            <w:bookmarkStart w:id="110" w:name="_Toc405897617"/>
            <w:bookmarkStart w:id="111" w:name="_Toc415055721"/>
            <w:bookmarkStart w:id="112" w:name="_Toc415055847"/>
            <w:bookmarkStart w:id="113" w:name="_Toc415055946"/>
            <w:bookmarkStart w:id="114" w:name="_Toc415056047"/>
            <w:r>
              <w:rPr>
                <w:iCs/>
              </w:rPr>
              <w:t>[NPRR1000</w:t>
            </w:r>
            <w:r w:rsidRPr="0002450E">
              <w:rPr>
                <w:iCs/>
              </w:rPr>
              <w:t xml:space="preserve">:  </w:t>
            </w:r>
            <w:r>
              <w:rPr>
                <w:iCs/>
              </w:rPr>
              <w:t>Delete Section 16.2.3.1 above upon system implementation and renumber accordingly</w:t>
            </w:r>
            <w:r w:rsidR="00EC4F5C">
              <w:rPr>
                <w:iCs/>
              </w:rPr>
              <w:t>.]</w:t>
            </w:r>
          </w:p>
        </w:tc>
      </w:tr>
    </w:tbl>
    <w:p w14:paraId="47E7C0DB" w14:textId="77777777" w:rsidR="00FC1C5F" w:rsidRDefault="00727E32" w:rsidP="00AA42E8">
      <w:pPr>
        <w:pStyle w:val="Heading4"/>
        <w:numPr>
          <w:ilvl w:val="0"/>
          <w:numId w:val="0"/>
        </w:numPr>
        <w:tabs>
          <w:tab w:val="left" w:pos="1620"/>
        </w:tabs>
        <w:spacing w:before="480"/>
      </w:pPr>
      <w:bookmarkStart w:id="115" w:name="_Toc175159115"/>
      <w:r>
        <w:t>16.2.3.</w:t>
      </w:r>
      <w:r w:rsidR="00D56D45">
        <w:t>2</w:t>
      </w:r>
      <w:r>
        <w:tab/>
        <w:t>Maintaining and Updating QSE Information</w:t>
      </w:r>
      <w:bookmarkEnd w:id="109"/>
      <w:bookmarkEnd w:id="110"/>
      <w:bookmarkEnd w:id="111"/>
      <w:bookmarkEnd w:id="112"/>
      <w:bookmarkEnd w:id="113"/>
      <w:bookmarkEnd w:id="114"/>
      <w:bookmarkEnd w:id="115"/>
      <w:r>
        <w:t xml:space="preserve"> </w:t>
      </w:r>
    </w:p>
    <w:p w14:paraId="20DE7DAF" w14:textId="77777777" w:rsidR="00FC1C5F" w:rsidRDefault="00853D39" w:rsidP="009F10FE">
      <w:pPr>
        <w:pStyle w:val="ListIntroduction"/>
        <w:ind w:left="720" w:hanging="720"/>
      </w:pPr>
      <w:r>
        <w:rPr>
          <w:lang w:val="en-US"/>
        </w:rPr>
        <w:t>(1)</w:t>
      </w:r>
      <w:r>
        <w:rPr>
          <w:lang w:val="en-US"/>
        </w:rPr>
        <w:tab/>
      </w:r>
      <w:r w:rsidR="00727E32">
        <w:t>Each QSE must timely update information the QSE provided to ERCOT in the application process, and a QSE must promptly respond to any reasonable request by ERCOT for updated information regarding the QSE or the information provided to ERCOT by the QSE, including:</w:t>
      </w:r>
    </w:p>
    <w:p w14:paraId="12885A2D" w14:textId="78D1A07C" w:rsidR="00FC1C5F" w:rsidRDefault="00727E32">
      <w:pPr>
        <w:pStyle w:val="List"/>
      </w:pPr>
      <w:r>
        <w:t>(a)</w:t>
      </w:r>
      <w:r>
        <w:tab/>
        <w:t>The QSE’s addresses;</w:t>
      </w:r>
    </w:p>
    <w:p w14:paraId="1D069A94" w14:textId="2164D80A" w:rsidR="00400902" w:rsidRDefault="00400902">
      <w:pPr>
        <w:pStyle w:val="List"/>
      </w:pPr>
      <w:bookmarkStart w:id="116" w:name="_Hlk90904203"/>
      <w:r>
        <w:t>(b)</w:t>
      </w:r>
      <w:r>
        <w:tab/>
        <w:t xml:space="preserve">A list of Principals, as defined in Section </w:t>
      </w:r>
      <w:r w:rsidRPr="00942972">
        <w:t>16.1.2</w:t>
      </w:r>
      <w:r>
        <w:t>,</w:t>
      </w:r>
      <w:r w:rsidRPr="00880886">
        <w:t xml:space="preserve"> Principal of a Market Participant</w:t>
      </w:r>
      <w:r>
        <w:t>;</w:t>
      </w:r>
    </w:p>
    <w:bookmarkEnd w:id="116"/>
    <w:p w14:paraId="13F81B49" w14:textId="1CE8A147" w:rsidR="00FC1C5F" w:rsidRDefault="00727E32" w:rsidP="00FE610C">
      <w:pPr>
        <w:pStyle w:val="List"/>
      </w:pPr>
      <w:r>
        <w:t>(</w:t>
      </w:r>
      <w:r w:rsidR="00400902">
        <w:t>c</w:t>
      </w:r>
      <w:r>
        <w:t>)</w:t>
      </w:r>
      <w:r>
        <w:tab/>
        <w:t>A list of Affiliates; and</w:t>
      </w:r>
    </w:p>
    <w:p w14:paraId="303B7612" w14:textId="6DC6F9B0" w:rsidR="00FC1C5F" w:rsidRDefault="00727E32">
      <w:pPr>
        <w:pStyle w:val="List"/>
      </w:pPr>
      <w:r>
        <w:t>(</w:t>
      </w:r>
      <w:r w:rsidR="00400902">
        <w:t>d</w:t>
      </w:r>
      <w:r>
        <w:t>)</w:t>
      </w:r>
      <w:r>
        <w:tab/>
        <w:t xml:space="preserve">Designation of the QSE’s officers, directors, Authorized Representatives, Credit Contacts, and User Security Administrator </w:t>
      </w:r>
      <w:r w:rsidR="002B565A">
        <w:t xml:space="preserve">(USA) </w:t>
      </w:r>
      <w:r>
        <w:t xml:space="preserve">(all per the QSE application) including the telephone and e-mail addresses for those persons. </w:t>
      </w:r>
    </w:p>
    <w:p w14:paraId="742D4D01" w14:textId="77777777" w:rsidR="00FC1C5F" w:rsidRPr="00D63F95" w:rsidRDefault="00727E32">
      <w:pPr>
        <w:pStyle w:val="H4"/>
        <w:rPr>
          <w:b/>
        </w:rPr>
      </w:pPr>
      <w:bookmarkStart w:id="117" w:name="_Toc390438921"/>
      <w:bookmarkStart w:id="118" w:name="_Toc405897618"/>
      <w:bookmarkStart w:id="119" w:name="_Toc415055722"/>
      <w:bookmarkStart w:id="120" w:name="_Toc415055848"/>
      <w:bookmarkStart w:id="121" w:name="_Toc415055947"/>
      <w:bookmarkStart w:id="122" w:name="_Toc415056048"/>
      <w:bookmarkStart w:id="123" w:name="_Toc175159116"/>
      <w:r w:rsidRPr="00D63F95">
        <w:rPr>
          <w:b/>
        </w:rPr>
        <w:t>16.2.3.</w:t>
      </w:r>
      <w:r w:rsidR="00D56D45">
        <w:rPr>
          <w:b/>
        </w:rPr>
        <w:t>3</w:t>
      </w:r>
      <w:r w:rsidRPr="00D63F95">
        <w:rPr>
          <w:b/>
        </w:rPr>
        <w:tab/>
        <w:t>Qualified Scheduling Entity Service Termination</w:t>
      </w:r>
      <w:bookmarkEnd w:id="117"/>
      <w:bookmarkEnd w:id="118"/>
      <w:bookmarkEnd w:id="119"/>
      <w:bookmarkEnd w:id="120"/>
      <w:bookmarkEnd w:id="121"/>
      <w:bookmarkEnd w:id="122"/>
      <w:bookmarkEnd w:id="123"/>
    </w:p>
    <w:p w14:paraId="08F00F9C" w14:textId="2B1F9BA7" w:rsidR="00FC1C5F" w:rsidRDefault="00727E32">
      <w:pPr>
        <w:pStyle w:val="BodyTextNumbered"/>
      </w:pPr>
      <w:r>
        <w:t>(1)</w:t>
      </w:r>
      <w:r>
        <w:tab/>
        <w:t xml:space="preserve">If a QSE intends to terminate representation of a Resource </w:t>
      </w:r>
      <w:r w:rsidR="004E5204" w:rsidRPr="007B773F">
        <w:t>Entity that owns or controls a Resource</w:t>
      </w:r>
      <w:r w:rsidR="004E5204">
        <w:t xml:space="preserve"> that is in the ERCOT Network Operations Model </w:t>
      </w:r>
      <w:r>
        <w:t xml:space="preserve">(other than a Resource </w:t>
      </w:r>
      <w:r w:rsidR="004E5204">
        <w:t xml:space="preserve">Entity </w:t>
      </w:r>
      <w:r>
        <w:t xml:space="preserve">serving as its own QSE, in which case this Section does not apply), the QSE shall provide, no less than </w:t>
      </w:r>
      <w:r w:rsidR="004E5204">
        <w:t>45</w:t>
      </w:r>
      <w:r>
        <w:t xml:space="preserve"> </w:t>
      </w:r>
      <w:r w:rsidR="004E5204">
        <w:t>d</w:t>
      </w:r>
      <w:r>
        <w:t>ays before the specified effective termination date (“Termination Date”), written notice to ERCOT and the Resource.</w:t>
      </w:r>
    </w:p>
    <w:p w14:paraId="7C77C001" w14:textId="77777777" w:rsidR="004E5204" w:rsidRDefault="004E5204" w:rsidP="004E5204">
      <w:pPr>
        <w:pStyle w:val="BodyTextNumbered"/>
      </w:pPr>
      <w:r w:rsidRPr="005357A3">
        <w:t>(</w:t>
      </w:r>
      <w:r>
        <w:t>2</w:t>
      </w:r>
      <w:r w:rsidRPr="005357A3">
        <w:t>)</w:t>
      </w:r>
      <w:r w:rsidRPr="005357A3">
        <w:tab/>
        <w:t>If a QSE intends to terminate representation of a Load Serving Entity (LSE)</w:t>
      </w:r>
      <w:r>
        <w:t xml:space="preserve"> or a Resource </w:t>
      </w:r>
      <w:r w:rsidRPr="007B773F">
        <w:t xml:space="preserve">Entity that </w:t>
      </w:r>
      <w:r>
        <w:t xml:space="preserve">does not </w:t>
      </w:r>
      <w:r w:rsidRPr="007B773F">
        <w:t>own or control a Resource</w:t>
      </w:r>
      <w:r>
        <w:t xml:space="preserve"> that is in the ERCOT Network Operations Model </w:t>
      </w:r>
      <w:r w:rsidRPr="005357A3">
        <w:t xml:space="preserve">(other than an LSE </w:t>
      </w:r>
      <w:r>
        <w:t xml:space="preserve">or Resource Entity </w:t>
      </w:r>
      <w:r w:rsidRPr="005357A3">
        <w:t>serving as its own QSE</w:t>
      </w:r>
      <w:r>
        <w:t>,</w:t>
      </w:r>
      <w:r w:rsidRPr="005357A3">
        <w:t xml:space="preserve"> in which case this Section does not apply)</w:t>
      </w:r>
      <w:r>
        <w:t xml:space="preserve">, </w:t>
      </w:r>
      <w:r w:rsidRPr="005357A3">
        <w:t xml:space="preserve">the QSE shall provide, no less than 12 Business </w:t>
      </w:r>
      <w:r w:rsidRPr="005357A3">
        <w:lastRenderedPageBreak/>
        <w:t xml:space="preserve">Days before the specified effective </w:t>
      </w:r>
      <w:r>
        <w:t>T</w:t>
      </w:r>
      <w:r w:rsidRPr="005357A3">
        <w:t xml:space="preserve">ermination </w:t>
      </w:r>
      <w:r>
        <w:t>D</w:t>
      </w:r>
      <w:r w:rsidRPr="005357A3">
        <w:t>ate, written notice to ERCOT and the LSE</w:t>
      </w:r>
      <w:r>
        <w:t xml:space="preserve"> or Resource Entity</w:t>
      </w:r>
      <w:r w:rsidRPr="005357A3">
        <w:t>.</w:t>
      </w:r>
    </w:p>
    <w:p w14:paraId="7C938B0A" w14:textId="15442B8E" w:rsidR="00FC1C5F" w:rsidRDefault="00727E32">
      <w:pPr>
        <w:pStyle w:val="BodyTextNumbered"/>
      </w:pPr>
      <w:r>
        <w:t>(</w:t>
      </w:r>
      <w:r w:rsidR="004E5204">
        <w:t>3</w:t>
      </w:r>
      <w:r>
        <w:t>)</w:t>
      </w:r>
      <w:r>
        <w:tab/>
        <w:t xml:space="preserve">Effective at 2400 on the Termination Date specified by the QSE, the QSE may no longer provide QSE services for or represent the terminated LSE or Resource.  The QSE is responsible for settlement obligations that the QSE has incurred on behalf of the terminated LSE or Resource before the termination. </w:t>
      </w:r>
      <w:r w:rsidR="001617F7">
        <w:t xml:space="preserve"> </w:t>
      </w:r>
      <w:r>
        <w:t xml:space="preserve">The QSE must participate in Real-Time Operations through the Termination Date and provide updates pursuant to these Protocols for the Operating Day which is the Termination Date.  Notwithstanding the foregoing, if, before the Termination Date, the LSE/Resource: </w:t>
      </w:r>
    </w:p>
    <w:p w14:paraId="434A07C0" w14:textId="77777777" w:rsidR="00FC1C5F" w:rsidRDefault="00727E32">
      <w:pPr>
        <w:pStyle w:val="List"/>
      </w:pPr>
      <w:r>
        <w:t>(a)</w:t>
      </w:r>
      <w:r>
        <w:tab/>
        <w:t xml:space="preserve">Affiliates itself with a new QSE, or </w:t>
      </w:r>
    </w:p>
    <w:p w14:paraId="0A183A2D" w14:textId="77777777" w:rsidR="00FC1C5F" w:rsidRDefault="00727E32">
      <w:pPr>
        <w:pStyle w:val="List"/>
      </w:pPr>
      <w:r>
        <w:t>(</w:t>
      </w:r>
      <w:r>
        <w:rPr>
          <w:iCs/>
        </w:rPr>
        <w:t>b</w:t>
      </w:r>
      <w:r>
        <w:t>)</w:t>
      </w:r>
      <w:r>
        <w:tab/>
        <w:t>Fulfills ERCOT’s creditworthiness requirements in order to become an Emergency QSE,</w:t>
      </w:r>
    </w:p>
    <w:p w14:paraId="5E7C99A0" w14:textId="77777777" w:rsidR="00FC1C5F" w:rsidRDefault="00727E32">
      <w:pPr>
        <w:pStyle w:val="BodyTextNumbered"/>
        <w:ind w:firstLine="0"/>
      </w:pPr>
      <w:r>
        <w:t>the QSE that provided notice of the intent to terminate representation of the LSE/ Resource will no longer be responsible for the terminated LSE/Resource upon the effective date of the new QSE’s representation of that LSE/Resource, or the LSE/Resource qualifying as an Emergency QSE.</w:t>
      </w:r>
    </w:p>
    <w:p w14:paraId="6D1E81B0" w14:textId="3FA9AC92" w:rsidR="00FC1C5F" w:rsidRDefault="00727E32">
      <w:pPr>
        <w:pStyle w:val="BodyTextNumbered"/>
      </w:pPr>
      <w:r>
        <w:t>(</w:t>
      </w:r>
      <w:r w:rsidR="004E5204">
        <w:t>4</w:t>
      </w:r>
      <w:r>
        <w:t>)</w:t>
      </w:r>
      <w:r>
        <w:tab/>
        <w:t>Within two Business Days of notice of a QSE’s intent to terminate representation of an LSE, ERCOT shall notify the LSE of the level of credit the LSE must provide, if it becomes an Emergency QSE, and the date by which it must post the required collateral.</w:t>
      </w:r>
    </w:p>
    <w:p w14:paraId="466232BA" w14:textId="77777777" w:rsidR="00FC1C5F" w:rsidRDefault="00727E32">
      <w:pPr>
        <w:pStyle w:val="H3"/>
      </w:pPr>
      <w:bookmarkStart w:id="124" w:name="_Toc71369182"/>
      <w:bookmarkStart w:id="125" w:name="_Toc71539398"/>
      <w:bookmarkStart w:id="126" w:name="_Toc390438922"/>
      <w:bookmarkStart w:id="127" w:name="_Toc405897619"/>
      <w:bookmarkStart w:id="128" w:name="_Toc415055723"/>
      <w:bookmarkStart w:id="129" w:name="_Toc415055849"/>
      <w:bookmarkStart w:id="130" w:name="_Toc415055948"/>
      <w:bookmarkStart w:id="131" w:name="_Toc415056049"/>
      <w:bookmarkStart w:id="132" w:name="_Toc175159117"/>
      <w:r>
        <w:t>16.2.4</w:t>
      </w:r>
      <w:r>
        <w:tab/>
        <w:t>Posting of Qualified Scheduling Entity List</w:t>
      </w:r>
      <w:bookmarkEnd w:id="124"/>
      <w:bookmarkEnd w:id="125"/>
      <w:bookmarkEnd w:id="126"/>
      <w:bookmarkEnd w:id="127"/>
      <w:bookmarkEnd w:id="128"/>
      <w:bookmarkEnd w:id="129"/>
      <w:bookmarkEnd w:id="130"/>
      <w:bookmarkEnd w:id="131"/>
      <w:bookmarkEnd w:id="132"/>
    </w:p>
    <w:p w14:paraId="4040D1BA" w14:textId="6F49DA02" w:rsidR="00FC1C5F" w:rsidRDefault="00853D39" w:rsidP="009F10FE">
      <w:pPr>
        <w:pStyle w:val="BodyText"/>
        <w:ind w:left="720" w:hanging="720"/>
      </w:pPr>
      <w:r>
        <w:t>(1)</w:t>
      </w:r>
      <w:r>
        <w:tab/>
      </w:r>
      <w:r w:rsidR="00727E32">
        <w:t xml:space="preserve">ERCOT shall post on the </w:t>
      </w:r>
      <w:r w:rsidR="00F13002">
        <w:t>ERCOT website</w:t>
      </w:r>
      <w:r w:rsidR="00727E32">
        <w:t xml:space="preserve"> and maintain a current list of all QSEs.  ERCOT shall include with that posting a cautionary statement that inclusion on that list does not necessarily mean that a QSE is entitled to provide any service to a third party, nor does it obligate a QSE to provide any service to a third party.</w:t>
      </w:r>
    </w:p>
    <w:p w14:paraId="11BAA357" w14:textId="47F640C0" w:rsidR="00FC1C5F" w:rsidRDefault="00727E32">
      <w:pPr>
        <w:pStyle w:val="H3"/>
        <w:spacing w:after="120"/>
      </w:pPr>
      <w:bookmarkStart w:id="133" w:name="_Toc71369183"/>
      <w:bookmarkStart w:id="134" w:name="_Toc71539399"/>
      <w:bookmarkStart w:id="135" w:name="_Toc390438923"/>
      <w:bookmarkStart w:id="136" w:name="_Toc405897620"/>
      <w:bookmarkStart w:id="137" w:name="_Toc415055724"/>
      <w:bookmarkStart w:id="138" w:name="_Toc415055850"/>
      <w:bookmarkStart w:id="139" w:name="_Toc415055949"/>
      <w:bookmarkStart w:id="140" w:name="_Toc415056050"/>
      <w:bookmarkStart w:id="141" w:name="_Toc175159118"/>
      <w:r>
        <w:t>16.2.5</w:t>
      </w:r>
      <w:r>
        <w:tab/>
        <w:t xml:space="preserve">Suspended </w:t>
      </w:r>
      <w:r w:rsidR="00296FC2">
        <w:t xml:space="preserve">or Terminated </w:t>
      </w:r>
      <w:r>
        <w:t>Qualified Scheduling Entity</w:t>
      </w:r>
      <w:bookmarkEnd w:id="133"/>
      <w:bookmarkEnd w:id="134"/>
      <w:r>
        <w:t xml:space="preserve"> – Notification to LSEs and Resource Entities Represented</w:t>
      </w:r>
      <w:bookmarkEnd w:id="135"/>
      <w:bookmarkEnd w:id="136"/>
      <w:bookmarkEnd w:id="137"/>
      <w:bookmarkEnd w:id="138"/>
      <w:bookmarkEnd w:id="139"/>
      <w:bookmarkEnd w:id="140"/>
      <w:bookmarkEnd w:id="141"/>
    </w:p>
    <w:p w14:paraId="4019011E" w14:textId="4ADC9AEC" w:rsidR="00FC1C5F" w:rsidRDefault="00727E32">
      <w:pPr>
        <w:pStyle w:val="BodyText"/>
        <w:ind w:left="720" w:hanging="720"/>
      </w:pPr>
      <w:r>
        <w:t>(1)</w:t>
      </w:r>
      <w:r>
        <w:tab/>
        <w:t xml:space="preserve">If ERCOT suspends </w:t>
      </w:r>
      <w:r w:rsidR="00296FC2">
        <w:t>a</w:t>
      </w:r>
      <w:r>
        <w:t xml:space="preserve"> QSE or terminates the </w:t>
      </w:r>
      <w:r w:rsidR="00296FC2">
        <w:t xml:space="preserve">QSE’s </w:t>
      </w:r>
      <w:r>
        <w:t>Standard Form Market Participant Agreement</w:t>
      </w:r>
      <w:r w:rsidR="00296FC2">
        <w:t xml:space="preserve"> for Default</w:t>
      </w:r>
      <w:r>
        <w:t xml:space="preserve">, ERCOT shall notify the affected LSEs and Resource Entities that the QSE has been suspended </w:t>
      </w:r>
      <w:r w:rsidR="00296FC2">
        <w:t xml:space="preserve">or terminated </w:t>
      </w:r>
      <w:r>
        <w:t>and the effective date of such suspension</w:t>
      </w:r>
      <w:r w:rsidR="00296FC2">
        <w:t xml:space="preserve"> or termination</w:t>
      </w:r>
      <w:r>
        <w:t xml:space="preserve">.  </w:t>
      </w:r>
    </w:p>
    <w:p w14:paraId="1A4CC4CD" w14:textId="2D928B44" w:rsidR="00FC1C5F" w:rsidRDefault="00727E32">
      <w:pPr>
        <w:pStyle w:val="BodyText"/>
        <w:ind w:left="720" w:hanging="720"/>
      </w:pPr>
      <w:r>
        <w:t>(2)</w:t>
      </w:r>
      <w:r>
        <w:tab/>
        <w:t xml:space="preserve">If an LSE or Resource Entity represented by </w:t>
      </w:r>
      <w:r w:rsidR="00296FC2">
        <w:t>a terminated</w:t>
      </w:r>
      <w:r>
        <w:t xml:space="preserve"> or suspended QSE is the same Entity as the </w:t>
      </w:r>
      <w:r w:rsidR="00296FC2">
        <w:t>terminated</w:t>
      </w:r>
      <w:r>
        <w:t xml:space="preserve"> or suspended QSE, the provisions of Section 16.11.6.1.6, Revocation of a Market Participant’s Rights and Termination of Agreements, shall apply to that LSE or Resource Entity, and that LSE or Resource Entity shall not be entitled to become an Emergency QSE.</w:t>
      </w:r>
    </w:p>
    <w:p w14:paraId="0E26AB57" w14:textId="77777777" w:rsidR="00FC1C5F" w:rsidRDefault="00727E32">
      <w:pPr>
        <w:pStyle w:val="H3"/>
        <w:spacing w:after="120"/>
      </w:pPr>
      <w:bookmarkStart w:id="142" w:name="_Toc71369184"/>
      <w:bookmarkStart w:id="143" w:name="_Toc71539400"/>
      <w:bookmarkStart w:id="144" w:name="_Toc390438924"/>
      <w:bookmarkStart w:id="145" w:name="_Toc405897621"/>
      <w:bookmarkStart w:id="146" w:name="_Toc415055725"/>
      <w:bookmarkStart w:id="147" w:name="_Toc415055851"/>
      <w:bookmarkStart w:id="148" w:name="_Toc415055950"/>
      <w:bookmarkStart w:id="149" w:name="_Toc415056051"/>
      <w:bookmarkStart w:id="150" w:name="_Toc175159119"/>
      <w:r>
        <w:lastRenderedPageBreak/>
        <w:t>16.2.6</w:t>
      </w:r>
      <w:r>
        <w:tab/>
        <w:t>Emergency Qualified Scheduling Entity</w:t>
      </w:r>
      <w:bookmarkEnd w:id="142"/>
      <w:bookmarkEnd w:id="143"/>
      <w:bookmarkEnd w:id="144"/>
      <w:bookmarkEnd w:id="145"/>
      <w:bookmarkEnd w:id="146"/>
      <w:bookmarkEnd w:id="147"/>
      <w:bookmarkEnd w:id="148"/>
      <w:bookmarkEnd w:id="149"/>
      <w:bookmarkEnd w:id="150"/>
    </w:p>
    <w:p w14:paraId="7C87EB4A" w14:textId="77777777" w:rsidR="00FC1C5F" w:rsidRPr="00D63F95" w:rsidRDefault="00727E32">
      <w:pPr>
        <w:pStyle w:val="H4"/>
        <w:spacing w:after="120"/>
        <w:rPr>
          <w:b/>
        </w:rPr>
      </w:pPr>
      <w:bookmarkStart w:id="151" w:name="_Toc390438925"/>
      <w:bookmarkStart w:id="152" w:name="_Toc405897622"/>
      <w:bookmarkStart w:id="153" w:name="_Toc415055726"/>
      <w:bookmarkStart w:id="154" w:name="_Toc415055852"/>
      <w:bookmarkStart w:id="155" w:name="_Toc415055951"/>
      <w:bookmarkStart w:id="156" w:name="_Toc415056052"/>
      <w:bookmarkStart w:id="157" w:name="_Toc175159120"/>
      <w:r w:rsidRPr="00D63F95">
        <w:rPr>
          <w:b/>
        </w:rPr>
        <w:t>16.2.6.1</w:t>
      </w:r>
      <w:r w:rsidRPr="00D63F95">
        <w:rPr>
          <w:b/>
        </w:rPr>
        <w:tab/>
        <w:t>Designation as an Emergency Qualified Scheduling Entity or Virtual Qualified Scheduling Entity</w:t>
      </w:r>
      <w:bookmarkEnd w:id="151"/>
      <w:bookmarkEnd w:id="152"/>
      <w:bookmarkEnd w:id="153"/>
      <w:bookmarkEnd w:id="154"/>
      <w:bookmarkEnd w:id="155"/>
      <w:bookmarkEnd w:id="156"/>
      <w:bookmarkEnd w:id="157"/>
    </w:p>
    <w:p w14:paraId="055A690D" w14:textId="0B59EECB" w:rsidR="00FC1C5F" w:rsidRDefault="00727E32">
      <w:pPr>
        <w:pStyle w:val="BodyText"/>
        <w:ind w:left="720" w:hanging="720"/>
      </w:pPr>
      <w:r>
        <w:t>(1)</w:t>
      </w:r>
      <w:r>
        <w:tab/>
        <w:t xml:space="preserve">A “Virtual QSE” is defined as an LSE or Resource Entity </w:t>
      </w:r>
      <w:r w:rsidR="00296FC2">
        <w:t>that has not qualified and been designated as an Emergency QSE, but has been designated by ERCOT to temporarily perform the responsibilities of a QSE</w:t>
      </w:r>
      <w:r>
        <w:t xml:space="preserve">. </w:t>
      </w:r>
    </w:p>
    <w:p w14:paraId="787CD23D" w14:textId="4013116A" w:rsidR="00FC1C5F" w:rsidRDefault="00727E32">
      <w:pPr>
        <w:pStyle w:val="BodyText"/>
        <w:ind w:left="720" w:hanging="720"/>
      </w:pPr>
      <w:r>
        <w:t>(2)</w:t>
      </w:r>
      <w:r>
        <w:tab/>
        <w:t>If a QSE has given Notice of its intent to terminate its relationship with an LSE or Resource Entity, that LSE or Resource Entity, must, by noon on the fourth Business Day after the termination notice date, either</w:t>
      </w:r>
      <w:r w:rsidR="00296FC2">
        <w:t>:</w:t>
      </w:r>
    </w:p>
    <w:p w14:paraId="679A690A" w14:textId="77777777" w:rsidR="00FC1C5F" w:rsidRDefault="00727E32">
      <w:pPr>
        <w:pStyle w:val="BodyTextNumbered"/>
        <w:ind w:left="1440"/>
      </w:pPr>
      <w:r>
        <w:t xml:space="preserve">(a) </w:t>
      </w:r>
      <w:r>
        <w:tab/>
        <w:t>Designate a new QSE with such relationship to take effect on the Termination Date, or earlier if allowed by ERCOT; or</w:t>
      </w:r>
    </w:p>
    <w:p w14:paraId="29BCA0A4" w14:textId="0A803EA3" w:rsidR="00FC1C5F" w:rsidRDefault="00727E32">
      <w:pPr>
        <w:pStyle w:val="BodyTextNumbered"/>
        <w:ind w:left="1440"/>
      </w:pPr>
      <w:r>
        <w:t xml:space="preserve">(b) </w:t>
      </w:r>
      <w:r>
        <w:tab/>
        <w:t>Satisfy all necessary creditworthiness requirements for QSEs as described in Section 16.2, Registration and Qualification of Qualified Scheduling Entities</w:t>
      </w:r>
      <w:r w:rsidR="00296FC2">
        <w:t>, and operate as an Emergency QSE as described below</w:t>
      </w:r>
      <w:r>
        <w:t xml:space="preserve">.  </w:t>
      </w:r>
    </w:p>
    <w:p w14:paraId="446B7EA8" w14:textId="29422152" w:rsidR="00FC1C5F" w:rsidRDefault="00727E32">
      <w:pPr>
        <w:pStyle w:val="List2"/>
        <w:ind w:left="720"/>
      </w:pPr>
      <w:r>
        <w:t>(3)</w:t>
      </w:r>
      <w:r>
        <w:tab/>
        <w:t xml:space="preserve">If ERCOT has given Notice of an LSE’s or Resource Entity’s QSE’s </w:t>
      </w:r>
      <w:r w:rsidR="00296FC2">
        <w:t xml:space="preserve">termination or </w:t>
      </w:r>
      <w:r>
        <w:t>suspension, that LSE or Resource Entity will be designated as a Virtual QSE for up to two Bank Business Days, during which time it must either</w:t>
      </w:r>
      <w:r w:rsidR="00296FC2">
        <w:t>:</w:t>
      </w:r>
      <w:r>
        <w:t xml:space="preserve"> </w:t>
      </w:r>
    </w:p>
    <w:p w14:paraId="6AE6CD05" w14:textId="77777777" w:rsidR="00FC1C5F" w:rsidRDefault="00727E32">
      <w:pPr>
        <w:pStyle w:val="List2"/>
        <w:ind w:left="0" w:firstLine="0"/>
      </w:pPr>
      <w:r>
        <w:tab/>
        <w:t xml:space="preserve">(a) </w:t>
      </w:r>
      <w:r>
        <w:tab/>
        <w:t>Designate and begin operations with a new QSE; or</w:t>
      </w:r>
    </w:p>
    <w:p w14:paraId="3354186D" w14:textId="767712F9" w:rsidR="00FC1C5F" w:rsidRDefault="00727E32">
      <w:pPr>
        <w:pStyle w:val="BodyTextNumbered"/>
        <w:ind w:left="1440"/>
      </w:pPr>
      <w:r>
        <w:t xml:space="preserve">(b) </w:t>
      </w:r>
      <w:r>
        <w:tab/>
        <w:t>Satisfy all necessary creditworthiness requirements for QSEs as described in Section 16.2, and operate as an Emergency QSE as described below.</w:t>
      </w:r>
      <w:r w:rsidR="00296FC2" w:rsidRPr="00296FC2">
        <w:t xml:space="preserve"> </w:t>
      </w:r>
      <w:r w:rsidR="00296FC2">
        <w:t xml:space="preserve"> As provided in paragraph (2) of Section 16.2.5, Suspended or Terminated</w:t>
      </w:r>
      <w:r w:rsidR="00296FC2" w:rsidRPr="00220D12">
        <w:t xml:space="preserve"> Qualified Scheduling Entity – Notification to LSEs and Resource Entities Represented</w:t>
      </w:r>
      <w:r w:rsidR="00296FC2">
        <w:t>, this option does not apply to an LSE or Resource Entity represented by a terminated or suspended QSE that is the same Entity as the terminated or suspended QSE.</w:t>
      </w:r>
    </w:p>
    <w:p w14:paraId="3C39DEBF" w14:textId="05AC6A83" w:rsidR="00FC1C5F" w:rsidRDefault="00727E32">
      <w:pPr>
        <w:pStyle w:val="BodyTextNumbered"/>
      </w:pPr>
      <w:r>
        <w:t>(4)</w:t>
      </w:r>
      <w:r>
        <w:tab/>
        <w:t xml:space="preserve">If an LSE or Resource Entity meets the creditworthiness requirements, the LSE or Resource Entity may be designated as an Emergency QSE </w:t>
      </w:r>
      <w:r w:rsidR="00296FC2">
        <w:t xml:space="preserve">except as provided in paragraph (2) of Section 16.2.5 </w:t>
      </w:r>
      <w:r>
        <w:t xml:space="preserve">and may, upon the Termination Date, be issued </w:t>
      </w:r>
      <w:r w:rsidR="00296FC2">
        <w:t>D</w:t>
      </w:r>
      <w:r>
        <w:t xml:space="preserve">igital </w:t>
      </w:r>
      <w:r w:rsidR="00296FC2">
        <w:t>C</w:t>
      </w:r>
      <w:r>
        <w:t xml:space="preserve">ertificates and given access to the </w:t>
      </w:r>
      <w:r w:rsidR="00F13002">
        <w:t>Market Information System (</w:t>
      </w:r>
      <w:r>
        <w:t>MIS</w:t>
      </w:r>
      <w:r w:rsidR="00F13002">
        <w:t>)</w:t>
      </w:r>
      <w:r>
        <w:t xml:space="preserve"> as determined by ERCOT.</w:t>
      </w:r>
    </w:p>
    <w:p w14:paraId="1323145D" w14:textId="376650D4" w:rsidR="00FC1C5F" w:rsidRDefault="00727E32" w:rsidP="00FC1E00">
      <w:pPr>
        <w:pStyle w:val="BodyTextNumbered"/>
      </w:pPr>
      <w:r>
        <w:t>(5)</w:t>
      </w:r>
      <w:r>
        <w:tab/>
        <w:t xml:space="preserve">If the LSE fails to meet the requirements of one of the above options in the timeframe set forth above, </w:t>
      </w:r>
      <w:r w:rsidR="00296FC2">
        <w:t xml:space="preserve">it shall constitute a QSE Affiliation Breach under the LSE’s Standard Form Market Participant Agreement.  If the LSE fails to cure the QSE Affiliation Breach within the cure period set forth in the Standard Form Market Participant Agreement, and the LSE serves Load, </w:t>
      </w:r>
      <w:r>
        <w:t xml:space="preserve">ERCOT shall, after notice </w:t>
      </w:r>
      <w:r w:rsidR="00562B70">
        <w:t>as specified in Retail Market Guide Section 7.11, Transition Process</w:t>
      </w:r>
      <w:r>
        <w:t>, initiate</w:t>
      </w:r>
      <w:r w:rsidR="00CD1D2D">
        <w:t xml:space="preserve"> a Mass Transition of the LSE’s Electronic Service Identifiers (</w:t>
      </w:r>
      <w:r>
        <w:t>ESI IDs</w:t>
      </w:r>
      <w:r w:rsidR="00CD1D2D">
        <w:t>)</w:t>
      </w:r>
      <w:r>
        <w:t xml:space="preserve"> pursuant to Section 15.1.</w:t>
      </w:r>
      <w:r w:rsidR="00FC1E00">
        <w:t>3</w:t>
      </w:r>
      <w:r>
        <w:t xml:space="preserve">, </w:t>
      </w:r>
      <w:r w:rsidR="00CD1D2D">
        <w:t>Transition Process</w:t>
      </w:r>
      <w:r>
        <w:t>.</w:t>
      </w:r>
    </w:p>
    <w:p w14:paraId="43D0F87F" w14:textId="22F90D4F" w:rsidR="00FC1C5F" w:rsidRDefault="00727E32">
      <w:pPr>
        <w:pStyle w:val="BodyTextNumbered"/>
      </w:pPr>
      <w:r>
        <w:lastRenderedPageBreak/>
        <w:t>(6)</w:t>
      </w:r>
      <w:r>
        <w:tab/>
        <w:t>If a Resource Entity fails to meet the requirements of one of the options set forth in paragraph (</w:t>
      </w:r>
      <w:r w:rsidR="00296FC2">
        <w:t>2</w:t>
      </w:r>
      <w:r>
        <w:t>) or (</w:t>
      </w:r>
      <w:r w:rsidR="00296FC2">
        <w:t>3</w:t>
      </w:r>
      <w:r>
        <w:t xml:space="preserve">) above within the requisite timeframe, </w:t>
      </w:r>
      <w:r w:rsidR="00296FC2">
        <w:t xml:space="preserve">it shall constitute a QSE Affiliation Breach under the Resource Entity’s Standard Form Market Participant Agreement, provided that </w:t>
      </w:r>
      <w:r>
        <w:t>ERCOT may allow the Resource Entity additional time, as determined by ERCOT staff, to meet the requirements.</w:t>
      </w:r>
    </w:p>
    <w:p w14:paraId="42D9E944" w14:textId="234F70F7" w:rsidR="00FC1C5F" w:rsidRDefault="00727E32">
      <w:pPr>
        <w:pStyle w:val="BodyTextNumbered"/>
      </w:pPr>
      <w:r>
        <w:t>(7)</w:t>
      </w:r>
      <w:r>
        <w:tab/>
        <w:t xml:space="preserve">For any Operating Day in which an LSE or Resource Entity is not either represented by a QSE or qualified as an Emergency QSE, ERCOT may designate the LSE or Resource Entity as a Virtual QSE. </w:t>
      </w:r>
      <w:r w:rsidR="00826ED4">
        <w:t xml:space="preserve"> </w:t>
      </w:r>
      <w:r>
        <w:t xml:space="preserve">ERCOT may issue </w:t>
      </w:r>
      <w:r w:rsidR="00296FC2">
        <w:t>D</w:t>
      </w:r>
      <w:r>
        <w:t xml:space="preserve">igital </w:t>
      </w:r>
      <w:r w:rsidR="00296FC2">
        <w:t>C</w:t>
      </w:r>
      <w:r>
        <w:t>ertificates to the Virtual QSE for access to the capabilities of the MIS.  A Virtual QSE shall be liable for any and all charges associated with Initial, Final and True-Up Settlements as well as any Resettlements applying to dates during which the Virtual QSE represented ESI IDs or otherwise incurred charges pursuant to these Protocols, along with any and all costs incurred by ERCOT in collecting such amounts.</w:t>
      </w:r>
    </w:p>
    <w:p w14:paraId="3CD6BA55" w14:textId="7F3D5F88" w:rsidR="00FC1C5F" w:rsidRDefault="00727E32">
      <w:pPr>
        <w:pStyle w:val="BodyTextNumbered"/>
      </w:pPr>
      <w:r>
        <w:t>(8)</w:t>
      </w:r>
      <w:r>
        <w:tab/>
        <w:t xml:space="preserve">ERCOT shall maintain a referral list of qualified QSEs on the </w:t>
      </w:r>
      <w:r w:rsidR="00F13002">
        <w:t>ERCOT website</w:t>
      </w:r>
      <w:r>
        <w:t xml:space="preserve"> who request to be listed as providing QSE services on short notice. </w:t>
      </w:r>
      <w:r w:rsidR="00296FC2">
        <w:t xml:space="preserve"> </w:t>
      </w:r>
      <w:r>
        <w:t xml:space="preserve">The list shall include the QSE’s name, contact information and whether they are qualified to represent Load and/or Resources and/or provide Ancillary Services. </w:t>
      </w:r>
      <w:r w:rsidR="00296FC2">
        <w:t xml:space="preserve"> </w:t>
      </w:r>
      <w:r>
        <w:t>ERCOT shall not be obligated to verify the abilities of any QSE so listed.  ERCOT shall require all QSEs listed to confirm their inclusion on the referral list no later than the start of each calendar year.</w:t>
      </w:r>
    </w:p>
    <w:p w14:paraId="14B7268C" w14:textId="77777777" w:rsidR="00FC1C5F" w:rsidRPr="00D63F95" w:rsidRDefault="00727E32">
      <w:pPr>
        <w:pStyle w:val="H4"/>
        <w:rPr>
          <w:b/>
        </w:rPr>
      </w:pPr>
      <w:bookmarkStart w:id="158" w:name="_Toc390438926"/>
      <w:bookmarkStart w:id="159" w:name="_Toc405897623"/>
      <w:bookmarkStart w:id="160" w:name="_Toc415055727"/>
      <w:bookmarkStart w:id="161" w:name="_Toc415055853"/>
      <w:bookmarkStart w:id="162" w:name="_Toc415055952"/>
      <w:bookmarkStart w:id="163" w:name="_Toc415056053"/>
      <w:bookmarkStart w:id="164" w:name="_Toc175159121"/>
      <w:r w:rsidRPr="00D63F95">
        <w:rPr>
          <w:b/>
        </w:rPr>
        <w:t>16.2.6.2</w:t>
      </w:r>
      <w:r w:rsidRPr="00D63F95">
        <w:rPr>
          <w:b/>
        </w:rPr>
        <w:tab/>
        <w:t>Market Participation by an Emergency Qualified Scheduling Entity or a Virtual Qualified Scheduling Entity</w:t>
      </w:r>
      <w:bookmarkEnd w:id="158"/>
      <w:bookmarkEnd w:id="159"/>
      <w:bookmarkEnd w:id="160"/>
      <w:bookmarkEnd w:id="161"/>
      <w:bookmarkEnd w:id="162"/>
      <w:bookmarkEnd w:id="163"/>
      <w:bookmarkEnd w:id="164"/>
    </w:p>
    <w:p w14:paraId="7221E977" w14:textId="77777777" w:rsidR="00296FC2" w:rsidRDefault="00727E32">
      <w:pPr>
        <w:pStyle w:val="BodyTextNumbered"/>
      </w:pPr>
      <w:r>
        <w:t>(1)</w:t>
      </w:r>
      <w:r>
        <w:tab/>
        <w:t>An Emergency QSE or a Virtual QSE may only represent itself</w:t>
      </w:r>
      <w:r w:rsidR="00296FC2">
        <w:t>; it may not represent another legal Entity.</w:t>
      </w:r>
      <w:r>
        <w:t xml:space="preserve"> </w:t>
      </w:r>
    </w:p>
    <w:p w14:paraId="514E9044" w14:textId="39AD6A81" w:rsidR="00FC1C5F" w:rsidRDefault="00296FC2">
      <w:pPr>
        <w:pStyle w:val="BodyTextNumbered"/>
      </w:pPr>
      <w:r>
        <w:t>(2)</w:t>
      </w:r>
      <w:r>
        <w:tab/>
        <w:t>An Emergency QSE or a Virtual QSE that is also an LSE</w:t>
      </w:r>
      <w:r w:rsidR="00727E32">
        <w:t xml:space="preserve"> may only submit</w:t>
      </w:r>
      <w:r w:rsidRPr="00296FC2">
        <w:t xml:space="preserve"> </w:t>
      </w:r>
      <w:r>
        <w:t>the following transactions, and may do so only to the extent that the transactions are intended to serve the Load of the Emergency QSE’s or Virtual QSE’s Customers</w:t>
      </w:r>
      <w:r w:rsidR="00727E32">
        <w:t xml:space="preserve">: </w:t>
      </w:r>
    </w:p>
    <w:p w14:paraId="4E015E83" w14:textId="77777777" w:rsidR="00FC1C5F" w:rsidRDefault="00727E32">
      <w:pPr>
        <w:pStyle w:val="List"/>
      </w:pPr>
      <w:r>
        <w:t>(a)</w:t>
      </w:r>
      <w:r>
        <w:tab/>
        <w:t>Energy Trades in which the Emergency QSE or the Virtual QSE is the buyer;</w:t>
      </w:r>
    </w:p>
    <w:p w14:paraId="2593B151" w14:textId="77777777" w:rsidR="00FC1C5F" w:rsidRDefault="00727E32">
      <w:pPr>
        <w:pStyle w:val="List"/>
      </w:pPr>
      <w:r>
        <w:t>(b)</w:t>
      </w:r>
      <w:r>
        <w:tab/>
        <w:t>Capacity Trades in which the Emergency QSE or the Virtual QSE is the buyer;</w:t>
      </w:r>
    </w:p>
    <w:p w14:paraId="2E062F38" w14:textId="77777777" w:rsidR="00FC1C5F" w:rsidRDefault="00727E32">
      <w:pPr>
        <w:pStyle w:val="List"/>
      </w:pPr>
      <w:r>
        <w:t>(c)</w:t>
      </w:r>
      <w:r>
        <w:tab/>
        <w:t>Ancillary Service Trades in which the Emergency QSE or the Virtual QSE is the buyer; and</w:t>
      </w:r>
    </w:p>
    <w:p w14:paraId="3E4E3310" w14:textId="21D1E9AE" w:rsidR="00FC1C5F" w:rsidRDefault="00727E32" w:rsidP="00520F89">
      <w:pPr>
        <w:pStyle w:val="List"/>
        <w:ind w:left="0" w:firstLine="720"/>
      </w:pPr>
      <w:r>
        <w:t>(</w:t>
      </w:r>
      <w:r w:rsidR="00296FC2">
        <w:t>d</w:t>
      </w:r>
      <w:r>
        <w:t>)</w:t>
      </w:r>
      <w:r>
        <w:tab/>
        <w:t xml:space="preserve">DAM Energy Bids. </w:t>
      </w:r>
    </w:p>
    <w:p w14:paraId="5909BDBC" w14:textId="1634B85F" w:rsidR="00FC1C5F" w:rsidRDefault="00727E32">
      <w:pPr>
        <w:pStyle w:val="BodyTextNumbered"/>
      </w:pPr>
      <w:r>
        <w:t>(3)</w:t>
      </w:r>
      <w:r>
        <w:tab/>
        <w:t xml:space="preserve">An Emergency QSE or a Virtual QSE </w:t>
      </w:r>
      <w:r w:rsidR="00296FC2">
        <w:t>that is also</w:t>
      </w:r>
      <w:r>
        <w:t xml:space="preserve"> a Resource Entity may </w:t>
      </w:r>
      <w:r w:rsidR="00296FC2">
        <w:t xml:space="preserve">only </w:t>
      </w:r>
      <w:r>
        <w:t xml:space="preserve">submit transactions </w:t>
      </w:r>
      <w:r w:rsidR="00296FC2">
        <w:t>that</w:t>
      </w:r>
      <w:r>
        <w:t xml:space="preserve"> are </w:t>
      </w:r>
      <w:r w:rsidR="00296FC2">
        <w:t xml:space="preserve">directly attributable to and </w:t>
      </w:r>
      <w:r>
        <w:t>wholly provided by the Resource Entity’s Resource(s).</w:t>
      </w:r>
    </w:p>
    <w:p w14:paraId="65C0B5BA" w14:textId="77777777" w:rsidR="00FC1C5F" w:rsidRPr="00D63F95" w:rsidRDefault="00727E32">
      <w:pPr>
        <w:pStyle w:val="H4"/>
        <w:rPr>
          <w:b/>
        </w:rPr>
      </w:pPr>
      <w:bookmarkStart w:id="165" w:name="_Toc390438927"/>
      <w:bookmarkStart w:id="166" w:name="_Toc405897624"/>
      <w:bookmarkStart w:id="167" w:name="_Toc415055728"/>
      <w:bookmarkStart w:id="168" w:name="_Toc415055854"/>
      <w:bookmarkStart w:id="169" w:name="_Toc415055953"/>
      <w:bookmarkStart w:id="170" w:name="_Toc415056054"/>
      <w:bookmarkStart w:id="171" w:name="_Toc175159122"/>
      <w:r w:rsidRPr="00D63F95">
        <w:rPr>
          <w:b/>
        </w:rPr>
        <w:t>16.2.6.3</w:t>
      </w:r>
      <w:r w:rsidRPr="00D63F95">
        <w:rPr>
          <w:b/>
        </w:rPr>
        <w:tab/>
        <w:t xml:space="preserve">Requirement to Obtain New Qualified Scheduling Entity or Qualified </w:t>
      </w:r>
      <w:r w:rsidRPr="00D63F95">
        <w:rPr>
          <w:b/>
        </w:rPr>
        <w:lastRenderedPageBreak/>
        <w:t>Scheduling Entity Qualification</w:t>
      </w:r>
      <w:bookmarkEnd w:id="165"/>
      <w:bookmarkEnd w:id="166"/>
      <w:bookmarkEnd w:id="167"/>
      <w:bookmarkEnd w:id="168"/>
      <w:bookmarkEnd w:id="169"/>
      <w:bookmarkEnd w:id="170"/>
      <w:bookmarkEnd w:id="171"/>
    </w:p>
    <w:p w14:paraId="2D089802" w14:textId="77777777" w:rsidR="00FC1C5F" w:rsidRDefault="00727E32">
      <w:pPr>
        <w:pStyle w:val="BodyText"/>
        <w:ind w:left="720" w:hanging="720"/>
      </w:pPr>
      <w:r>
        <w:t>(1)</w:t>
      </w:r>
      <w:r>
        <w:tab/>
        <w:t xml:space="preserve">Within seven Business Days after receiving designation as an Emergency QSE, an Emergency QSE must either: </w:t>
      </w:r>
    </w:p>
    <w:p w14:paraId="3DBC4CBC" w14:textId="77777777" w:rsidR="00FC1C5F" w:rsidRDefault="00727E32">
      <w:pPr>
        <w:pStyle w:val="BodyText"/>
        <w:ind w:left="1440" w:hanging="720"/>
      </w:pPr>
      <w:r>
        <w:t>(a)</w:t>
      </w:r>
      <w:r>
        <w:tab/>
        <w:t>Designate a QSE that will represent the LSE or Resource Entity to ERCOT</w:t>
      </w:r>
      <w:r w:rsidR="00CD1D2D">
        <w:t>;</w:t>
      </w:r>
      <w:r>
        <w:t xml:space="preserve"> or </w:t>
      </w:r>
    </w:p>
    <w:p w14:paraId="7BD89120" w14:textId="77777777" w:rsidR="00FC1C5F" w:rsidRDefault="00727E32">
      <w:pPr>
        <w:pStyle w:val="BodyText"/>
        <w:ind w:left="1440" w:hanging="720"/>
      </w:pPr>
      <w:r>
        <w:t>(b)</w:t>
      </w:r>
      <w:r>
        <w:tab/>
        <w:t xml:space="preserve">Fulfill all QSE registration and qualification requirements.  After completing the requirements in item (b), ERCOT may redesignate the Emergency QSE as a QSE.  </w:t>
      </w:r>
    </w:p>
    <w:p w14:paraId="3E4467BE" w14:textId="77777777" w:rsidR="00FC1C5F" w:rsidRDefault="00727E32">
      <w:pPr>
        <w:pStyle w:val="BodyText"/>
        <w:ind w:left="720" w:hanging="720"/>
      </w:pPr>
      <w:r>
        <w:t>(2)</w:t>
      </w:r>
      <w:r>
        <w:tab/>
        <w:t xml:space="preserve">If an Emergency QSE that is an LSE fails to meet at least one of the requirements listed above within the allotted time, then ERCOT shall, after notice </w:t>
      </w:r>
      <w:r w:rsidR="00562B70">
        <w:t>as specified in Retail Market Guide Section 7.11</w:t>
      </w:r>
      <w:r w:rsidR="00CD1D2D">
        <w:t>, Transition Process</w:t>
      </w:r>
      <w:r>
        <w:t>, initiate a Mass Transition of the LSE’s ESI IDs pursuant to Section 15.1.</w:t>
      </w:r>
      <w:r w:rsidR="00FC1E00">
        <w:t>3</w:t>
      </w:r>
      <w:r>
        <w:t xml:space="preserve">, </w:t>
      </w:r>
      <w:r w:rsidR="00CD1D2D">
        <w:t>Transition Process</w:t>
      </w:r>
      <w:r>
        <w:t>.  If an Emergency QSE that is a Resource Entity fails to meet at least one of the requirements listed above within the allotted time, ERCOT may allow the Resource Entity additional time, as determined by ERCOT staff, to meet the requirements.</w:t>
      </w:r>
      <w:r>
        <w:rPr>
          <w:i/>
        </w:rPr>
        <w:t xml:space="preserve"> </w:t>
      </w:r>
    </w:p>
    <w:p w14:paraId="614CCC3F" w14:textId="77777777" w:rsidR="00FC1C5F" w:rsidRDefault="00727E32">
      <w:pPr>
        <w:pStyle w:val="Heading3"/>
        <w:numPr>
          <w:ilvl w:val="0"/>
          <w:numId w:val="0"/>
        </w:numPr>
      </w:pPr>
      <w:bookmarkStart w:id="172" w:name="_Toc390438928"/>
      <w:bookmarkStart w:id="173" w:name="_Toc405897625"/>
      <w:bookmarkStart w:id="174" w:name="_Toc415055729"/>
      <w:bookmarkStart w:id="175" w:name="_Toc415055855"/>
      <w:bookmarkStart w:id="176" w:name="_Toc415055954"/>
      <w:bookmarkStart w:id="177" w:name="_Toc415056055"/>
      <w:bookmarkStart w:id="178" w:name="_Toc175159123"/>
      <w:bookmarkStart w:id="179" w:name="_Toc71369185"/>
      <w:bookmarkStart w:id="180" w:name="_Toc71539401"/>
      <w:r>
        <w:t>16.2.7</w:t>
      </w:r>
      <w:r>
        <w:tab/>
        <w:t>Acceleration</w:t>
      </w:r>
      <w:bookmarkEnd w:id="172"/>
      <w:bookmarkEnd w:id="173"/>
      <w:bookmarkEnd w:id="174"/>
      <w:bookmarkEnd w:id="175"/>
      <w:bookmarkEnd w:id="176"/>
      <w:bookmarkEnd w:id="177"/>
      <w:bookmarkEnd w:id="178"/>
    </w:p>
    <w:p w14:paraId="5A448020" w14:textId="77777777" w:rsidR="00FC1C5F" w:rsidRDefault="00853D39" w:rsidP="009F10FE">
      <w:pPr>
        <w:pStyle w:val="BodyText"/>
        <w:ind w:left="720" w:hanging="720"/>
      </w:pPr>
      <w:r>
        <w:t>(1)</w:t>
      </w:r>
      <w:r>
        <w:tab/>
      </w:r>
      <w:r w:rsidR="00727E32">
        <w:t>Upon termination of a QSE’s rights as a QSE and the Standard Form Market Participant Agreement or any other Agreement(s) between ERCOT and the QSE, all sums owed to ERCOT are immediately accelerated and are immediately due and owing in full.  At that time, ERCOT may immediately draw upon any security or other collateral pledged to ERCOT and may offset or recoup all amounts due to ERCOT to satisfy those due and owing amounts.</w:t>
      </w:r>
    </w:p>
    <w:p w14:paraId="10F43367" w14:textId="77777777" w:rsidR="00FC1C5F" w:rsidRDefault="00727E32">
      <w:pPr>
        <w:pStyle w:val="H2"/>
      </w:pPr>
      <w:bookmarkStart w:id="181" w:name="_Toc390438929"/>
      <w:bookmarkStart w:id="182" w:name="_Toc405897626"/>
      <w:bookmarkStart w:id="183" w:name="_Toc415055730"/>
      <w:bookmarkStart w:id="184" w:name="_Toc415055856"/>
      <w:bookmarkStart w:id="185" w:name="_Toc415055955"/>
      <w:bookmarkStart w:id="186" w:name="_Toc415056056"/>
      <w:bookmarkStart w:id="187" w:name="_Toc175159124"/>
      <w:r>
        <w:t>16.3</w:t>
      </w:r>
      <w:r>
        <w:tab/>
        <w:t>Registration of Load Serving Entities</w:t>
      </w:r>
      <w:bookmarkEnd w:id="179"/>
      <w:bookmarkEnd w:id="180"/>
      <w:bookmarkEnd w:id="181"/>
      <w:bookmarkEnd w:id="182"/>
      <w:bookmarkEnd w:id="183"/>
      <w:bookmarkEnd w:id="184"/>
      <w:bookmarkEnd w:id="185"/>
      <w:bookmarkEnd w:id="186"/>
      <w:bookmarkEnd w:id="187"/>
    </w:p>
    <w:p w14:paraId="0364BFDA" w14:textId="77777777" w:rsidR="00FC1C5F" w:rsidRDefault="00727E32">
      <w:pPr>
        <w:pStyle w:val="BodyTextNumbered"/>
      </w:pPr>
      <w:r>
        <w:t>(1)</w:t>
      </w:r>
      <w:r>
        <w:tab/>
        <w:t>Load Serving Entities (LSEs) provide electric service to Customers and Wholesale Customers.  LSEs include Non-Opt</w:t>
      </w:r>
      <w:r w:rsidR="00C0339E">
        <w:t>-</w:t>
      </w:r>
      <w:r>
        <w:t>In Entities (NOIEs) that serve Load</w:t>
      </w:r>
      <w:r w:rsidR="008932A4">
        <w:t xml:space="preserve">, </w:t>
      </w:r>
      <w:r>
        <w:t>Competitive Retailers (CRs) (which includes Retail Electric Providers (REPs))</w:t>
      </w:r>
      <w:r w:rsidR="008932A4">
        <w:t>, and External Load Serving Entities (ELSEs)</w:t>
      </w:r>
      <w:r>
        <w:t>.  Each LSE must register with ERCOT.  To become registered as an LSE, an Entity must execute a Standard Form Market Participant Agreement (using the form in Section 22</w:t>
      </w:r>
      <w:r w:rsidR="007349BB">
        <w:t>, Attachment A, Standard Form Market Participant Agreement</w:t>
      </w:r>
      <w:r>
        <w:t>), designate LSE Authorized Representatives, contacts, and a User Security Administrator</w:t>
      </w:r>
      <w:r w:rsidR="007349BB">
        <w:t xml:space="preserve"> (USA)</w:t>
      </w:r>
      <w:r>
        <w:t xml:space="preserve"> (per </w:t>
      </w:r>
      <w:r w:rsidR="00B35DA1" w:rsidRPr="00B35DA1">
        <w:t>Section 23, Form B, Load Serving Entity (LSE) Application for Registration</w:t>
      </w:r>
      <w:r>
        <w:t xml:space="preserve">), and demonstrate to ERCOT’s reasonable satisfaction that it is capable of performing the functions of an LSE under these Protocols.   Additionally, a </w:t>
      </w:r>
      <w:smartTag w:uri="urn:schemas-microsoft-com:office:smarttags" w:element="stockticker">
        <w:r>
          <w:t>REP</w:t>
        </w:r>
      </w:smartTag>
      <w:r>
        <w:t xml:space="preserve"> must demonstrate certification by </w:t>
      </w:r>
      <w:r>
        <w:rPr>
          <w:smallCaps/>
          <w:szCs w:val="24"/>
        </w:rPr>
        <w:t>P.U.C. Subst. R</w:t>
      </w:r>
      <w:r>
        <w:t>. 25.107, Certification of Retail Electric Providers (REPs), and comply with the remaining requirements of this Section.</w:t>
      </w:r>
    </w:p>
    <w:p w14:paraId="4B20C1F8" w14:textId="77777777" w:rsidR="00FC1C5F" w:rsidRDefault="00727E32">
      <w:pPr>
        <w:pStyle w:val="BodyTextNumbered"/>
      </w:pPr>
      <w:r>
        <w:t xml:space="preserve">(2) </w:t>
      </w:r>
      <w:r>
        <w:tab/>
        <w:t>All CRs must participate in and successfully complete testing as described in Section</w:t>
      </w:r>
      <w:r w:rsidR="008932A4">
        <w:t xml:space="preserve"> </w:t>
      </w:r>
      <w:r w:rsidR="007349BB">
        <w:t xml:space="preserve">19.8, </w:t>
      </w:r>
      <w:r>
        <w:t>Retail Market Testing, prior to commencing operations with ERCOT.</w:t>
      </w:r>
    </w:p>
    <w:p w14:paraId="42BE34A4" w14:textId="77777777" w:rsidR="00FC1C5F" w:rsidRDefault="00727E32">
      <w:pPr>
        <w:pStyle w:val="BodyTextNumbered"/>
      </w:pPr>
      <w:r>
        <w:lastRenderedPageBreak/>
        <w:t>(3)</w:t>
      </w:r>
      <w:r>
        <w:tab/>
        <w:t xml:space="preserve">ERCOT may require that the Entity satisfactorily complete testing of interfaces between the Entity’s systems and relevant ERCOT systems.  </w:t>
      </w:r>
    </w:p>
    <w:p w14:paraId="15F6407C" w14:textId="72E7B712" w:rsidR="008932A4" w:rsidRPr="00E55B86" w:rsidRDefault="008932A4" w:rsidP="008932A4">
      <w:pPr>
        <w:spacing w:after="240"/>
        <w:ind w:left="720" w:hanging="720"/>
        <w:rPr>
          <w:iCs/>
        </w:rPr>
      </w:pPr>
      <w:r>
        <w:rPr>
          <w:iCs/>
        </w:rPr>
        <w:t>(4)</w:t>
      </w:r>
      <w:r>
        <w:rPr>
          <w:iCs/>
        </w:rPr>
        <w:tab/>
      </w:r>
      <w:r w:rsidRPr="003C5709">
        <w:rPr>
          <w:iCs/>
        </w:rPr>
        <w:t xml:space="preserve">An Entity that wishes to register as an ELSE shall select the ELSE status on the LSE application </w:t>
      </w:r>
      <w:r w:rsidR="00B35DA1" w:rsidRPr="00A35A89">
        <w:t>(</w:t>
      </w:r>
      <w:r w:rsidR="00B35DA1">
        <w:t>Section 23, Form B</w:t>
      </w:r>
      <w:r w:rsidR="00081A43">
        <w:t>, Load Serving Entity (LSE) Application for Registration</w:t>
      </w:r>
      <w:r w:rsidR="00B35DA1">
        <w:t xml:space="preserve">) </w:t>
      </w:r>
      <w:r w:rsidRPr="003C5709">
        <w:rPr>
          <w:iCs/>
        </w:rPr>
        <w:t>and other registration forms as designated by ERCOT.  An ELSE shall provide all informa</w:t>
      </w:r>
      <w:r w:rsidRPr="00376AC8">
        <w:rPr>
          <w:iCs/>
        </w:rPr>
        <w:t>tion sufficient to ju</w:t>
      </w:r>
      <w:r w:rsidRPr="00167B72">
        <w:rPr>
          <w:iCs/>
        </w:rPr>
        <w:t>stify its designation as an ELSE</w:t>
      </w:r>
      <w:r w:rsidRPr="00720C92">
        <w:rPr>
          <w:iCs/>
        </w:rPr>
        <w:t xml:space="preserve"> if so requested by ERCOT.</w:t>
      </w:r>
    </w:p>
    <w:p w14:paraId="2314A4C6" w14:textId="77777777" w:rsidR="008932A4" w:rsidRDefault="008932A4" w:rsidP="008932A4">
      <w:pPr>
        <w:pStyle w:val="BodyTextNumbered"/>
      </w:pPr>
      <w:r>
        <w:rPr>
          <w:iCs w:val="0"/>
        </w:rPr>
        <w:t>(5)</w:t>
      </w:r>
      <w:r>
        <w:rPr>
          <w:iCs w:val="0"/>
        </w:rPr>
        <w:tab/>
      </w:r>
      <w:r w:rsidRPr="003C5709">
        <w:rPr>
          <w:iCs w:val="0"/>
        </w:rPr>
        <w:t xml:space="preserve">An ELSE shall assign an </w:t>
      </w:r>
      <w:r>
        <w:t>Electric Service Identifier (</w:t>
      </w:r>
      <w:r w:rsidRPr="003C5709">
        <w:rPr>
          <w:iCs w:val="0"/>
        </w:rPr>
        <w:t>ESI ID</w:t>
      </w:r>
      <w:r>
        <w:rPr>
          <w:iCs w:val="0"/>
        </w:rPr>
        <w:t>)</w:t>
      </w:r>
      <w:r w:rsidRPr="003C5709">
        <w:rPr>
          <w:iCs w:val="0"/>
        </w:rPr>
        <w:t xml:space="preserve"> for each wholesale point of delivery as specified in these Protocols.  An ESI ID shall not be assigned to any individual Customer behind an ELSE wholesale point of delivery.</w:t>
      </w:r>
    </w:p>
    <w:p w14:paraId="6A01FD98" w14:textId="77777777" w:rsidR="00FC1C5F" w:rsidRDefault="00727E32" w:rsidP="00FC1C5F">
      <w:pPr>
        <w:pStyle w:val="Heading3"/>
        <w:numPr>
          <w:ilvl w:val="0"/>
          <w:numId w:val="0"/>
        </w:numPr>
      </w:pPr>
      <w:bookmarkStart w:id="188" w:name="_Toc390438930"/>
      <w:bookmarkStart w:id="189" w:name="_Toc405897627"/>
      <w:bookmarkStart w:id="190" w:name="_Toc415055731"/>
      <w:bookmarkStart w:id="191" w:name="_Toc415055857"/>
      <w:bookmarkStart w:id="192" w:name="_Toc415055956"/>
      <w:bookmarkStart w:id="193" w:name="_Toc415056057"/>
      <w:bookmarkStart w:id="194" w:name="_Toc175159125"/>
      <w:r>
        <w:t>16.3.1</w:t>
      </w:r>
      <w:r>
        <w:tab/>
        <w:t>Technical and Managerial Requirements for LSE Applicants</w:t>
      </w:r>
      <w:bookmarkEnd w:id="188"/>
      <w:bookmarkEnd w:id="189"/>
      <w:bookmarkEnd w:id="190"/>
      <w:bookmarkEnd w:id="191"/>
      <w:bookmarkEnd w:id="192"/>
      <w:bookmarkEnd w:id="193"/>
      <w:bookmarkEnd w:id="194"/>
    </w:p>
    <w:p w14:paraId="696A9CDD" w14:textId="77777777" w:rsidR="00FC1C5F" w:rsidRDefault="00853D39" w:rsidP="009F10FE">
      <w:pPr>
        <w:pStyle w:val="BodyText"/>
        <w:ind w:left="720" w:hanging="720"/>
      </w:pPr>
      <w:r>
        <w:t>(1)</w:t>
      </w:r>
      <w:r>
        <w:tab/>
      </w:r>
      <w:r w:rsidR="00727E32">
        <w:t>An LSE applicant must:</w:t>
      </w:r>
    </w:p>
    <w:p w14:paraId="3A10B2A9" w14:textId="77777777" w:rsidR="00FC1C5F" w:rsidRDefault="00727E32" w:rsidP="009F10FE">
      <w:pPr>
        <w:pStyle w:val="List"/>
      </w:pPr>
      <w:r>
        <w:t>(</w:t>
      </w:r>
      <w:r w:rsidR="00853D39">
        <w:t>a</w:t>
      </w:r>
      <w:r>
        <w:t>)</w:t>
      </w:r>
      <w:r>
        <w:tab/>
        <w:t>Be capable of complying with all policies, rules, guidelines, registration requirements and procedures established by these Protocols, ERCOT, or other Independent Organizations, if applicable;</w:t>
      </w:r>
    </w:p>
    <w:p w14:paraId="2DA2D836" w14:textId="77777777" w:rsidR="00FC1C5F" w:rsidRDefault="00727E32" w:rsidP="009F10FE">
      <w:pPr>
        <w:pStyle w:val="List"/>
      </w:pPr>
      <w:r>
        <w:t>(</w:t>
      </w:r>
      <w:r w:rsidR="00853D39">
        <w:t>b</w:t>
      </w:r>
      <w:r>
        <w:t>)</w:t>
      </w:r>
      <w:r>
        <w:tab/>
        <w:t>Be capable of purchasing  power from Entities registered with or by ERCOT or the Independent Organizations and capable of complying with its system rules; and,</w:t>
      </w:r>
    </w:p>
    <w:p w14:paraId="5B4D48C9" w14:textId="77777777" w:rsidR="00FC1C5F" w:rsidRDefault="00727E32" w:rsidP="009F10FE">
      <w:pPr>
        <w:pStyle w:val="List"/>
      </w:pPr>
      <w:r>
        <w:t>(</w:t>
      </w:r>
      <w:r w:rsidR="00853D39">
        <w:t>c</w:t>
      </w:r>
      <w:r>
        <w:t>)</w:t>
      </w:r>
      <w:r>
        <w:tab/>
        <w:t>Be capable of purchasing capacity and reserves, or other Ancillary Services, as may be required by ERCOT, or other Independent Organizations, to provide adequate electricity to all the applicant’s Customers.</w:t>
      </w:r>
    </w:p>
    <w:p w14:paraId="3EEE3790" w14:textId="77777777" w:rsidR="00FC1C5F" w:rsidRPr="00D63F95" w:rsidRDefault="00727E32">
      <w:pPr>
        <w:pStyle w:val="H4"/>
        <w:rPr>
          <w:b/>
        </w:rPr>
      </w:pPr>
      <w:bookmarkStart w:id="195" w:name="_Toc390438931"/>
      <w:bookmarkStart w:id="196" w:name="_Toc405897628"/>
      <w:bookmarkStart w:id="197" w:name="_Toc415055732"/>
      <w:bookmarkStart w:id="198" w:name="_Toc415055858"/>
      <w:bookmarkStart w:id="199" w:name="_Toc415055957"/>
      <w:bookmarkStart w:id="200" w:name="_Toc415056058"/>
      <w:bookmarkStart w:id="201" w:name="_Toc175159126"/>
      <w:r w:rsidRPr="00D63F95">
        <w:rPr>
          <w:b/>
        </w:rPr>
        <w:t>16.3.1.1</w:t>
      </w:r>
      <w:r w:rsidRPr="00D63F95">
        <w:rPr>
          <w:b/>
        </w:rPr>
        <w:tab/>
        <w:t>Designation of a Qualified Scheduling Entity</w:t>
      </w:r>
      <w:bookmarkEnd w:id="195"/>
      <w:bookmarkEnd w:id="196"/>
      <w:bookmarkEnd w:id="197"/>
      <w:bookmarkEnd w:id="198"/>
      <w:bookmarkEnd w:id="199"/>
      <w:bookmarkEnd w:id="200"/>
      <w:bookmarkEnd w:id="201"/>
    </w:p>
    <w:p w14:paraId="53D66268" w14:textId="77777777" w:rsidR="00FC1C5F" w:rsidRDefault="00727E32">
      <w:pPr>
        <w:pStyle w:val="BodyTextNumbered"/>
      </w:pPr>
      <w:r>
        <w:t>(1)</w:t>
      </w:r>
      <w:r>
        <w:tab/>
        <w:t xml:space="preserve">Each LSE applicant within the ERCOT Region shall designate the </w:t>
      </w:r>
      <w:r w:rsidR="00364DE6">
        <w:t>Qualified Scheduling Entity (</w:t>
      </w:r>
      <w:r>
        <w:t>QSE</w:t>
      </w:r>
      <w:r w:rsidR="00364DE6">
        <w:t>)</w:t>
      </w:r>
      <w:r>
        <w:t xml:space="preserve"> that will </w:t>
      </w:r>
      <w:r w:rsidR="000E3528">
        <w:t xml:space="preserve">perform QSE functions per these Protocols on behalf of the LSE.  </w:t>
      </w:r>
      <w:r>
        <w:t xml:space="preserve">Each applicant shall acknowledge that it bears sole responsibility for selecting and maintaining a QSE as its representative.  The applicant shall include a written statement from the designated QSE acknowledging that the QSE accepts responsibility for the applicant’s transactions </w:t>
      </w:r>
      <w:r w:rsidR="000E3528">
        <w:t>under</w:t>
      </w:r>
      <w:r>
        <w:t xml:space="preserve"> these Protocols</w:t>
      </w:r>
      <w:r w:rsidR="00B35DA1" w:rsidRPr="00B35DA1">
        <w:t xml:space="preserve"> (Section 23, Form B, Attachment A)</w:t>
      </w:r>
      <w:r>
        <w:t>.</w:t>
      </w:r>
      <w:r w:rsidR="000E3528">
        <w:t xml:space="preserve">  </w:t>
      </w:r>
      <w:r w:rsidR="000E3528" w:rsidRPr="00530E2D">
        <w:rPr>
          <w:szCs w:val="24"/>
        </w:rPr>
        <w:t xml:space="preserve">The acknowledgement of the LSE’s QSE designation must be approved by ERCOT prior to a CR’s enrollment of Customer ESI IDs or prior to NOIE </w:t>
      </w:r>
      <w:r w:rsidR="00364DE6">
        <w:rPr>
          <w:szCs w:val="24"/>
        </w:rPr>
        <w:t xml:space="preserve">or ELSE </w:t>
      </w:r>
      <w:r w:rsidR="000E3528" w:rsidRPr="00530E2D">
        <w:rPr>
          <w:szCs w:val="24"/>
        </w:rPr>
        <w:t>registration of a wholesale point of delivery.</w:t>
      </w:r>
    </w:p>
    <w:p w14:paraId="628A1A7A" w14:textId="77777777" w:rsidR="00FC1C5F" w:rsidRDefault="00727E32">
      <w:pPr>
        <w:pStyle w:val="BodyTextNumbered"/>
      </w:pPr>
      <w:r>
        <w:t>(</w:t>
      </w:r>
      <w:r w:rsidR="000E3528">
        <w:t>2</w:t>
      </w:r>
      <w:r>
        <w:t>)</w:t>
      </w:r>
      <w:r>
        <w:tab/>
        <w:t>If an LSE fails to maintain a QSE as its representative, the LSE may be designated as an Emergency QSE as provided in Section</w:t>
      </w:r>
      <w:r w:rsidR="000E3528">
        <w:t xml:space="preserve"> 16.2.6.1, </w:t>
      </w:r>
      <w:r w:rsidR="000E3528" w:rsidRPr="00530E2D">
        <w:rPr>
          <w:szCs w:val="24"/>
        </w:rPr>
        <w:t>Designation as an Emergency Qualified Scheduling Entity or Virtual Qualified Scheduling Entity</w:t>
      </w:r>
      <w:r>
        <w:t>.</w:t>
      </w:r>
    </w:p>
    <w:p w14:paraId="6726AD55" w14:textId="77777777" w:rsidR="00FC1C5F" w:rsidRDefault="00727E32">
      <w:pPr>
        <w:pStyle w:val="H3"/>
      </w:pPr>
      <w:bookmarkStart w:id="202" w:name="_Toc71369186"/>
      <w:bookmarkStart w:id="203" w:name="_Toc71539402"/>
      <w:bookmarkStart w:id="204" w:name="_Toc390438932"/>
      <w:bookmarkStart w:id="205" w:name="_Toc405897629"/>
      <w:bookmarkStart w:id="206" w:name="_Toc415055733"/>
      <w:bookmarkStart w:id="207" w:name="_Toc415055859"/>
      <w:bookmarkStart w:id="208" w:name="_Toc415055958"/>
      <w:bookmarkStart w:id="209" w:name="_Toc415056059"/>
      <w:bookmarkStart w:id="210" w:name="_Toc175159127"/>
      <w:r>
        <w:lastRenderedPageBreak/>
        <w:t>16.3.2</w:t>
      </w:r>
      <w:r>
        <w:tab/>
        <w:t>Registration Process for Load Serving Entities</w:t>
      </w:r>
      <w:bookmarkEnd w:id="202"/>
      <w:bookmarkEnd w:id="203"/>
      <w:bookmarkEnd w:id="204"/>
      <w:bookmarkEnd w:id="205"/>
      <w:bookmarkEnd w:id="206"/>
      <w:bookmarkEnd w:id="207"/>
      <w:bookmarkEnd w:id="208"/>
      <w:bookmarkEnd w:id="209"/>
      <w:bookmarkEnd w:id="210"/>
    </w:p>
    <w:p w14:paraId="51D48F1D" w14:textId="79637B27" w:rsidR="00FC1C5F" w:rsidRDefault="00727E32">
      <w:pPr>
        <w:pStyle w:val="BodyTextNumbered"/>
      </w:pPr>
      <w:r>
        <w:t>(1)</w:t>
      </w:r>
      <w:r>
        <w:tab/>
        <w:t>Any Entity providing electric service to Customers in ERCOT, or in Non-ERCOT portions of Texas in areas where Customer Choice is in effect, must submit to ERCOT a</w:t>
      </w:r>
      <w:r w:rsidR="00B35DA1">
        <w:t>n</w:t>
      </w:r>
      <w:r>
        <w:t xml:space="preserve"> LSE application</w:t>
      </w:r>
      <w:r w:rsidR="00B35DA1">
        <w:t xml:space="preserve"> (Section 23, Form B</w:t>
      </w:r>
      <w:r w:rsidR="00081A43" w:rsidRPr="00466F24">
        <w:t>, Load Serving Entity (LSE) Application for Registration</w:t>
      </w:r>
      <w:r>
        <w:t xml:space="preserve">).  ERCOT shall post on the </w:t>
      </w:r>
      <w:r w:rsidR="00F13002">
        <w:t>ERCOT website</w:t>
      </w:r>
      <w:r>
        <w:t xml:space="preserve"> the form in which LSE applications must be submitted, all materials that must be provided with the LSE application, and the fee schedule, if any, applicable to LSE applications.  </w:t>
      </w:r>
    </w:p>
    <w:p w14:paraId="62832154" w14:textId="78788605" w:rsidR="00FC1C5F" w:rsidRDefault="00727E32">
      <w:pPr>
        <w:pStyle w:val="BodyTextNumbered"/>
      </w:pPr>
      <w:r>
        <w:t>(2)</w:t>
      </w:r>
      <w:r>
        <w:tab/>
        <w:t xml:space="preserve">The LSE application must be attested to by a duly authorized officer or agent of the applicant.  The applicant shall promptly notify ERCOT of any material changes affecting a pending LSE application using the appropriate form posted on the </w:t>
      </w:r>
      <w:r w:rsidR="00F13002">
        <w:t>ERCOT website</w:t>
      </w:r>
      <w:r>
        <w:t xml:space="preserve">.  </w:t>
      </w:r>
    </w:p>
    <w:p w14:paraId="5BA26C87" w14:textId="77777777" w:rsidR="00FC1C5F" w:rsidRPr="00D63F95" w:rsidRDefault="00727E32">
      <w:pPr>
        <w:pStyle w:val="H4"/>
        <w:rPr>
          <w:b/>
        </w:rPr>
      </w:pPr>
      <w:bookmarkStart w:id="211" w:name="_Toc390438933"/>
      <w:bookmarkStart w:id="212" w:name="_Toc405897630"/>
      <w:bookmarkStart w:id="213" w:name="_Toc415055734"/>
      <w:bookmarkStart w:id="214" w:name="_Toc415055860"/>
      <w:bookmarkStart w:id="215" w:name="_Toc415055959"/>
      <w:bookmarkStart w:id="216" w:name="_Toc415056060"/>
      <w:bookmarkStart w:id="217" w:name="_Toc175159128"/>
      <w:r w:rsidRPr="00D63F95">
        <w:rPr>
          <w:b/>
        </w:rPr>
        <w:t>16.3.2.1</w:t>
      </w:r>
      <w:r w:rsidRPr="00D63F95">
        <w:rPr>
          <w:b/>
        </w:rPr>
        <w:tab/>
        <w:t>Notice of Receipt of Load Serving Entity Application</w:t>
      </w:r>
      <w:bookmarkEnd w:id="211"/>
      <w:bookmarkEnd w:id="212"/>
      <w:bookmarkEnd w:id="213"/>
      <w:bookmarkEnd w:id="214"/>
      <w:bookmarkEnd w:id="215"/>
      <w:bookmarkEnd w:id="216"/>
      <w:bookmarkEnd w:id="217"/>
    </w:p>
    <w:p w14:paraId="012A6F28" w14:textId="77777777" w:rsidR="00FC1C5F" w:rsidRDefault="00853D39" w:rsidP="009F10FE">
      <w:pPr>
        <w:pStyle w:val="BodyText"/>
        <w:ind w:left="720" w:hanging="720"/>
      </w:pPr>
      <w:r>
        <w:t>(1)</w:t>
      </w:r>
      <w:r>
        <w:tab/>
      </w:r>
      <w:r w:rsidR="00727E32">
        <w:t>Within three Business Days after receiving an LSE application, ERCOT shall issue the LSE applicant a written confirmation that ERCOT has received the LSE application.  ERCOT shall return without review any LSE application that does not include the proper application fee.  The remainder of this Section does not apply to any LSE application returned for failure to include the proper application fee.</w:t>
      </w:r>
    </w:p>
    <w:p w14:paraId="53F70B86" w14:textId="77777777" w:rsidR="00FC1C5F" w:rsidRPr="00D63F95" w:rsidRDefault="00727E32">
      <w:pPr>
        <w:pStyle w:val="H4"/>
        <w:rPr>
          <w:b/>
        </w:rPr>
      </w:pPr>
      <w:bookmarkStart w:id="218" w:name="_Toc390438934"/>
      <w:bookmarkStart w:id="219" w:name="_Toc405897631"/>
      <w:bookmarkStart w:id="220" w:name="_Toc415055735"/>
      <w:bookmarkStart w:id="221" w:name="_Toc415055861"/>
      <w:bookmarkStart w:id="222" w:name="_Toc415055960"/>
      <w:bookmarkStart w:id="223" w:name="_Toc415056061"/>
      <w:bookmarkStart w:id="224" w:name="_Toc175159129"/>
      <w:r w:rsidRPr="00D63F95">
        <w:rPr>
          <w:b/>
        </w:rPr>
        <w:t>16.3.2.2</w:t>
      </w:r>
      <w:r w:rsidRPr="00D63F95">
        <w:rPr>
          <w:b/>
        </w:rPr>
        <w:tab/>
        <w:t>Incomplete Load Serving Entity Applications</w:t>
      </w:r>
      <w:bookmarkEnd w:id="218"/>
      <w:bookmarkEnd w:id="219"/>
      <w:bookmarkEnd w:id="220"/>
      <w:bookmarkEnd w:id="221"/>
      <w:bookmarkEnd w:id="222"/>
      <w:bookmarkEnd w:id="223"/>
      <w:bookmarkEnd w:id="224"/>
    </w:p>
    <w:p w14:paraId="47820426" w14:textId="77777777" w:rsidR="00FC1C5F" w:rsidRDefault="00727E32">
      <w:pPr>
        <w:pStyle w:val="BodyText"/>
        <w:ind w:left="720" w:hanging="720"/>
      </w:pPr>
      <w:r>
        <w:t>(1)</w:t>
      </w:r>
      <w:r>
        <w:tab/>
        <w:t>Not more than ten Business Days after receiving an LSE application, ERCOT shall notify the applicant in writing whether the application is complete.</w:t>
      </w:r>
    </w:p>
    <w:p w14:paraId="61E5FD65" w14:textId="77777777" w:rsidR="00FC1C5F" w:rsidRDefault="00727E32">
      <w:pPr>
        <w:pStyle w:val="BodyText"/>
        <w:ind w:left="720" w:hanging="720"/>
      </w:pPr>
      <w:r>
        <w:t>(2)</w:t>
      </w:r>
      <w:r>
        <w:tab/>
        <w:t>If ERCOT determines that an LSE application is not complete, ERCOT’s notice must explain the reasons for that determination and the additional information necessary to make the application complete.  The applicant has five Business Days from receiving ERCOT’s notice, or such longer period as ERCOT may allow, to provide the additional information set forth in ERCOT’s notice.  If the applicant timely responds to ERCOT’s notice with the required additional information, then the application is deemed complete on the date that ERCOT receives the applicant’s response.</w:t>
      </w:r>
    </w:p>
    <w:p w14:paraId="4F36F27E" w14:textId="77777777" w:rsidR="00FC1C5F" w:rsidRDefault="00727E32">
      <w:pPr>
        <w:pStyle w:val="BodyText"/>
        <w:ind w:left="720" w:hanging="720"/>
      </w:pPr>
      <w:r>
        <w:t>(3)</w:t>
      </w:r>
      <w:r>
        <w:tab/>
        <w:t>If the applicant does not timely respond to ERCOT’s Notice, then the application must be rejected, and ERCOT shall retain any application fee included with the application.</w:t>
      </w:r>
    </w:p>
    <w:p w14:paraId="0A01ADB5" w14:textId="77777777" w:rsidR="00FC1C5F" w:rsidRPr="00D63F95" w:rsidRDefault="00727E32">
      <w:pPr>
        <w:pStyle w:val="H4"/>
        <w:rPr>
          <w:b/>
        </w:rPr>
      </w:pPr>
      <w:bookmarkStart w:id="225" w:name="_Toc390438935"/>
      <w:bookmarkStart w:id="226" w:name="_Toc405897632"/>
      <w:bookmarkStart w:id="227" w:name="_Toc415055736"/>
      <w:bookmarkStart w:id="228" w:name="_Toc415055862"/>
      <w:bookmarkStart w:id="229" w:name="_Toc415055961"/>
      <w:bookmarkStart w:id="230" w:name="_Toc415056062"/>
      <w:bookmarkStart w:id="231" w:name="_Toc175159130"/>
      <w:r w:rsidRPr="00D63F95">
        <w:rPr>
          <w:b/>
        </w:rPr>
        <w:t>16.3.2.3</w:t>
      </w:r>
      <w:r w:rsidRPr="00D63F95">
        <w:rPr>
          <w:b/>
        </w:rPr>
        <w:tab/>
        <w:t>ERCOT Approval or Rejection of Load Serving Entity Application</w:t>
      </w:r>
      <w:bookmarkEnd w:id="225"/>
      <w:bookmarkEnd w:id="226"/>
      <w:bookmarkEnd w:id="227"/>
      <w:bookmarkEnd w:id="228"/>
      <w:bookmarkEnd w:id="229"/>
      <w:bookmarkEnd w:id="230"/>
      <w:bookmarkEnd w:id="231"/>
    </w:p>
    <w:p w14:paraId="7D71BBBD" w14:textId="77777777" w:rsidR="00FC1C5F" w:rsidRDefault="00727E32">
      <w:pPr>
        <w:pStyle w:val="BodyTextNumbered"/>
      </w:pPr>
      <w:r>
        <w:t>(1)</w:t>
      </w:r>
      <w:r>
        <w:tab/>
        <w:t>ERCOT may reject an LSE application within ten Business Days after the application has been deemed complete in accordance with this Section.  If ERCOT does not reject the LSE application within ten Business Days after the application is deemed complete then the application is deemed approved.</w:t>
      </w:r>
    </w:p>
    <w:p w14:paraId="0F3C2A57" w14:textId="77777777" w:rsidR="00FC1C5F" w:rsidRDefault="00727E32">
      <w:pPr>
        <w:pStyle w:val="BodyTextNumbered"/>
      </w:pPr>
      <w:r>
        <w:lastRenderedPageBreak/>
        <w:t>(2)</w:t>
      </w:r>
      <w:r>
        <w:tab/>
        <w:t>If ERCOT rejects a LSE application, ERCOT shall send the LSE applicant a rejection letter explaining the grounds upon which ERCOT rejected the LSE application.  Appropriate grounds for rejecting a LSE application include the following:</w:t>
      </w:r>
    </w:p>
    <w:p w14:paraId="1230F5A5" w14:textId="77777777" w:rsidR="00FC1C5F" w:rsidRDefault="00727E32">
      <w:pPr>
        <w:pStyle w:val="List"/>
      </w:pPr>
      <w:r>
        <w:t>(a)</w:t>
      </w:r>
      <w:r>
        <w:tab/>
        <w:t>Required information is not provided to ERCOT in the allotted time;</w:t>
      </w:r>
    </w:p>
    <w:p w14:paraId="7B4C6A98" w14:textId="77777777" w:rsidR="00FC1C5F" w:rsidRDefault="00727E32">
      <w:pPr>
        <w:pStyle w:val="List"/>
      </w:pPr>
      <w:r>
        <w:t>(b)</w:t>
      </w:r>
      <w:r>
        <w:tab/>
        <w:t>Noncompliance with technical requirements; and</w:t>
      </w:r>
    </w:p>
    <w:p w14:paraId="3DA23724" w14:textId="77777777" w:rsidR="00FC1C5F" w:rsidRDefault="00727E32">
      <w:pPr>
        <w:pStyle w:val="List"/>
      </w:pPr>
      <w:r>
        <w:t>(c)</w:t>
      </w:r>
      <w:r>
        <w:tab/>
        <w:t>Noncompliance with other specific eligibility requirements set forth in this Section or in any other part of these Protocols.</w:t>
      </w:r>
    </w:p>
    <w:p w14:paraId="132A258A" w14:textId="77777777" w:rsidR="00FC1C5F" w:rsidRDefault="00727E32">
      <w:pPr>
        <w:pStyle w:val="BodyTextNumbered"/>
      </w:pPr>
      <w:r>
        <w:t>(3)</w:t>
      </w:r>
      <w:r>
        <w:tab/>
        <w:t>Not later than ten Business Days after receiving a rejection letter, the LSE applicant may challenge the rejection of its LSE application using the dispute resolution procedures set forth in Section 20, Alternative Dispute Resolution Procedure.  The applicant may submit a new LSE application and fee at any time, and ERCOT shall process the new LSE application under this Section.</w:t>
      </w:r>
    </w:p>
    <w:p w14:paraId="52EEE138" w14:textId="77777777" w:rsidR="00FC1C5F" w:rsidRDefault="00727E32">
      <w:pPr>
        <w:pStyle w:val="H3"/>
      </w:pPr>
      <w:bookmarkStart w:id="232" w:name="_Toc390438936"/>
      <w:bookmarkStart w:id="233" w:name="_Toc405897633"/>
      <w:bookmarkStart w:id="234" w:name="_Toc415055737"/>
      <w:bookmarkStart w:id="235" w:name="_Toc415055863"/>
      <w:bookmarkStart w:id="236" w:name="_Toc415055962"/>
      <w:bookmarkStart w:id="237" w:name="_Toc415056063"/>
      <w:bookmarkStart w:id="238" w:name="_Toc175159131"/>
      <w:r>
        <w:t xml:space="preserve">16.3.3 </w:t>
      </w:r>
      <w:r>
        <w:tab/>
        <w:t>Changing QSE Designation</w:t>
      </w:r>
      <w:bookmarkEnd w:id="232"/>
      <w:bookmarkEnd w:id="233"/>
      <w:bookmarkEnd w:id="234"/>
      <w:bookmarkEnd w:id="235"/>
      <w:bookmarkEnd w:id="236"/>
      <w:bookmarkEnd w:id="237"/>
      <w:bookmarkEnd w:id="238"/>
      <w:r>
        <w:t xml:space="preserve"> </w:t>
      </w:r>
    </w:p>
    <w:p w14:paraId="31430320" w14:textId="77777777" w:rsidR="00FC1C5F" w:rsidRDefault="00727E32">
      <w:pPr>
        <w:pStyle w:val="List"/>
        <w:ind w:left="720" w:right="-360"/>
      </w:pPr>
      <w:r>
        <w:t>(1)</w:t>
      </w:r>
      <w:r>
        <w:tab/>
        <w:t xml:space="preserve">An LSE may change its designation of QSE </w:t>
      </w:r>
      <w:r w:rsidR="000E3528">
        <w:t xml:space="preserve">with written notice to ERCOT </w:t>
      </w:r>
      <w:r>
        <w:t xml:space="preserve">no more than once in any consecutive three days.  </w:t>
      </w:r>
    </w:p>
    <w:p w14:paraId="72DBBE09" w14:textId="77777777" w:rsidR="00FC1C5F" w:rsidRDefault="00727E32">
      <w:pPr>
        <w:pStyle w:val="List"/>
        <w:ind w:left="720" w:right="-360"/>
      </w:pPr>
      <w:r>
        <w:t>(2)</w:t>
      </w:r>
      <w:r>
        <w:tab/>
      </w:r>
      <w:r w:rsidR="000E3528">
        <w:t>If an LSE’s representation by a QSE will terminate or the LSE intends to be represented by a different QSE, the LSE shall provide the name of the newly designated QSE to ERCOT along with a written statement from the designated</w:t>
      </w:r>
      <w:r w:rsidR="00AC443B">
        <w:t xml:space="preserve"> QSE acknowledging</w:t>
      </w:r>
      <w:r w:rsidR="000E3528">
        <w:t xml:space="preserve"> </w:t>
      </w:r>
      <w:r>
        <w:t>the QSE</w:t>
      </w:r>
      <w:r w:rsidR="000E3528">
        <w:t>’s agreement to</w:t>
      </w:r>
      <w:r>
        <w:t xml:space="preserve"> accept responsibility for the LSE’s transactions under these Protocols.</w:t>
      </w:r>
      <w:r w:rsidR="000E3528">
        <w:t xml:space="preserve">  </w:t>
      </w:r>
      <w:r w:rsidR="000E3528" w:rsidRPr="000B3BF7">
        <w:t>ERCOT shall notify the LSE of approval or disapproval as soon as practicable after receipt of the designation</w:t>
      </w:r>
      <w:r w:rsidR="000E3528">
        <w:t>.</w:t>
      </w:r>
    </w:p>
    <w:p w14:paraId="7316502F" w14:textId="77777777" w:rsidR="000E3528" w:rsidRDefault="00727E32">
      <w:pPr>
        <w:pStyle w:val="List"/>
        <w:ind w:left="720"/>
      </w:pPr>
      <w:r>
        <w:t>(3)</w:t>
      </w:r>
      <w:r>
        <w:tab/>
      </w:r>
      <w:r w:rsidR="000E3528">
        <w:t>The</w:t>
      </w:r>
      <w:r>
        <w:t xml:space="preserve"> LSE shall submit updated QSE designation information to ERCOT no less than six days prior to the effective date.  </w:t>
      </w:r>
    </w:p>
    <w:p w14:paraId="3A0F1116" w14:textId="77777777" w:rsidR="00FC1C5F" w:rsidRDefault="000E3528">
      <w:pPr>
        <w:pStyle w:val="List"/>
        <w:ind w:left="720"/>
      </w:pPr>
      <w:r>
        <w:t>(4)</w:t>
      </w:r>
      <w:r>
        <w:tab/>
      </w:r>
      <w:r w:rsidR="00727E32">
        <w:t xml:space="preserve">Within two days of </w:t>
      </w:r>
      <w:r>
        <w:t xml:space="preserve">approving the LSE’s </w:t>
      </w:r>
      <w:r w:rsidR="00727E32">
        <w:t>notice, ERCOT shall notify all affected Entities, including the LSE’s current QSE, of the effective date of the change.</w:t>
      </w:r>
    </w:p>
    <w:p w14:paraId="6F0F5620" w14:textId="77777777" w:rsidR="00FC1C5F" w:rsidRDefault="00727E32">
      <w:pPr>
        <w:pStyle w:val="H3"/>
      </w:pPr>
      <w:bookmarkStart w:id="239" w:name="_Toc390438937"/>
      <w:bookmarkStart w:id="240" w:name="_Toc405897634"/>
      <w:bookmarkStart w:id="241" w:name="_Toc415055738"/>
      <w:bookmarkStart w:id="242" w:name="_Toc415055864"/>
      <w:bookmarkStart w:id="243" w:name="_Toc415055963"/>
      <w:bookmarkStart w:id="244" w:name="_Toc415056064"/>
      <w:bookmarkStart w:id="245" w:name="_Toc175159132"/>
      <w:r>
        <w:t>16.3.4</w:t>
      </w:r>
      <w:r>
        <w:tab/>
        <w:t>Maintaining and Updating LSE Information</w:t>
      </w:r>
      <w:bookmarkEnd w:id="239"/>
      <w:bookmarkEnd w:id="240"/>
      <w:bookmarkEnd w:id="241"/>
      <w:bookmarkEnd w:id="242"/>
      <w:bookmarkEnd w:id="243"/>
      <w:bookmarkEnd w:id="244"/>
      <w:bookmarkEnd w:id="245"/>
      <w:r>
        <w:t xml:space="preserve"> </w:t>
      </w:r>
    </w:p>
    <w:p w14:paraId="3A68015C" w14:textId="77777777" w:rsidR="00FC1C5F" w:rsidRDefault="00853D39" w:rsidP="009F10FE">
      <w:pPr>
        <w:pStyle w:val="ListIntroduction"/>
        <w:ind w:left="720" w:hanging="720"/>
      </w:pPr>
      <w:r>
        <w:rPr>
          <w:lang w:val="en-US"/>
        </w:rPr>
        <w:t>(1)</w:t>
      </w:r>
      <w:r>
        <w:rPr>
          <w:lang w:val="en-US"/>
        </w:rPr>
        <w:tab/>
      </w:r>
      <w:r w:rsidR="00727E32">
        <w:t>Each LSE must timely update information the LSE provided to ERCOT in the application process, and an LSE must promptly respond to any reasonable request by ERCOT for updated information regarding the LSE or the information provided to ERCOT by the LSE, including:</w:t>
      </w:r>
    </w:p>
    <w:p w14:paraId="43090A74" w14:textId="77777777" w:rsidR="00FC1C5F" w:rsidRDefault="00727E32">
      <w:pPr>
        <w:pStyle w:val="List"/>
        <w:ind w:left="1260" w:hanging="540"/>
      </w:pPr>
      <w:r>
        <w:t>(a)</w:t>
      </w:r>
      <w:r>
        <w:tab/>
        <w:t>The LSE’s addresses;</w:t>
      </w:r>
    </w:p>
    <w:p w14:paraId="4CE2CA6C" w14:textId="77777777" w:rsidR="00FC1C5F" w:rsidRDefault="00727E32">
      <w:pPr>
        <w:pStyle w:val="List"/>
        <w:ind w:left="1260" w:hanging="540"/>
      </w:pPr>
      <w:r>
        <w:t>(b)</w:t>
      </w:r>
      <w:r>
        <w:tab/>
        <w:t>A list of Affiliates; and</w:t>
      </w:r>
    </w:p>
    <w:p w14:paraId="337C799C" w14:textId="2FB22202" w:rsidR="00FC1C5F" w:rsidRDefault="00727E32">
      <w:pPr>
        <w:pStyle w:val="List"/>
        <w:ind w:left="1260" w:hanging="540"/>
      </w:pPr>
      <w:r>
        <w:lastRenderedPageBreak/>
        <w:t>(c)</w:t>
      </w:r>
      <w:r>
        <w:tab/>
        <w:t>Designation of the LSE’s officers, directors, Authorized Representatives, and USA (all per the LSE application) including the telephone and e-mail addresses for those persons.</w:t>
      </w:r>
    </w:p>
    <w:p w14:paraId="4952307C" w14:textId="77777777" w:rsidR="00FC1C5F" w:rsidRDefault="00727E32">
      <w:pPr>
        <w:pStyle w:val="H2"/>
      </w:pPr>
      <w:bookmarkStart w:id="246" w:name="_Toc71369189"/>
      <w:bookmarkStart w:id="247" w:name="_Toc71539405"/>
      <w:bookmarkStart w:id="248" w:name="_Toc390438938"/>
      <w:bookmarkStart w:id="249" w:name="_Toc405897635"/>
      <w:bookmarkStart w:id="250" w:name="_Toc415055739"/>
      <w:bookmarkStart w:id="251" w:name="_Toc415055865"/>
      <w:bookmarkStart w:id="252" w:name="_Toc415055964"/>
      <w:bookmarkStart w:id="253" w:name="_Toc415056065"/>
      <w:bookmarkStart w:id="254" w:name="_Toc175159133"/>
      <w:r>
        <w:t>16.4</w:t>
      </w:r>
      <w:r>
        <w:tab/>
        <w:t>Registration of Transmission and Distribution Service Providers</w:t>
      </w:r>
      <w:bookmarkEnd w:id="246"/>
      <w:bookmarkEnd w:id="247"/>
      <w:bookmarkEnd w:id="248"/>
      <w:bookmarkEnd w:id="249"/>
      <w:bookmarkEnd w:id="250"/>
      <w:bookmarkEnd w:id="251"/>
      <w:bookmarkEnd w:id="252"/>
      <w:bookmarkEnd w:id="253"/>
      <w:bookmarkEnd w:id="254"/>
    </w:p>
    <w:p w14:paraId="711AE494" w14:textId="77777777" w:rsidR="00FC1C5F" w:rsidRDefault="00727E32">
      <w:pPr>
        <w:pStyle w:val="BodyTextNumbered"/>
      </w:pPr>
      <w:r>
        <w:t>(1)</w:t>
      </w:r>
      <w:r>
        <w:tab/>
        <w:t>Each Entity operating as a Transmission Service Provider (</w:t>
      </w:r>
      <w:smartTag w:uri="urn:schemas-microsoft-com:office:smarttags" w:element="stockticker">
        <w:r>
          <w:t>TSP</w:t>
        </w:r>
      </w:smartTag>
      <w:r>
        <w:t xml:space="preserve">) or Distribution Service Provider (DSP) within the ERCOT Region, including Municipally Owned Utilities (MOUs) and Electric Cooperatives (ECs), shall register as a </w:t>
      </w:r>
      <w:smartTag w:uri="urn:schemas-microsoft-com:office:smarttags" w:element="stockticker">
        <w:r>
          <w:t>TSP</w:t>
        </w:r>
      </w:smartTag>
      <w:r>
        <w:t xml:space="preserve"> or DSP, or both, as applicable, with ERCOT.  To register as a </w:t>
      </w:r>
      <w:smartTag w:uri="urn:schemas-microsoft-com:office:smarttags" w:element="stockticker">
        <w:r>
          <w:t>TSP</w:t>
        </w:r>
      </w:smartTag>
      <w:r>
        <w:t xml:space="preserve"> or DSP, an Entity must comply with the backup plan requirements in the Operating Guides, execute a Standard Form Market Participant Agreement (using the form provided in Section 22</w:t>
      </w:r>
      <w:r w:rsidR="007349BB">
        <w:t>, Attachment A, Standard Form Market Participant Agreement</w:t>
      </w:r>
      <w:r>
        <w:t>), designate TSP or DSP Authorized Representatives, contacts, and a User Security Administrator</w:t>
      </w:r>
      <w:r w:rsidR="007349BB">
        <w:t xml:space="preserve"> (USA)</w:t>
      </w:r>
      <w:r>
        <w:t xml:space="preserve"> (per </w:t>
      </w:r>
      <w:r w:rsidR="00B35DA1">
        <w:t xml:space="preserve">Section 23, Form J, </w:t>
      </w:r>
      <w:r w:rsidR="00B35DA1" w:rsidRPr="005B010C">
        <w:t>Transmission and/or Distribution Service Provider Application for Registration</w:t>
      </w:r>
      <w:r>
        <w:t xml:space="preserve">), and be capable of performing the functions of a </w:t>
      </w:r>
      <w:smartTag w:uri="urn:schemas-microsoft-com:office:smarttags" w:element="stockticker">
        <w:r>
          <w:t>TSP</w:t>
        </w:r>
      </w:smartTag>
      <w:r>
        <w:t xml:space="preserve"> or DSP, as applicable, as described in these Protocols. </w:t>
      </w:r>
    </w:p>
    <w:p w14:paraId="2FBFF24F" w14:textId="77777777" w:rsidR="00FC1C5F" w:rsidRDefault="00727E32">
      <w:pPr>
        <w:pStyle w:val="BodyTextNumbered"/>
      </w:pPr>
      <w:r>
        <w:t>(2)</w:t>
      </w:r>
      <w:r>
        <w:tab/>
        <w:t xml:space="preserve">DSPs operating within portions of Texas in areas where Customer Choice is in effect (including opt-in MOUs and opt-in co-ops) must participate in and successfully complete testing as described in Section </w:t>
      </w:r>
      <w:r w:rsidR="007349BB">
        <w:t xml:space="preserve">19.8, </w:t>
      </w:r>
      <w:r>
        <w:t>Retail Market Testing, before starting operations with ERCOT.</w:t>
      </w:r>
    </w:p>
    <w:p w14:paraId="71BF93F1" w14:textId="77777777" w:rsidR="00FC1C5F" w:rsidRDefault="00727E32">
      <w:pPr>
        <w:pStyle w:val="H2"/>
      </w:pPr>
      <w:bookmarkStart w:id="255" w:name="_Toc390438939"/>
      <w:bookmarkStart w:id="256" w:name="_Toc405897636"/>
      <w:bookmarkStart w:id="257" w:name="_Toc415055740"/>
      <w:bookmarkStart w:id="258" w:name="_Toc415055866"/>
      <w:bookmarkStart w:id="259" w:name="_Toc415055965"/>
      <w:bookmarkStart w:id="260" w:name="_Toc415056066"/>
      <w:bookmarkStart w:id="261" w:name="_Toc175159134"/>
      <w:bookmarkStart w:id="262" w:name="_Toc71369190"/>
      <w:bookmarkStart w:id="263" w:name="_Toc71539406"/>
      <w:r>
        <w:t>16.5</w:t>
      </w:r>
      <w:r>
        <w:tab/>
        <w:t>Registration of a Resource Entity</w:t>
      </w:r>
      <w:bookmarkEnd w:id="255"/>
      <w:bookmarkEnd w:id="256"/>
      <w:bookmarkEnd w:id="257"/>
      <w:bookmarkEnd w:id="258"/>
      <w:bookmarkEnd w:id="259"/>
      <w:bookmarkEnd w:id="260"/>
      <w:bookmarkEnd w:id="261"/>
      <w:r>
        <w:t xml:space="preserve"> </w:t>
      </w:r>
      <w:bookmarkEnd w:id="262"/>
      <w:bookmarkEnd w:id="263"/>
    </w:p>
    <w:p w14:paraId="5D9B7D2F" w14:textId="1A932B04" w:rsidR="002D332F" w:rsidRDefault="00A723FE">
      <w:pPr>
        <w:pStyle w:val="BodyText"/>
        <w:ind w:left="720" w:hanging="720"/>
      </w:pPr>
      <w:r>
        <w:t>(1)</w:t>
      </w:r>
      <w:r>
        <w:tab/>
      </w:r>
      <w:r w:rsidR="00CB766B" w:rsidRPr="00971DA3">
        <w:rPr>
          <w:iCs w:val="0"/>
        </w:rPr>
        <w:t xml:space="preserve">A Resource Entity owns or controls a </w:t>
      </w:r>
      <w:r w:rsidR="00CB766B">
        <w:rPr>
          <w:iCs w:val="0"/>
        </w:rPr>
        <w:t>Generation Resource, Settlement Only Generator (SOG), or Load Resource</w:t>
      </w:r>
      <w:r w:rsidR="00CB766B" w:rsidRPr="00971DA3">
        <w:rPr>
          <w:iCs w:val="0"/>
        </w:rPr>
        <w:t xml:space="preserv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w:t>
      </w:r>
      <w:r w:rsidR="00CB766B">
        <w:rPr>
          <w:iCs w:val="0"/>
        </w:rPr>
        <w:t>Generation Resource, SOG, or Load Resource</w:t>
      </w:r>
      <w:r w:rsidR="00CB766B" w:rsidRPr="00971DA3">
        <w:rPr>
          <w:iCs w:val="0"/>
        </w:rPr>
        <w:t xml:space="preserve"> through ERCOT registration, except for Distributed Generation (DG) with an installed capacity equal to or lower than the DG registration threshold</w:t>
      </w:r>
      <w:r w:rsidR="00CB766B">
        <w:rPr>
          <w:iCs w:val="0"/>
        </w:rPr>
        <w:t xml:space="preserve"> that has chosen not to register with ERCOT</w:t>
      </w:r>
      <w:r w:rsidR="00CB766B" w:rsidRPr="00971DA3">
        <w:rPr>
          <w:iCs w:val="0"/>
        </w:rPr>
        <w:t>.  A Resource Entity may submit a proposal to register the aggregation of generators, with the exception of Intermittent Renewable Resources (IRRs) pursuant to paragraph (1</w:t>
      </w:r>
      <w:r w:rsidR="00A01AC4">
        <w:rPr>
          <w:iCs w:val="0"/>
        </w:rPr>
        <w:t>3</w:t>
      </w:r>
      <w:r w:rsidR="00CB766B" w:rsidRPr="00971DA3">
        <w:rPr>
          <w:iCs w:val="0"/>
        </w:rPr>
        <w:t>) of Section 3.10.7.2, Modeling of Resources and Transmission Loads, as an Aggregate Generation Resource (AGR) which ERCOT may grant at its sole discretion.</w:t>
      </w:r>
      <w:r w:rsidR="00BA4149" w:rsidRPr="00BA4149">
        <w:t xml:space="preserve"> </w:t>
      </w:r>
      <w:r w:rsidR="00BA4149">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D69E1" w14:paraId="41C3221D" w14:textId="77777777" w:rsidTr="00CD51A8">
        <w:tc>
          <w:tcPr>
            <w:tcW w:w="9558" w:type="dxa"/>
            <w:shd w:val="pct12" w:color="auto" w:fill="auto"/>
          </w:tcPr>
          <w:p w14:paraId="72A648DA" w14:textId="674D4030" w:rsidR="008D69E1" w:rsidRPr="0002450E" w:rsidRDefault="008D69E1" w:rsidP="00CD51A8">
            <w:pPr>
              <w:pStyle w:val="Instructions"/>
              <w:spacing w:before="120"/>
              <w:rPr>
                <w:iCs/>
              </w:rPr>
            </w:pPr>
            <w:r>
              <w:rPr>
                <w:iCs/>
              </w:rPr>
              <w:lastRenderedPageBreak/>
              <w:t>[</w:t>
            </w:r>
            <w:r w:rsidR="00DF27BC">
              <w:rPr>
                <w:iCs/>
              </w:rPr>
              <w:t>NPRR995</w:t>
            </w:r>
            <w:r w:rsidR="00BA4149">
              <w:rPr>
                <w:iCs/>
              </w:rPr>
              <w:t xml:space="preserve"> and</w:t>
            </w:r>
            <w:r w:rsidR="00DF27BC">
              <w:rPr>
                <w:iCs/>
              </w:rPr>
              <w:t xml:space="preserve"> </w:t>
            </w:r>
            <w:r>
              <w:rPr>
                <w:iCs/>
              </w:rPr>
              <w:t>NPRR1002</w:t>
            </w:r>
            <w:r w:rsidRPr="0002450E">
              <w:rPr>
                <w:iCs/>
              </w:rPr>
              <w:t xml:space="preserve">:  Replace </w:t>
            </w:r>
            <w:r w:rsidR="00B6428C">
              <w:rPr>
                <w:iCs/>
              </w:rPr>
              <w:t xml:space="preserve">applicable portions of </w:t>
            </w:r>
            <w:r>
              <w:rPr>
                <w:iCs/>
              </w:rPr>
              <w:t xml:space="preserve">paragraph (1) </w:t>
            </w:r>
            <w:r w:rsidRPr="0002450E">
              <w:rPr>
                <w:iCs/>
              </w:rPr>
              <w:t xml:space="preserve">above with the following upon system implementation:] </w:t>
            </w:r>
          </w:p>
          <w:p w14:paraId="7045D32C" w14:textId="1FBDA0CA" w:rsidR="008D69E1" w:rsidRPr="008D69E1" w:rsidRDefault="008D69E1" w:rsidP="00C279DC">
            <w:pPr>
              <w:spacing w:after="240"/>
              <w:ind w:left="720" w:hanging="720"/>
            </w:pPr>
            <w:r>
              <w:rPr>
                <w:iCs/>
              </w:rPr>
              <w:t>(1)</w:t>
            </w:r>
            <w:r>
              <w:rPr>
                <w:iCs/>
              </w:rPr>
              <w:tab/>
            </w:r>
            <w:r>
              <w:t xml:space="preserve">A Resource Entity owns or controls a Generation Resource, Energy Storage Resource (ESR), Settlement Only Generator (SOG), </w:t>
            </w:r>
            <w:r w:rsidR="00DF27BC" w:rsidRPr="00DF27BC">
              <w:t>Settlement Only Energy Storage System (SOESS),</w:t>
            </w:r>
            <w:r w:rsidR="00DF27BC">
              <w:t xml:space="preserve"> </w:t>
            </w:r>
            <w:r>
              <w:t>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w:t>
            </w:r>
            <w:r w:rsidR="00DF27BC">
              <w:t>,</w:t>
            </w:r>
            <w:r>
              <w:t xml:space="preserve"> SOG</w:t>
            </w:r>
            <w:r w:rsidR="00DF27BC">
              <w:t>, or SOESS</w:t>
            </w:r>
            <w:r>
              <w:t xml:space="preserve">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w:t>
            </w:r>
            <w:r w:rsidR="00A01AC4">
              <w:t>3</w:t>
            </w:r>
            <w:r>
              <w:t>) of Section 3.10.7.2, Modeling of Resources and Transmission Loads, as an Aggregate Generation Resource (AGR) which ERCOT may grant at its sole discretion.</w:t>
            </w:r>
            <w:r w:rsidR="00B6428C">
              <w:t xml:space="preserve">  If a Resource Entity intends to register one or more Energy Storage Systems (ESS</w:t>
            </w:r>
            <w:r w:rsidR="00C279DC">
              <w:t>s</w:t>
            </w:r>
            <w:r w:rsidR="00B6428C">
              <w:t xml:space="preserve">) and one or more non-ESS generators as SOGs at the same site, the Resource Entity must provide an affidavit attesting to the amount of ESS and non-ESS capacity at the site as a condition for registration.    </w:t>
            </w:r>
          </w:p>
        </w:tc>
      </w:tr>
    </w:tbl>
    <w:p w14:paraId="1878FF7B" w14:textId="0FE1FBDC" w:rsidR="008F6D05" w:rsidRDefault="008F6D05" w:rsidP="00AA42E8">
      <w:pPr>
        <w:pStyle w:val="BodyText"/>
        <w:spacing w:before="240"/>
        <w:ind w:left="720" w:hanging="720"/>
      </w:pPr>
      <w:r>
        <w:t>(2)</w:t>
      </w:r>
      <w:r>
        <w:tab/>
      </w:r>
      <w:r w:rsidRPr="00767D61">
        <w:t>Prior to commissioning, Resources Entities will regularly update the data necessary for modeling.  These</w:t>
      </w:r>
      <w:r>
        <w:t xml:space="preserve"> updates will reflect the best available information at the time submitted.</w:t>
      </w:r>
    </w:p>
    <w:p w14:paraId="74EDC0BC" w14:textId="1F27E239" w:rsidR="008F6D05" w:rsidRDefault="008F6D05">
      <w:pPr>
        <w:pStyle w:val="BodyText"/>
        <w:ind w:left="720" w:hanging="720"/>
      </w:pPr>
      <w:r>
        <w:t>(3)</w:t>
      </w:r>
      <w:r>
        <w:tab/>
      </w:r>
      <w:r w:rsidR="00CB766B" w:rsidRPr="00971DA3">
        <w:rPr>
          <w:iCs w:val="0"/>
        </w:rPr>
        <w:t xml:space="preserve">Once ERCOT has received a new or amended Standard Generation Interconnection Agreement (SGIA) or a letter from a duly authorized official from the Municipally Owned Utility (MOU) or Electric Cooperative (EC) and has determined that the proposed Generation Resource </w:t>
      </w:r>
      <w:r w:rsidR="00CB766B">
        <w:rPr>
          <w:iCs w:val="0"/>
        </w:rPr>
        <w:t xml:space="preserve">or SOG </w:t>
      </w:r>
      <w:r w:rsidR="00CB766B" w:rsidRPr="00971DA3">
        <w:rPr>
          <w:iCs w:val="0"/>
        </w:rPr>
        <w:t xml:space="preserve">meets the requirements of Planning Guide Section 6.9, Addition of Proposed Generation to the Planning Models, ERCOT shall review the description of the proposed Generation Resource </w:t>
      </w:r>
      <w:r w:rsidR="00CB766B">
        <w:rPr>
          <w:iCs w:val="0"/>
        </w:rPr>
        <w:t xml:space="preserve">or SOG </w:t>
      </w:r>
      <w:r w:rsidR="00CB766B" w:rsidRPr="00971DA3">
        <w:rPr>
          <w:iCs w:val="0"/>
        </w:rPr>
        <w:t>in Exhibit “C” (or similar exhibit) to the SGIA and the data submitted pursuant to Planning Guide Section 6.8.2 to assess whether the Generation Resource</w:t>
      </w:r>
      <w:r w:rsidR="00CB766B">
        <w:rPr>
          <w:iCs w:val="0"/>
        </w:rPr>
        <w:t xml:space="preserve"> or SOG</w:t>
      </w:r>
      <w:r w:rsidR="00CB766B" w:rsidRPr="00971DA3">
        <w:rPr>
          <w:iCs w:val="0"/>
        </w:rPr>
        <w:t>, as proposed, would violate any operational standards established in the Protocols, Planning Guide, Nodal Operating Guides, and Other Binding Documents.  ERCOT must provide its determination to the Transmission Service Provider (TSP) and the owner of the proposed Generation Resource</w:t>
      </w:r>
      <w:r w:rsidR="00CB766B">
        <w:rPr>
          <w:iCs w:val="0"/>
        </w:rPr>
        <w:t xml:space="preserve"> or SOG</w:t>
      </w:r>
      <w:r w:rsidR="00CB766B" w:rsidRPr="00971DA3">
        <w:rPr>
          <w:iCs w:val="0"/>
        </w:rPr>
        <w:t xml:space="preserve"> within 90 days of the date the Generation Resource</w:t>
      </w:r>
      <w:r w:rsidR="00CB766B">
        <w:rPr>
          <w:iCs w:val="0"/>
        </w:rPr>
        <w:t xml:space="preserve"> or SOG</w:t>
      </w:r>
      <w:r w:rsidR="00CB766B" w:rsidRPr="00971DA3">
        <w:rPr>
          <w:iCs w:val="0"/>
        </w:rPr>
        <w:t xml:space="preserve"> meets the conditions for review.  Notwithstanding the foregoing, this determination shall not preclude ERCOT from subsequently determining that the Generation Resource</w:t>
      </w:r>
      <w:r w:rsidR="00CB766B">
        <w:rPr>
          <w:iCs w:val="0"/>
        </w:rPr>
        <w:t xml:space="preserve"> or SOG</w:t>
      </w:r>
      <w:r w:rsidR="00CB766B" w:rsidRPr="00971DA3">
        <w:rPr>
          <w:iCs w:val="0"/>
        </w:rPr>
        <w:t xml:space="preserve"> violates any operational standards established in the Protocols, Planning Guide, Nodal </w:t>
      </w:r>
      <w:r w:rsidR="00CB766B" w:rsidRPr="00971DA3">
        <w:rPr>
          <w:iCs w:val="0"/>
        </w:rPr>
        <w:lastRenderedPageBreak/>
        <w:t>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D69E1" w14:paraId="70FE857C" w14:textId="77777777" w:rsidTr="00CD51A8">
        <w:tc>
          <w:tcPr>
            <w:tcW w:w="9558" w:type="dxa"/>
            <w:shd w:val="pct12" w:color="auto" w:fill="auto"/>
          </w:tcPr>
          <w:p w14:paraId="7141ADF9" w14:textId="21937C8C" w:rsidR="008D69E1" w:rsidRPr="0002450E" w:rsidRDefault="008D69E1" w:rsidP="00CD51A8">
            <w:pPr>
              <w:pStyle w:val="Instructions"/>
              <w:spacing w:before="120"/>
              <w:rPr>
                <w:iCs/>
              </w:rPr>
            </w:pPr>
            <w:r>
              <w:rPr>
                <w:iCs/>
              </w:rPr>
              <w:t>[</w:t>
            </w:r>
            <w:r w:rsidR="00DF27BC">
              <w:rPr>
                <w:iCs/>
              </w:rPr>
              <w:t xml:space="preserve">NPRR995 and </w:t>
            </w:r>
            <w:r>
              <w:rPr>
                <w:iCs/>
              </w:rPr>
              <w:t>NPRR1002</w:t>
            </w:r>
            <w:r w:rsidRPr="0002450E">
              <w:rPr>
                <w:iCs/>
              </w:rPr>
              <w:t xml:space="preserve">:  Replace </w:t>
            </w:r>
            <w:r w:rsidR="00DF27BC">
              <w:rPr>
                <w:iCs/>
              </w:rPr>
              <w:t xml:space="preserve">applicable portions of </w:t>
            </w:r>
            <w:r>
              <w:rPr>
                <w:iCs/>
              </w:rPr>
              <w:t xml:space="preserve">paragraph (3) </w:t>
            </w:r>
            <w:r w:rsidRPr="0002450E">
              <w:rPr>
                <w:iCs/>
              </w:rPr>
              <w:t xml:space="preserve">above with the following upon system implementation:] </w:t>
            </w:r>
          </w:p>
          <w:p w14:paraId="7FBC2C5A" w14:textId="6C158AD7" w:rsidR="008D69E1" w:rsidRPr="008D69E1" w:rsidRDefault="008D69E1" w:rsidP="00925CF6">
            <w:pPr>
              <w:spacing w:after="240"/>
              <w:ind w:left="720" w:hanging="720"/>
              <w:rPr>
                <w:iCs/>
              </w:rPr>
            </w:pPr>
            <w:r>
              <w:rPr>
                <w:iCs/>
              </w:rPr>
              <w:t>(3)</w:t>
            </w:r>
            <w:r>
              <w:rPr>
                <w:iCs/>
              </w:rPr>
              <w:tab/>
            </w:r>
            <w:r>
              <w:t>Once ERCOT has received a new or amended Standard Generation Interconnection Agreement (SGIA) or a letter from a duly authorized official from the Municipally Owned Utility (MOU) or Electric Cooperative (EC) and has determined that the proposed Generation Resource, ESR, SOG</w:t>
            </w:r>
            <w:r w:rsidR="00DF27BC">
              <w:t>, or SOESS</w:t>
            </w:r>
            <w:r>
              <w:t xml:space="preserve"> meets the requirements of Planning Guide Section 6.9, Addition of Proposed Generation to the Planning Models, ERCOT shall review the description of the proposed Generation Resource, ESR, SOG</w:t>
            </w:r>
            <w:r w:rsidR="00DF27BC">
              <w:t>, or SOESS</w:t>
            </w:r>
            <w:r>
              <w:t xml:space="preserve"> in Exhibit “C” (or similar exhibit) to the SGIA and the data submitted pursuant to Planning Guide Section 6.8.2, to assess whether the Generation Resource, ESR, SOG</w:t>
            </w:r>
            <w:r w:rsidR="00DF27BC">
              <w:t>, or SOESS</w:t>
            </w:r>
            <w:r>
              <w:t>,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w:t>
            </w:r>
            <w:r w:rsidR="00DF27BC">
              <w:t>, or SOESS</w:t>
            </w:r>
            <w:r>
              <w:t xml:space="preserve"> within 90 days of the date the Generation Resource, ESR, SOG</w:t>
            </w:r>
            <w:r w:rsidR="00DF27BC">
              <w:t>, or SOESS</w:t>
            </w:r>
            <w:r>
              <w:t xml:space="preserve"> meets the conditions for review.  Notwithstanding the foregoing, this determination shall not preclude ERCOT from subsequently determining that the Generation Resource, ESR, SOG</w:t>
            </w:r>
            <w:r w:rsidR="00DF27BC">
              <w:t>, or SOESS</w:t>
            </w:r>
            <w:r>
              <w:t xml:space="preserve"> violates any operational standards established in the Protocols, Planning Guide, Nodal Operating Guides, and Other Binding Documents or from taking any appropriate action based on that determination.</w:t>
            </w:r>
          </w:p>
        </w:tc>
      </w:tr>
    </w:tbl>
    <w:p w14:paraId="399A8B4B" w14:textId="7CB5A509" w:rsidR="00CB766B" w:rsidRPr="00971DA3" w:rsidRDefault="00CB766B" w:rsidP="00AA42E8">
      <w:pPr>
        <w:spacing w:before="240" w:after="240"/>
        <w:ind w:left="720" w:hanging="720"/>
      </w:pPr>
      <w:r w:rsidRPr="00971DA3">
        <w:t>(4)</w:t>
      </w:r>
      <w:r w:rsidRPr="00971DA3">
        <w:tab/>
        <w:t>An Interconnecting Entity (IE) shall not proceed to Initial Synchronization of a Generation Resource</w:t>
      </w:r>
      <w:r>
        <w:t>,</w:t>
      </w:r>
      <w:r w:rsidRPr="004A52A9">
        <w:t xml:space="preserve"> </w:t>
      </w:r>
      <w:r>
        <w:t xml:space="preserve">Settlement Only Transmission Generator (SOTG), or Settlement Only Transmission Self-Generator (SOTSG) </w:t>
      </w:r>
      <w:r w:rsidRPr="00971DA3">
        <w:t>in the event of any of the following conditions:</w:t>
      </w:r>
    </w:p>
    <w:p w14:paraId="78DE7CAE" w14:textId="77777777" w:rsidR="00CB766B" w:rsidRPr="00971DA3" w:rsidRDefault="00CB766B" w:rsidP="00CB766B">
      <w:pPr>
        <w:spacing w:after="240"/>
        <w:ind w:left="1440" w:hanging="720"/>
      </w:pPr>
      <w:r w:rsidRPr="00971DA3">
        <w:t>(a)</w:t>
      </w:r>
      <w:r w:rsidRPr="00971DA3">
        <w:tab/>
        <w:t>Pursuant to paragraph (3) above, ERCOT has reasonably determined that the Generation Resource</w:t>
      </w:r>
      <w:r>
        <w:t>, SOTG,</w:t>
      </w:r>
      <w:r>
        <w:rPr>
          <w:iCs/>
        </w:rPr>
        <w:t xml:space="preserve"> or SOTSG</w:t>
      </w:r>
      <w:r w:rsidRPr="00971DA3">
        <w:t xml:space="preserve"> may violate operational standards established in the Protocols, Planning Guide, Nodal Operating Guides, and Other Binding Documents, and the Resource Entity has not yet demonstrated to ERCOT’s satisfaction that the Generation Resource</w:t>
      </w:r>
      <w:r>
        <w:t>, SOTG,</w:t>
      </w:r>
      <w:r>
        <w:rPr>
          <w:iCs/>
        </w:rPr>
        <w:t xml:space="preserve"> or SOTSG</w:t>
      </w:r>
      <w:r w:rsidRPr="00971DA3">
        <w:t xml:space="preserve"> can comply with these standards;</w:t>
      </w:r>
    </w:p>
    <w:p w14:paraId="0A622782" w14:textId="3988C1F4" w:rsidR="00CB766B" w:rsidRPr="00971DA3" w:rsidRDefault="00CB766B" w:rsidP="00CB766B">
      <w:pPr>
        <w:spacing w:after="240"/>
        <w:ind w:left="1440" w:hanging="720"/>
      </w:pPr>
      <w:r w:rsidRPr="00971DA3">
        <w:t>(b)</w:t>
      </w:r>
      <w:r w:rsidRPr="00971DA3">
        <w:tab/>
        <w:t>The requirements of Planning Guide Section</w:t>
      </w:r>
      <w:r>
        <w:t xml:space="preserve"> </w:t>
      </w:r>
      <w:r w:rsidRPr="00971DA3">
        <w:t>5.</w:t>
      </w:r>
      <w:r w:rsidR="002B49F7">
        <w:t>3.5</w:t>
      </w:r>
      <w:r w:rsidRPr="00971DA3">
        <w:t xml:space="preserve">, </w:t>
      </w:r>
      <w:r w:rsidR="00A01AC4">
        <w:t xml:space="preserve">ERCOT </w:t>
      </w:r>
      <w:r w:rsidRPr="00971DA3">
        <w:t xml:space="preserve">Quarterly Stability Assessment, </w:t>
      </w:r>
      <w:r w:rsidR="00A325E3">
        <w:t xml:space="preserve">if applicable, </w:t>
      </w:r>
      <w:r w:rsidRPr="00971DA3">
        <w:t>have not been completed for the Generation Resource</w:t>
      </w:r>
      <w:r>
        <w:t>, SOTG,</w:t>
      </w:r>
      <w:r>
        <w:rPr>
          <w:iCs/>
        </w:rPr>
        <w:t xml:space="preserve"> or SOTSG</w:t>
      </w:r>
      <w:r w:rsidRPr="00971DA3">
        <w:t>; or</w:t>
      </w:r>
    </w:p>
    <w:p w14:paraId="7680861B" w14:textId="5AAB3F31" w:rsidR="0084081E" w:rsidRDefault="00CB766B" w:rsidP="00784E29">
      <w:pPr>
        <w:spacing w:after="240"/>
        <w:ind w:left="1440" w:hanging="720"/>
      </w:pPr>
      <w:r w:rsidRPr="00971DA3">
        <w:t>(c)</w:t>
      </w:r>
      <w:r w:rsidRPr="00971DA3">
        <w:tab/>
        <w:t xml:space="preserve">Any required </w:t>
      </w:r>
      <w:r>
        <w:t>S</w:t>
      </w:r>
      <w:r w:rsidRPr="00971DA3">
        <w:t xml:space="preserve">ubsynchronous </w:t>
      </w:r>
      <w:r>
        <w:t>R</w:t>
      </w:r>
      <w:r w:rsidRPr="00971DA3">
        <w:t xml:space="preserve">esonance </w:t>
      </w:r>
      <w:r>
        <w:t xml:space="preserve">(SSR) </w:t>
      </w:r>
      <w:r w:rsidRPr="00971DA3">
        <w:t>studies</w:t>
      </w:r>
      <w:r w:rsidRPr="00B86BC1">
        <w:t xml:space="preserve">, SSR Mitigation </w:t>
      </w:r>
      <w:r>
        <w:t>P</w:t>
      </w:r>
      <w:r w:rsidRPr="00B86BC1">
        <w:t xml:space="preserve">lan, </w:t>
      </w:r>
      <w:r>
        <w:t xml:space="preserve">SSR Protection, </w:t>
      </w:r>
      <w:r w:rsidRPr="00B86BC1">
        <w:t>and SSR monitoring if required,</w:t>
      </w:r>
      <w:r w:rsidRPr="00971DA3">
        <w:t xml:space="preserve"> have not been complete</w:t>
      </w:r>
      <w:r>
        <w:t>d</w:t>
      </w:r>
      <w:r w:rsidRPr="00971DA3">
        <w:t xml:space="preserve">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D69E1" w14:paraId="215AB732" w14:textId="77777777" w:rsidTr="00CD51A8">
        <w:tc>
          <w:tcPr>
            <w:tcW w:w="9558" w:type="dxa"/>
            <w:shd w:val="pct12" w:color="auto" w:fill="auto"/>
          </w:tcPr>
          <w:p w14:paraId="57426CE6" w14:textId="7FEF4C65" w:rsidR="008D69E1" w:rsidRPr="0002450E" w:rsidRDefault="008D69E1" w:rsidP="00CD51A8">
            <w:pPr>
              <w:pStyle w:val="Instructions"/>
              <w:spacing w:before="120"/>
              <w:rPr>
                <w:iCs/>
              </w:rPr>
            </w:pPr>
            <w:r>
              <w:rPr>
                <w:iCs/>
              </w:rPr>
              <w:lastRenderedPageBreak/>
              <w:t>[</w:t>
            </w:r>
            <w:r w:rsidR="00DF27BC">
              <w:rPr>
                <w:iCs/>
              </w:rPr>
              <w:t>NPRR995</w:t>
            </w:r>
            <w:r w:rsidR="00A325E3">
              <w:rPr>
                <w:iCs/>
              </w:rPr>
              <w:t xml:space="preserve"> and</w:t>
            </w:r>
            <w:r w:rsidR="00DF27BC">
              <w:rPr>
                <w:iCs/>
              </w:rPr>
              <w:t xml:space="preserve"> </w:t>
            </w:r>
            <w:r>
              <w:rPr>
                <w:iCs/>
              </w:rPr>
              <w:t>NPRR1002</w:t>
            </w:r>
            <w:r w:rsidRPr="0002450E">
              <w:rPr>
                <w:iCs/>
              </w:rPr>
              <w:t xml:space="preserve">:  Replace </w:t>
            </w:r>
            <w:r w:rsidR="00FB1D0F">
              <w:rPr>
                <w:iCs/>
              </w:rPr>
              <w:t xml:space="preserve">applicable portions of </w:t>
            </w:r>
            <w:r>
              <w:rPr>
                <w:iCs/>
              </w:rPr>
              <w:t xml:space="preserve">paragraph (4) </w:t>
            </w:r>
            <w:r w:rsidRPr="0002450E">
              <w:rPr>
                <w:iCs/>
              </w:rPr>
              <w:t xml:space="preserve">above with the following upon system implementation:] </w:t>
            </w:r>
          </w:p>
          <w:p w14:paraId="2DF7C6B3" w14:textId="117C5A89" w:rsidR="008D69E1" w:rsidRDefault="008D69E1" w:rsidP="008D69E1">
            <w:pPr>
              <w:spacing w:after="240"/>
              <w:ind w:left="720" w:hanging="720"/>
            </w:pPr>
            <w:r>
              <w:t>(4)</w:t>
            </w:r>
            <w:r>
              <w:tab/>
              <w:t>An Interconnecting Entity (IE) shall not proceed to Initial Synchronization of a Generation Resource, ESR, Settlement Only Transmission Generator (SOTG), Settlement Only Transmission Self-Generator (SOTSG)</w:t>
            </w:r>
            <w:r w:rsidR="00DF27BC">
              <w:t>, or Settlement Only Transmission Energy Storage System (SOTESS)</w:t>
            </w:r>
            <w:r>
              <w:t xml:space="preserve"> in the event of any of the following conditions:</w:t>
            </w:r>
          </w:p>
          <w:p w14:paraId="158E9B52" w14:textId="15EDC551" w:rsidR="008D69E1" w:rsidRDefault="008D69E1" w:rsidP="008D69E1">
            <w:pPr>
              <w:spacing w:after="240"/>
              <w:ind w:left="1440" w:hanging="720"/>
            </w:pPr>
            <w:r>
              <w:t>(a)</w:t>
            </w:r>
            <w:r>
              <w:tab/>
              <w:t>Pursuant to paragraph (3) above, ERCOT has reasonably determined that the Generation Resource, ESR, SOTG,</w:t>
            </w:r>
            <w:r>
              <w:rPr>
                <w:iCs/>
              </w:rPr>
              <w:t xml:space="preserve"> SOTSG</w:t>
            </w:r>
            <w:r w:rsidR="00DF27BC">
              <w:rPr>
                <w:iCs/>
              </w:rPr>
              <w:t>, or SOTESS</w:t>
            </w:r>
            <w:r>
              <w:t xml:space="preserve"> may violate operational standards established in the Protocols, Planning Guide, Nodal Operating Guides, and Other Binding Documents, and the Resource Entity has not yet demonstrated to ERCOT’s satisfaction that the Generation Resource, ESR, SOTG,</w:t>
            </w:r>
            <w:r>
              <w:rPr>
                <w:iCs/>
              </w:rPr>
              <w:t xml:space="preserve"> SOTSG</w:t>
            </w:r>
            <w:r w:rsidR="00DF27BC">
              <w:rPr>
                <w:iCs/>
              </w:rPr>
              <w:t>, or SOTESS</w:t>
            </w:r>
            <w:r>
              <w:t xml:space="preserve"> can comply with these standards;</w:t>
            </w:r>
          </w:p>
          <w:p w14:paraId="1AE9478C" w14:textId="1E1DD2D6" w:rsidR="008D69E1" w:rsidRDefault="008D69E1" w:rsidP="008D69E1">
            <w:pPr>
              <w:spacing w:after="240"/>
              <w:ind w:left="1440" w:hanging="720"/>
            </w:pPr>
            <w:r>
              <w:t>(b)</w:t>
            </w:r>
            <w:r>
              <w:tab/>
              <w:t>The requirements of Planning Guide Section 5.</w:t>
            </w:r>
            <w:r w:rsidR="002B49F7">
              <w:t>3.5</w:t>
            </w:r>
            <w:r>
              <w:t xml:space="preserve">, </w:t>
            </w:r>
            <w:r w:rsidR="00A01AC4">
              <w:t xml:space="preserve">ERCOT </w:t>
            </w:r>
            <w:r>
              <w:t>Quarterly Stability Assessment</w:t>
            </w:r>
            <w:r w:rsidR="00331248">
              <w:t xml:space="preserve">, if applicable, </w:t>
            </w:r>
            <w:r>
              <w:t>have not been completed for the Generation Resource, ESR, SOTG,</w:t>
            </w:r>
            <w:r>
              <w:rPr>
                <w:iCs/>
              </w:rPr>
              <w:t xml:space="preserve"> SOTSG</w:t>
            </w:r>
            <w:r w:rsidR="00DF27BC">
              <w:rPr>
                <w:iCs/>
              </w:rPr>
              <w:t>, or SOTESS</w:t>
            </w:r>
            <w:r>
              <w:t>; or</w:t>
            </w:r>
          </w:p>
          <w:p w14:paraId="2A5887B3" w14:textId="4BB79327" w:rsidR="008D69E1" w:rsidRPr="008D69E1" w:rsidRDefault="008D69E1" w:rsidP="008D69E1">
            <w:pPr>
              <w:spacing w:after="240"/>
              <w:ind w:left="1440" w:hanging="720"/>
            </w:pPr>
            <w:r>
              <w:t>(c)</w:t>
            </w:r>
            <w:r>
              <w:tab/>
              <w:t>Any required Subsynchronous Resonance (SSR) studies, SSR Mitigation Plan, SSR Protection, and SSR monitoring if required, have not been completed and approved by ERCOT.</w:t>
            </w:r>
          </w:p>
        </w:tc>
      </w:tr>
    </w:tbl>
    <w:p w14:paraId="1AFE4147" w14:textId="23F6172A" w:rsidR="00D629DE" w:rsidRDefault="00A723FE" w:rsidP="00AA42E8">
      <w:pPr>
        <w:pStyle w:val="BodyText"/>
        <w:spacing w:before="240"/>
        <w:ind w:left="720" w:hanging="720"/>
      </w:pPr>
      <w:r>
        <w:t>(</w:t>
      </w:r>
      <w:r w:rsidR="008F6D05">
        <w:t>5</w:t>
      </w:r>
      <w:r>
        <w:t>)</w:t>
      </w:r>
      <w:r>
        <w:tab/>
      </w:r>
      <w:r w:rsidR="00FD6B07" w:rsidRPr="006730E5">
        <w:rPr>
          <w:iCs w:val="0"/>
        </w:rPr>
        <w:t>DG with an installed capacity greater than one MW, the DG registration threshold,</w:t>
      </w:r>
      <w:r w:rsidR="00FD6B07">
        <w:rPr>
          <w:iCs w:val="0"/>
        </w:rPr>
        <w:t xml:space="preserve"> which exports energy into a Distribution System, </w:t>
      </w:r>
      <w:r w:rsidR="00FD6B07" w:rsidRPr="006730E5">
        <w:rPr>
          <w:iCs w:val="0"/>
        </w:rPr>
        <w:t>must register with ERCOT</w:t>
      </w:r>
      <w:r w:rsidR="00FD6B07">
        <w:rPr>
          <w:iCs w:val="0"/>
        </w:rPr>
        <w:t>.</w:t>
      </w:r>
      <w:r w:rsidR="00FD6B07" w:rsidRPr="006730E5">
        <w:rPr>
          <w:iCs w:val="0"/>
        </w:rPr>
        <w:t xml:space="preserve">  </w:t>
      </w:r>
    </w:p>
    <w:p w14:paraId="5BB74F4D" w14:textId="77777777" w:rsidR="007D280D" w:rsidRDefault="007D280D" w:rsidP="007D280D">
      <w:pPr>
        <w:pStyle w:val="BodyText"/>
        <w:ind w:left="720" w:hanging="720"/>
      </w:pPr>
      <w:bookmarkStart w:id="264" w:name="_Toc390438940"/>
      <w:bookmarkStart w:id="265" w:name="_Toc405897637"/>
      <w:bookmarkStart w:id="266" w:name="_Toc415055741"/>
      <w:bookmarkStart w:id="267" w:name="_Toc415055867"/>
      <w:bookmarkStart w:id="268" w:name="_Toc415055966"/>
      <w:bookmarkStart w:id="269" w:name="_Toc415056067"/>
      <w:r>
        <w:t>(6)</w:t>
      </w:r>
      <w:r>
        <w:tab/>
      </w:r>
      <w:r>
        <w:rPr>
          <w:iCs w:val="0"/>
        </w:rPr>
        <w:t>A Resource Entity representing an Energy Storage Resource (ESR) shall register the ESR as both a Generation Resource and a Controllable Load Resource.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D69E1" w14:paraId="4DBBD77A" w14:textId="77777777" w:rsidTr="00CD51A8">
        <w:tc>
          <w:tcPr>
            <w:tcW w:w="9558" w:type="dxa"/>
            <w:shd w:val="pct12" w:color="auto" w:fill="auto"/>
          </w:tcPr>
          <w:p w14:paraId="5EB1F2E7" w14:textId="13C1EBE7" w:rsidR="008D69E1" w:rsidRPr="0002450E" w:rsidRDefault="008D69E1" w:rsidP="00CD51A8">
            <w:pPr>
              <w:pStyle w:val="Instructions"/>
              <w:spacing w:before="120"/>
              <w:rPr>
                <w:iCs/>
              </w:rPr>
            </w:pPr>
            <w:r>
              <w:rPr>
                <w:iCs/>
              </w:rPr>
              <w:t>[NPRR1002</w:t>
            </w:r>
            <w:r w:rsidRPr="0002450E">
              <w:rPr>
                <w:iCs/>
              </w:rPr>
              <w:t xml:space="preserve">:  Replace </w:t>
            </w:r>
            <w:r>
              <w:rPr>
                <w:iCs/>
              </w:rPr>
              <w:t xml:space="preserve">paragraph (6) </w:t>
            </w:r>
            <w:r w:rsidRPr="0002450E">
              <w:rPr>
                <w:iCs/>
              </w:rPr>
              <w:t xml:space="preserve">above with the following upon system implementation:] </w:t>
            </w:r>
          </w:p>
          <w:p w14:paraId="3B4E811C" w14:textId="6CE8C13C" w:rsidR="008D69E1" w:rsidRPr="008D69E1" w:rsidRDefault="008D69E1" w:rsidP="008D69E1">
            <w:pPr>
              <w:spacing w:after="240"/>
              <w:ind w:left="720" w:hanging="720"/>
            </w:pPr>
            <w:r>
              <w:t>(6)</w:t>
            </w:r>
            <w:r>
              <w:tab/>
              <w:t xml:space="preserve">A Resource Entity representing an ESR shall register the ESR as </w:t>
            </w:r>
            <w:r>
              <w:rPr>
                <w:iCs/>
              </w:rPr>
              <w:t>an ESR</w:t>
            </w:r>
            <w:r>
              <w:t>.</w:t>
            </w:r>
            <w:r>
              <w:rPr>
                <w:iCs/>
              </w:rPr>
              <w:t xml:space="preserve">  ERCOT systems, including the Energy and Market Management System (EM</w:t>
            </w:r>
            <w:r w:rsidR="00331248">
              <w:rPr>
                <w:iCs/>
              </w:rPr>
              <w:t>M</w:t>
            </w:r>
            <w:r>
              <w:rPr>
                <w:iCs/>
              </w:rPr>
              <w:t xml:space="preserve">S) and Settlement system, shall continue to treat the ESR as </w:t>
            </w:r>
            <w:r>
              <w:t>both a Generation Resource and a Controllable Load Resource</w:t>
            </w:r>
            <w:r>
              <w:rPr>
                <w:iCs/>
              </w:rPr>
              <w:t xml:space="preserve"> until such time as all ERCOT systems are capable of treating an ESR as a single Resource</w:t>
            </w:r>
            <w:r>
              <w:t>.</w:t>
            </w:r>
          </w:p>
        </w:tc>
      </w:tr>
    </w:tbl>
    <w:p w14:paraId="271AF791" w14:textId="6179FB9E" w:rsidR="00FC1C5F" w:rsidRDefault="00727E32" w:rsidP="00AA42E8">
      <w:pPr>
        <w:pStyle w:val="H3"/>
        <w:spacing w:before="480"/>
      </w:pPr>
      <w:bookmarkStart w:id="270" w:name="_Toc175159135"/>
      <w:r>
        <w:t>16.5.1</w:t>
      </w:r>
      <w:r>
        <w:tab/>
        <w:t>Technical and Managerial Requirements for Resource Entity Applicants</w:t>
      </w:r>
      <w:bookmarkEnd w:id="264"/>
      <w:bookmarkEnd w:id="265"/>
      <w:bookmarkEnd w:id="266"/>
      <w:bookmarkEnd w:id="267"/>
      <w:bookmarkEnd w:id="268"/>
      <w:bookmarkEnd w:id="269"/>
      <w:bookmarkEnd w:id="270"/>
    </w:p>
    <w:p w14:paraId="5098470C" w14:textId="77777777" w:rsidR="00FC1C5F" w:rsidRDefault="007B6516" w:rsidP="00D169BA">
      <w:pPr>
        <w:pStyle w:val="BodyText"/>
        <w:ind w:left="720" w:hanging="720"/>
      </w:pPr>
      <w:r>
        <w:t>(1)</w:t>
      </w:r>
      <w:r>
        <w:tab/>
      </w:r>
      <w:r w:rsidR="00727E32">
        <w:t>A Resource Entity applicant must:</w:t>
      </w:r>
    </w:p>
    <w:p w14:paraId="7CEA7B3C" w14:textId="77777777" w:rsidR="00FC1C5F" w:rsidRDefault="00727E32" w:rsidP="00D169BA">
      <w:pPr>
        <w:pStyle w:val="List"/>
      </w:pPr>
      <w:r>
        <w:lastRenderedPageBreak/>
        <w:t>(</w:t>
      </w:r>
      <w:r w:rsidR="007B6516">
        <w:t>a</w:t>
      </w:r>
      <w:r>
        <w:t>)</w:t>
      </w:r>
      <w:r>
        <w:tab/>
        <w:t>Be capable of complying with all policies, rules, guidelines, registration requirements, and procedures established by these Protocols, ERCOT, or other Independent Organizations, if applicable; and</w:t>
      </w:r>
    </w:p>
    <w:p w14:paraId="4A86B1DF" w14:textId="77777777" w:rsidR="00FC1C5F" w:rsidRDefault="00727E32" w:rsidP="00D169BA">
      <w:pPr>
        <w:pStyle w:val="List"/>
      </w:pPr>
      <w:r>
        <w:t>(</w:t>
      </w:r>
      <w:r w:rsidR="007B6516">
        <w:t>b</w:t>
      </w:r>
      <w:r>
        <w:t>)</w:t>
      </w:r>
      <w:r>
        <w:tab/>
        <w:t>Be capable of purchasing power from Entities registered with or by ERCOT or the Independent Organizations and capable of complying with its system rules.</w:t>
      </w:r>
    </w:p>
    <w:p w14:paraId="2C628244" w14:textId="77777777" w:rsidR="00FC1C5F" w:rsidRPr="00D63F95" w:rsidRDefault="00727E32">
      <w:pPr>
        <w:pStyle w:val="H4"/>
        <w:rPr>
          <w:b/>
        </w:rPr>
      </w:pPr>
      <w:bookmarkStart w:id="271" w:name="_Toc390438941"/>
      <w:bookmarkStart w:id="272" w:name="_Toc405897638"/>
      <w:bookmarkStart w:id="273" w:name="_Toc415055742"/>
      <w:bookmarkStart w:id="274" w:name="_Toc415055868"/>
      <w:bookmarkStart w:id="275" w:name="_Toc415055967"/>
      <w:bookmarkStart w:id="276" w:name="_Toc415056068"/>
      <w:bookmarkStart w:id="277" w:name="_Toc175159136"/>
      <w:r w:rsidRPr="00D63F95">
        <w:rPr>
          <w:b/>
        </w:rPr>
        <w:t>16.5.1.1</w:t>
      </w:r>
      <w:r w:rsidRPr="00D63F95">
        <w:rPr>
          <w:b/>
        </w:rPr>
        <w:tab/>
        <w:t>Designation of a Qualified Scheduling Entity</w:t>
      </w:r>
      <w:bookmarkEnd w:id="271"/>
      <w:bookmarkEnd w:id="272"/>
      <w:bookmarkEnd w:id="273"/>
      <w:bookmarkEnd w:id="274"/>
      <w:bookmarkEnd w:id="275"/>
      <w:bookmarkEnd w:id="276"/>
      <w:bookmarkEnd w:id="277"/>
    </w:p>
    <w:p w14:paraId="5A2C44C4" w14:textId="5FCF61B2" w:rsidR="00FC1C5F" w:rsidRDefault="00727E32" w:rsidP="000E3528">
      <w:pPr>
        <w:pStyle w:val="BodyTextNumbered"/>
      </w:pPr>
      <w:r>
        <w:t>(1)</w:t>
      </w:r>
      <w:r>
        <w:tab/>
        <w:t>Each Resource Entity applicant within the ERCOT Region shall designate the Qualified Scheduling Entity (QSE) that will</w:t>
      </w:r>
      <w:r w:rsidR="000E3528">
        <w:t xml:space="preserve"> perform QSE functions per these Protocol</w:t>
      </w:r>
      <w:r w:rsidR="00AC443B">
        <w:t>s</w:t>
      </w:r>
      <w:r w:rsidR="000E3528">
        <w:t xml:space="preserve"> on behalf of the Resource Entity</w:t>
      </w:r>
      <w:r>
        <w:t>.  Each applicant shall acknowledge that it bears sole responsibility for selecting and maintaining a QSE as its representative.  The applicant shall include a written statement from the designated QSE acknowledging that the QSE accepts responsibility for the applicant’s transactions pursuant to these Protocols.</w:t>
      </w:r>
      <w:r w:rsidR="000E3528">
        <w:t xml:space="preserve">  For the Resource Entity that owns or operates a Resource, the Resource Entity’s QSE designation must be submitted to ERCOT no later than 45 days prior to the Network Operations Model change date</w:t>
      </w:r>
      <w:r w:rsidR="000E3528" w:rsidRPr="00940B2B">
        <w:t xml:space="preserve">, </w:t>
      </w:r>
      <w:r w:rsidR="000E3528" w:rsidRPr="00940B2B">
        <w:rPr>
          <w:szCs w:val="24"/>
        </w:rPr>
        <w:t xml:space="preserve">as described in Section </w:t>
      </w:r>
      <w:bookmarkStart w:id="278" w:name="_Toc333405817"/>
      <w:bookmarkStart w:id="279" w:name="_Toc204048545"/>
      <w:bookmarkEnd w:id="278"/>
      <w:bookmarkEnd w:id="279"/>
      <w:r w:rsidR="000E3528" w:rsidRPr="00940B2B">
        <w:rPr>
          <w:szCs w:val="24"/>
        </w:rPr>
        <w:t xml:space="preserve">3.10.1, Time Line for Network Operations Model Changes, </w:t>
      </w:r>
      <w:r w:rsidR="000E3528" w:rsidRPr="00940B2B">
        <w:t>for</w:t>
      </w:r>
      <w:r w:rsidR="000E3528">
        <w:t xml:space="preserve"> the Resource.</w:t>
      </w:r>
    </w:p>
    <w:p w14:paraId="6F56F9C7" w14:textId="77777777" w:rsidR="00FC1C5F" w:rsidRDefault="00727E32" w:rsidP="000E3528">
      <w:pPr>
        <w:pStyle w:val="BodyTextNumbered"/>
      </w:pPr>
      <w:r>
        <w:t>(2)</w:t>
      </w:r>
      <w:r>
        <w:tab/>
      </w:r>
      <w:r w:rsidR="000E3528">
        <w:t xml:space="preserve">If a Resource Entity fails to maintain a QSE as its representative, the Resource Entity may be designated as an Emergency QSE as provided in Section </w:t>
      </w:r>
      <w:r w:rsidR="000E3528" w:rsidRPr="00C44315">
        <w:t>16.2.6.1, Designation as an Emergency Qualified Scheduling Entity or Virtual Qualified Scheduling Entity</w:t>
      </w:r>
      <w:r w:rsidR="000E3528">
        <w:t>.</w:t>
      </w:r>
    </w:p>
    <w:p w14:paraId="76B93AAE" w14:textId="77777777" w:rsidR="00FC1C5F" w:rsidRPr="00D63F95" w:rsidRDefault="00727E32">
      <w:pPr>
        <w:pStyle w:val="H4"/>
        <w:rPr>
          <w:b/>
        </w:rPr>
      </w:pPr>
      <w:bookmarkStart w:id="280" w:name="_Toc390438942"/>
      <w:bookmarkStart w:id="281" w:name="_Toc405897639"/>
      <w:bookmarkStart w:id="282" w:name="_Toc415055743"/>
      <w:bookmarkStart w:id="283" w:name="_Toc415055869"/>
      <w:bookmarkStart w:id="284" w:name="_Toc415055968"/>
      <w:bookmarkStart w:id="285" w:name="_Toc415056069"/>
      <w:bookmarkStart w:id="286" w:name="_Toc175159137"/>
      <w:r w:rsidRPr="00D63F95">
        <w:rPr>
          <w:b/>
        </w:rPr>
        <w:t>16.5.1.2</w:t>
      </w:r>
      <w:r w:rsidRPr="00D63F95">
        <w:rPr>
          <w:b/>
        </w:rPr>
        <w:tab/>
        <w:t>Waiver for Federal Hydroelectric Facilities</w:t>
      </w:r>
      <w:bookmarkEnd w:id="280"/>
      <w:bookmarkEnd w:id="281"/>
      <w:bookmarkEnd w:id="282"/>
      <w:bookmarkEnd w:id="283"/>
      <w:bookmarkEnd w:id="284"/>
      <w:bookmarkEnd w:id="285"/>
      <w:bookmarkEnd w:id="286"/>
    </w:p>
    <w:p w14:paraId="3B0D1AED" w14:textId="0AA29697" w:rsidR="00CB766B" w:rsidRPr="001E138D" w:rsidRDefault="00CB766B" w:rsidP="00CB766B">
      <w:pPr>
        <w:spacing w:after="240"/>
        <w:ind w:left="720" w:hanging="720"/>
        <w:rPr>
          <w:iCs/>
        </w:rPr>
      </w:pPr>
      <w:r w:rsidRPr="001E138D">
        <w:rPr>
          <w:iCs/>
        </w:rPr>
        <w:t>(1)</w:t>
      </w:r>
      <w:r w:rsidRPr="001E138D">
        <w:rPr>
          <w:iCs/>
        </w:rPr>
        <w:tab/>
        <w:t xml:space="preserve">ERCOT may grant a waiver to any federally owned hydroelectric </w:t>
      </w:r>
      <w:r>
        <w:rPr>
          <w:iCs/>
        </w:rPr>
        <w:t>Generation Resource, SOG, or Load Resource</w:t>
      </w:r>
      <w:r w:rsidRPr="001E138D">
        <w:rPr>
          <w:iCs/>
        </w:rPr>
        <w:t xml:space="preserve"> within the ERCOT System from fulfilling the requirements in </w:t>
      </w:r>
      <w:r w:rsidRPr="0032725A">
        <w:rPr>
          <w:iCs/>
        </w:rPr>
        <w:t>Section 16.5</w:t>
      </w:r>
      <w:r w:rsidRPr="001E138D">
        <w:rPr>
          <w:iCs/>
        </w:rPr>
        <w:t xml:space="preserve">, Registration of a Resource Entity, as they pertain to the submission of a Resource Entity application and the execution of a </w:t>
      </w:r>
      <w:r w:rsidR="00081A43">
        <w:rPr>
          <w:iCs/>
        </w:rPr>
        <w:t xml:space="preserve">Standard Form </w:t>
      </w:r>
      <w:r w:rsidRPr="001E138D">
        <w:rPr>
          <w:iCs/>
        </w:rPr>
        <w:t>Market Participant Agreement (</w:t>
      </w:r>
      <w:r w:rsidRPr="0032725A">
        <w:rPr>
          <w:iCs/>
        </w:rPr>
        <w:t>Section 22, Attachment A</w:t>
      </w:r>
      <w:r w:rsidRPr="001E138D">
        <w:rPr>
          <w:iCs/>
        </w:rPr>
        <w:t>, Standard Form Market Participant Agreement).  ERCOT may grant such waiver after the federally owned hydroelectric Resource Entity provides ERCOT with the following:</w:t>
      </w:r>
    </w:p>
    <w:p w14:paraId="00CEB75D" w14:textId="77777777" w:rsidR="00CB766B" w:rsidRPr="001E138D" w:rsidRDefault="00CB766B" w:rsidP="00CB766B">
      <w:pPr>
        <w:spacing w:after="240"/>
        <w:ind w:left="1440" w:hanging="720"/>
      </w:pPr>
      <w:r w:rsidRPr="001E138D">
        <w:t>(a)</w:t>
      </w:r>
      <w:r w:rsidRPr="001E138D">
        <w:tab/>
        <w:t>All information necessary to meet the Resource Entity registration requirements as provided in this Section;</w:t>
      </w:r>
    </w:p>
    <w:p w14:paraId="155D2648" w14:textId="77777777" w:rsidR="00CB766B" w:rsidRDefault="00CB766B" w:rsidP="00CB766B">
      <w:pPr>
        <w:spacing w:after="240"/>
        <w:ind w:left="1440" w:hanging="720"/>
      </w:pPr>
      <w:r w:rsidRPr="001E138D">
        <w:t>(b)</w:t>
      </w:r>
      <w:r w:rsidRPr="001E138D">
        <w:tab/>
        <w:t xml:space="preserve">The designation of a </w:t>
      </w:r>
      <w:r w:rsidRPr="0032725A">
        <w:t>QSE</w:t>
      </w:r>
      <w:r w:rsidRPr="001E138D">
        <w:t xml:space="preserve"> for each </w:t>
      </w:r>
      <w:r>
        <w:rPr>
          <w:iCs/>
        </w:rPr>
        <w:t>Generation Resource, SOG, or Load Resource</w:t>
      </w:r>
      <w:r w:rsidRPr="001E138D">
        <w:t xml:space="preserve"> that it owns or controls; and</w:t>
      </w:r>
    </w:p>
    <w:p w14:paraId="1ED97B23" w14:textId="16B398B2" w:rsidR="00FC1C5F" w:rsidRDefault="00CB766B">
      <w:pPr>
        <w:pStyle w:val="List"/>
      </w:pPr>
      <w:r w:rsidRPr="001E138D">
        <w:t>(c)</w:t>
      </w:r>
      <w:r w:rsidRPr="001E138D">
        <w:tab/>
        <w:t xml:space="preserve">Assignment of each </w:t>
      </w:r>
      <w:r>
        <w:t>Generation Resource’s, SOG’s, or Load Resource’s</w:t>
      </w:r>
      <w:r w:rsidRPr="001E138D">
        <w:t xml:space="preserve"> Electric Service Identifier (ESI ID) to a Load Serving Entity (LSE) serving any Load or net Load, if the </w:t>
      </w:r>
      <w:r>
        <w:t>Generation Resource, SOG, or Load Resource</w:t>
      </w:r>
      <w:r w:rsidRPr="001E138D">
        <w:t xml:space="preserve"> is net metered and will be connected to the ERCOT System.  Such Load, if retail Load, is subject to all applicable rules and procedures, including rules concerning disconnection and </w:t>
      </w:r>
      <w:r w:rsidRPr="001E138D">
        <w:lastRenderedPageBreak/>
        <w:t>Provider of Last Resort (POLR) service, applicable to other retail points of delivery.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F27BC" w14:paraId="45E6A4ED" w14:textId="77777777" w:rsidTr="008552F8">
        <w:tc>
          <w:tcPr>
            <w:tcW w:w="9558" w:type="dxa"/>
            <w:shd w:val="pct12" w:color="auto" w:fill="auto"/>
          </w:tcPr>
          <w:p w14:paraId="40D1DE84" w14:textId="04059C09" w:rsidR="00DF27BC" w:rsidRPr="0002450E" w:rsidRDefault="00DF27BC" w:rsidP="008552F8">
            <w:pPr>
              <w:pStyle w:val="Instructions"/>
              <w:spacing w:before="120"/>
              <w:rPr>
                <w:iCs/>
              </w:rPr>
            </w:pPr>
            <w:bookmarkStart w:id="287" w:name="_Toc390438943"/>
            <w:bookmarkStart w:id="288" w:name="_Toc405897640"/>
            <w:bookmarkStart w:id="289" w:name="_Toc415055744"/>
            <w:bookmarkStart w:id="290" w:name="_Toc415055870"/>
            <w:bookmarkStart w:id="291" w:name="_Toc415055969"/>
            <w:bookmarkStart w:id="292" w:name="_Toc415056070"/>
            <w:r>
              <w:rPr>
                <w:iCs/>
              </w:rPr>
              <w:t>[NPRR995</w:t>
            </w:r>
            <w:r w:rsidRPr="0002450E">
              <w:rPr>
                <w:iCs/>
              </w:rPr>
              <w:t xml:space="preserve">:  Replace </w:t>
            </w:r>
            <w:r>
              <w:rPr>
                <w:iCs/>
              </w:rPr>
              <w:t xml:space="preserve">paragraph (1) </w:t>
            </w:r>
            <w:r w:rsidRPr="0002450E">
              <w:rPr>
                <w:iCs/>
              </w:rPr>
              <w:t xml:space="preserve">above with the following upon system implementation:] </w:t>
            </w:r>
          </w:p>
          <w:p w14:paraId="0DEF59F3" w14:textId="77777777" w:rsidR="00DF27BC" w:rsidRPr="007405C8" w:rsidRDefault="00DF27BC" w:rsidP="00DF27BC">
            <w:pPr>
              <w:spacing w:after="240"/>
              <w:ind w:left="720" w:hanging="720"/>
              <w:rPr>
                <w:iCs/>
              </w:rPr>
            </w:pPr>
            <w:r w:rsidRPr="007405C8">
              <w:rPr>
                <w:iCs/>
              </w:rPr>
              <w:t>(1)</w:t>
            </w:r>
            <w:r w:rsidRPr="007405C8">
              <w:rPr>
                <w:iCs/>
              </w:rPr>
              <w:tab/>
              <w:t xml:space="preserve">ERCOT may grant a waiver to any federally owned hydroelectric Generation Resource, SOG, </w:t>
            </w:r>
            <w:r>
              <w:rPr>
                <w:iCs/>
              </w:rPr>
              <w:t xml:space="preserve">SOESS, </w:t>
            </w:r>
            <w:r w:rsidRPr="007405C8">
              <w:rPr>
                <w:iCs/>
              </w:rPr>
              <w:t xml:space="preserve">or Load Resource within the ERCOT System from fulfilling the requirements in Section 16.5, Registration of a Resource Entity, as they pertain to the submission of a Resource Entity application and the execution of a </w:t>
            </w:r>
            <w:r w:rsidRPr="005D4CCB">
              <w:rPr>
                <w:iCs/>
              </w:rPr>
              <w:t xml:space="preserve">Standard Form </w:t>
            </w:r>
            <w:r w:rsidRPr="007405C8">
              <w:rPr>
                <w:iCs/>
              </w:rPr>
              <w:t>Market Participant Agreement (Section 22, Attachment A, Standard Form Market Participant Agreement).  ERCOT may grant such waiver after the federally owned hydroelectric Resource Entity provides ERCOT with the following:</w:t>
            </w:r>
          </w:p>
          <w:p w14:paraId="325A66B1" w14:textId="77777777" w:rsidR="00DF27BC" w:rsidRPr="007405C8" w:rsidRDefault="00DF27BC" w:rsidP="00DF27BC">
            <w:pPr>
              <w:spacing w:after="240"/>
              <w:ind w:left="1440" w:hanging="720"/>
            </w:pPr>
            <w:r w:rsidRPr="007405C8">
              <w:t>(a)</w:t>
            </w:r>
            <w:r w:rsidRPr="007405C8">
              <w:tab/>
              <w:t>All information necessary to meet the Resource Entity registration requirements as provided in this Section;</w:t>
            </w:r>
          </w:p>
          <w:p w14:paraId="51225C9B" w14:textId="77777777" w:rsidR="00DF27BC" w:rsidRPr="007405C8" w:rsidRDefault="00DF27BC" w:rsidP="00DF27BC">
            <w:pPr>
              <w:spacing w:after="240"/>
              <w:ind w:left="1440" w:hanging="720"/>
            </w:pPr>
            <w:r w:rsidRPr="007405C8">
              <w:t>(b)</w:t>
            </w:r>
            <w:r w:rsidRPr="007405C8">
              <w:tab/>
              <w:t xml:space="preserve">The designation of a QSE for each </w:t>
            </w:r>
            <w:r w:rsidRPr="007405C8">
              <w:rPr>
                <w:iCs/>
              </w:rPr>
              <w:t xml:space="preserve">Generation Resource, SOG, </w:t>
            </w:r>
            <w:r>
              <w:rPr>
                <w:iCs/>
              </w:rPr>
              <w:t xml:space="preserve">SOESS, </w:t>
            </w:r>
            <w:r w:rsidRPr="007405C8">
              <w:rPr>
                <w:iCs/>
              </w:rPr>
              <w:t>or Load Resource</w:t>
            </w:r>
            <w:r w:rsidRPr="007405C8">
              <w:t xml:space="preserve"> that it owns or controls; and</w:t>
            </w:r>
          </w:p>
          <w:p w14:paraId="4E5249D1" w14:textId="5F3BD9BE" w:rsidR="00DF27BC" w:rsidRPr="008D69E1" w:rsidRDefault="00DF27BC" w:rsidP="00DF27BC">
            <w:pPr>
              <w:spacing w:after="240"/>
              <w:ind w:left="1440" w:hanging="720"/>
            </w:pPr>
            <w:r w:rsidRPr="007405C8">
              <w:t>(c)</w:t>
            </w:r>
            <w:r w:rsidRPr="007405C8">
              <w:tab/>
              <w:t xml:space="preserve">Assignment of each Generation Resource’s, SOG’s, </w:t>
            </w:r>
            <w:r>
              <w:rPr>
                <w:iCs/>
              </w:rPr>
              <w:t xml:space="preserve">SOESS’s, </w:t>
            </w:r>
            <w:r w:rsidRPr="007405C8">
              <w:t xml:space="preserve">or Load Resource’s Electric Service Identifier (ESI ID) to a Load Serving Entity (LSE) serving any Load or net Load, if the Generation Resource, SOG, </w:t>
            </w:r>
            <w:r>
              <w:rPr>
                <w:iCs/>
              </w:rPr>
              <w:t xml:space="preserve">SOESS, </w:t>
            </w:r>
            <w:r w:rsidRPr="007405C8">
              <w:t>or Load Resource is net metered and will be connected to the ERCOT System.  Such Load, if retail Load, is subject to all applicable rules and procedures, including rules concerning disconnection and Provider of Last Resort (POLR) service, applicable to other retail points of delivery.</w:t>
            </w:r>
          </w:p>
        </w:tc>
      </w:tr>
    </w:tbl>
    <w:p w14:paraId="604FAA6B" w14:textId="77777777" w:rsidR="00FC1C5F" w:rsidRPr="00D63F95" w:rsidRDefault="00727E32" w:rsidP="00C33516">
      <w:pPr>
        <w:pStyle w:val="H4"/>
        <w:keepNext w:val="0"/>
        <w:spacing w:before="480"/>
        <w:rPr>
          <w:b/>
        </w:rPr>
      </w:pPr>
      <w:bookmarkStart w:id="293" w:name="_Toc175159138"/>
      <w:r w:rsidRPr="00D63F95">
        <w:rPr>
          <w:b/>
        </w:rPr>
        <w:t>16.5.1.3</w:t>
      </w:r>
      <w:r w:rsidRPr="00D63F95">
        <w:rPr>
          <w:b/>
        </w:rPr>
        <w:tab/>
        <w:t>Waiver for Block Load Transfer Resources</w:t>
      </w:r>
      <w:bookmarkEnd w:id="287"/>
      <w:bookmarkEnd w:id="288"/>
      <w:bookmarkEnd w:id="289"/>
      <w:bookmarkEnd w:id="290"/>
      <w:bookmarkEnd w:id="291"/>
      <w:bookmarkEnd w:id="292"/>
      <w:bookmarkEnd w:id="293"/>
    </w:p>
    <w:p w14:paraId="6B49AF46" w14:textId="600A68CB" w:rsidR="00FC1C5F" w:rsidRDefault="00853D39" w:rsidP="009F10FE">
      <w:pPr>
        <w:pStyle w:val="ListIntroduction"/>
        <w:keepNext w:val="0"/>
        <w:ind w:left="720" w:hanging="720"/>
      </w:pPr>
      <w:r>
        <w:rPr>
          <w:lang w:val="en-US"/>
        </w:rPr>
        <w:t>(1)</w:t>
      </w:r>
      <w:r>
        <w:rPr>
          <w:lang w:val="en-US"/>
        </w:rPr>
        <w:tab/>
      </w:r>
      <w:r w:rsidR="00727E32">
        <w:t>ERCOT may grant a waiver to a Resource Entity for a Block Load Transfer (</w:t>
      </w:r>
      <w:smartTag w:uri="urn:schemas-microsoft-com:office:smarttags" w:element="stockticker">
        <w:r w:rsidR="00727E32">
          <w:t>BLT</w:t>
        </w:r>
      </w:smartTag>
      <w:r w:rsidR="00727E32">
        <w:t xml:space="preserve">) Resource from fulfilling the requirements in Section 16.5, Registration of a Resource Entity, as they pertain to the submission of a Resource Entity application and the execution of a </w:t>
      </w:r>
      <w:r w:rsidR="00081A43">
        <w:rPr>
          <w:lang w:val="en-US"/>
        </w:rPr>
        <w:t xml:space="preserve">Standard Form </w:t>
      </w:r>
      <w:r w:rsidR="00727E32">
        <w:t>Market Participant Agreement (Section 22, Attachment A, Standard Form Market Participant Agreement).  ERCOT may grant such waiver after the Resource Entity for the BLT Resource provides ERCOT with the following:</w:t>
      </w:r>
    </w:p>
    <w:p w14:paraId="04D5F98F" w14:textId="77777777" w:rsidR="00FC1C5F" w:rsidRDefault="00727E32">
      <w:pPr>
        <w:pStyle w:val="List"/>
      </w:pPr>
      <w:r>
        <w:t>(a)</w:t>
      </w:r>
      <w:r>
        <w:tab/>
        <w:t>All applicable information necessary to meet the Resource Entity registration requirements as provided in this Section; and</w:t>
      </w:r>
    </w:p>
    <w:p w14:paraId="1FD3906F" w14:textId="77777777" w:rsidR="00FC1C5F" w:rsidRDefault="00727E32">
      <w:pPr>
        <w:pStyle w:val="List"/>
      </w:pPr>
      <w:r>
        <w:t>(b)</w:t>
      </w:r>
      <w:r>
        <w:tab/>
        <w:t>The designation of a QSE for the BLT Resource.</w:t>
      </w:r>
    </w:p>
    <w:p w14:paraId="1258AF9E" w14:textId="77777777" w:rsidR="00FC1C5F" w:rsidRDefault="00727E32">
      <w:pPr>
        <w:pStyle w:val="H3"/>
      </w:pPr>
      <w:bookmarkStart w:id="294" w:name="_Toc390438944"/>
      <w:bookmarkStart w:id="295" w:name="_Toc405897641"/>
      <w:bookmarkStart w:id="296" w:name="_Toc415055745"/>
      <w:bookmarkStart w:id="297" w:name="_Toc415055871"/>
      <w:bookmarkStart w:id="298" w:name="_Toc415055970"/>
      <w:bookmarkStart w:id="299" w:name="_Toc415056071"/>
      <w:bookmarkStart w:id="300" w:name="_Toc175159139"/>
      <w:r>
        <w:t>16.5.2</w:t>
      </w:r>
      <w:r>
        <w:tab/>
        <w:t>Registration Process for a Resource Entity</w:t>
      </w:r>
      <w:bookmarkEnd w:id="294"/>
      <w:bookmarkEnd w:id="295"/>
      <w:bookmarkEnd w:id="296"/>
      <w:bookmarkEnd w:id="297"/>
      <w:bookmarkEnd w:id="298"/>
      <w:bookmarkEnd w:id="299"/>
      <w:bookmarkEnd w:id="300"/>
    </w:p>
    <w:p w14:paraId="6F560A33" w14:textId="42BA5B96" w:rsidR="00FC1C5F" w:rsidRDefault="00727E32">
      <w:pPr>
        <w:pStyle w:val="BodyTextNumbered"/>
      </w:pPr>
      <w:r>
        <w:t>(1)</w:t>
      </w:r>
      <w:r>
        <w:tab/>
        <w:t xml:space="preserve">To register as a Resource Entity, an applicant must submit to ERCOT a completed Resource Entity application and any applicable fee.  ERCOT shall post on the </w:t>
      </w:r>
      <w:r w:rsidR="00F13002">
        <w:t xml:space="preserve">ERCOT </w:t>
      </w:r>
      <w:r w:rsidR="00F13002">
        <w:lastRenderedPageBreak/>
        <w:t>website</w:t>
      </w:r>
      <w:r>
        <w:t xml:space="preserve"> the form in which Resource Entity applications must be submitted, all materials that must be provided with the Resource Entity application.  </w:t>
      </w:r>
    </w:p>
    <w:p w14:paraId="52D24382" w14:textId="02586762" w:rsidR="00FC1C5F" w:rsidRDefault="00727E32">
      <w:pPr>
        <w:pStyle w:val="BodyTextNumbered"/>
      </w:pPr>
      <w:r>
        <w:t>(2)</w:t>
      </w:r>
      <w:r>
        <w:tab/>
        <w:t xml:space="preserve">The Resource Entity application must be attested to by a duly authorized officer or agent of the applicant.  The applicant shall promptly notify ERCOT of any material changes affecting a pending Resource Entity application using the appropriate form posted on the </w:t>
      </w:r>
      <w:r w:rsidR="00F13002">
        <w:t>ERCOT website</w:t>
      </w:r>
      <w:r>
        <w:t xml:space="preserve">.  </w:t>
      </w:r>
    </w:p>
    <w:p w14:paraId="6774AB2A" w14:textId="77777777" w:rsidR="004E6267" w:rsidRDefault="004E6267">
      <w:pPr>
        <w:pStyle w:val="BodyTextNumbered"/>
      </w:pPr>
      <w:r>
        <w:t>(3)</w:t>
      </w:r>
      <w:r>
        <w:tab/>
        <w:t>If the Resource Entity intends to own or control a Load Resource located within a Non-Opt-In Entity’s (NOIE’s) service territory, such applicant must designate the NOIE’s QSE, or an alternate QSE authorized by the NOIE.  If an alternate QSE is designated, then such QSE representing that Load Resource must first obtain written permission from the NOIE prior to offering any services in the NOIE’s service territory.  The alternate QSE shall submit the NOIE’s written permission to ERCOT at the time of designation.</w:t>
      </w:r>
    </w:p>
    <w:p w14:paraId="01D75B67" w14:textId="77777777" w:rsidR="00FC1C5F" w:rsidRPr="00D63F95" w:rsidRDefault="00727E32">
      <w:pPr>
        <w:pStyle w:val="H4"/>
        <w:rPr>
          <w:b/>
        </w:rPr>
      </w:pPr>
      <w:bookmarkStart w:id="301" w:name="_Toc390438945"/>
      <w:bookmarkStart w:id="302" w:name="_Toc405897642"/>
      <w:bookmarkStart w:id="303" w:name="_Toc415055746"/>
      <w:bookmarkStart w:id="304" w:name="_Toc415055872"/>
      <w:bookmarkStart w:id="305" w:name="_Toc415055971"/>
      <w:bookmarkStart w:id="306" w:name="_Toc415056072"/>
      <w:bookmarkStart w:id="307" w:name="_Toc175159140"/>
      <w:r w:rsidRPr="00D63F95">
        <w:rPr>
          <w:b/>
        </w:rPr>
        <w:t>16.5.2.1</w:t>
      </w:r>
      <w:r w:rsidRPr="00D63F95">
        <w:rPr>
          <w:b/>
        </w:rPr>
        <w:tab/>
        <w:t>Notice of Receipt of Resource Entity Application</w:t>
      </w:r>
      <w:bookmarkEnd w:id="301"/>
      <w:bookmarkEnd w:id="302"/>
      <w:bookmarkEnd w:id="303"/>
      <w:bookmarkEnd w:id="304"/>
      <w:bookmarkEnd w:id="305"/>
      <w:bookmarkEnd w:id="306"/>
      <w:bookmarkEnd w:id="307"/>
    </w:p>
    <w:p w14:paraId="3DDA3C89" w14:textId="77777777" w:rsidR="00FC1C5F" w:rsidRDefault="00853D39" w:rsidP="009F10FE">
      <w:pPr>
        <w:pStyle w:val="BodyText"/>
        <w:ind w:left="720" w:hanging="720"/>
      </w:pPr>
      <w:r>
        <w:t>(1)</w:t>
      </w:r>
      <w:r>
        <w:tab/>
      </w:r>
      <w:r w:rsidR="00727E32">
        <w:t>Within three Business Days after receiving a Resource Entity application, ERCOT shall issue the Resource Entity applicant a written confirmation that ERCOT has received the application.  ERCOT shall return without review any Resource Entity application that is not complete.</w:t>
      </w:r>
    </w:p>
    <w:p w14:paraId="78511D80" w14:textId="77777777" w:rsidR="00FC1C5F" w:rsidRPr="00D63F95" w:rsidRDefault="00727E32">
      <w:pPr>
        <w:pStyle w:val="H4"/>
        <w:rPr>
          <w:b/>
        </w:rPr>
      </w:pPr>
      <w:bookmarkStart w:id="308" w:name="_Toc390438946"/>
      <w:bookmarkStart w:id="309" w:name="_Toc405897643"/>
      <w:bookmarkStart w:id="310" w:name="_Toc415055747"/>
      <w:bookmarkStart w:id="311" w:name="_Toc415055873"/>
      <w:bookmarkStart w:id="312" w:name="_Toc415055972"/>
      <w:bookmarkStart w:id="313" w:name="_Toc415056073"/>
      <w:bookmarkStart w:id="314" w:name="_Toc175159141"/>
      <w:r w:rsidRPr="00D63F95">
        <w:rPr>
          <w:b/>
        </w:rPr>
        <w:t>16.5.2.2</w:t>
      </w:r>
      <w:r w:rsidRPr="00D63F95">
        <w:rPr>
          <w:b/>
        </w:rPr>
        <w:tab/>
        <w:t>Incomplete Resource Entity Applications</w:t>
      </w:r>
      <w:bookmarkEnd w:id="308"/>
      <w:bookmarkEnd w:id="309"/>
      <w:bookmarkEnd w:id="310"/>
      <w:bookmarkEnd w:id="311"/>
      <w:bookmarkEnd w:id="312"/>
      <w:bookmarkEnd w:id="313"/>
      <w:bookmarkEnd w:id="314"/>
    </w:p>
    <w:p w14:paraId="5AE59E27" w14:textId="77777777" w:rsidR="00FC1C5F" w:rsidRDefault="00727E32">
      <w:pPr>
        <w:pStyle w:val="BodyTextNumbered"/>
      </w:pPr>
      <w:r>
        <w:t>(1)</w:t>
      </w:r>
      <w:r>
        <w:tab/>
        <w:t>Not more than ten Business Days after receiving a Resource Entity application, ERCOT shall notify the applicant in writing whether the application is complete.</w:t>
      </w:r>
    </w:p>
    <w:p w14:paraId="35F11250" w14:textId="77777777" w:rsidR="00FC1C5F" w:rsidRDefault="00727E32">
      <w:pPr>
        <w:pStyle w:val="BodyTextNumbered"/>
      </w:pPr>
      <w:r>
        <w:t>(2)</w:t>
      </w:r>
      <w:r>
        <w:tab/>
        <w:t xml:space="preserve">If ERCOT determines that a Resource Entity application is not complete, ERCOT’s notice must explain the reasons for that determination and the additional information necessary to make the application complete.  The applicant has five Business Days from receiving ERCOT’s notice, or such longer period as ERCOT may allow, to provide the additional information set forth in ERCOT’s notice.  If the applicant timely responds to ERCOT’s notice with the required additional information, then the application is deemed complete on the date that ERCOT receives the applicant’s response. </w:t>
      </w:r>
    </w:p>
    <w:p w14:paraId="7C586039" w14:textId="77777777" w:rsidR="00FC1C5F" w:rsidRDefault="00727E32">
      <w:pPr>
        <w:pStyle w:val="BodyTextNumbered"/>
      </w:pPr>
      <w:r>
        <w:t>(3)</w:t>
      </w:r>
      <w:r>
        <w:tab/>
        <w:t>If the applicant does not timely respond to ERCOT’s notice, then the application must be rejected, and ERCOT shall retain any application fee included with the application.</w:t>
      </w:r>
    </w:p>
    <w:p w14:paraId="657070C0" w14:textId="77777777" w:rsidR="00FC1C5F" w:rsidRDefault="00727E32">
      <w:pPr>
        <w:pStyle w:val="BodyText"/>
        <w:ind w:left="720" w:hanging="720"/>
        <w:rPr>
          <w:b/>
        </w:rPr>
      </w:pPr>
      <w:r>
        <w:rPr>
          <w:b/>
        </w:rPr>
        <w:t>16.5.2.3</w:t>
      </w:r>
      <w:r>
        <w:rPr>
          <w:b/>
        </w:rPr>
        <w:tab/>
        <w:t>ERCOT Approval or Rejection of a Resource Entity Application</w:t>
      </w:r>
    </w:p>
    <w:p w14:paraId="25A2744E" w14:textId="77777777" w:rsidR="00FC1C5F" w:rsidRDefault="00727E32">
      <w:pPr>
        <w:pStyle w:val="BodyTextNumbered"/>
      </w:pPr>
      <w:r>
        <w:t>(1)</w:t>
      </w:r>
      <w:r>
        <w:tab/>
        <w:t>ERCOT may reject a Resource Entity application within ten Business Days after the application has been deemed complete in accordance with this Section.  If ERCOT does not reject the Resource Entity application within ten Business Days after the application is deemed complete then the application is deemed approved.</w:t>
      </w:r>
    </w:p>
    <w:p w14:paraId="6454A628" w14:textId="77777777" w:rsidR="00FC1C5F" w:rsidRDefault="00727E32">
      <w:pPr>
        <w:pStyle w:val="BodyTextNumbered"/>
      </w:pPr>
      <w:r>
        <w:lastRenderedPageBreak/>
        <w:t>(2)</w:t>
      </w:r>
      <w:r>
        <w:tab/>
        <w:t>If ERCOT rejects a Resource Entity application, ERCOT shall send the Resource Entity applicant a rejection letter explaining the grounds upon which ERCOT rejected the Resource Entity application.  Appropriate grounds for rejecting a Resource Entity application include the following:</w:t>
      </w:r>
    </w:p>
    <w:p w14:paraId="1E7733DC" w14:textId="77777777" w:rsidR="00FC1C5F" w:rsidRDefault="00727E32">
      <w:pPr>
        <w:pStyle w:val="List"/>
      </w:pPr>
      <w:r>
        <w:t>(a)</w:t>
      </w:r>
      <w:r>
        <w:tab/>
        <w:t>Required information is not provided to ERCOT in the allotted time;</w:t>
      </w:r>
    </w:p>
    <w:p w14:paraId="5E0D44E7" w14:textId="77777777" w:rsidR="00FC1C5F" w:rsidRDefault="00727E32">
      <w:pPr>
        <w:pStyle w:val="List"/>
      </w:pPr>
      <w:r>
        <w:t>(b)</w:t>
      </w:r>
      <w:r>
        <w:tab/>
        <w:t>Noncompliance with technical requirements; and</w:t>
      </w:r>
    </w:p>
    <w:p w14:paraId="3E1944C9" w14:textId="77777777" w:rsidR="00FC1C5F" w:rsidRDefault="00727E32">
      <w:pPr>
        <w:pStyle w:val="List"/>
      </w:pPr>
      <w:r>
        <w:t>(c)</w:t>
      </w:r>
      <w:r>
        <w:tab/>
        <w:t>Noncompliance with other specific eligibility requirements set forth in this Section or in any other part of these Protocols.</w:t>
      </w:r>
    </w:p>
    <w:p w14:paraId="6A7097F4" w14:textId="77777777" w:rsidR="00FC1C5F" w:rsidRDefault="00727E32">
      <w:pPr>
        <w:pStyle w:val="BodyTextNumbered"/>
      </w:pPr>
      <w:r>
        <w:t>(3)</w:t>
      </w:r>
      <w:r>
        <w:tab/>
        <w:t>Not later than ten Business Days after receiving a rejection letter, the Resource Entity applicant may challenge the rejection of its Resource Entity application using the dispute resolution procedures set forth in Section 20, Alternative Dispute Resolution Procedure.  The applicant may submit a new Resource Entity application and fee at any time, and ERCOT shall process the new Resource Entity application under this Section.</w:t>
      </w:r>
    </w:p>
    <w:p w14:paraId="7C8249AC" w14:textId="77777777" w:rsidR="00FC1C5F" w:rsidRDefault="00727E32">
      <w:pPr>
        <w:pStyle w:val="H3"/>
      </w:pPr>
      <w:bookmarkStart w:id="315" w:name="_Toc71369193"/>
      <w:bookmarkStart w:id="316" w:name="_Toc71539409"/>
      <w:bookmarkStart w:id="317" w:name="_Toc390438947"/>
      <w:bookmarkStart w:id="318" w:name="_Toc405897644"/>
      <w:bookmarkStart w:id="319" w:name="_Toc415055748"/>
      <w:bookmarkStart w:id="320" w:name="_Toc415055874"/>
      <w:bookmarkStart w:id="321" w:name="_Toc415055973"/>
      <w:bookmarkStart w:id="322" w:name="_Toc415056074"/>
      <w:bookmarkStart w:id="323" w:name="_Toc175159142"/>
      <w:r>
        <w:t>16.5.3</w:t>
      </w:r>
      <w:r>
        <w:tab/>
        <w:t>Changing QSE Designation</w:t>
      </w:r>
      <w:bookmarkEnd w:id="315"/>
      <w:bookmarkEnd w:id="316"/>
      <w:bookmarkEnd w:id="317"/>
      <w:bookmarkEnd w:id="318"/>
      <w:bookmarkEnd w:id="319"/>
      <w:bookmarkEnd w:id="320"/>
      <w:bookmarkEnd w:id="321"/>
      <w:bookmarkEnd w:id="322"/>
      <w:bookmarkEnd w:id="323"/>
    </w:p>
    <w:p w14:paraId="2D514A1D" w14:textId="77777777" w:rsidR="00FC1C5F" w:rsidRDefault="00727E32">
      <w:pPr>
        <w:pStyle w:val="BodyTextNumbered"/>
      </w:pPr>
      <w:r>
        <w:t>(1)</w:t>
      </w:r>
      <w:r>
        <w:tab/>
        <w:t xml:space="preserve">A Resource Entity may change its designation of QSE </w:t>
      </w:r>
      <w:r w:rsidR="00F97889">
        <w:t>with written notice to ERCOT</w:t>
      </w:r>
      <w:r w:rsidR="000E3528">
        <w:t>, no more than once in any consecutive three days</w:t>
      </w:r>
      <w:r w:rsidR="00F97889">
        <w:t>.</w:t>
      </w:r>
      <w:r>
        <w:t xml:space="preserve">  </w:t>
      </w:r>
    </w:p>
    <w:p w14:paraId="2295137A" w14:textId="31E3C1A2" w:rsidR="000E3528" w:rsidRPr="00530E2D" w:rsidRDefault="00727E32" w:rsidP="000E3528">
      <w:pPr>
        <w:pStyle w:val="BodyTextNumbered"/>
        <w:rPr>
          <w:szCs w:val="24"/>
        </w:rPr>
      </w:pPr>
      <w:r>
        <w:t>(2)</w:t>
      </w:r>
      <w:r>
        <w:tab/>
      </w:r>
      <w:r w:rsidR="000E3528" w:rsidRPr="00530E2D">
        <w:rPr>
          <w:szCs w:val="24"/>
        </w:rPr>
        <w:t xml:space="preserve">If a Resource Entity’s representation by a QSE will terminate or the Resource Entity intends to be represented by a different QSE, the Resource Entity shall provide the name of the newly designated QSE to ERCOT along with </w:t>
      </w:r>
      <w:r>
        <w:t xml:space="preserve">a written statement from the </w:t>
      </w:r>
      <w:r w:rsidR="00F97889">
        <w:t xml:space="preserve">newly </w:t>
      </w:r>
      <w:r>
        <w:t>designated QSE acknowledging the QSE</w:t>
      </w:r>
      <w:r w:rsidR="000E3528">
        <w:t xml:space="preserve">’s agreement to </w:t>
      </w:r>
      <w:r>
        <w:t>accept responsibility for the Resource Entity’s transactions under these Protocols.</w:t>
      </w:r>
      <w:r w:rsidR="00F97889">
        <w:t xml:space="preserve">  </w:t>
      </w:r>
      <w:r w:rsidR="000E3528" w:rsidRPr="00530E2D">
        <w:rPr>
          <w:szCs w:val="24"/>
        </w:rPr>
        <w:t xml:space="preserve">For the Resource Entity that owns or operates a Resource, the Resource Entity’s QSE designation must be </w:t>
      </w:r>
      <w:r w:rsidR="004E5204" w:rsidRPr="007B773F">
        <w:rPr>
          <w:rFonts w:ascii="TimesNewRomanPSMT" w:hAnsi="TimesNewRomanPSMT" w:cs="TimesNewRomanPSMT"/>
        </w:rPr>
        <w:t>submitted to ERCOT no later than 45 days before the effective date of the change, unless otherwise</w:t>
      </w:r>
      <w:r w:rsidR="004E5204" w:rsidRPr="00530E2D">
        <w:rPr>
          <w:szCs w:val="24"/>
        </w:rPr>
        <w:t xml:space="preserve"> </w:t>
      </w:r>
      <w:r w:rsidR="000E3528" w:rsidRPr="00530E2D">
        <w:rPr>
          <w:szCs w:val="24"/>
        </w:rPr>
        <w:t>approved by ERCOT</w:t>
      </w:r>
      <w:r w:rsidR="00270D6A">
        <w:rPr>
          <w:szCs w:val="24"/>
        </w:rPr>
        <w:t>,</w:t>
      </w:r>
      <w:r w:rsidR="000E3528" w:rsidRPr="00530E2D">
        <w:rPr>
          <w:szCs w:val="24"/>
        </w:rPr>
        <w:t xml:space="preserve"> before the Resource Entity will be evaluated for compliance with the requirements of paragraph (3) below.  ERCOT shall notify the Resource Entity of approval or disapproval as soon as practicable after receipt of the request.</w:t>
      </w:r>
    </w:p>
    <w:p w14:paraId="4C18FA19" w14:textId="77777777" w:rsidR="000E3528" w:rsidRDefault="000E3528">
      <w:pPr>
        <w:pStyle w:val="BodyTextNumbered"/>
      </w:pPr>
      <w:r>
        <w:t>(3)</w:t>
      </w:r>
      <w:r>
        <w:tab/>
      </w:r>
      <w:r w:rsidR="00F97889">
        <w:t>For Resources required by these Protocols to be in the Network Operations Model, the</w:t>
      </w:r>
      <w:r>
        <w:t xml:space="preserve"> following apply:</w:t>
      </w:r>
    </w:p>
    <w:p w14:paraId="753F758F" w14:textId="77777777" w:rsidR="000E3528" w:rsidRDefault="000E3528" w:rsidP="00D77FC8">
      <w:pPr>
        <w:pStyle w:val="BodyTextNumbered"/>
        <w:ind w:left="1440"/>
      </w:pPr>
      <w:r>
        <w:t>(a)</w:t>
      </w:r>
      <w:r>
        <w:tab/>
        <w:t xml:space="preserve">The </w:t>
      </w:r>
      <w:r w:rsidR="00F97889">
        <w:t xml:space="preserve">designated QSE shall install all telemetry required of these Protocols for the requesting Resource Entity and schedule point-to-point data verification with ERCOT.  </w:t>
      </w:r>
    </w:p>
    <w:p w14:paraId="1E8DDF0B" w14:textId="77777777" w:rsidR="00FC1C5F" w:rsidRDefault="000E3528" w:rsidP="00D77FC8">
      <w:pPr>
        <w:pStyle w:val="BodyTextNumbered"/>
        <w:ind w:left="1440"/>
      </w:pPr>
      <w:r>
        <w:t>(b)</w:t>
      </w:r>
      <w:r>
        <w:tab/>
      </w:r>
      <w:r w:rsidR="00F97889">
        <w:t xml:space="preserve">The </w:t>
      </w:r>
      <w:r>
        <w:t xml:space="preserve">designated </w:t>
      </w:r>
      <w:r w:rsidR="00F97889">
        <w:t>QSE shall submit telemetry data descriptions to ERCOT to meet ERCOT’s normal model update process.</w:t>
      </w:r>
    </w:p>
    <w:p w14:paraId="43B278A5" w14:textId="77777777" w:rsidR="000E3528" w:rsidRDefault="00727E32" w:rsidP="00D77FC8">
      <w:pPr>
        <w:pStyle w:val="BodyTextNumbered"/>
        <w:ind w:left="1440"/>
      </w:pPr>
      <w:r>
        <w:t>(</w:t>
      </w:r>
      <w:r w:rsidR="000E3528">
        <w:t>c</w:t>
      </w:r>
      <w:r>
        <w:t>)</w:t>
      </w:r>
      <w:r>
        <w:tab/>
      </w:r>
      <w:r w:rsidR="000E3528">
        <w:t>The</w:t>
      </w:r>
      <w:r w:rsidR="00F97889">
        <w:t xml:space="preserve"> Resource must submit any changes in system topology or telemetry according to Section </w:t>
      </w:r>
      <w:r w:rsidR="00F97889" w:rsidRPr="005265DB">
        <w:t>3.3.2.1</w:t>
      </w:r>
      <w:r w:rsidR="00F97889">
        <w:t xml:space="preserve">, </w:t>
      </w:r>
      <w:r w:rsidR="00F97889" w:rsidRPr="005265DB">
        <w:t>Information to Be Provided to ERCOT</w:t>
      </w:r>
      <w:r>
        <w:t xml:space="preserve">.  </w:t>
      </w:r>
    </w:p>
    <w:p w14:paraId="30CB2F01" w14:textId="77777777" w:rsidR="000E3528" w:rsidRDefault="000E3528" w:rsidP="00D77FC8">
      <w:pPr>
        <w:pStyle w:val="BodyTextNumbered"/>
        <w:ind w:left="1440"/>
      </w:pPr>
      <w:r>
        <w:lastRenderedPageBreak/>
        <w:t>(d)</w:t>
      </w:r>
      <w:r>
        <w:tab/>
        <w:t>T</w:t>
      </w:r>
      <w:r w:rsidR="00F97889">
        <w:t xml:space="preserve">he effective date for </w:t>
      </w:r>
      <w:r>
        <w:t xml:space="preserve">the </w:t>
      </w:r>
      <w:r w:rsidR="00F97889">
        <w:t xml:space="preserve">newly designated QSE shall be in accordance with Section 3.10.1, Time Line for Network Operations Model Changes.  </w:t>
      </w:r>
    </w:p>
    <w:p w14:paraId="7DD703C3" w14:textId="77777777" w:rsidR="00FC1C5F" w:rsidRDefault="000E3528" w:rsidP="00D77FC8">
      <w:pPr>
        <w:pStyle w:val="BodyTextNumbered"/>
        <w:ind w:left="1440"/>
      </w:pPr>
      <w:r>
        <w:t>(e)</w:t>
      </w:r>
      <w:r>
        <w:tab/>
      </w:r>
      <w:r w:rsidR="00F97889">
        <w:t>ERCOT may request the Resource Entity to develop a transition implementation plan to be approved by ERCOT that sets appropriate deadlines for completion of all required data and telemetry verification and cutover testing activities with ERCOT</w:t>
      </w:r>
      <w:r w:rsidR="00727E32">
        <w:t>.</w:t>
      </w:r>
    </w:p>
    <w:p w14:paraId="3CB85E34" w14:textId="77777777" w:rsidR="000E3528" w:rsidRPr="00530E2D" w:rsidRDefault="000E3528" w:rsidP="000E3528">
      <w:pPr>
        <w:pStyle w:val="BodyTextNumbered"/>
        <w:rPr>
          <w:szCs w:val="24"/>
        </w:rPr>
      </w:pPr>
      <w:r w:rsidRPr="00530E2D">
        <w:rPr>
          <w:szCs w:val="24"/>
        </w:rPr>
        <w:t>(4)</w:t>
      </w:r>
      <w:r w:rsidRPr="00530E2D">
        <w:rPr>
          <w:szCs w:val="24"/>
        </w:rPr>
        <w:tab/>
        <w:t xml:space="preserve">For all other Resources, the new QSE designation is to be received no less than six days prior to the effective date.  </w:t>
      </w:r>
    </w:p>
    <w:p w14:paraId="0802CF3B" w14:textId="77777777" w:rsidR="000E3528" w:rsidRPr="000E3528" w:rsidRDefault="000E3528" w:rsidP="000E3528">
      <w:pPr>
        <w:pStyle w:val="BodyTextNumbered"/>
        <w:rPr>
          <w:szCs w:val="24"/>
        </w:rPr>
      </w:pPr>
      <w:r w:rsidRPr="00530E2D">
        <w:rPr>
          <w:szCs w:val="24"/>
        </w:rPr>
        <w:t>(5)</w:t>
      </w:r>
      <w:r w:rsidRPr="00530E2D">
        <w:rPr>
          <w:szCs w:val="24"/>
        </w:rPr>
        <w:tab/>
        <w:t xml:space="preserve">Within two days of approving a Resource Entity’s notice, ERCOT shall notify all affected Entities, including the Resource Entity’s current QSE, of the effective date of the change.  </w:t>
      </w:r>
    </w:p>
    <w:p w14:paraId="6ED4B1D8" w14:textId="77777777" w:rsidR="00FC1C5F" w:rsidRDefault="00727E32">
      <w:pPr>
        <w:pStyle w:val="H3"/>
      </w:pPr>
      <w:bookmarkStart w:id="324" w:name="_Toc390438948"/>
      <w:bookmarkStart w:id="325" w:name="_Toc405897645"/>
      <w:bookmarkStart w:id="326" w:name="_Toc415055749"/>
      <w:bookmarkStart w:id="327" w:name="_Toc415055875"/>
      <w:bookmarkStart w:id="328" w:name="_Toc415055974"/>
      <w:bookmarkStart w:id="329" w:name="_Toc415056075"/>
      <w:bookmarkStart w:id="330" w:name="_Toc175159143"/>
      <w:r>
        <w:t>16.5.4</w:t>
      </w:r>
      <w:r>
        <w:tab/>
        <w:t>Maintaining and Updating Resource Entity Information</w:t>
      </w:r>
      <w:bookmarkEnd w:id="324"/>
      <w:bookmarkEnd w:id="325"/>
      <w:bookmarkEnd w:id="326"/>
      <w:bookmarkEnd w:id="327"/>
      <w:bookmarkEnd w:id="328"/>
      <w:bookmarkEnd w:id="329"/>
      <w:bookmarkEnd w:id="330"/>
      <w:r>
        <w:t xml:space="preserve"> </w:t>
      </w:r>
    </w:p>
    <w:p w14:paraId="70B79A23" w14:textId="77777777" w:rsidR="00FC1C5F" w:rsidRDefault="00727E32">
      <w:pPr>
        <w:pStyle w:val="ListIntroduction"/>
        <w:ind w:left="720" w:hanging="720"/>
      </w:pPr>
      <w:r>
        <w:t>(1)</w:t>
      </w:r>
      <w:r>
        <w:tab/>
        <w:t>Each Resource Entity must timely update information the Resource Entity provided to ERCOT in the application process, and a Resource Entity must promptly respond to any reasonable request by ERCOT for updated information regarding the Resource Entity or the information provided to ERCOT by the Resource Entity, including:</w:t>
      </w:r>
    </w:p>
    <w:p w14:paraId="4EA1157E" w14:textId="77777777" w:rsidR="00FC1C5F" w:rsidRDefault="00727E32">
      <w:pPr>
        <w:pStyle w:val="List"/>
      </w:pPr>
      <w:r>
        <w:t>(a)</w:t>
      </w:r>
      <w:r>
        <w:tab/>
        <w:t>The Resource Entity’s addresses;</w:t>
      </w:r>
    </w:p>
    <w:p w14:paraId="14C26874" w14:textId="77777777" w:rsidR="00FC1C5F" w:rsidRDefault="00727E32">
      <w:pPr>
        <w:pStyle w:val="List"/>
      </w:pPr>
      <w:r>
        <w:t>(b)</w:t>
      </w:r>
      <w:r>
        <w:tab/>
        <w:t>A list of Affiliates; and</w:t>
      </w:r>
    </w:p>
    <w:p w14:paraId="012DF047" w14:textId="465DF2E4" w:rsidR="00FC1C5F" w:rsidRDefault="00727E32">
      <w:pPr>
        <w:pStyle w:val="BodyText"/>
        <w:ind w:left="1440" w:hanging="720"/>
      </w:pPr>
      <w:r>
        <w:t>(c)</w:t>
      </w:r>
      <w:r>
        <w:tab/>
        <w:t xml:space="preserve">Designation of the Resource Entity’s officers, directors, Authorized Representatives, and </w:t>
      </w:r>
      <w:r w:rsidR="00AB2D05">
        <w:t>USA</w:t>
      </w:r>
      <w:r>
        <w:t xml:space="preserve"> (all per the Resource Entity application) including the telephone and e-mail addresses for those persons.</w:t>
      </w:r>
    </w:p>
    <w:p w14:paraId="745DDDD1" w14:textId="498948F4" w:rsidR="000E4B76" w:rsidRDefault="00727E32">
      <w:pPr>
        <w:pStyle w:val="BodyText"/>
        <w:ind w:left="720" w:hanging="720"/>
        <w:rPr>
          <w:color w:val="000000"/>
        </w:rPr>
      </w:pPr>
      <w:r>
        <w:t>(2)</w:t>
      </w:r>
      <w:r>
        <w:tab/>
      </w:r>
      <w:r w:rsidR="00B500DC">
        <w:rPr>
          <w:color w:val="000000"/>
        </w:rPr>
        <w:t>A</w:t>
      </w:r>
      <w:r>
        <w:rPr>
          <w:color w:val="000000"/>
        </w:rPr>
        <w:t xml:space="preserve"> Resource Entity </w:t>
      </w:r>
      <w:r w:rsidR="00B500DC">
        <w:rPr>
          <w:color w:val="000000"/>
        </w:rPr>
        <w:t xml:space="preserve">that </w:t>
      </w:r>
      <w:r>
        <w:rPr>
          <w:color w:val="000000"/>
        </w:rPr>
        <w:t>has a Switchable Generation Resource</w:t>
      </w:r>
      <w:r w:rsidR="00AC0153">
        <w:rPr>
          <w:color w:val="000000"/>
        </w:rPr>
        <w:t xml:space="preserve"> (SWGR)</w:t>
      </w:r>
      <w:r>
        <w:rPr>
          <w:color w:val="000000"/>
        </w:rPr>
        <w:t xml:space="preserve"> shall </w:t>
      </w:r>
      <w:r w:rsidR="00B500DC">
        <w:rPr>
          <w:color w:val="000000"/>
        </w:rPr>
        <w:t xml:space="preserve">submit a </w:t>
      </w:r>
      <w:r>
        <w:rPr>
          <w:color w:val="000000"/>
        </w:rPr>
        <w:t xml:space="preserve">report to ERCOT in writing </w:t>
      </w:r>
      <w:r w:rsidR="00B500DC">
        <w:rPr>
          <w:color w:val="000000"/>
        </w:rPr>
        <w:t xml:space="preserve">indicating whether or not it has any contractual requirement in a non-ERCOT Control Area during </w:t>
      </w:r>
      <w:r>
        <w:rPr>
          <w:color w:val="000000"/>
        </w:rPr>
        <w:t xml:space="preserve">the </w:t>
      </w:r>
      <w:r w:rsidR="00B500DC">
        <w:rPr>
          <w:color w:val="000000"/>
        </w:rPr>
        <w:t xml:space="preserve">summer or winter </w:t>
      </w:r>
      <w:r w:rsidR="00AF4A46">
        <w:rPr>
          <w:color w:val="000000"/>
        </w:rPr>
        <w:t>Peak Load Seasons which</w:t>
      </w:r>
      <w:r>
        <w:rPr>
          <w:color w:val="000000"/>
        </w:rPr>
        <w:t xml:space="preserve"> </w:t>
      </w:r>
      <w:r w:rsidR="00B500DC">
        <w:rPr>
          <w:color w:val="000000"/>
        </w:rPr>
        <w:t xml:space="preserve">may cause </w:t>
      </w:r>
      <w:r>
        <w:rPr>
          <w:color w:val="000000"/>
        </w:rPr>
        <w:t xml:space="preserve">the identified capacity </w:t>
      </w:r>
      <w:r w:rsidR="00B500DC">
        <w:rPr>
          <w:color w:val="000000"/>
        </w:rPr>
        <w:t>to</w:t>
      </w:r>
      <w:r>
        <w:rPr>
          <w:color w:val="000000"/>
        </w:rPr>
        <w:t xml:space="preserve"> not be available to the ERCOT System </w:t>
      </w:r>
      <w:r w:rsidR="007E1826">
        <w:rPr>
          <w:color w:val="000000"/>
        </w:rPr>
        <w:t>for the subsequent ten years</w:t>
      </w:r>
      <w:r>
        <w:rPr>
          <w:color w:val="000000"/>
        </w:rPr>
        <w:t>.</w:t>
      </w:r>
      <w:r w:rsidR="00FA469C">
        <w:rPr>
          <w:color w:val="000000"/>
        </w:rPr>
        <w:t xml:space="preserve">  </w:t>
      </w:r>
      <w:r w:rsidR="00AF4A46">
        <w:rPr>
          <w:color w:val="000000"/>
        </w:rPr>
        <w:t xml:space="preserve">The initial </w:t>
      </w:r>
      <w:r w:rsidR="00AF4A46" w:rsidRPr="00127F54">
        <w:t xml:space="preserve">communication </w:t>
      </w:r>
      <w:r w:rsidR="00AF4A46">
        <w:rPr>
          <w:color w:val="000000"/>
        </w:rPr>
        <w:t>and subsequent updates to previously reported unavailable capacity</w:t>
      </w:r>
      <w:r w:rsidR="00AF4A46" w:rsidRPr="00127F54">
        <w:t xml:space="preserve"> shall be </w:t>
      </w:r>
      <w:r w:rsidR="00AF4A46">
        <w:t>filed with ERCOT as soon as possible, but in no event later than ten Business Days after the information is obtained</w:t>
      </w:r>
      <w:r w:rsidR="00AF4A46" w:rsidRPr="00127F54">
        <w:t>.</w:t>
      </w:r>
      <w:r w:rsidR="00AF4A46">
        <w:t xml:space="preserve">  The communications should reflect the Resource Entity’s best estimate of the required information at the time the filing is made.</w:t>
      </w:r>
      <w:r w:rsidR="00AF4A46" w:rsidRPr="00127F54">
        <w:t xml:space="preserve"> </w:t>
      </w:r>
      <w:r w:rsidR="00AF4A46">
        <w:t xml:space="preserve"> </w:t>
      </w:r>
      <w:r w:rsidR="00AF4A46" w:rsidRPr="00127F54">
        <w:t>ERCOT</w:t>
      </w:r>
      <w:r w:rsidR="00AF4A46">
        <w:rPr>
          <w:color w:val="000000"/>
        </w:rPr>
        <w:t xml:space="preserve"> shall use the provided data for preparation of the Report on Capacity, Demand and Reserves in the ERCOT Region</w:t>
      </w:r>
      <w:r w:rsidR="00AA3583">
        <w:rPr>
          <w:color w:val="000000"/>
        </w:rPr>
        <w:t xml:space="preserve"> (CDR)</w:t>
      </w:r>
      <w:r w:rsidR="00AF4A46">
        <w:rPr>
          <w:color w:val="000000"/>
        </w:rPr>
        <w:t xml:space="preserve"> and other planning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E4B76" w14:paraId="3513FD17" w14:textId="77777777" w:rsidTr="00744AC0">
        <w:tc>
          <w:tcPr>
            <w:tcW w:w="9445" w:type="dxa"/>
            <w:tcBorders>
              <w:top w:val="single" w:sz="4" w:space="0" w:color="auto"/>
              <w:left w:val="single" w:sz="4" w:space="0" w:color="auto"/>
              <w:bottom w:val="single" w:sz="4" w:space="0" w:color="auto"/>
              <w:right w:val="single" w:sz="4" w:space="0" w:color="auto"/>
            </w:tcBorders>
            <w:shd w:val="clear" w:color="auto" w:fill="D9D9D9"/>
          </w:tcPr>
          <w:p w14:paraId="5013913D" w14:textId="77777777" w:rsidR="000E4B76" w:rsidRPr="00A91E88" w:rsidRDefault="000E4B76" w:rsidP="00744AC0">
            <w:pPr>
              <w:spacing w:before="120" w:after="240"/>
              <w:rPr>
                <w:b/>
                <w:i/>
              </w:rPr>
            </w:pPr>
            <w:r w:rsidRPr="00A91E88">
              <w:rPr>
                <w:b/>
                <w:i/>
              </w:rPr>
              <w:t>[NPRR1219:  Replace paragraph (2) above with the following no sooner than January 1, 2025:]</w:t>
            </w:r>
          </w:p>
          <w:p w14:paraId="19B7A3CF" w14:textId="6EAE3C61" w:rsidR="000E4B76" w:rsidRPr="00BE0229" w:rsidRDefault="000E4B76" w:rsidP="00744AC0">
            <w:pPr>
              <w:pStyle w:val="BodyText"/>
              <w:ind w:left="720" w:hanging="720"/>
              <w:rPr>
                <w:color w:val="000000"/>
              </w:rPr>
            </w:pPr>
            <w:r>
              <w:t>(2)</w:t>
            </w:r>
            <w:r>
              <w:tab/>
            </w:r>
            <w:r>
              <w:rPr>
                <w:color w:val="000000"/>
              </w:rPr>
              <w:t xml:space="preserve">A Resource Entity that has a Switchable Generation Resource (SWGR) shall submit a report to ERCOT in writing indicating whether or not it has any contractual requirement </w:t>
            </w:r>
            <w:r>
              <w:rPr>
                <w:color w:val="000000"/>
              </w:rPr>
              <w:lastRenderedPageBreak/>
              <w:t xml:space="preserve">in a non-ERCOT Control Area for each season as defined in Section </w:t>
            </w:r>
            <w:r w:rsidRPr="00F0693E">
              <w:rPr>
                <w:color w:val="000000"/>
              </w:rPr>
              <w:t>3.2.6.</w:t>
            </w:r>
            <w:r>
              <w:rPr>
                <w:color w:val="000000"/>
              </w:rPr>
              <w:t xml:space="preserve">4, </w:t>
            </w:r>
            <w:r w:rsidRPr="00F0693E">
              <w:rPr>
                <w:color w:val="000000"/>
              </w:rPr>
              <w:t>Total Capacity Estimate</w:t>
            </w:r>
            <w:r>
              <w:rPr>
                <w:color w:val="000000"/>
              </w:rPr>
              <w:t xml:space="preserve">s, which may cause the identified capacity to not be available to the ERCOT System for the subsequent ten years.  The initial </w:t>
            </w:r>
            <w:r w:rsidRPr="00127F54">
              <w:t xml:space="preserve">communication </w:t>
            </w:r>
            <w:r>
              <w:rPr>
                <w:color w:val="000000"/>
              </w:rPr>
              <w:t>and subsequent updates to previously reported unavailable capacity</w:t>
            </w:r>
            <w:r w:rsidRPr="00127F54">
              <w:t xml:space="preserve"> shall be </w:t>
            </w:r>
            <w:r>
              <w:t>filed with ERCOT as soon as possible, but in no event later than ten Business Days after the information is obtained</w:t>
            </w:r>
            <w:r w:rsidRPr="00127F54">
              <w:t>.</w:t>
            </w:r>
            <w:r>
              <w:t xml:space="preserve">  The communications should reflect the Resource Entity’s best estimate of the required information at the time the filing is made.</w:t>
            </w:r>
            <w:r w:rsidRPr="00127F54">
              <w:t xml:space="preserve"> </w:t>
            </w:r>
            <w:r>
              <w:t xml:space="preserve"> </w:t>
            </w:r>
            <w:r w:rsidRPr="00127F54">
              <w:t>ERCOT</w:t>
            </w:r>
            <w:r>
              <w:rPr>
                <w:color w:val="000000"/>
              </w:rPr>
              <w:t xml:space="preserve"> shall use the provided data for preparation of the Report on Capacity, Demand and Reserves in the ERCOT Region</w:t>
            </w:r>
            <w:r w:rsidR="00AA3583">
              <w:rPr>
                <w:color w:val="000000"/>
              </w:rPr>
              <w:t xml:space="preserve"> (CDR)</w:t>
            </w:r>
            <w:r>
              <w:rPr>
                <w:color w:val="000000"/>
              </w:rPr>
              <w:t xml:space="preserve"> and other planning purposes. </w:t>
            </w:r>
            <w:r w:rsidR="007E46F8">
              <w:rPr>
                <w:color w:val="000000"/>
              </w:rPr>
              <w:t xml:space="preserve"> </w:t>
            </w:r>
            <w:r>
              <w:rPr>
                <w:color w:val="000000"/>
              </w:rPr>
              <w:t xml:space="preserve">The </w:t>
            </w:r>
            <w:r w:rsidRPr="004A30B1">
              <w:rPr>
                <w:color w:val="000000"/>
              </w:rPr>
              <w:t>SWGR</w:t>
            </w:r>
            <w:r>
              <w:rPr>
                <w:color w:val="000000"/>
              </w:rPr>
              <w:t xml:space="preserve"> information reporting form is located on the ERCOT website.</w:t>
            </w:r>
          </w:p>
        </w:tc>
      </w:tr>
    </w:tbl>
    <w:p w14:paraId="50D432B4" w14:textId="77777777" w:rsidR="00FC1C5F" w:rsidRDefault="00727E32" w:rsidP="001A683A">
      <w:pPr>
        <w:pStyle w:val="H2"/>
        <w:spacing w:before="480"/>
      </w:pPr>
      <w:bookmarkStart w:id="331" w:name="_Toc71369194"/>
      <w:bookmarkStart w:id="332" w:name="_Toc71539410"/>
      <w:bookmarkStart w:id="333" w:name="_Toc390438949"/>
      <w:bookmarkStart w:id="334" w:name="_Toc405897646"/>
      <w:bookmarkStart w:id="335" w:name="_Toc415055750"/>
      <w:bookmarkStart w:id="336" w:name="_Toc415055876"/>
      <w:bookmarkStart w:id="337" w:name="_Toc415055975"/>
      <w:bookmarkStart w:id="338" w:name="_Toc415056076"/>
      <w:bookmarkStart w:id="339" w:name="_Toc175159144"/>
      <w:r>
        <w:lastRenderedPageBreak/>
        <w:t>16.6</w:t>
      </w:r>
      <w:r>
        <w:tab/>
        <w:t>Registration of Municipally Owned Utilities and Electric Cooperatives in the ERCOT Region</w:t>
      </w:r>
      <w:bookmarkEnd w:id="331"/>
      <w:bookmarkEnd w:id="332"/>
      <w:bookmarkEnd w:id="333"/>
      <w:bookmarkEnd w:id="334"/>
      <w:bookmarkEnd w:id="335"/>
      <w:bookmarkEnd w:id="336"/>
      <w:bookmarkEnd w:id="337"/>
      <w:bookmarkEnd w:id="338"/>
      <w:bookmarkEnd w:id="339"/>
    </w:p>
    <w:p w14:paraId="77AA0DA3" w14:textId="77777777" w:rsidR="00FC1C5F" w:rsidRDefault="00727E32">
      <w:pPr>
        <w:pStyle w:val="BodyTextNumbered"/>
      </w:pPr>
      <w:r>
        <w:t>(1)</w:t>
      </w:r>
      <w:r>
        <w:tab/>
        <w:t>Each Municipally Owned Utility (MOU) and Electric Cooperative (EC) shall register with ERCOT and sign the Agreements that apply to the functions it performs in the ERCOT Region, regardless of whether planning to be a Non-Opt-In Entity (NOIE) or a Competitive Retailer</w:t>
      </w:r>
      <w:r w:rsidR="00364DE6">
        <w:t xml:space="preserve"> (CR)</w:t>
      </w:r>
      <w:r>
        <w:t>.</w:t>
      </w:r>
    </w:p>
    <w:p w14:paraId="51DA15C8" w14:textId="3875047A" w:rsidR="00FC1C5F" w:rsidRDefault="00727E32">
      <w:pPr>
        <w:pStyle w:val="BodyTextNumbered"/>
      </w:pPr>
      <w:r>
        <w:t>(2)</w:t>
      </w:r>
      <w:r>
        <w:tab/>
      </w:r>
      <w:r w:rsidR="00FC39BA">
        <w:t>If an MOU or EC decides to register an affiliate as a CR, it must notify ERCOT of its intentions six months prior to opting in</w:t>
      </w:r>
      <w:r>
        <w:t xml:space="preserve">.  </w:t>
      </w:r>
    </w:p>
    <w:p w14:paraId="4841C207" w14:textId="5EC7149D" w:rsidR="00FC1C5F" w:rsidRDefault="00727E32">
      <w:pPr>
        <w:pStyle w:val="BodyTextNumbered"/>
      </w:pPr>
      <w:r>
        <w:t>(</w:t>
      </w:r>
      <w:r w:rsidR="00FC39BA">
        <w:t>3</w:t>
      </w:r>
      <w:r>
        <w:t>)</w:t>
      </w:r>
      <w:r>
        <w:tab/>
      </w:r>
      <w:r w:rsidR="00364DE6">
        <w:t xml:space="preserve">Each MOU and EC </w:t>
      </w:r>
      <w:r>
        <w:t xml:space="preserve">shall assign an </w:t>
      </w:r>
      <w:r w:rsidR="00364DE6">
        <w:t>Electric Service Identifier (</w:t>
      </w:r>
      <w:r>
        <w:t>ESI ID</w:t>
      </w:r>
      <w:r w:rsidR="00364DE6">
        <w:t>)</w:t>
      </w:r>
      <w:r>
        <w:t xml:space="preserve"> to each NOIE wholesale point of delivery as specified in these Protocols.  The ESI IDs must be assigned to a</w:t>
      </w:r>
      <w:r w:rsidR="00364DE6">
        <w:t xml:space="preserve"> Load Serving Entity (</w:t>
      </w:r>
      <w:r>
        <w:t>LSE</w:t>
      </w:r>
      <w:r w:rsidR="00364DE6">
        <w:t>)</w:t>
      </w:r>
      <w:r>
        <w:t>.</w:t>
      </w:r>
    </w:p>
    <w:p w14:paraId="1DBD7092" w14:textId="77777777" w:rsidR="00FC1C5F" w:rsidRDefault="00727E32">
      <w:pPr>
        <w:pStyle w:val="H2"/>
      </w:pPr>
      <w:bookmarkStart w:id="340" w:name="_Toc71369195"/>
      <w:bookmarkStart w:id="341" w:name="_Toc71539411"/>
      <w:bookmarkStart w:id="342" w:name="_Toc390438950"/>
      <w:bookmarkStart w:id="343" w:name="_Toc405897647"/>
      <w:bookmarkStart w:id="344" w:name="_Toc415055751"/>
      <w:bookmarkStart w:id="345" w:name="_Toc415055877"/>
      <w:bookmarkStart w:id="346" w:name="_Toc415055976"/>
      <w:bookmarkStart w:id="347" w:name="_Toc415056077"/>
      <w:bookmarkStart w:id="348" w:name="_Toc175159145"/>
      <w:r>
        <w:t>16.7</w:t>
      </w:r>
      <w:r>
        <w:tab/>
        <w:t>Registration of Renewable Energy Credit Account Holders</w:t>
      </w:r>
      <w:bookmarkEnd w:id="340"/>
      <w:bookmarkEnd w:id="341"/>
      <w:bookmarkEnd w:id="342"/>
      <w:bookmarkEnd w:id="343"/>
      <w:bookmarkEnd w:id="344"/>
      <w:bookmarkEnd w:id="345"/>
      <w:bookmarkEnd w:id="346"/>
      <w:bookmarkEnd w:id="347"/>
      <w:bookmarkEnd w:id="348"/>
    </w:p>
    <w:p w14:paraId="07944558" w14:textId="7EB5341D" w:rsidR="00FC1C5F" w:rsidRDefault="00853D39" w:rsidP="009F10FE">
      <w:pPr>
        <w:pStyle w:val="BodyText"/>
        <w:ind w:left="720" w:hanging="720"/>
      </w:pPr>
      <w:r>
        <w:t>(1)</w:t>
      </w:r>
      <w:r>
        <w:tab/>
      </w:r>
      <w:r w:rsidR="00727E32">
        <w:t xml:space="preserve">Each Entity intending to participate in the Renewable Energy Credit (REC) program shall register with ERCOT and execute a </w:t>
      </w:r>
      <w:r w:rsidR="00081A43">
        <w:t xml:space="preserve">Standard Form </w:t>
      </w:r>
      <w:r w:rsidR="00727E32">
        <w:t>Market Participant Agreement (as provided in Section 22, Attachment A, Standard Form Market Participant Agreement) prior to participation in the REC program.</w:t>
      </w:r>
    </w:p>
    <w:p w14:paraId="5E34EC33" w14:textId="77777777" w:rsidR="00FC1C5F" w:rsidRDefault="00727E32">
      <w:pPr>
        <w:pStyle w:val="H2"/>
        <w:spacing w:after="120"/>
        <w:ind w:left="0" w:firstLine="0"/>
      </w:pPr>
      <w:bookmarkStart w:id="349" w:name="_Toc71369196"/>
      <w:bookmarkStart w:id="350" w:name="_Toc71539412"/>
      <w:bookmarkStart w:id="351" w:name="_Toc390438951"/>
      <w:bookmarkStart w:id="352" w:name="_Toc405897648"/>
      <w:bookmarkStart w:id="353" w:name="_Toc415055752"/>
      <w:bookmarkStart w:id="354" w:name="_Toc415055878"/>
      <w:bookmarkStart w:id="355" w:name="_Toc415055977"/>
      <w:bookmarkStart w:id="356" w:name="_Toc415056078"/>
      <w:bookmarkStart w:id="357" w:name="_Toc175159146"/>
      <w:r>
        <w:t>16.8</w:t>
      </w:r>
      <w:r>
        <w:tab/>
        <w:t>Registration and Qualification of Congestion Revenue Rights Account Holders</w:t>
      </w:r>
      <w:bookmarkEnd w:id="349"/>
      <w:bookmarkEnd w:id="350"/>
      <w:bookmarkEnd w:id="351"/>
      <w:bookmarkEnd w:id="352"/>
      <w:bookmarkEnd w:id="353"/>
      <w:bookmarkEnd w:id="354"/>
      <w:bookmarkEnd w:id="355"/>
      <w:bookmarkEnd w:id="356"/>
      <w:bookmarkEnd w:id="357"/>
    </w:p>
    <w:p w14:paraId="2F565950" w14:textId="77777777" w:rsidR="00FC1C5F" w:rsidRDefault="00727E32" w:rsidP="00FC1C5F">
      <w:pPr>
        <w:pStyle w:val="H3"/>
      </w:pPr>
      <w:bookmarkStart w:id="358" w:name="_Toc390438952"/>
      <w:bookmarkStart w:id="359" w:name="_Toc405897649"/>
      <w:bookmarkStart w:id="360" w:name="_Toc415055753"/>
      <w:bookmarkStart w:id="361" w:name="_Toc415055879"/>
      <w:bookmarkStart w:id="362" w:name="_Toc415055978"/>
      <w:bookmarkStart w:id="363" w:name="_Toc415056079"/>
      <w:bookmarkStart w:id="364" w:name="_Toc175159147"/>
      <w:r>
        <w:t>16.8.1</w:t>
      </w:r>
      <w:r>
        <w:tab/>
        <w:t>Criteria for Qualification as a CRR Account Holder</w:t>
      </w:r>
      <w:bookmarkEnd w:id="358"/>
      <w:bookmarkEnd w:id="359"/>
      <w:bookmarkEnd w:id="360"/>
      <w:bookmarkEnd w:id="361"/>
      <w:bookmarkEnd w:id="362"/>
      <w:bookmarkEnd w:id="363"/>
      <w:bookmarkEnd w:id="364"/>
      <w:r>
        <w:t xml:space="preserve"> </w:t>
      </w:r>
    </w:p>
    <w:p w14:paraId="1EAD2469" w14:textId="77777777" w:rsidR="00FC1C5F" w:rsidRDefault="00727E32">
      <w:pPr>
        <w:pStyle w:val="BodyTextNumbered"/>
      </w:pPr>
      <w:r>
        <w:t>(1)</w:t>
      </w:r>
      <w:r>
        <w:tab/>
        <w:t xml:space="preserve">To become and remain a </w:t>
      </w:r>
      <w:r w:rsidR="0097211A">
        <w:t>Congestion Revenue Right (</w:t>
      </w:r>
      <w:r>
        <w:t>CRR</w:t>
      </w:r>
      <w:r w:rsidR="0097211A">
        <w:t>)</w:t>
      </w:r>
      <w:r>
        <w:t xml:space="preserve"> Account Holder, an Entity must meet the following requirements: </w:t>
      </w:r>
    </w:p>
    <w:p w14:paraId="735A9B85" w14:textId="3D6BC6D2" w:rsidR="00FC1C5F" w:rsidRDefault="00727E32">
      <w:pPr>
        <w:pStyle w:val="List"/>
      </w:pPr>
      <w:bookmarkStart w:id="365" w:name="_Hlk90904226"/>
      <w:r>
        <w:t>(a)</w:t>
      </w:r>
      <w:r>
        <w:tab/>
      </w:r>
      <w:r w:rsidR="00400902">
        <w:t>Submit a properly completed CRR Account Holder application</w:t>
      </w:r>
      <w:r w:rsidR="00400902" w:rsidRPr="00A35A89">
        <w:t xml:space="preserve"> (</w:t>
      </w:r>
      <w:r w:rsidR="00400902">
        <w:t xml:space="preserve">Section 23, Form A, Congestion Revenue Right (CRR) Account Holder Application for Registration) for qualification, including any applicable fee, any necessary disclosures, and designation of Authorized Representatives, each of whom is </w:t>
      </w:r>
      <w:r w:rsidR="00400902">
        <w:lastRenderedPageBreak/>
        <w:t>responsible for administrative communications with the CRR Account Holder and each of whom has enough authority to commit and bind the CRR Account Holder;</w:t>
      </w:r>
    </w:p>
    <w:bookmarkEnd w:id="365"/>
    <w:p w14:paraId="216D5CE4" w14:textId="77777777" w:rsidR="0028005C" w:rsidRDefault="0028005C" w:rsidP="0028005C">
      <w:pPr>
        <w:pStyle w:val="List"/>
      </w:pPr>
      <w:r>
        <w:t>(b)</w:t>
      </w:r>
      <w:r>
        <w:tab/>
      </w:r>
      <w:r w:rsidRPr="00636B19">
        <w:t>Comply with ERCOT’s background check process, as described in Section 16.8.1.1, CRR Account Holder Background Check Process;</w:t>
      </w:r>
    </w:p>
    <w:p w14:paraId="7B91607B" w14:textId="5C900C8C" w:rsidR="0028005C" w:rsidRDefault="0028005C" w:rsidP="0028005C">
      <w:pPr>
        <w:pStyle w:val="List"/>
      </w:pPr>
      <w:r>
        <w:t>(c)</w:t>
      </w:r>
      <w:r>
        <w:tab/>
        <w:t xml:space="preserve">Demonstrate to ERCOT’s reasonable satisfaction that the Entity does not pose an </w:t>
      </w:r>
      <w:r w:rsidR="000475FE">
        <w:t>“</w:t>
      </w:r>
      <w:r w:rsidRPr="00904FED">
        <w:t xml:space="preserve">Unreasonable </w:t>
      </w:r>
      <w:r w:rsidRPr="00904FED">
        <w:rPr>
          <w:rFonts w:eastAsiaTheme="minorHAnsi"/>
          <w:szCs w:val="24"/>
        </w:rPr>
        <w:t xml:space="preserve">Financial </w:t>
      </w:r>
      <w:r w:rsidRPr="00904FED">
        <w:t>Risk</w:t>
      </w:r>
      <w:r w:rsidR="000475FE">
        <w:t>”</w:t>
      </w:r>
      <w:r w:rsidRPr="00904FED">
        <w:t>,</w:t>
      </w:r>
      <w:r>
        <w:t xml:space="preserve"> as described in this Section;</w:t>
      </w:r>
    </w:p>
    <w:p w14:paraId="760D332D" w14:textId="7EDA978B" w:rsidR="00FC1C5F" w:rsidRDefault="00727E32" w:rsidP="00FE610C">
      <w:pPr>
        <w:pStyle w:val="List"/>
      </w:pPr>
      <w:r>
        <w:t>(</w:t>
      </w:r>
      <w:r w:rsidR="0028005C">
        <w:t>d</w:t>
      </w:r>
      <w:r>
        <w:t>)</w:t>
      </w:r>
      <w:r>
        <w:tab/>
        <w:t xml:space="preserve">Sign a CRR Account Holder Agreement; </w:t>
      </w:r>
    </w:p>
    <w:p w14:paraId="73713AE8" w14:textId="2E8BD57C" w:rsidR="00FC1C5F" w:rsidRDefault="00727E32">
      <w:pPr>
        <w:pStyle w:val="List"/>
      </w:pPr>
      <w:r>
        <w:t>(</w:t>
      </w:r>
      <w:r w:rsidR="0028005C">
        <w:t>e</w:t>
      </w:r>
      <w:r>
        <w:t>)</w:t>
      </w:r>
      <w:r>
        <w:tab/>
        <w:t>Sign any required Agreements relating to use of the ERCOT network, software, and systems;</w:t>
      </w:r>
    </w:p>
    <w:p w14:paraId="59EDD655" w14:textId="41ADD0A9" w:rsidR="00FC1C5F" w:rsidRDefault="00727E32">
      <w:pPr>
        <w:pStyle w:val="List"/>
      </w:pPr>
      <w:r>
        <w:t>(</w:t>
      </w:r>
      <w:r w:rsidR="0028005C">
        <w:t>f</w:t>
      </w:r>
      <w:r>
        <w:t>)</w:t>
      </w:r>
      <w:r>
        <w:tab/>
        <w:t xml:space="preserve">Demonstrate to ERCOT’s reasonable satisfaction that the Entity is capable of performing the functions of a CRR Account Holder; </w:t>
      </w:r>
    </w:p>
    <w:p w14:paraId="1444650E" w14:textId="0C223E84" w:rsidR="00FC1C5F" w:rsidRDefault="00727E32">
      <w:pPr>
        <w:pStyle w:val="List"/>
      </w:pPr>
      <w:r>
        <w:t>(</w:t>
      </w:r>
      <w:r w:rsidR="0028005C">
        <w:t>g</w:t>
      </w:r>
      <w:r>
        <w:t>)</w:t>
      </w:r>
      <w:r>
        <w:tab/>
        <w:t xml:space="preserve">Demonstrate to ERCOT’s reasonable satisfaction that the Entity is capable of complying with the requirements of all ERCOT Protocols and Operating Guides; </w:t>
      </w:r>
    </w:p>
    <w:p w14:paraId="1EE58C53" w14:textId="0C020139" w:rsidR="00FC1C5F" w:rsidRDefault="00727E32">
      <w:pPr>
        <w:pStyle w:val="List"/>
      </w:pPr>
      <w:r>
        <w:t>(</w:t>
      </w:r>
      <w:r w:rsidR="0028005C">
        <w:t>h</w:t>
      </w:r>
      <w:r>
        <w:t>)</w:t>
      </w:r>
      <w:r>
        <w:tab/>
        <w:t>Satisfy ERCOT’s creditworthiness requirements as set forth in this Section;</w:t>
      </w:r>
    </w:p>
    <w:p w14:paraId="67451581" w14:textId="2E8AFC52" w:rsidR="00FC1C5F" w:rsidRDefault="00727E32">
      <w:pPr>
        <w:pStyle w:val="List"/>
      </w:pPr>
      <w:r>
        <w:t>(</w:t>
      </w:r>
      <w:r w:rsidR="0028005C">
        <w:t>i</w:t>
      </w:r>
      <w:r>
        <w:t>)</w:t>
      </w:r>
      <w:r>
        <w:tab/>
        <w:t>Be generally able to pay its debts as they come due; ERCOT may request evidence of compliance with this qualification only if ERCOT reasonably believes that a CRR Account Holder is failing to comply with it;</w:t>
      </w:r>
    </w:p>
    <w:p w14:paraId="6056EF65" w14:textId="2E0E7D1D" w:rsidR="00FC1C5F" w:rsidRDefault="00727E32">
      <w:pPr>
        <w:pStyle w:val="List"/>
      </w:pPr>
      <w:r>
        <w:t>(</w:t>
      </w:r>
      <w:r w:rsidR="0028005C">
        <w:t>j</w:t>
      </w:r>
      <w:r>
        <w:t>)</w:t>
      </w:r>
      <w:r>
        <w:tab/>
        <w:t xml:space="preserve">Provide all necessary bank account information and arrange for Fedwire system transfers for two-way confirmation; </w:t>
      </w:r>
    </w:p>
    <w:p w14:paraId="022AE75D" w14:textId="1FCC28FD" w:rsidR="00FC1C5F" w:rsidRDefault="00727E32">
      <w:pPr>
        <w:pStyle w:val="List"/>
      </w:pPr>
      <w:r>
        <w:t>(</w:t>
      </w:r>
      <w:r w:rsidR="0028005C">
        <w:t>k</w:t>
      </w:r>
      <w:r>
        <w:t>)</w:t>
      </w:r>
      <w:r>
        <w:tab/>
        <w:t xml:space="preserve">Be financially responsible for payment of its </w:t>
      </w:r>
      <w:r w:rsidR="00B35DA1">
        <w:t>S</w:t>
      </w:r>
      <w:r>
        <w:t>ettlement charges under these Protocols; and</w:t>
      </w:r>
    </w:p>
    <w:p w14:paraId="42FA7CF4" w14:textId="2A41D80C" w:rsidR="00FC1C5F" w:rsidRDefault="00727E32">
      <w:pPr>
        <w:pStyle w:val="List"/>
      </w:pPr>
      <w:r>
        <w:t>(</w:t>
      </w:r>
      <w:r w:rsidR="0028005C">
        <w:t>l</w:t>
      </w:r>
      <w:r>
        <w:t>)</w:t>
      </w:r>
      <w:r>
        <w:tab/>
        <w:t xml:space="preserve">Not be an unbundled </w:t>
      </w:r>
      <w:r w:rsidR="0097211A">
        <w:t>Transmission Service Provider (</w:t>
      </w:r>
      <w:r>
        <w:t>TSP</w:t>
      </w:r>
      <w:r w:rsidR="0097211A">
        <w:t>)</w:t>
      </w:r>
      <w:r>
        <w:t xml:space="preserve">, </w:t>
      </w:r>
      <w:r w:rsidR="0097211A">
        <w:t>Distribution Service Provider (</w:t>
      </w:r>
      <w:r>
        <w:t>DSP</w:t>
      </w:r>
      <w:r w:rsidR="0097211A">
        <w:t>)</w:t>
      </w:r>
      <w:r>
        <w:t>, or an ERCOT employee.</w:t>
      </w:r>
    </w:p>
    <w:p w14:paraId="3EBF4DF4" w14:textId="5F18BF1A" w:rsidR="0028005C" w:rsidRDefault="0028005C" w:rsidP="0028005C">
      <w:pPr>
        <w:pStyle w:val="BodyTextNumbered"/>
      </w:pPr>
      <w:bookmarkStart w:id="366" w:name="_Hlk90904235"/>
      <w:r>
        <w:t>(2)</w:t>
      </w:r>
      <w:r>
        <w:tab/>
        <w:t xml:space="preserve">A CRR Account Holder </w:t>
      </w:r>
      <w:r w:rsidRPr="00440DBF">
        <w:rPr>
          <w:rFonts w:eastAsiaTheme="minorHAnsi"/>
          <w:szCs w:val="24"/>
        </w:rPr>
        <w:t xml:space="preserve">must be able to demonstrate to ERCOT’s reasonable satisfaction that it does not pose an </w:t>
      </w:r>
      <w:r>
        <w:rPr>
          <w:rFonts w:eastAsiaTheme="minorHAnsi"/>
          <w:szCs w:val="24"/>
        </w:rPr>
        <w:t>U</w:t>
      </w:r>
      <w:r w:rsidRPr="00440DBF">
        <w:rPr>
          <w:rFonts w:eastAsiaTheme="minorHAnsi"/>
          <w:szCs w:val="24"/>
        </w:rPr>
        <w:t xml:space="preserve">nreasonable </w:t>
      </w:r>
      <w:r>
        <w:rPr>
          <w:rFonts w:eastAsiaTheme="minorHAnsi"/>
          <w:szCs w:val="24"/>
        </w:rPr>
        <w:t>Financial</w:t>
      </w:r>
      <w:r w:rsidRPr="00440DBF">
        <w:rPr>
          <w:rFonts w:eastAsiaTheme="minorHAnsi"/>
          <w:szCs w:val="24"/>
        </w:rPr>
        <w:t xml:space="preserve"> </w:t>
      </w:r>
      <w:r>
        <w:rPr>
          <w:rFonts w:eastAsiaTheme="minorHAnsi"/>
          <w:szCs w:val="24"/>
        </w:rPr>
        <w:t>R</w:t>
      </w:r>
      <w:r w:rsidRPr="00440DBF">
        <w:rPr>
          <w:rFonts w:eastAsiaTheme="minorHAnsi"/>
          <w:szCs w:val="24"/>
        </w:rPr>
        <w:t>isk</w:t>
      </w:r>
      <w:r>
        <w:rPr>
          <w:rFonts w:eastAsiaTheme="minorHAnsi"/>
          <w:szCs w:val="24"/>
        </w:rPr>
        <w:t>.</w:t>
      </w:r>
      <w:r w:rsidRPr="00440DBF">
        <w:rPr>
          <w:rFonts w:eastAsiaTheme="minorHAnsi"/>
          <w:szCs w:val="24"/>
        </w:rPr>
        <w:t xml:space="preserve"> </w:t>
      </w:r>
      <w:r>
        <w:rPr>
          <w:rFonts w:eastAsiaTheme="minorHAnsi"/>
          <w:szCs w:val="24"/>
        </w:rPr>
        <w:t xml:space="preserve"> </w:t>
      </w:r>
      <w:r w:rsidRPr="002C6C1A">
        <w:rPr>
          <w:rFonts w:eastAsiaTheme="minorHAnsi"/>
          <w:szCs w:val="24"/>
        </w:rPr>
        <w:t xml:space="preserve">Unreasonable </w:t>
      </w:r>
      <w:r>
        <w:rPr>
          <w:rFonts w:eastAsiaTheme="minorHAnsi"/>
          <w:szCs w:val="24"/>
        </w:rPr>
        <w:t>Financial</w:t>
      </w:r>
      <w:r w:rsidRPr="002C6C1A">
        <w:rPr>
          <w:rFonts w:eastAsiaTheme="minorHAnsi"/>
          <w:szCs w:val="24"/>
        </w:rPr>
        <w:t xml:space="preserve"> Risk</w:t>
      </w:r>
      <w:r>
        <w:rPr>
          <w:rFonts w:eastAsiaTheme="minorHAnsi"/>
          <w:szCs w:val="24"/>
        </w:rPr>
        <w:t xml:space="preserve"> </w:t>
      </w:r>
      <w:r w:rsidRPr="002C6C1A">
        <w:rPr>
          <w:rFonts w:eastAsiaTheme="minorHAnsi"/>
          <w:szCs w:val="24"/>
        </w:rPr>
        <w:t>as used in Section</w:t>
      </w:r>
      <w:r>
        <w:rPr>
          <w:rFonts w:eastAsiaTheme="minorHAnsi"/>
          <w:szCs w:val="24"/>
        </w:rPr>
        <w:t xml:space="preserve"> 16, Registration and Qualification of Market </w:t>
      </w:r>
      <w:r w:rsidRPr="00154BB0">
        <w:rPr>
          <w:rFonts w:eastAsiaTheme="minorHAnsi"/>
          <w:szCs w:val="24"/>
        </w:rPr>
        <w:t>Participants, is a risk of financial default posed</w:t>
      </w:r>
      <w:r w:rsidRPr="00154BB0">
        <w:t xml:space="preserve"> </w:t>
      </w:r>
      <w:r w:rsidRPr="00154BB0">
        <w:rPr>
          <w:rFonts w:eastAsiaTheme="minorHAnsi"/>
          <w:szCs w:val="24"/>
        </w:rPr>
        <w:t>to ERCOT or its Market Participants by participation of an Entity or its Principals in the ERCOT market.  Indicators of Unreasonable Financial Risk may include, but are not limited to: past market manipulation, trading violations, or other finance-related violations based upon a final adjudication in state or federal regulatory or legal proceedings; financial defaults in ERCOT or other energy markets resulting in lo</w:t>
      </w:r>
      <w:r>
        <w:rPr>
          <w:rFonts w:eastAsiaTheme="minorHAnsi"/>
          <w:szCs w:val="24"/>
        </w:rPr>
        <w:t>s</w:t>
      </w:r>
      <w:r w:rsidRPr="00154BB0">
        <w:rPr>
          <w:rFonts w:eastAsiaTheme="minorHAnsi"/>
          <w:szCs w:val="24"/>
        </w:rPr>
        <w:t>ses or uplifts; indications of imminent bankruptcy or insolvency</w:t>
      </w:r>
      <w:r>
        <w:rPr>
          <w:rFonts w:eastAsiaTheme="minorHAnsi"/>
          <w:szCs w:val="24"/>
        </w:rPr>
        <w:t>, or other past civil judgement or criminal conviction that reflects problematic behavior on the part of the Entity or its Principals</w:t>
      </w:r>
      <w:r w:rsidRPr="00154BB0">
        <w:rPr>
          <w:rFonts w:eastAsiaTheme="minorHAnsi"/>
          <w:szCs w:val="24"/>
        </w:rPr>
        <w:t>.</w:t>
      </w:r>
    </w:p>
    <w:p w14:paraId="2EC22FCF" w14:textId="2862F7A2" w:rsidR="00400902" w:rsidRDefault="00400902" w:rsidP="00400902">
      <w:pPr>
        <w:pStyle w:val="BodyTextNumbered"/>
      </w:pPr>
      <w:r>
        <w:lastRenderedPageBreak/>
        <w:t>(</w:t>
      </w:r>
      <w:r w:rsidR="0028005C">
        <w:t>3</w:t>
      </w:r>
      <w:r>
        <w:t>)</w:t>
      </w:r>
      <w:r>
        <w:tab/>
        <w:t>A CRR Account Holder or CRR Account Holder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CRR Account Holder or CRR Account Holder applicant who were Principals of the other Entity at a time during which the unpaid financial obligation remained owing to ERCOT or during the 120-day period prior to the date on which the unpaid financial obligation first became due and owing to ERCOT.</w:t>
      </w:r>
    </w:p>
    <w:p w14:paraId="1F5C30A0" w14:textId="7D9CBFB8" w:rsidR="00400902" w:rsidRDefault="00400902" w:rsidP="00400902">
      <w:pPr>
        <w:pStyle w:val="BodyTextNumbered"/>
      </w:pPr>
      <w:r>
        <w:t>(</w:t>
      </w:r>
      <w:r w:rsidR="0028005C">
        <w:t>4</w:t>
      </w:r>
      <w:r>
        <w:t>)</w:t>
      </w:r>
      <w:r>
        <w:tab/>
        <w:t>If any of a CRR Account Holder’s or CRR Account Holder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w:t>
      </w:r>
      <w:r w:rsidRPr="00FF4FD4">
        <w:t xml:space="preserve"> </w:t>
      </w:r>
      <w:r>
        <w:t>CRR Account Holder to remain, or CRR Account Holder applicant to become, a registered CRR Account Holder.  For purposes of this Section, ERCOT will only consider as disqualifying those Principals of the CRR Account Holder or CRR Account Holder applicant who were Principals of the other Entity at a time during which the other Entity was not current on its payment obligation for Default Uplift Invoices or 120 days prior to the date the other Entity first failed to pay a Default Uplift Invoice.</w:t>
      </w:r>
    </w:p>
    <w:p w14:paraId="1E986FE4" w14:textId="17A9EA3E" w:rsidR="00FC1C5F" w:rsidRDefault="00727E32" w:rsidP="00FE610C">
      <w:pPr>
        <w:pStyle w:val="BodyText"/>
        <w:ind w:left="720" w:hanging="720"/>
      </w:pPr>
      <w:bookmarkStart w:id="367" w:name="_Hlk90904242"/>
      <w:bookmarkEnd w:id="366"/>
      <w:r>
        <w:t>(</w:t>
      </w:r>
      <w:r w:rsidR="0028005C">
        <w:t>5</w:t>
      </w:r>
      <w:r>
        <w:t>)</w:t>
      </w:r>
      <w:r>
        <w:tab/>
      </w:r>
      <w:r w:rsidR="00400902" w:rsidRPr="00CA66D0">
        <w:t xml:space="preserve">A CRR Account Holder shall promptly notify ERCOT of any material change that </w:t>
      </w:r>
      <w:r w:rsidR="00400902">
        <w:t>a reasonable</w:t>
      </w:r>
      <w:r w:rsidR="00400902" w:rsidRPr="00CA66D0">
        <w:t xml:space="preserve"> examiner could deem material to the </w:t>
      </w:r>
      <w:r w:rsidR="00400902">
        <w:t>CRR Account Holder’s</w:t>
      </w:r>
      <w:r w:rsidR="00400902" w:rsidRPr="00CA66D0">
        <w:t xml:space="preserve"> </w:t>
      </w:r>
      <w:r w:rsidR="00400902" w:rsidRPr="008B4413">
        <w:t>ability to continue to meet the requirements set forth in paragraph</w:t>
      </w:r>
      <w:r w:rsidR="00400902">
        <w:t>s</w:t>
      </w:r>
      <w:r w:rsidR="00400902" w:rsidRPr="008B4413">
        <w:t xml:space="preserve"> (1)</w:t>
      </w:r>
      <w:r w:rsidR="00400902">
        <w:t xml:space="preserve"> to (</w:t>
      </w:r>
      <w:r w:rsidR="00C62276">
        <w:t>4</w:t>
      </w:r>
      <w:r w:rsidR="00400902">
        <w:t>)</w:t>
      </w:r>
      <w:r w:rsidR="00400902" w:rsidRPr="008B4413">
        <w:t xml:space="preserve"> above, and any material change in the information provided by the CRR Account Holder to ERCOT that may adversely affect the financial security of </w:t>
      </w:r>
      <w:r w:rsidR="00400902" w:rsidRPr="00EC565B">
        <w:t xml:space="preserve">ERCOT. </w:t>
      </w:r>
      <w:r w:rsidR="00400902">
        <w:t xml:space="preserve"> </w:t>
      </w:r>
      <w:r w:rsidR="00400902" w:rsidRPr="00EC565B">
        <w:t>This includes any changes in the Principals of the CRR Account Holder.</w:t>
      </w:r>
      <w:r w:rsidR="00400902">
        <w:t xml:space="preserve">  </w:t>
      </w:r>
      <w:r w:rsidR="00400902" w:rsidRPr="008B4413">
        <w:t xml:space="preserve">If the CRR Account Holder fails to so notify ERCOT of the following </w:t>
      </w:r>
      <w:r w:rsidR="00400902" w:rsidRPr="000D340C">
        <w:t>within two Business</w:t>
      </w:r>
      <w:r w:rsidR="00400902" w:rsidRPr="00DF09AE">
        <w:t xml:space="preserve"> Day</w:t>
      </w:r>
      <w:r w:rsidR="00400902" w:rsidRPr="00A80614">
        <w:t>s</w:t>
      </w:r>
      <w:r w:rsidR="00400902" w:rsidRPr="000D340C">
        <w:t xml:space="preserve"> after</w:t>
      </w:r>
      <w:r w:rsidR="00400902" w:rsidRPr="008B4413">
        <w:t xml:space="preserve"> becoming aware of the change, then ERCOT may refuse to allow the CRR Account Holder to continue to perform as a CRR Account Holder and take any other action ERCOT deems appropriate, in its sole discretion, to prevent ERCOT or Market Participants from bearing potential or actual risks, financial or otherwise, arising from those changes, and in accordance with these Protocols.</w:t>
      </w:r>
      <w:r>
        <w:t xml:space="preserve"> </w:t>
      </w:r>
    </w:p>
    <w:bookmarkEnd w:id="367"/>
    <w:p w14:paraId="590940BD" w14:textId="51D4A390" w:rsidR="00FC1C5F" w:rsidRDefault="00727E32" w:rsidP="00FE610C">
      <w:pPr>
        <w:spacing w:after="240"/>
        <w:ind w:left="720" w:hanging="720"/>
      </w:pPr>
      <w:r>
        <w:t>(</w:t>
      </w:r>
      <w:r w:rsidR="0028005C">
        <w:t>6</w:t>
      </w:r>
      <w:r>
        <w:t>)</w:t>
      </w:r>
      <w:r>
        <w:tab/>
        <w:t>Continued qualification as a CRR Account Holder is contingent upon compliance with all applicable requirements in these Protocols.  ERCOT may suspend a CRR Account Holder’s rights as a Market Participant when ERCOT reasonably determines that it is an appropriate remedy for the Entity’s failure to satisfy any applicable requirement.</w:t>
      </w:r>
    </w:p>
    <w:p w14:paraId="4956763B" w14:textId="77777777" w:rsidR="0028005C" w:rsidRPr="0028005C" w:rsidRDefault="0028005C" w:rsidP="0028005C">
      <w:pPr>
        <w:pStyle w:val="BodyText"/>
        <w:ind w:left="720" w:hanging="720"/>
        <w:rPr>
          <w:b/>
        </w:rPr>
      </w:pPr>
      <w:bookmarkStart w:id="368" w:name="_Toc390438953"/>
      <w:bookmarkStart w:id="369" w:name="_Toc405897650"/>
      <w:bookmarkStart w:id="370" w:name="_Toc415055754"/>
      <w:bookmarkStart w:id="371" w:name="_Toc415055880"/>
      <w:bookmarkStart w:id="372" w:name="_Toc415055979"/>
      <w:bookmarkStart w:id="373" w:name="_Toc415056080"/>
      <w:r w:rsidRPr="0028005C">
        <w:rPr>
          <w:b/>
        </w:rPr>
        <w:t>16.8.1.1</w:t>
      </w:r>
      <w:r w:rsidRPr="0028005C">
        <w:rPr>
          <w:b/>
        </w:rPr>
        <w:tab/>
        <w:t>CRR Account Holder Background Check Process</w:t>
      </w:r>
    </w:p>
    <w:p w14:paraId="15028A55" w14:textId="77777777" w:rsidR="0028005C" w:rsidRPr="00494EB0" w:rsidRDefault="0028005C" w:rsidP="0028005C">
      <w:pPr>
        <w:spacing w:after="240"/>
        <w:ind w:left="720" w:hanging="720"/>
      </w:pPr>
      <w:r w:rsidRPr="00494EB0">
        <w:t>(1)</w:t>
      </w:r>
      <w:r w:rsidRPr="00494EB0">
        <w:tab/>
        <w:t xml:space="preserve">CRR Account Holder applicants must satisfy a background check as a part of the ERCOT registration process.  </w:t>
      </w:r>
      <w:r>
        <w:t xml:space="preserve">All background checks will be performed by a third-party acting on ERCOT’s behalf.  </w:t>
      </w:r>
      <w:r w:rsidRPr="00494EB0">
        <w:t>Upon ERCOT’s request, a registered CRR Account Holder may be required to satisfy a background check as a condition of maintaining its ERCOT registration.</w:t>
      </w:r>
    </w:p>
    <w:p w14:paraId="1D818AA4" w14:textId="765F5226" w:rsidR="0028005C" w:rsidRPr="00494EB0" w:rsidRDefault="0028005C" w:rsidP="0028005C">
      <w:pPr>
        <w:spacing w:after="240"/>
        <w:ind w:left="720" w:hanging="720"/>
      </w:pPr>
      <w:r w:rsidRPr="00494EB0">
        <w:lastRenderedPageBreak/>
        <w:t>(2)</w:t>
      </w:r>
      <w:r w:rsidRPr="00494EB0">
        <w:tab/>
        <w:t>A CRR Account Holder</w:t>
      </w:r>
      <w:r>
        <w:t>, CRR Account Holder applicants, and their Principals,</w:t>
      </w:r>
      <w:r w:rsidRPr="00494EB0">
        <w:t xml:space="preserve"> will provide the following disclosures to complete a CRR Account Holder background check:</w:t>
      </w:r>
    </w:p>
    <w:p w14:paraId="0DB06C0E" w14:textId="77777777" w:rsidR="0028005C" w:rsidRPr="00636B19" w:rsidRDefault="0028005C" w:rsidP="0028005C">
      <w:pPr>
        <w:spacing w:after="240"/>
        <w:ind w:left="1440" w:hanging="720"/>
      </w:pPr>
      <w:r w:rsidRPr="00494EB0">
        <w:t>(a)</w:t>
      </w:r>
      <w:r w:rsidRPr="00494EB0">
        <w:tab/>
      </w:r>
      <w:r w:rsidRPr="00636B19">
        <w:t xml:space="preserve">Any </w:t>
      </w:r>
      <w:r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p>
    <w:p w14:paraId="442E0A96" w14:textId="7EEF4783" w:rsidR="0028005C" w:rsidRPr="00636B19" w:rsidRDefault="0028005C" w:rsidP="0028005C">
      <w:pPr>
        <w:spacing w:after="240"/>
        <w:ind w:left="1440" w:hanging="720"/>
      </w:pPr>
      <w:r w:rsidRPr="00636B19">
        <w:t>(b)</w:t>
      </w:r>
      <w:r w:rsidRPr="00636B19">
        <w:tab/>
        <w:t xml:space="preserve">Any </w:t>
      </w:r>
      <w:r w:rsidRPr="00154BB0">
        <w:t>complaint,</w:t>
      </w:r>
      <w:r>
        <w:t xml:space="preserve"> formal</w:t>
      </w:r>
      <w:r w:rsidRPr="00154BB0">
        <w:t xml:space="preserve"> investigation, or disciplinary action concerning </w:t>
      </w:r>
      <w:r w:rsidRPr="00154BB0">
        <w:rPr>
          <w:rFonts w:eastAsiaTheme="minorHAnsi"/>
        </w:rPr>
        <w:t xml:space="preserve">financial matters </w:t>
      </w:r>
      <w:r w:rsidRPr="00154BB0">
        <w:t xml:space="preserve">initiated by </w:t>
      </w:r>
      <w:r w:rsidRPr="00916F3E">
        <w:t>or with</w:t>
      </w:r>
      <w:r>
        <w:t xml:space="preserve"> </w:t>
      </w:r>
      <w:r w:rsidRPr="00154BB0">
        <w:t>the Securities and Exchange Commission (SEC), Commodit</w:t>
      </w:r>
      <w:r w:rsidR="006F1A53">
        <w:t>y</w:t>
      </w:r>
      <w:r w:rsidRPr="00154BB0">
        <w:t xml:space="preserve"> Futures Trading Commission (CFTC), Federal Energy Regulatory Commission (FERC), a self-regulatory organization, Independent System Operator or Regional Transmission Organization, or a state public utility commission or securities board </w:t>
      </w:r>
      <w:r>
        <w:t xml:space="preserve">directly </w:t>
      </w:r>
      <w:r w:rsidRPr="00154BB0">
        <w:t xml:space="preserve">involving the </w:t>
      </w:r>
      <w:r>
        <w:t xml:space="preserve">actions of the </w:t>
      </w:r>
      <w:r w:rsidRPr="00154BB0">
        <w:t>applicant, its predecessors, Affiliates, or Principals within the last ten years;</w:t>
      </w:r>
    </w:p>
    <w:p w14:paraId="3558EA7E" w14:textId="32DFADC3" w:rsidR="0028005C" w:rsidRPr="00636B19" w:rsidRDefault="0028005C" w:rsidP="0028005C">
      <w:pPr>
        <w:spacing w:after="240"/>
        <w:ind w:left="1440" w:hanging="720"/>
      </w:pPr>
      <w:r w:rsidRPr="00636B19">
        <w:t>(c)</w:t>
      </w:r>
      <w:r w:rsidRPr="00636B19">
        <w:tab/>
        <w:t xml:space="preserve">Any </w:t>
      </w:r>
      <w:r w:rsidRPr="00154BB0">
        <w:t xml:space="preserve">default involving the applicant, its predecessors, Affiliates, or Principals, </w:t>
      </w:r>
      <w:r w:rsidRPr="00E76955">
        <w:t>that impacted or revoked the</w:t>
      </w:r>
      <w:r w:rsidRPr="00BF220B">
        <w:t xml:space="preserve"> right to operate in any other energy market within the last ten years;</w:t>
      </w:r>
    </w:p>
    <w:p w14:paraId="2F28C0FC" w14:textId="4B37B154" w:rsidR="0028005C" w:rsidRPr="00636B19" w:rsidRDefault="0028005C" w:rsidP="0028005C">
      <w:pPr>
        <w:spacing w:after="240"/>
        <w:ind w:left="1440" w:hanging="720"/>
      </w:pPr>
      <w:r w:rsidRPr="00636B19">
        <w:t>(d)</w:t>
      </w:r>
      <w:r w:rsidRPr="00636B19">
        <w:tab/>
        <w:t xml:space="preserve">Any bankruptcy by </w:t>
      </w:r>
      <w:r w:rsidRPr="00154BB0">
        <w:t>the applicant, its predecessors, Affiliates, or Principals</w:t>
      </w:r>
      <w:r w:rsidRPr="00636B19">
        <w:t xml:space="preserve"> within the last ten years; and</w:t>
      </w:r>
    </w:p>
    <w:p w14:paraId="49805BE3" w14:textId="77777777" w:rsidR="0028005C" w:rsidRPr="00636B19" w:rsidRDefault="0028005C" w:rsidP="0028005C">
      <w:pPr>
        <w:spacing w:after="240"/>
        <w:ind w:left="1440" w:hanging="720"/>
      </w:pPr>
      <w:r w:rsidRPr="00636B19">
        <w:t>(e)</w:t>
      </w:r>
      <w:r w:rsidRPr="00636B19">
        <w:tab/>
        <w:t xml:space="preserve">Any other information ERCOT deems reasonably necessary to complete a background check (e.g., </w:t>
      </w:r>
      <w:r w:rsidRPr="00636B19" w:rsidDel="0094125D">
        <w:t>Social Security Number</w:t>
      </w:r>
      <w:r w:rsidRPr="00636B19">
        <w:t xml:space="preserve">(s), birth dates, </w:t>
      </w:r>
      <w:r w:rsidRPr="00636B19" w:rsidDel="0094125D">
        <w:t>home address</w:t>
      </w:r>
      <w:r w:rsidRPr="00636B19">
        <w:t>es)</w:t>
      </w:r>
      <w:r w:rsidRPr="00636B19" w:rsidDel="0094125D">
        <w:t xml:space="preserve">.  </w:t>
      </w:r>
    </w:p>
    <w:p w14:paraId="5C51F339" w14:textId="77777777" w:rsidR="0028005C" w:rsidRDefault="0028005C" w:rsidP="0028005C">
      <w:pPr>
        <w:spacing w:after="240"/>
        <w:ind w:left="810" w:hanging="810"/>
      </w:pPr>
      <w:r w:rsidRPr="00494EB0">
        <w:t>(3)</w:t>
      </w:r>
      <w:r w:rsidRPr="00494EB0">
        <w:tab/>
        <w:t>As required by paragraph</w:t>
      </w:r>
      <w:r>
        <w:t xml:space="preserve"> (5) </w:t>
      </w:r>
      <w:r w:rsidRPr="00494EB0">
        <w:t>of Section 16.8.1, Criteria for Qualification as a CRR Account Holder, a CRR Account Holder</w:t>
      </w:r>
      <w:r>
        <w:t>, CRR Account Holder applicants, and their Principals,</w:t>
      </w:r>
      <w:r w:rsidRPr="00494EB0">
        <w:t xml:space="preserve"> must</w:t>
      </w:r>
      <w:r>
        <w:t xml:space="preserve"> promptly</w:t>
      </w:r>
      <w:r w:rsidRPr="00494EB0">
        <w:t xml:space="preserve"> provide ERCOT notice of any change that a reasonable examiner could deem material to the CRR Account Holder’s ability to continue to satisfy the background check requirement, including any change to information that must be disclosed.</w:t>
      </w:r>
      <w:r>
        <w:t xml:space="preserve"> </w:t>
      </w:r>
    </w:p>
    <w:p w14:paraId="5305745E" w14:textId="77777777" w:rsidR="00FC1C5F" w:rsidRDefault="00727E32">
      <w:pPr>
        <w:pStyle w:val="H3"/>
      </w:pPr>
      <w:bookmarkStart w:id="374" w:name="_Toc175159148"/>
      <w:r>
        <w:t>16.8.2</w:t>
      </w:r>
      <w:r>
        <w:tab/>
        <w:t>CRR Account Holder Application Process</w:t>
      </w:r>
      <w:bookmarkEnd w:id="368"/>
      <w:bookmarkEnd w:id="369"/>
      <w:bookmarkEnd w:id="370"/>
      <w:bookmarkEnd w:id="371"/>
      <w:bookmarkEnd w:id="372"/>
      <w:bookmarkEnd w:id="373"/>
      <w:bookmarkEnd w:id="374"/>
      <w:r>
        <w:t xml:space="preserve">  </w:t>
      </w:r>
    </w:p>
    <w:p w14:paraId="134E0E98" w14:textId="4CA91440" w:rsidR="00FC1C5F" w:rsidRDefault="00853D39" w:rsidP="009F10FE">
      <w:pPr>
        <w:pStyle w:val="BodyText"/>
        <w:ind w:left="720" w:hanging="720"/>
      </w:pPr>
      <w:bookmarkStart w:id="375" w:name="_Hlk90904250"/>
      <w:r>
        <w:t>(1)</w:t>
      </w:r>
      <w:r>
        <w:tab/>
      </w:r>
      <w:r w:rsidR="00400902">
        <w:t>To register as a CRR Account Holder, an applicant must submit to ERCOT a completed Section 23, Form A, Congestion Revenue Right (CRR) Account Holder Application for Registration, and any applicable fee.  ERCOT shall post on the ERCOT website the form in which CRR Account Holder applications must be submitted, all materials that must be provided with the CRR Account Holder application and the fee schedule, if any, applicable to CRR Account Holder applications.  The CRR Account Holder application shall be attested to by a duly authorized officer or agent of the applicant.  The CRR Account Holder applicant shall promptly notify ERCOT of any material changes affecting a pending application using the appropriate form posted on the ERCOT website.  The application must be submitted at least 60 days before the first day of participation in the CRR Auction process or purchase of CRRs.</w:t>
      </w:r>
    </w:p>
    <w:p w14:paraId="3492ABE5" w14:textId="77777777" w:rsidR="00FC1C5F" w:rsidRPr="00D63F95" w:rsidRDefault="00727E32" w:rsidP="00FE610C">
      <w:pPr>
        <w:pStyle w:val="H4"/>
        <w:rPr>
          <w:b/>
        </w:rPr>
      </w:pPr>
      <w:bookmarkStart w:id="376" w:name="_Toc390438954"/>
      <w:bookmarkStart w:id="377" w:name="_Toc405897651"/>
      <w:bookmarkStart w:id="378" w:name="_Toc415055755"/>
      <w:bookmarkStart w:id="379" w:name="_Toc415055881"/>
      <w:bookmarkStart w:id="380" w:name="_Toc415055980"/>
      <w:bookmarkStart w:id="381" w:name="_Toc415056081"/>
      <w:bookmarkStart w:id="382" w:name="_Toc175159149"/>
      <w:bookmarkEnd w:id="375"/>
      <w:r w:rsidRPr="00D63F95">
        <w:rPr>
          <w:b/>
        </w:rPr>
        <w:lastRenderedPageBreak/>
        <w:t>16.8.2.1</w:t>
      </w:r>
      <w:r w:rsidRPr="00D63F95">
        <w:rPr>
          <w:b/>
        </w:rPr>
        <w:tab/>
        <w:t>Notice of Receipt of CRR Account Holder Application</w:t>
      </w:r>
      <w:bookmarkEnd w:id="376"/>
      <w:bookmarkEnd w:id="377"/>
      <w:bookmarkEnd w:id="378"/>
      <w:bookmarkEnd w:id="379"/>
      <w:bookmarkEnd w:id="380"/>
      <w:bookmarkEnd w:id="381"/>
      <w:bookmarkEnd w:id="382"/>
    </w:p>
    <w:p w14:paraId="79D93F63" w14:textId="77777777" w:rsidR="00FC1C5F" w:rsidRDefault="00853D39" w:rsidP="009F10FE">
      <w:pPr>
        <w:pStyle w:val="BodyText"/>
        <w:ind w:left="720" w:hanging="720"/>
      </w:pPr>
      <w:r>
        <w:t>(1)</w:t>
      </w:r>
      <w:r>
        <w:tab/>
      </w:r>
      <w:r w:rsidR="00727E32">
        <w:t>Within three Business Days after receiving a CRR Account Holder application, ERCOT shall issue to the applicant a written confirmation that ERCOT has received the CRR Account Holder application.  ERCOT shall return without review any CRR Account Holder application that does not include the proper application fee.  The remainder of this Section does not apply to any CRR Account Holder application returned for failure to include the proper application fee.</w:t>
      </w:r>
    </w:p>
    <w:p w14:paraId="1E61B8F2" w14:textId="68D9C8E8" w:rsidR="00FC1C5F" w:rsidRPr="00D63F95" w:rsidRDefault="00727E32">
      <w:pPr>
        <w:pStyle w:val="H4"/>
        <w:rPr>
          <w:b/>
        </w:rPr>
      </w:pPr>
      <w:bookmarkStart w:id="383" w:name="_Toc390438955"/>
      <w:bookmarkStart w:id="384" w:name="_Toc405897652"/>
      <w:bookmarkStart w:id="385" w:name="_Toc415055756"/>
      <w:bookmarkStart w:id="386" w:name="_Toc415055882"/>
      <w:bookmarkStart w:id="387" w:name="_Toc415055981"/>
      <w:bookmarkStart w:id="388" w:name="_Toc415056082"/>
      <w:bookmarkStart w:id="389" w:name="_Toc175159150"/>
      <w:bookmarkStart w:id="390" w:name="_Hlk90904258"/>
      <w:r w:rsidRPr="00D63F95">
        <w:rPr>
          <w:b/>
        </w:rPr>
        <w:t>16.8.2.2</w:t>
      </w:r>
      <w:r w:rsidRPr="00D63F95">
        <w:rPr>
          <w:b/>
        </w:rPr>
        <w:tab/>
        <w:t xml:space="preserve">Incomplete </w:t>
      </w:r>
      <w:r w:rsidR="00400902">
        <w:rPr>
          <w:b/>
        </w:rPr>
        <w:t xml:space="preserve">CRR Account Holder </w:t>
      </w:r>
      <w:r w:rsidRPr="00D63F95">
        <w:rPr>
          <w:b/>
        </w:rPr>
        <w:t>Applications</w:t>
      </w:r>
      <w:bookmarkEnd w:id="383"/>
      <w:bookmarkEnd w:id="384"/>
      <w:bookmarkEnd w:id="385"/>
      <w:bookmarkEnd w:id="386"/>
      <w:bookmarkEnd w:id="387"/>
      <w:bookmarkEnd w:id="388"/>
      <w:bookmarkEnd w:id="389"/>
      <w:r w:rsidRPr="00D63F95">
        <w:rPr>
          <w:b/>
        </w:rPr>
        <w:t xml:space="preserve">  </w:t>
      </w:r>
    </w:p>
    <w:p w14:paraId="26D77B5A" w14:textId="06BA3665" w:rsidR="00CF5E19" w:rsidRDefault="00CF5E19" w:rsidP="00CF5E19">
      <w:pPr>
        <w:pStyle w:val="BodyTextNumbered"/>
      </w:pPr>
      <w:r>
        <w:t>(1)</w:t>
      </w:r>
      <w:r>
        <w:tab/>
        <w:t xml:space="preserve">Within ten Business Days after receiving a CRR Account Holder application, ERCOT shall notify the applicant in writing if the application is incomplete.  An application will not be deemed complete until ERCOT has received all information necessary to conduct an evaluation of whether the applicant satisfies the requirements to be registered as a </w:t>
      </w:r>
      <w:r>
        <w:rPr>
          <w:szCs w:val="24"/>
        </w:rPr>
        <w:t>CRR Account Holder</w:t>
      </w:r>
      <w:r w:rsidR="0028005C" w:rsidRPr="00494EB0">
        <w:rPr>
          <w:szCs w:val="24"/>
        </w:rPr>
        <w:t xml:space="preserve">, </w:t>
      </w:r>
      <w:r w:rsidR="0028005C" w:rsidRPr="00494EB0">
        <w:t>including information necessary to complete any needed background checks</w:t>
      </w:r>
      <w:r>
        <w:t>.</w:t>
      </w:r>
    </w:p>
    <w:p w14:paraId="33A3FD98" w14:textId="77777777" w:rsidR="00CF5E19" w:rsidRDefault="00CF5E19" w:rsidP="00CF5E19">
      <w:pPr>
        <w:pStyle w:val="BodyTextNumbered"/>
      </w:pPr>
      <w:r>
        <w:t>(2)</w:t>
      </w:r>
      <w:r>
        <w:tab/>
        <w:t>If a CRR Account Holder application is incomplete, ERCOT’s notice of incompletion to the applicant must explain the deficiencies and describe the additional information necessary to make the CRR Account Holder application complete.  The CRR Account Holder applicant has five Business Days after it receives the notice, or a longer period if ERCOT allows, to provide the additional required information.</w:t>
      </w:r>
    </w:p>
    <w:p w14:paraId="35447827" w14:textId="77777777" w:rsidR="00CF5E19" w:rsidRDefault="00CF5E19" w:rsidP="00CF5E19">
      <w:pPr>
        <w:pStyle w:val="BodyTextNumbered"/>
      </w:pPr>
      <w:r>
        <w:t>(3)</w:t>
      </w:r>
      <w:r>
        <w:tab/>
        <w:t>If the applicant does not respond to the incompletion notice within the time allotted, ERCOT shall reject the application and shall notify the applicant using the procedures below.</w:t>
      </w:r>
    </w:p>
    <w:p w14:paraId="5F4B80D5" w14:textId="2E51B1DE" w:rsidR="00FC1C5F" w:rsidRDefault="00CF5E19">
      <w:pPr>
        <w:pStyle w:val="BodyTextNumbered"/>
      </w:pPr>
      <w:r>
        <w:t>(4)</w:t>
      </w:r>
      <w:r>
        <w:tab/>
        <w:t>ERCOT will notify the applicant of the date on which the application is deemed complete</w:t>
      </w:r>
      <w:r w:rsidR="00A01AC4">
        <w:t>.</w:t>
      </w:r>
    </w:p>
    <w:p w14:paraId="6E9A41B2" w14:textId="77777777" w:rsidR="00FC1C5F" w:rsidRPr="00D63F95" w:rsidRDefault="00727E32" w:rsidP="00FE610C">
      <w:pPr>
        <w:pStyle w:val="H4"/>
        <w:rPr>
          <w:b/>
        </w:rPr>
      </w:pPr>
      <w:bookmarkStart w:id="391" w:name="_Toc390438956"/>
      <w:bookmarkStart w:id="392" w:name="_Toc405897653"/>
      <w:bookmarkStart w:id="393" w:name="_Toc415055757"/>
      <w:bookmarkStart w:id="394" w:name="_Toc415055883"/>
      <w:bookmarkStart w:id="395" w:name="_Toc415055982"/>
      <w:bookmarkStart w:id="396" w:name="_Toc415056083"/>
      <w:bookmarkStart w:id="397" w:name="_Toc175159151"/>
      <w:bookmarkEnd w:id="390"/>
      <w:r w:rsidRPr="00D63F95">
        <w:rPr>
          <w:b/>
        </w:rPr>
        <w:t>16.8.2.3</w:t>
      </w:r>
      <w:r w:rsidRPr="00D63F95">
        <w:rPr>
          <w:b/>
        </w:rPr>
        <w:tab/>
        <w:t>ERCOT Approval or Rejection of CRR Account Holder Application</w:t>
      </w:r>
      <w:bookmarkEnd w:id="391"/>
      <w:bookmarkEnd w:id="392"/>
      <w:bookmarkEnd w:id="393"/>
      <w:bookmarkEnd w:id="394"/>
      <w:bookmarkEnd w:id="395"/>
      <w:bookmarkEnd w:id="396"/>
      <w:bookmarkEnd w:id="397"/>
    </w:p>
    <w:p w14:paraId="2ED72D18" w14:textId="6A2A95C2" w:rsidR="00FC1C5F" w:rsidRDefault="00727E32">
      <w:pPr>
        <w:pStyle w:val="BodyTextNumbered"/>
      </w:pPr>
      <w:bookmarkStart w:id="398" w:name="_Hlk90904265"/>
      <w:r>
        <w:t>(1)</w:t>
      </w:r>
      <w:r>
        <w:tab/>
      </w:r>
      <w:r w:rsidR="00CF5E19">
        <w:t>ERCOT will approve or reject a CRR Account Holder application within 60 days after the application has been deemed complete as provided for in Section 16.8.2.2, Incomplete CRR Account Holder Applications, unless ERCOT determines that additional time is needed to complete its review of the application.  ERCOT will notify the applicant when additional time is needed to complete its review and will provide a date by which ERCOT expects to complete its review.  If ERCOT’s initial evaluation indicates that there may be a basis to reject the application, ERCOT may contact the applicant prior to rendering a final decision on the application to determine if further information can be provided by the applicant to resolve the identified concern.</w:t>
      </w:r>
    </w:p>
    <w:bookmarkEnd w:id="398"/>
    <w:p w14:paraId="0FE9CD0F" w14:textId="21C34E6F" w:rsidR="00FC1C5F" w:rsidRDefault="00727E32" w:rsidP="00FE610C">
      <w:pPr>
        <w:pStyle w:val="BodyTextNumbered"/>
      </w:pPr>
      <w:r>
        <w:t>(2)</w:t>
      </w:r>
      <w:r>
        <w:tab/>
        <w:t xml:space="preserve">If ERCOT rejects a CRR Account Holder application, ERCOT shall send the applicant a rejection letter explaining the grounds upon which ERCOT rejected the CRR Account </w:t>
      </w:r>
      <w:r>
        <w:lastRenderedPageBreak/>
        <w:t>Holder application.  Appropriate grounds for rejecting a CRR Account Holder application include the following:</w:t>
      </w:r>
    </w:p>
    <w:p w14:paraId="176C7C0A" w14:textId="77777777" w:rsidR="00FC1C5F" w:rsidRDefault="00727E32">
      <w:pPr>
        <w:pStyle w:val="List"/>
      </w:pPr>
      <w:r>
        <w:t>(a)</w:t>
      </w:r>
      <w:r>
        <w:tab/>
        <w:t>Required information is not provided to ERCOT in the allotted time;</w:t>
      </w:r>
    </w:p>
    <w:p w14:paraId="37DF38F7" w14:textId="77777777" w:rsidR="00FC1C5F" w:rsidRDefault="00727E32">
      <w:pPr>
        <w:pStyle w:val="List"/>
      </w:pPr>
      <w:r>
        <w:t>(b)</w:t>
      </w:r>
      <w:r>
        <w:tab/>
        <w:t>Noncompliance with technical requirements; and</w:t>
      </w:r>
    </w:p>
    <w:p w14:paraId="09993174" w14:textId="77777777" w:rsidR="00FC1C5F" w:rsidRDefault="00727E32">
      <w:pPr>
        <w:pStyle w:val="List"/>
      </w:pPr>
      <w:r>
        <w:t>(c)</w:t>
      </w:r>
      <w:r>
        <w:tab/>
        <w:t>Noncompliance with other specific eligibility requirements in this Section or in any other Protocols.</w:t>
      </w:r>
    </w:p>
    <w:p w14:paraId="550ADAD3" w14:textId="77777777" w:rsidR="00FC1C5F" w:rsidRDefault="00727E32">
      <w:pPr>
        <w:pStyle w:val="BodyTextNumbered"/>
      </w:pPr>
      <w:r>
        <w:t>(3)</w:t>
      </w:r>
      <w:r>
        <w:tab/>
        <w:t>Not later than ten Business Days after receiving a rejection letter, the CRR Account Holder applicant may challenge the rejection of its CRR Account Holder application using the dispute resolution procedures set forth in Section 20, Alternative Dispute Resolution Procedure.  The applicant may submit a new CRR Account Holder application and fee at any time, and ERCOT shall process the new CRR Account Holder application under this Section.</w:t>
      </w:r>
    </w:p>
    <w:p w14:paraId="1C79A686" w14:textId="4FA68EB1" w:rsidR="00FC1C5F" w:rsidRDefault="00727E32">
      <w:pPr>
        <w:pStyle w:val="BodyTextNumbered"/>
      </w:pPr>
      <w:bookmarkStart w:id="399" w:name="_Hlk90904274"/>
      <w:r>
        <w:t>(4)</w:t>
      </w:r>
      <w:r>
        <w:tab/>
      </w:r>
      <w:r w:rsidR="00CF5E19">
        <w:t>If ERCOT approves the CRR Account Holder application, ERCOT shall send the applicant a CRR Account Holder Agreement and any other required Agreements relating to use of the ERCOT network, software, and systems for the applicant’s signature.</w:t>
      </w:r>
      <w:r w:rsidR="00CF5E19" w:rsidDel="00CF5E19">
        <w:t xml:space="preserve"> </w:t>
      </w:r>
    </w:p>
    <w:p w14:paraId="1C93EAA1" w14:textId="719CD18A" w:rsidR="00CF5E19" w:rsidRDefault="00CF5E19">
      <w:pPr>
        <w:pStyle w:val="BodyTextNumbered"/>
      </w:pPr>
      <w:r>
        <w:t>(5)</w:t>
      </w:r>
      <w:r>
        <w:tab/>
        <w:t xml:space="preserve">If ERCOT fails to approve or deny the CRR Account Holder application within 60 days after the application is deemed complete, and fails to notify the applicant that additional time is needed to complete its review, </w:t>
      </w:r>
      <w:r w:rsidRPr="00DD0220">
        <w:t>the CRR Account Holder may seek relief using the dispute resolution procedures set forth in Section 20.</w:t>
      </w:r>
    </w:p>
    <w:p w14:paraId="01F61C4E" w14:textId="77777777" w:rsidR="00FC1C5F" w:rsidRDefault="00727E32" w:rsidP="00FE610C">
      <w:pPr>
        <w:pStyle w:val="H3"/>
      </w:pPr>
      <w:bookmarkStart w:id="400" w:name="_Toc390438957"/>
      <w:bookmarkStart w:id="401" w:name="_Toc405897654"/>
      <w:bookmarkStart w:id="402" w:name="_Toc415055758"/>
      <w:bookmarkStart w:id="403" w:name="_Toc415055884"/>
      <w:bookmarkStart w:id="404" w:name="_Toc415055983"/>
      <w:bookmarkStart w:id="405" w:name="_Toc415056084"/>
      <w:bookmarkStart w:id="406" w:name="_Toc175159152"/>
      <w:bookmarkEnd w:id="399"/>
      <w:r>
        <w:t>16.8.3</w:t>
      </w:r>
      <w:r>
        <w:tab/>
        <w:t>Remaining Steps for CRR Account Holder Registration</w:t>
      </w:r>
      <w:bookmarkEnd w:id="400"/>
      <w:bookmarkEnd w:id="401"/>
      <w:bookmarkEnd w:id="402"/>
      <w:bookmarkEnd w:id="403"/>
      <w:bookmarkEnd w:id="404"/>
      <w:bookmarkEnd w:id="405"/>
      <w:bookmarkEnd w:id="406"/>
    </w:p>
    <w:p w14:paraId="59A88399" w14:textId="77777777" w:rsidR="00FC1C5F" w:rsidRDefault="00853D39" w:rsidP="009F10FE">
      <w:pPr>
        <w:pStyle w:val="ListIntroduction"/>
        <w:ind w:left="720" w:hanging="720"/>
      </w:pPr>
      <w:r>
        <w:rPr>
          <w:lang w:val="en-US"/>
        </w:rPr>
        <w:t>(1)</w:t>
      </w:r>
      <w:r>
        <w:rPr>
          <w:lang w:val="en-US"/>
        </w:rPr>
        <w:tab/>
      </w:r>
      <w:r w:rsidR="00727E32">
        <w:t>After a CRR Account Holder application is deemed approved under Section 16.8.2.3, ERCOT Approval or Rejection of CRR Account Holder Application, the applicant shall coordinate or perform the following:</w:t>
      </w:r>
    </w:p>
    <w:p w14:paraId="30CD6551" w14:textId="77777777" w:rsidR="00FC1C5F" w:rsidRDefault="00727E32">
      <w:pPr>
        <w:pStyle w:val="List"/>
      </w:pPr>
      <w:r>
        <w:t>(a)</w:t>
      </w:r>
      <w:r>
        <w:tab/>
        <w:t>Return the signed CRR Account Holder Agreement and other related agreements to ERCOT; and</w:t>
      </w:r>
    </w:p>
    <w:p w14:paraId="52B4B203" w14:textId="77777777" w:rsidR="00FC1C5F" w:rsidRDefault="00727E32">
      <w:pPr>
        <w:pStyle w:val="List"/>
      </w:pPr>
      <w:r>
        <w:t>(b)</w:t>
      </w:r>
      <w:r>
        <w:tab/>
        <w:t>Demonstrate compliance with security and financial requirements.</w:t>
      </w:r>
    </w:p>
    <w:p w14:paraId="791DF1E8" w14:textId="77777777" w:rsidR="00FC1C5F" w:rsidRDefault="00727E32">
      <w:pPr>
        <w:pStyle w:val="Heading4"/>
        <w:numPr>
          <w:ilvl w:val="0"/>
          <w:numId w:val="0"/>
        </w:numPr>
        <w:tabs>
          <w:tab w:val="left" w:pos="1620"/>
        </w:tabs>
      </w:pPr>
      <w:bookmarkStart w:id="407" w:name="_Toc390438958"/>
      <w:bookmarkStart w:id="408" w:name="_Toc405897655"/>
      <w:bookmarkStart w:id="409" w:name="_Toc415055759"/>
      <w:bookmarkStart w:id="410" w:name="_Toc415055885"/>
      <w:bookmarkStart w:id="411" w:name="_Toc415055984"/>
      <w:bookmarkStart w:id="412" w:name="_Toc415056085"/>
      <w:bookmarkStart w:id="413" w:name="_Toc175159153"/>
      <w:r>
        <w:t>16.8.3.1</w:t>
      </w:r>
      <w:r>
        <w:tab/>
        <w:t>Maintaining and Updating CRR Account Holder Information</w:t>
      </w:r>
      <w:bookmarkEnd w:id="407"/>
      <w:bookmarkEnd w:id="408"/>
      <w:bookmarkEnd w:id="409"/>
      <w:bookmarkEnd w:id="410"/>
      <w:bookmarkEnd w:id="411"/>
      <w:bookmarkEnd w:id="412"/>
      <w:bookmarkEnd w:id="413"/>
      <w:r>
        <w:t xml:space="preserve"> </w:t>
      </w:r>
    </w:p>
    <w:p w14:paraId="0CD642CD" w14:textId="77777777" w:rsidR="00FC1C5F" w:rsidRDefault="00853D39" w:rsidP="009F10FE">
      <w:pPr>
        <w:pStyle w:val="ListIntroduction"/>
        <w:ind w:left="720" w:hanging="720"/>
      </w:pPr>
      <w:r>
        <w:rPr>
          <w:lang w:val="en-US"/>
        </w:rPr>
        <w:t>(1)</w:t>
      </w:r>
      <w:r>
        <w:rPr>
          <w:lang w:val="en-US"/>
        </w:rPr>
        <w:tab/>
      </w:r>
      <w:r w:rsidR="00727E32">
        <w:t>Each CRR Account Holder must timely update information the CRR Account Holder provided to ERCOT in the application process, and a CRR Account Holder must promptly respond to any reasonable request by ERCOT for updated information regarding the CRR Account Holder or the information provided to ERCOT by the CRR Account Holder, including:</w:t>
      </w:r>
    </w:p>
    <w:p w14:paraId="12CD6D25" w14:textId="42D27DBC" w:rsidR="00FC1C5F" w:rsidRDefault="00727E32">
      <w:pPr>
        <w:pStyle w:val="List"/>
      </w:pPr>
      <w:r>
        <w:t>(a)</w:t>
      </w:r>
      <w:r>
        <w:tab/>
        <w:t>The CRR Account Holder’s addresses;</w:t>
      </w:r>
    </w:p>
    <w:p w14:paraId="202E6792" w14:textId="2F481073" w:rsidR="00CF5E19" w:rsidRDefault="00CF5E19">
      <w:pPr>
        <w:pStyle w:val="List"/>
      </w:pPr>
      <w:bookmarkStart w:id="414" w:name="_Hlk90904282"/>
      <w:r>
        <w:lastRenderedPageBreak/>
        <w:t>(b)</w:t>
      </w:r>
      <w:r>
        <w:tab/>
        <w:t>A list of Principals;</w:t>
      </w:r>
    </w:p>
    <w:bookmarkEnd w:id="414"/>
    <w:p w14:paraId="6DE0E088" w14:textId="06DC9870" w:rsidR="00FC1C5F" w:rsidRDefault="00727E32" w:rsidP="00FE610C">
      <w:pPr>
        <w:pStyle w:val="List"/>
      </w:pPr>
      <w:r>
        <w:t>(</w:t>
      </w:r>
      <w:r w:rsidR="00CF5E19">
        <w:t>c</w:t>
      </w:r>
      <w:r>
        <w:t>)</w:t>
      </w:r>
      <w:r>
        <w:tab/>
        <w:t>A list of Affiliates; and</w:t>
      </w:r>
    </w:p>
    <w:p w14:paraId="6712B52B" w14:textId="31EA8564" w:rsidR="00FC1C5F" w:rsidRDefault="00727E32">
      <w:pPr>
        <w:pStyle w:val="List"/>
      </w:pPr>
      <w:r>
        <w:t>(</w:t>
      </w:r>
      <w:r w:rsidR="00CF5E19">
        <w:t>d</w:t>
      </w:r>
      <w:r>
        <w:t>)</w:t>
      </w:r>
      <w:r>
        <w:tab/>
        <w:t>Designation of the CRR Account Holder’s officers, directors, Authorized Representatives, Credit Contacts, and User Security Administrator</w:t>
      </w:r>
      <w:r w:rsidR="00963894">
        <w:t xml:space="preserve"> (USA)</w:t>
      </w:r>
      <w:r>
        <w:t xml:space="preserve"> (all per the CRR Account Holder application) including the telephone and e-mail addresses for those persons. </w:t>
      </w:r>
    </w:p>
    <w:p w14:paraId="53BD24E3" w14:textId="77777777" w:rsidR="00FC1C5F" w:rsidRDefault="00727E32">
      <w:pPr>
        <w:pStyle w:val="H2"/>
      </w:pPr>
      <w:bookmarkStart w:id="415" w:name="_Toc390438959"/>
      <w:bookmarkStart w:id="416" w:name="_Toc405897656"/>
      <w:bookmarkStart w:id="417" w:name="_Toc415055760"/>
      <w:bookmarkStart w:id="418" w:name="_Toc415055886"/>
      <w:bookmarkStart w:id="419" w:name="_Toc415055985"/>
      <w:bookmarkStart w:id="420" w:name="_Toc415056086"/>
      <w:bookmarkStart w:id="421" w:name="_Toc175159154"/>
      <w:bookmarkStart w:id="422" w:name="_Toc71369199"/>
      <w:bookmarkStart w:id="423" w:name="_Toc71539414"/>
      <w:r>
        <w:t>16.9</w:t>
      </w:r>
      <w:r>
        <w:tab/>
        <w:t>Resources Providing Reliability Must-Run Service</w:t>
      </w:r>
      <w:bookmarkEnd w:id="415"/>
      <w:bookmarkEnd w:id="416"/>
      <w:bookmarkEnd w:id="417"/>
      <w:bookmarkEnd w:id="418"/>
      <w:bookmarkEnd w:id="419"/>
      <w:bookmarkEnd w:id="420"/>
      <w:bookmarkEnd w:id="421"/>
    </w:p>
    <w:p w14:paraId="1A3CF262" w14:textId="77777777" w:rsidR="00FC1C5F" w:rsidRDefault="00853D39" w:rsidP="009F10FE">
      <w:pPr>
        <w:pStyle w:val="BodyText"/>
        <w:ind w:left="720" w:hanging="720"/>
      </w:pPr>
      <w:r>
        <w:t>(1)</w:t>
      </w:r>
      <w:r>
        <w:tab/>
      </w:r>
      <w:r w:rsidR="00727E32">
        <w:t xml:space="preserve">Any Entity providing Reliability Must-Run (RMR) Service must comply with all the requirements to become a Resource Entity under this Section and must sign an RMR Agreement (Section 22, Attachment B, Standard Form Reliability Must-Run Agreement).  </w:t>
      </w:r>
    </w:p>
    <w:p w14:paraId="2F2B4BE1" w14:textId="77777777" w:rsidR="00FC1C5F" w:rsidRDefault="00727E32">
      <w:pPr>
        <w:pStyle w:val="H2"/>
      </w:pPr>
      <w:bookmarkStart w:id="424" w:name="_Toc390438960"/>
      <w:bookmarkStart w:id="425" w:name="_Toc405897657"/>
      <w:bookmarkStart w:id="426" w:name="_Toc415055761"/>
      <w:bookmarkStart w:id="427" w:name="_Toc415055887"/>
      <w:bookmarkStart w:id="428" w:name="_Toc415055986"/>
      <w:bookmarkStart w:id="429" w:name="_Toc415056087"/>
      <w:bookmarkStart w:id="430" w:name="_Toc175159155"/>
      <w:r>
        <w:t>16.10</w:t>
      </w:r>
      <w:r>
        <w:tab/>
        <w:t>Resources Providing Black Start Service</w:t>
      </w:r>
      <w:bookmarkEnd w:id="424"/>
      <w:bookmarkEnd w:id="425"/>
      <w:bookmarkEnd w:id="426"/>
      <w:bookmarkEnd w:id="427"/>
      <w:bookmarkEnd w:id="428"/>
      <w:bookmarkEnd w:id="429"/>
      <w:bookmarkEnd w:id="430"/>
    </w:p>
    <w:p w14:paraId="2B0ACC02" w14:textId="393134C0" w:rsidR="00FC1C5F" w:rsidRDefault="00853D39" w:rsidP="009F10FE">
      <w:pPr>
        <w:pStyle w:val="BodyText"/>
        <w:ind w:left="720" w:hanging="720"/>
      </w:pPr>
      <w:r>
        <w:t>(1)</w:t>
      </w:r>
      <w:r>
        <w:tab/>
      </w:r>
      <w:r w:rsidR="00727E32">
        <w:t xml:space="preserve">Any Entity providing Black Start Service must comply with all the requirements to become a Resource Entity under this Section and must sign a </w:t>
      </w:r>
      <w:r w:rsidR="00081A43">
        <w:t xml:space="preserve">Standard Form </w:t>
      </w:r>
      <w:r w:rsidR="00727E32">
        <w:t xml:space="preserve">Black Start Agreement (Section 22, Attachment D, Standard Form Black Start Agreement). </w:t>
      </w:r>
    </w:p>
    <w:p w14:paraId="58413753" w14:textId="77777777" w:rsidR="00AA6D6D" w:rsidRPr="0002450E" w:rsidRDefault="00AA6D6D" w:rsidP="00AA6D6D">
      <w:pPr>
        <w:pStyle w:val="H2"/>
        <w:spacing w:before="120"/>
        <w:ind w:left="907" w:hanging="907"/>
      </w:pPr>
      <w:bookmarkStart w:id="431" w:name="_Toc390438961"/>
      <w:bookmarkStart w:id="432" w:name="_Toc405897658"/>
      <w:bookmarkStart w:id="433" w:name="_Toc415055762"/>
      <w:bookmarkStart w:id="434" w:name="_Toc415055888"/>
      <w:bookmarkStart w:id="435" w:name="_Toc415055987"/>
      <w:bookmarkStart w:id="436" w:name="_Toc415056088"/>
      <w:bookmarkStart w:id="437" w:name="_Toc175159156"/>
      <w:bookmarkStart w:id="438" w:name="_Toc69636432"/>
      <w:bookmarkStart w:id="439" w:name="_Toc71369201"/>
      <w:bookmarkStart w:id="440" w:name="_Toc71539416"/>
      <w:bookmarkEnd w:id="422"/>
      <w:bookmarkEnd w:id="423"/>
      <w:r w:rsidRPr="0002450E">
        <w:t>16.11</w:t>
      </w:r>
      <w:r w:rsidRPr="0002450E">
        <w:tab/>
        <w:t>Financial Security for Counter-Parties</w:t>
      </w:r>
      <w:bookmarkEnd w:id="431"/>
      <w:bookmarkEnd w:id="432"/>
      <w:bookmarkEnd w:id="433"/>
      <w:bookmarkEnd w:id="434"/>
      <w:bookmarkEnd w:id="435"/>
      <w:bookmarkEnd w:id="436"/>
      <w:bookmarkEnd w:id="437"/>
    </w:p>
    <w:p w14:paraId="58F459BF" w14:textId="77777777" w:rsidR="00AA6D6D" w:rsidRPr="0002450E" w:rsidRDefault="00AA6D6D" w:rsidP="00AA6D6D">
      <w:pPr>
        <w:pStyle w:val="Instructions"/>
        <w:ind w:left="720" w:hanging="720"/>
        <w:rPr>
          <w:b w:val="0"/>
          <w:i w:val="0"/>
          <w:iCs/>
        </w:rPr>
      </w:pPr>
      <w:r w:rsidRPr="0002450E">
        <w:rPr>
          <w:b w:val="0"/>
          <w:i w:val="0"/>
          <w:iCs/>
        </w:rPr>
        <w:t>(1)</w:t>
      </w:r>
      <w:r w:rsidRPr="0002450E">
        <w:rPr>
          <w:b w:val="0"/>
          <w:i w:val="0"/>
          <w:iCs/>
        </w:rPr>
        <w:tab/>
        <w:t>The term “Financial Security” in this Section means the collateral amount posted with ERCOT in any of the forms listed in Section 16.11.3, Alternative Means of Satisfying ERCOT Creditworthiness Requirements.</w:t>
      </w:r>
    </w:p>
    <w:p w14:paraId="02BA70DC" w14:textId="2C24EE86" w:rsidR="00573F3C" w:rsidRDefault="00AA6D6D" w:rsidP="00FB1643">
      <w:pPr>
        <w:pStyle w:val="BodyText"/>
        <w:ind w:left="720" w:hanging="720"/>
      </w:pPr>
      <w:r w:rsidRPr="00BF5B1E">
        <w:t>(</w:t>
      </w:r>
      <w:r w:rsidR="005C04D0">
        <w:t>2</w:t>
      </w:r>
      <w:r w:rsidRPr="00BF5B1E">
        <w:t>)</w:t>
      </w:r>
      <w:r w:rsidRPr="00BF5B1E">
        <w:tab/>
      </w:r>
      <w:r w:rsidR="005C04D0" w:rsidRPr="003B38E5">
        <w:t>The term “Remainder Collateral” in this Section means the Financial Security minus Total Potential Exposure Secured (TPES) minus Net Positive Exposure of approved Congestion Revenue Right (CRR) Bilateral Trades minus Available Credit Limit (ACL) locked for CRR Auction, calculated in accordance with paragraph (3) of Section 16.11.4.6.1, Credit Requirements for CRR Auction Participation</w:t>
      </w:r>
      <w:r w:rsidRPr="00BF5B1E">
        <w:t>.</w:t>
      </w:r>
      <w:r w:rsidR="00727E32" w:rsidRPr="00AA6D6D">
        <w:t xml:space="preserve"> </w:t>
      </w:r>
    </w:p>
    <w:p w14:paraId="37A4E36E" w14:textId="5C3E2BFB" w:rsidR="00B55C27" w:rsidRDefault="00B55C27" w:rsidP="00FB1643">
      <w:pPr>
        <w:pStyle w:val="BodyText"/>
        <w:ind w:left="720" w:hanging="720"/>
      </w:pPr>
      <w:r w:rsidRPr="00723BC4">
        <w:t>(</w:t>
      </w:r>
      <w:r>
        <w:t>3</w:t>
      </w:r>
      <w:r w:rsidRPr="00723BC4">
        <w:t>)</w:t>
      </w:r>
      <w:r w:rsidRPr="00723BC4">
        <w:tab/>
        <w:t>The term “Ultimate Parent” in this Section is defined as the most distant parent that prepares consolidated financial statements within the hierarchical ownership structure.</w:t>
      </w:r>
    </w:p>
    <w:p w14:paraId="41260FD6" w14:textId="77777777" w:rsidR="00F56ABB" w:rsidRDefault="00727E32" w:rsidP="00D9080F">
      <w:pPr>
        <w:pStyle w:val="H3"/>
      </w:pPr>
      <w:bookmarkStart w:id="441" w:name="_Toc390438962"/>
      <w:bookmarkStart w:id="442" w:name="_Toc405897659"/>
      <w:bookmarkStart w:id="443" w:name="_Toc415055763"/>
      <w:bookmarkStart w:id="444" w:name="_Toc415055889"/>
      <w:bookmarkStart w:id="445" w:name="_Toc415055988"/>
      <w:bookmarkStart w:id="446" w:name="_Toc415056089"/>
      <w:bookmarkStart w:id="447" w:name="_Toc175159157"/>
      <w:r>
        <w:t>16.11.1</w:t>
      </w:r>
      <w:r>
        <w:tab/>
        <w:t>ERCOT Creditworthiness Requirements for Counter-Parties</w:t>
      </w:r>
      <w:bookmarkEnd w:id="441"/>
      <w:bookmarkEnd w:id="442"/>
      <w:bookmarkEnd w:id="443"/>
      <w:bookmarkEnd w:id="444"/>
      <w:bookmarkEnd w:id="445"/>
      <w:bookmarkEnd w:id="446"/>
      <w:bookmarkEnd w:id="447"/>
      <w:r>
        <w:t xml:space="preserve"> </w:t>
      </w:r>
    </w:p>
    <w:p w14:paraId="4C1A178F" w14:textId="345BAD2A" w:rsidR="00FE57D4" w:rsidRDefault="00853D39" w:rsidP="00FE57D4">
      <w:pPr>
        <w:spacing w:after="240"/>
        <w:ind w:left="720" w:hanging="720"/>
      </w:pPr>
      <w:r>
        <w:t>(1)</w:t>
      </w:r>
      <w:r>
        <w:tab/>
      </w:r>
      <w:r w:rsidR="005C04D0" w:rsidRPr="00593C45">
        <w:t xml:space="preserve">Each Counter-Party shall meet ERCOT’s creditworthiness standards as provided in this Section.  A Counter-Party must, at all times, maintain its Financial Security at or above the amount of its Total Potential Exposure (TPE).  Each Counter-Party shall maintain any required Financial Security in a form acceptable to ERCOT in its sole discretion.  If at any time the Counter-Party does not meet ERCOT’s creditworthiness requirements, then ERCOT may suspend the Counter-Party’s rights under these Protocols until it meets those creditworthiness requirements.  ERCOT’s failure to suspend the Counter-Party’s </w:t>
      </w:r>
      <w:r w:rsidR="005C04D0" w:rsidRPr="00593C45">
        <w:lastRenderedPageBreak/>
        <w:t>rights on any particular occasion does not prevent ERCOT from suspending those rights on any subsequent occasion, including a CRR Account Holder’s ability to bid on future CRRs or a Qualified Scheduling Entity’s (QSE’s) ability to bid in the Day-Ahead Market (DAM).</w:t>
      </w:r>
    </w:p>
    <w:p w14:paraId="75A626FD" w14:textId="3F93FD28" w:rsidR="00FE57D4" w:rsidRDefault="00FE57D4" w:rsidP="00FB1643">
      <w:pPr>
        <w:spacing w:after="240"/>
        <w:ind w:left="720" w:hanging="720"/>
      </w:pPr>
      <w:r>
        <w:t>(2)</w:t>
      </w:r>
      <w:r>
        <w:tab/>
      </w:r>
      <w:r w:rsidR="006004A9">
        <w:t>Notwithstanding the provisions in paragraph (1) above, ERCOT may draw on Financial Security if necessary to pay short-pays of Securitization Default Charge Invoices or Securitization Uplift Charge Initial Invoices if the respective escrow deposits are insufficient to cover the short-pays</w:t>
      </w:r>
      <w:r>
        <w:t>.</w:t>
      </w:r>
    </w:p>
    <w:p w14:paraId="4BE95412" w14:textId="16C328C0" w:rsidR="0028005C" w:rsidRPr="0028005C" w:rsidRDefault="0028005C" w:rsidP="0028005C">
      <w:pPr>
        <w:pStyle w:val="Heading4"/>
        <w:numPr>
          <w:ilvl w:val="0"/>
          <w:numId w:val="0"/>
        </w:numPr>
        <w:tabs>
          <w:tab w:val="left" w:pos="1620"/>
        </w:tabs>
      </w:pPr>
      <w:bookmarkStart w:id="448" w:name="_Toc175159158"/>
      <w:bookmarkStart w:id="449" w:name="_Toc390438963"/>
      <w:bookmarkStart w:id="450" w:name="_Toc405897660"/>
      <w:bookmarkStart w:id="451" w:name="_Toc415055764"/>
      <w:bookmarkStart w:id="452" w:name="_Toc415055890"/>
      <w:bookmarkStart w:id="453" w:name="_Toc415055989"/>
      <w:bookmarkStart w:id="454" w:name="_Toc415056090"/>
      <w:r w:rsidRPr="0028005C">
        <w:t>16.11.1.</w:t>
      </w:r>
      <w:r w:rsidR="00A34A95">
        <w:t>1</w:t>
      </w:r>
      <w:r w:rsidRPr="0028005C">
        <w:tab/>
        <w:t>Review of Counter-Party Eligibility</w:t>
      </w:r>
      <w:bookmarkEnd w:id="448"/>
    </w:p>
    <w:p w14:paraId="514B1446" w14:textId="77777777" w:rsidR="0028005C" w:rsidRPr="002972C6" w:rsidRDefault="0028005C" w:rsidP="0028005C">
      <w:pPr>
        <w:pStyle w:val="BodyTextNumbered"/>
      </w:pPr>
      <w:r>
        <w:t>(1)</w:t>
      </w:r>
      <w:r>
        <w:tab/>
        <w:t xml:space="preserve">At any time, ERCOT may conduct a review to determine if a </w:t>
      </w:r>
      <w:r w:rsidRPr="0098151B">
        <w:t xml:space="preserve">Counter-Party </w:t>
      </w:r>
      <w:r w:rsidRPr="00662B41">
        <w:t>continue</w:t>
      </w:r>
      <w:r>
        <w:t>s</w:t>
      </w:r>
      <w:r w:rsidRPr="00662B41">
        <w:t xml:space="preserve"> to </w:t>
      </w:r>
      <w:r>
        <w:t xml:space="preserve">satisfy all </w:t>
      </w:r>
      <w:r w:rsidRPr="00662B41">
        <w:t>requirements set forth in</w:t>
      </w:r>
      <w:r>
        <w:t xml:space="preserve"> Section 16, Registration and Qualification of Market Participants</w:t>
      </w:r>
      <w:r w:rsidRPr="00662B41">
        <w:t>.</w:t>
      </w:r>
      <w:r>
        <w:t xml:space="preserve">  </w:t>
      </w:r>
    </w:p>
    <w:p w14:paraId="4855A42F" w14:textId="77777777" w:rsidR="0028005C" w:rsidRDefault="0028005C" w:rsidP="0028005C">
      <w:pPr>
        <w:spacing w:after="240"/>
        <w:ind w:left="720" w:hanging="720"/>
      </w:pPr>
      <w:r>
        <w:t>(2)</w:t>
      </w:r>
      <w:r>
        <w:tab/>
      </w:r>
      <w:r w:rsidRPr="00880612">
        <w:t xml:space="preserve">ERCOT’s review under this Section may be triggered by notice of a change provided by the Counter-Party to ERCOT, information that ERCOT receives or discovers through other means, </w:t>
      </w:r>
      <w:r w:rsidRPr="00373358">
        <w:t>or ERCOT’s periodic review of Principals of Counter-Parties</w:t>
      </w:r>
      <w:r w:rsidRPr="00880612">
        <w:t>.</w:t>
      </w:r>
      <w:r>
        <w:t xml:space="preserve">  </w:t>
      </w:r>
    </w:p>
    <w:p w14:paraId="1888885A" w14:textId="20BC1E89" w:rsidR="0028005C" w:rsidRDefault="0028005C" w:rsidP="0028005C">
      <w:pPr>
        <w:pStyle w:val="BodyTextNumbered"/>
        <w:rPr>
          <w:szCs w:val="24"/>
        </w:rPr>
      </w:pPr>
      <w:r w:rsidRPr="00716AD0">
        <w:t>(3)</w:t>
      </w:r>
      <w:r w:rsidRPr="00716AD0">
        <w:tab/>
        <w:t>As part of ERCOT’s review</w:t>
      </w:r>
      <w:r w:rsidRPr="00716AD0">
        <w:rPr>
          <w:szCs w:val="24"/>
        </w:rPr>
        <w:t xml:space="preserve"> under this Section, ERCOT may conduct additional background checks, as described in </w:t>
      </w:r>
      <w:r w:rsidRPr="00E36B49">
        <w:rPr>
          <w:szCs w:val="24"/>
        </w:rPr>
        <w:t>Section 16.2.1.1, QSE Background Check Process</w:t>
      </w:r>
      <w:r w:rsidR="00164C18">
        <w:rPr>
          <w:szCs w:val="24"/>
        </w:rPr>
        <w:t>,</w:t>
      </w:r>
      <w:r w:rsidRPr="00E36B49">
        <w:rPr>
          <w:szCs w:val="24"/>
        </w:rPr>
        <w:t xml:space="preserve"> </w:t>
      </w:r>
      <w:r w:rsidRPr="00C42190">
        <w:rPr>
          <w:szCs w:val="24"/>
        </w:rPr>
        <w:t>and Section 16.8.1.1, CRR Account</w:t>
      </w:r>
      <w:r>
        <w:rPr>
          <w:szCs w:val="24"/>
        </w:rPr>
        <w:t xml:space="preserve"> Holder Background Check Process</w:t>
      </w:r>
      <w:r w:rsidRPr="00716AD0">
        <w:rPr>
          <w:szCs w:val="24"/>
        </w:rPr>
        <w:t xml:space="preserve">.  ERCOT will charge the Counter-Party a new background check fee for any necessary background check. </w:t>
      </w:r>
      <w:r w:rsidR="00A00163">
        <w:rPr>
          <w:szCs w:val="24"/>
        </w:rPr>
        <w:t xml:space="preserve"> </w:t>
      </w:r>
      <w:r w:rsidRPr="00716AD0">
        <w:rPr>
          <w:szCs w:val="24"/>
        </w:rPr>
        <w:t xml:space="preserve">A Counter-Party’s failure to pay a background check fee by the deadline set by ERCOT constitutes a </w:t>
      </w:r>
      <w:r w:rsidR="002C653A">
        <w:rPr>
          <w:szCs w:val="24"/>
        </w:rPr>
        <w:t>“</w:t>
      </w:r>
      <w:r w:rsidRPr="00716AD0">
        <w:rPr>
          <w:szCs w:val="24"/>
        </w:rPr>
        <w:t>Payment Breach</w:t>
      </w:r>
      <w:r w:rsidR="002C653A">
        <w:rPr>
          <w:szCs w:val="24"/>
        </w:rPr>
        <w:t>”</w:t>
      </w:r>
      <w:r w:rsidRPr="00716AD0">
        <w:rPr>
          <w:szCs w:val="24"/>
        </w:rPr>
        <w:t xml:space="preserve"> pursuant to </w:t>
      </w:r>
      <w:r w:rsidRPr="00FD0BA0">
        <w:rPr>
          <w:szCs w:val="24"/>
        </w:rPr>
        <w:t>Section 16.11.</w:t>
      </w:r>
      <w:r w:rsidR="008E4318">
        <w:rPr>
          <w:szCs w:val="24"/>
        </w:rPr>
        <w:t>6</w:t>
      </w:r>
      <w:r w:rsidRPr="00FD0BA0">
        <w:rPr>
          <w:szCs w:val="24"/>
        </w:rPr>
        <w:t>, Payment</w:t>
      </w:r>
      <w:r w:rsidRPr="00154470">
        <w:rPr>
          <w:szCs w:val="24"/>
        </w:rPr>
        <w:t xml:space="preserve"> Breach and Late Payments by Market Participants</w:t>
      </w:r>
      <w:r w:rsidRPr="00716AD0">
        <w:rPr>
          <w:szCs w:val="24"/>
        </w:rPr>
        <w:t>.</w:t>
      </w:r>
      <w:r>
        <w:rPr>
          <w:szCs w:val="24"/>
        </w:rPr>
        <w:t xml:space="preserve"> </w:t>
      </w:r>
    </w:p>
    <w:p w14:paraId="48E3A00A" w14:textId="77777777" w:rsidR="0028005C" w:rsidRDefault="0028005C" w:rsidP="0028005C">
      <w:pPr>
        <w:pStyle w:val="BodyTextNumbered"/>
        <w:rPr>
          <w:b/>
          <w:i/>
        </w:rPr>
      </w:pPr>
      <w:r>
        <w:rPr>
          <w:szCs w:val="24"/>
        </w:rPr>
        <w:t>(4)</w:t>
      </w:r>
      <w:r>
        <w:rPr>
          <w:szCs w:val="24"/>
        </w:rPr>
        <w:tab/>
      </w:r>
      <w:r>
        <w:t xml:space="preserve">If ERCOT conducts a review pursuant to this Section and determines that the </w:t>
      </w:r>
      <w:r w:rsidRPr="0098151B">
        <w:t xml:space="preserve">Counter-Party </w:t>
      </w:r>
      <w:r>
        <w:t>may no longer satisfy a requirement</w:t>
      </w:r>
      <w:r w:rsidRPr="00662B41">
        <w:t xml:space="preserve"> set forth in</w:t>
      </w:r>
      <w:r>
        <w:t xml:space="preserve"> Section 16, ERCOT, in its sole discretion, may consult with the </w:t>
      </w:r>
      <w:r w:rsidRPr="0098151B">
        <w:t xml:space="preserve">Counter-Party </w:t>
      </w:r>
      <w:r>
        <w:t>to determine if the Counter-Party can provide additional information or take remedial action that would explain or resolve the deficiencies preliminarily identified by ERCOT in its review.</w:t>
      </w:r>
    </w:p>
    <w:p w14:paraId="5F7F7413" w14:textId="6E23B120" w:rsidR="0028005C" w:rsidRPr="0028005C" w:rsidRDefault="0028005C" w:rsidP="0028005C">
      <w:pPr>
        <w:keepNext/>
        <w:tabs>
          <w:tab w:val="left" w:pos="1620"/>
        </w:tabs>
        <w:spacing w:before="240" w:after="240"/>
        <w:ind w:left="1627" w:hanging="1627"/>
        <w:outlineLvl w:val="4"/>
        <w:rPr>
          <w:b/>
          <w:bCs/>
          <w:i/>
          <w:iCs/>
          <w:szCs w:val="26"/>
        </w:rPr>
      </w:pPr>
      <w:bookmarkStart w:id="455" w:name="_Toc175159159"/>
      <w:r w:rsidRPr="0028005C">
        <w:rPr>
          <w:b/>
          <w:bCs/>
          <w:i/>
          <w:iCs/>
          <w:szCs w:val="26"/>
        </w:rPr>
        <w:t>16.11.1.</w:t>
      </w:r>
      <w:r w:rsidR="00A34A95">
        <w:rPr>
          <w:b/>
          <w:bCs/>
          <w:i/>
          <w:iCs/>
          <w:szCs w:val="26"/>
        </w:rPr>
        <w:t>1</w:t>
      </w:r>
      <w:r w:rsidRPr="0028005C">
        <w:rPr>
          <w:b/>
          <w:bCs/>
          <w:i/>
          <w:iCs/>
          <w:szCs w:val="26"/>
        </w:rPr>
        <w:t>.1</w:t>
      </w:r>
      <w:r w:rsidRPr="0028005C">
        <w:rPr>
          <w:b/>
          <w:bCs/>
          <w:i/>
          <w:iCs/>
          <w:szCs w:val="26"/>
        </w:rPr>
        <w:tab/>
        <w:t>Failure to Maintain Eligibility</w:t>
      </w:r>
      <w:bookmarkEnd w:id="455"/>
    </w:p>
    <w:p w14:paraId="3794F1F1" w14:textId="42D6EB17" w:rsidR="0028005C" w:rsidRDefault="0028005C" w:rsidP="0028005C">
      <w:pPr>
        <w:pStyle w:val="BodyTextNumbered"/>
      </w:pPr>
      <w:r>
        <w:t>(1)</w:t>
      </w:r>
      <w:r>
        <w:tab/>
        <w:t xml:space="preserve">If ERCOT’s review of a Counter-Party pursuant to Section </w:t>
      </w:r>
      <w:r w:rsidRPr="00E36B49">
        <w:t xml:space="preserve">16.2.1.1, QSE Background Check Process, </w:t>
      </w:r>
      <w:r>
        <w:t xml:space="preserve">or </w:t>
      </w:r>
      <w:r w:rsidRPr="00C42190">
        <w:t xml:space="preserve">Section 16.8.1.1, CRR Account Holder Background Check Process, </w:t>
      </w:r>
      <w:r>
        <w:t>results in ERCOT determining that the Counter-Party no longer satisfies a requirement</w:t>
      </w:r>
      <w:r w:rsidRPr="00662B41">
        <w:t xml:space="preserve"> set forth in</w:t>
      </w:r>
      <w:r>
        <w:t xml:space="preserve"> Section 16, </w:t>
      </w:r>
      <w:r w:rsidR="00BA61CA" w:rsidRPr="00BA61CA">
        <w:t>Registration and Qualification of Market Participants</w:t>
      </w:r>
      <w:r w:rsidR="00BA61CA">
        <w:t>,</w:t>
      </w:r>
      <w:r w:rsidR="00BA61CA" w:rsidRPr="00BA61CA">
        <w:t xml:space="preserve"> </w:t>
      </w:r>
      <w:r>
        <w:t>then ERCOT will notify the</w:t>
      </w:r>
      <w:r w:rsidRPr="0097362B">
        <w:t xml:space="preserve"> </w:t>
      </w:r>
      <w:r>
        <w:t xml:space="preserve">Counter-Party that such failure to comply with the ERCOT Protocols is a material breach under Section </w:t>
      </w:r>
      <w:r w:rsidRPr="00FD0BA0">
        <w:t>(8)(A)(2)</w:t>
      </w:r>
      <w:r>
        <w:t xml:space="preserve"> of the Standard Form Market Participant Agreement (Section 22, Attachment A).  ERCOT will provide the Counter-Party with specific information concerning what is required to cure the material breach. </w:t>
      </w:r>
    </w:p>
    <w:p w14:paraId="681279BF" w14:textId="77777777" w:rsidR="0028005C" w:rsidRDefault="0028005C" w:rsidP="0028005C">
      <w:pPr>
        <w:pStyle w:val="BodyTextNumbered"/>
        <w:rPr>
          <w:szCs w:val="24"/>
        </w:rPr>
      </w:pPr>
      <w:r>
        <w:lastRenderedPageBreak/>
        <w:t>(2)</w:t>
      </w:r>
      <w:r>
        <w:tab/>
        <w:t xml:space="preserve">If ERCOT determines, in its sole discretion, that continued participation of the </w:t>
      </w:r>
      <w:r w:rsidRPr="0097362B">
        <w:t xml:space="preserve">Counter-Party </w:t>
      </w:r>
      <w:r>
        <w:t xml:space="preserve">would pose a risk that could immediately compromise the integrity of the ERCOT market during the 14-day cure period described in </w:t>
      </w:r>
      <w:r w:rsidRPr="00FD0BA0">
        <w:t>Section (8)(A)(2) of the Standard Form Market Participant Agreement, ERCOT may suspend the Counter</w:t>
      </w:r>
      <w:r w:rsidRPr="0097362B">
        <w:t>-Party</w:t>
      </w:r>
      <w:r>
        <w:t>’s</w:t>
      </w:r>
      <w:r w:rsidRPr="0097362B">
        <w:t xml:space="preserve"> </w:t>
      </w:r>
      <w:r>
        <w:t>rights as a Market Participant upon the notification of the material breach</w:t>
      </w:r>
      <w:r w:rsidRPr="002972C6">
        <w:rPr>
          <w:szCs w:val="24"/>
        </w:rPr>
        <w:t>.</w:t>
      </w:r>
    </w:p>
    <w:p w14:paraId="14B31E2B" w14:textId="020B21E4" w:rsidR="00FC1C5F" w:rsidRDefault="00727E32" w:rsidP="001D3EB6">
      <w:pPr>
        <w:pStyle w:val="H3"/>
      </w:pPr>
      <w:bookmarkStart w:id="456" w:name="_Toc175159160"/>
      <w:r>
        <w:t>16.11.2</w:t>
      </w:r>
      <w:r>
        <w:tab/>
      </w:r>
      <w:r w:rsidR="005C04D0">
        <w:t>[RESERVED]</w:t>
      </w:r>
      <w:bookmarkEnd w:id="449"/>
      <w:bookmarkEnd w:id="450"/>
      <w:bookmarkEnd w:id="451"/>
      <w:bookmarkEnd w:id="452"/>
      <w:bookmarkEnd w:id="453"/>
      <w:bookmarkEnd w:id="454"/>
      <w:bookmarkEnd w:id="456"/>
    </w:p>
    <w:p w14:paraId="065D1685" w14:textId="77777777" w:rsidR="00FC1C5F" w:rsidRDefault="00727E32" w:rsidP="00FB1643">
      <w:pPr>
        <w:pStyle w:val="H3"/>
        <w:ind w:left="0" w:firstLine="0"/>
      </w:pPr>
      <w:bookmarkStart w:id="457" w:name="_Toc390438964"/>
      <w:bookmarkStart w:id="458" w:name="_Toc405897661"/>
      <w:bookmarkStart w:id="459" w:name="_Toc415055765"/>
      <w:bookmarkStart w:id="460" w:name="_Toc415055891"/>
      <w:bookmarkStart w:id="461" w:name="_Toc415055990"/>
      <w:bookmarkStart w:id="462" w:name="_Toc415056091"/>
      <w:bookmarkStart w:id="463" w:name="_Toc175159161"/>
      <w:r>
        <w:t>16.11.3</w:t>
      </w:r>
      <w:r>
        <w:tab/>
        <w:t>Alternative Means of Satisfying ERCOT Creditworthiness Requirements</w:t>
      </w:r>
      <w:bookmarkEnd w:id="457"/>
      <w:bookmarkEnd w:id="458"/>
      <w:bookmarkEnd w:id="459"/>
      <w:bookmarkEnd w:id="460"/>
      <w:bookmarkEnd w:id="461"/>
      <w:bookmarkEnd w:id="462"/>
      <w:bookmarkEnd w:id="463"/>
    </w:p>
    <w:p w14:paraId="3B24A6D8" w14:textId="77777777" w:rsidR="005C04D0" w:rsidRPr="00CC731E" w:rsidRDefault="005C04D0" w:rsidP="005C04D0">
      <w:pPr>
        <w:pStyle w:val="List"/>
        <w:ind w:left="702" w:hanging="702"/>
      </w:pPr>
      <w:r w:rsidRPr="00CC731E">
        <w:t>(1)</w:t>
      </w:r>
      <w:r w:rsidRPr="00CC731E">
        <w:tab/>
      </w:r>
      <w:r>
        <w:t>A</w:t>
      </w:r>
      <w:r w:rsidRPr="00CC731E">
        <w:t xml:space="preserve"> Counter-Party required to provide Financial Security under these Protocols may do so through one or more of the following means:</w:t>
      </w:r>
    </w:p>
    <w:p w14:paraId="08218184" w14:textId="77777777" w:rsidR="005C04D0" w:rsidRPr="00CC731E" w:rsidRDefault="005C04D0" w:rsidP="005C04D0">
      <w:pPr>
        <w:pStyle w:val="List"/>
      </w:pPr>
      <w:r w:rsidRPr="00CC731E">
        <w:t>(</w:t>
      </w:r>
      <w:r>
        <w:t>a</w:t>
      </w:r>
      <w:r w:rsidRPr="00CC731E">
        <w:t>)</w:t>
      </w:r>
      <w:r w:rsidRPr="00CC731E">
        <w:tab/>
        <w:t xml:space="preserve">The Counter-Party may give an unconditional, irrevocable letter of credit naming ERCOT as the beneficiary.  ERCOT may, in its sole discretion, reject the letter of credit if the issuer is unacceptable to ERCOT or if the conditions under which ERCOT may draw against the letter of credit are unacceptable to ERCOT.  </w:t>
      </w:r>
    </w:p>
    <w:p w14:paraId="08725EA7" w14:textId="77777777" w:rsidR="005C04D0" w:rsidRDefault="005C04D0" w:rsidP="005C04D0">
      <w:pPr>
        <w:pStyle w:val="List"/>
        <w:numPr>
          <w:ilvl w:val="0"/>
          <w:numId w:val="23"/>
        </w:numPr>
      </w:pPr>
      <w:r w:rsidRPr="00CC731E">
        <w:t>The letter of credit must be given using the ERCOT Board-approved standard letter of credit form.</w:t>
      </w:r>
    </w:p>
    <w:p w14:paraId="26A5DAE7" w14:textId="77777777" w:rsidR="005C04D0" w:rsidRPr="00CC731E" w:rsidRDefault="005C04D0" w:rsidP="005C04D0">
      <w:pPr>
        <w:pStyle w:val="List"/>
        <w:numPr>
          <w:ilvl w:val="0"/>
          <w:numId w:val="23"/>
        </w:numPr>
      </w:pPr>
      <w:r>
        <w:t>All letters of credit must be drawn on a U.S. domestic bank or a U.S. domestic office of a foreign bank.</w:t>
      </w:r>
    </w:p>
    <w:p w14:paraId="43CB862B" w14:textId="77777777" w:rsidR="005C04D0" w:rsidRDefault="005C04D0" w:rsidP="005C04D0">
      <w:pPr>
        <w:pStyle w:val="List"/>
        <w:ind w:left="2160"/>
      </w:pPr>
      <w:r w:rsidRPr="00CC731E">
        <w:t>(ii</w:t>
      </w:r>
      <w:r>
        <w:t>i</w:t>
      </w:r>
      <w:r w:rsidRPr="00CC731E">
        <w:t>)</w:t>
      </w:r>
      <w:r w:rsidRPr="00CC731E">
        <w:tab/>
        <w:t xml:space="preserve">Letters of credit must be issued by a bank </w:t>
      </w:r>
      <w:r>
        <w:t xml:space="preserve">or other financial institution that is acceptable to ERCOT, </w:t>
      </w:r>
      <w:r w:rsidRPr="00CC731E">
        <w:t>with a minimum rating of A- with S&amp;P or Fitch or A3 with Moody’s.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E36324" w14:paraId="7A77A1A4" w14:textId="77777777" w:rsidTr="00E36324">
        <w:tc>
          <w:tcPr>
            <w:tcW w:w="9332" w:type="dxa"/>
            <w:shd w:val="pct12" w:color="auto" w:fill="auto"/>
          </w:tcPr>
          <w:p w14:paraId="5BCA5E87" w14:textId="44861E85" w:rsidR="00E36324" w:rsidRPr="0002450E" w:rsidRDefault="00E36324" w:rsidP="00D4184B">
            <w:pPr>
              <w:pStyle w:val="Instructions"/>
              <w:spacing w:before="120"/>
              <w:rPr>
                <w:iCs/>
              </w:rPr>
            </w:pPr>
            <w:r>
              <w:rPr>
                <w:iCs/>
              </w:rPr>
              <w:t>[NPRR1205</w:t>
            </w:r>
            <w:r w:rsidRPr="0002450E">
              <w:rPr>
                <w:iCs/>
              </w:rPr>
              <w:t xml:space="preserve">:  Replace </w:t>
            </w:r>
            <w:r>
              <w:rPr>
                <w:iCs/>
              </w:rPr>
              <w:t xml:space="preserve">paragraph (iii) </w:t>
            </w:r>
            <w:r w:rsidRPr="0002450E">
              <w:rPr>
                <w:iCs/>
              </w:rPr>
              <w:t xml:space="preserve">above with the following upon system implementation:] </w:t>
            </w:r>
          </w:p>
          <w:p w14:paraId="7D993AF4" w14:textId="65F374E6" w:rsidR="00E36324" w:rsidRPr="008D69E1" w:rsidRDefault="00E36324" w:rsidP="00E36324">
            <w:pPr>
              <w:pStyle w:val="List"/>
              <w:ind w:left="2160"/>
            </w:pPr>
            <w:r w:rsidRPr="00B20198">
              <w:t>(iii)</w:t>
            </w:r>
            <w:r w:rsidRPr="00B20198">
              <w:tab/>
              <w:t xml:space="preserve">Letters of credit must be issued by a bank or other financial institution that is acceptable to ERCOT, with a minimum rating of A- with S&amp;P </w:t>
            </w:r>
            <w:r>
              <w:t>and</w:t>
            </w:r>
            <w:r w:rsidRPr="00B20198">
              <w:t xml:space="preserve"> Fitch </w:t>
            </w:r>
            <w:r>
              <w:t>and</w:t>
            </w:r>
            <w:r w:rsidRPr="00B20198">
              <w:t xml:space="preserve"> A3 with Moody’s.</w:t>
            </w:r>
            <w:r>
              <w:t xml:space="preserve">  No letters of credit will be accepted from banks which are rated below A-/A3 by one or more rating agencies.  If there are split ratings amongst rating agencies, ERCOT will use the lowest of </w:t>
            </w:r>
            <w:r w:rsidRPr="00E57FBD">
              <w:t xml:space="preserve">different ratings </w:t>
            </w:r>
            <w:r w:rsidRPr="000E72B5">
              <w:t>within</w:t>
            </w:r>
            <w:r w:rsidRPr="00CF23D4">
              <w:t xml:space="preserve"> </w:t>
            </w:r>
            <w:r w:rsidRPr="00E57FBD">
              <w:t xml:space="preserve">the same rating agency </w:t>
            </w:r>
            <w:r w:rsidRPr="000E72B5">
              <w:t>and</w:t>
            </w:r>
            <w:r w:rsidRPr="00CF23D4">
              <w:t xml:space="preserve"> </w:t>
            </w:r>
            <w:r w:rsidRPr="00E57FBD">
              <w:t xml:space="preserve">amongst </w:t>
            </w:r>
            <w:r>
              <w:t xml:space="preserve">different </w:t>
            </w:r>
            <w:r w:rsidRPr="00E57FBD">
              <w:t>rating agencies</w:t>
            </w:r>
            <w:r>
              <w:t>.  The r</w:t>
            </w:r>
            <w:r w:rsidRPr="00E57FBD">
              <w:t xml:space="preserve">atings </w:t>
            </w:r>
            <w:r>
              <w:t xml:space="preserve">are defined </w:t>
            </w:r>
            <w:r w:rsidRPr="00E57FBD">
              <w:t xml:space="preserve">as follows (if available): Long term issuer rating, </w:t>
            </w:r>
            <w:r>
              <w:t>Long</w:t>
            </w:r>
            <w:r w:rsidRPr="00E57FBD">
              <w:t xml:space="preserve"> term </w:t>
            </w:r>
            <w:r>
              <w:t>S</w:t>
            </w:r>
            <w:r w:rsidRPr="00E57FBD">
              <w:t xml:space="preserve">enior </w:t>
            </w:r>
            <w:r>
              <w:t>U</w:t>
            </w:r>
            <w:r w:rsidRPr="00E57FBD">
              <w:t xml:space="preserve">nsecured </w:t>
            </w:r>
            <w:r>
              <w:t xml:space="preserve">rating </w:t>
            </w:r>
            <w:r w:rsidRPr="00E57FBD">
              <w:t xml:space="preserve">or Long Term Counterparty Risk Assessment (for Moody’s). </w:t>
            </w:r>
            <w:r>
              <w:t xml:space="preserve"> For U.S. offices of foreign banks, </w:t>
            </w:r>
            <w:r w:rsidRPr="00E57FBD">
              <w:t>U</w:t>
            </w:r>
            <w:r>
              <w:t>.</w:t>
            </w:r>
            <w:r w:rsidRPr="00E57FBD">
              <w:t>S</w:t>
            </w:r>
            <w:r>
              <w:t>.</w:t>
            </w:r>
            <w:r w:rsidRPr="00E57FBD">
              <w:t xml:space="preserve"> </w:t>
            </w:r>
            <w:r>
              <w:t>b</w:t>
            </w:r>
            <w:r w:rsidRPr="00E57FBD">
              <w:t>ranch/office</w:t>
            </w:r>
            <w:r>
              <w:t xml:space="preserve"> must h</w:t>
            </w:r>
            <w:r w:rsidRPr="00E57FBD">
              <w:t>ave an acceptable rating on its own by at least one of the rating agencies.</w:t>
            </w:r>
          </w:p>
        </w:tc>
      </w:tr>
    </w:tbl>
    <w:p w14:paraId="71E6E693" w14:textId="6113F4F9" w:rsidR="005C04D0" w:rsidRPr="00CC731E" w:rsidRDefault="005C04D0" w:rsidP="000E72B5">
      <w:pPr>
        <w:pStyle w:val="List"/>
        <w:spacing w:before="240"/>
        <w:ind w:left="2160"/>
      </w:pPr>
      <w:r w:rsidRPr="00CC731E">
        <w:lastRenderedPageBreak/>
        <w:t>(i</w:t>
      </w:r>
      <w:r>
        <w:t>v</w:t>
      </w:r>
      <w:r w:rsidRPr="00CC731E">
        <w:t>)</w:t>
      </w:r>
      <w:r w:rsidRPr="00CC731E">
        <w:tab/>
        <w:t xml:space="preserve">Letters of credit are subject to an overall limit per </w:t>
      </w:r>
      <w:r>
        <w:t>letter of credit</w:t>
      </w:r>
      <w:r w:rsidRPr="00CC731E">
        <w:t xml:space="preserve"> issuer for all ERCOT Counter-Parties as determined below: </w:t>
      </w:r>
    </w:p>
    <w:tbl>
      <w:tblPr>
        <w:tblW w:w="5305"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2335"/>
      </w:tblGrid>
      <w:tr w:rsidR="005C04D0" w:rsidRPr="00CC731E" w14:paraId="67BD178C" w14:textId="77777777" w:rsidTr="00A3430F">
        <w:trPr>
          <w:tblHeader/>
        </w:trPr>
        <w:tc>
          <w:tcPr>
            <w:tcW w:w="2970" w:type="dxa"/>
            <w:gridSpan w:val="2"/>
            <w:shd w:val="clear" w:color="auto" w:fill="BFBFBF"/>
            <w:vAlign w:val="center"/>
          </w:tcPr>
          <w:p w14:paraId="42289621" w14:textId="77777777" w:rsidR="005C04D0" w:rsidRPr="00CC731E" w:rsidRDefault="005C04D0" w:rsidP="00A3430F">
            <w:pPr>
              <w:pStyle w:val="List"/>
              <w:ind w:left="0" w:firstLine="0"/>
              <w:jc w:val="center"/>
              <w:rPr>
                <w:sz w:val="20"/>
              </w:rPr>
            </w:pPr>
            <w:r w:rsidRPr="00CC731E">
              <w:rPr>
                <w:sz w:val="20"/>
              </w:rPr>
              <w:t>If the issuing entity has</w:t>
            </w:r>
          </w:p>
        </w:tc>
        <w:tc>
          <w:tcPr>
            <w:tcW w:w="2335" w:type="dxa"/>
            <w:shd w:val="clear" w:color="auto" w:fill="BFBFBF"/>
            <w:vAlign w:val="center"/>
          </w:tcPr>
          <w:p w14:paraId="2A144C3A" w14:textId="77777777" w:rsidR="005C04D0" w:rsidRPr="00CC731E" w:rsidRDefault="005C04D0" w:rsidP="00A3430F">
            <w:pPr>
              <w:pStyle w:val="List"/>
              <w:ind w:left="0" w:firstLine="0"/>
              <w:jc w:val="center"/>
              <w:rPr>
                <w:sz w:val="20"/>
              </w:rPr>
            </w:pPr>
            <w:r w:rsidRPr="00CC731E">
              <w:rPr>
                <w:sz w:val="20"/>
              </w:rPr>
              <w:t>Then</w:t>
            </w:r>
          </w:p>
        </w:tc>
      </w:tr>
      <w:tr w:rsidR="005C04D0" w:rsidRPr="00CC731E" w14:paraId="7D33CC95" w14:textId="77777777" w:rsidTr="00A3430F">
        <w:trPr>
          <w:tblHeader/>
        </w:trPr>
        <w:tc>
          <w:tcPr>
            <w:tcW w:w="2970" w:type="dxa"/>
            <w:gridSpan w:val="2"/>
            <w:shd w:val="clear" w:color="auto" w:fill="BFBFBF"/>
            <w:vAlign w:val="center"/>
          </w:tcPr>
          <w:p w14:paraId="5C3D44D4" w14:textId="77777777" w:rsidR="005C04D0" w:rsidRPr="00CC731E" w:rsidRDefault="005C04D0" w:rsidP="00A3430F">
            <w:pPr>
              <w:pStyle w:val="List"/>
              <w:ind w:left="0" w:firstLine="0"/>
              <w:jc w:val="center"/>
              <w:rPr>
                <w:sz w:val="20"/>
              </w:rPr>
            </w:pPr>
            <w:r w:rsidRPr="00CC731E">
              <w:rPr>
                <w:sz w:val="20"/>
              </w:rPr>
              <w:t>Long-Term or Issuer Rating</w:t>
            </w:r>
          </w:p>
        </w:tc>
        <w:tc>
          <w:tcPr>
            <w:tcW w:w="2335" w:type="dxa"/>
            <w:vMerge w:val="restart"/>
            <w:shd w:val="clear" w:color="auto" w:fill="BFBFBF"/>
            <w:vAlign w:val="center"/>
          </w:tcPr>
          <w:p w14:paraId="3586533B" w14:textId="77777777" w:rsidR="005C04D0" w:rsidRPr="00CC731E" w:rsidRDefault="005C04D0" w:rsidP="00A3430F">
            <w:pPr>
              <w:pStyle w:val="List"/>
              <w:ind w:left="0" w:firstLine="0"/>
              <w:jc w:val="center"/>
              <w:rPr>
                <w:sz w:val="20"/>
              </w:rPr>
            </w:pPr>
            <w:r w:rsidRPr="00CC731E">
              <w:rPr>
                <w:sz w:val="20"/>
              </w:rPr>
              <w:t xml:space="preserve">Maximum </w:t>
            </w:r>
            <w:r>
              <w:rPr>
                <w:sz w:val="20"/>
              </w:rPr>
              <w:t>letter of credit</w:t>
            </w:r>
            <w:r w:rsidRPr="00CC731E">
              <w:rPr>
                <w:sz w:val="20"/>
              </w:rPr>
              <w:t xml:space="preserve"> issuer limit as a percentage of Tangible Net Worth of issuer</w:t>
            </w:r>
          </w:p>
        </w:tc>
      </w:tr>
      <w:tr w:rsidR="005C04D0" w:rsidRPr="00CC731E" w14:paraId="41F5A037" w14:textId="77777777" w:rsidTr="00A3430F">
        <w:tc>
          <w:tcPr>
            <w:tcW w:w="1530" w:type="dxa"/>
            <w:shd w:val="clear" w:color="auto" w:fill="BFBFBF"/>
            <w:vAlign w:val="center"/>
          </w:tcPr>
          <w:p w14:paraId="473C5B47" w14:textId="77777777" w:rsidR="005C04D0" w:rsidRPr="00CC731E" w:rsidRDefault="005C04D0" w:rsidP="00A3430F">
            <w:pPr>
              <w:pStyle w:val="List"/>
              <w:ind w:left="0" w:firstLine="0"/>
              <w:jc w:val="center"/>
              <w:rPr>
                <w:sz w:val="20"/>
              </w:rPr>
            </w:pPr>
            <w:r w:rsidRPr="00CC731E">
              <w:rPr>
                <w:sz w:val="20"/>
              </w:rPr>
              <w:t>S&amp;P or Fitch</w:t>
            </w:r>
          </w:p>
        </w:tc>
        <w:tc>
          <w:tcPr>
            <w:tcW w:w="1440" w:type="dxa"/>
            <w:shd w:val="clear" w:color="auto" w:fill="BFBFBF"/>
            <w:vAlign w:val="center"/>
          </w:tcPr>
          <w:p w14:paraId="7186830A" w14:textId="77777777" w:rsidR="005C04D0" w:rsidRPr="00CC731E" w:rsidRDefault="005C04D0" w:rsidP="00A3430F">
            <w:pPr>
              <w:pStyle w:val="List"/>
              <w:ind w:left="0" w:firstLine="0"/>
              <w:jc w:val="center"/>
              <w:rPr>
                <w:sz w:val="20"/>
              </w:rPr>
            </w:pPr>
            <w:r w:rsidRPr="00CC731E">
              <w:rPr>
                <w:sz w:val="20"/>
              </w:rPr>
              <w:t>Moody’s</w:t>
            </w:r>
          </w:p>
        </w:tc>
        <w:tc>
          <w:tcPr>
            <w:tcW w:w="2335" w:type="dxa"/>
            <w:vMerge/>
            <w:shd w:val="clear" w:color="auto" w:fill="auto"/>
            <w:vAlign w:val="center"/>
          </w:tcPr>
          <w:p w14:paraId="505E0514" w14:textId="77777777" w:rsidR="005C04D0" w:rsidRPr="00CC731E" w:rsidRDefault="005C04D0" w:rsidP="00A3430F">
            <w:pPr>
              <w:pStyle w:val="List"/>
              <w:ind w:left="0" w:firstLine="0"/>
              <w:jc w:val="center"/>
              <w:rPr>
                <w:sz w:val="20"/>
              </w:rPr>
            </w:pPr>
          </w:p>
        </w:tc>
      </w:tr>
      <w:tr w:rsidR="005C04D0" w:rsidRPr="00CC731E" w14:paraId="3F45FF09" w14:textId="77777777" w:rsidTr="00A3430F">
        <w:tc>
          <w:tcPr>
            <w:tcW w:w="1530" w:type="dxa"/>
            <w:shd w:val="clear" w:color="auto" w:fill="auto"/>
            <w:vAlign w:val="center"/>
          </w:tcPr>
          <w:p w14:paraId="0710308E" w14:textId="77777777" w:rsidR="005C04D0" w:rsidRPr="00CC731E" w:rsidRDefault="005C04D0" w:rsidP="00A3430F">
            <w:pPr>
              <w:pStyle w:val="List"/>
              <w:ind w:left="0" w:firstLine="0"/>
              <w:jc w:val="center"/>
              <w:rPr>
                <w:sz w:val="20"/>
              </w:rPr>
            </w:pPr>
            <w:r w:rsidRPr="00CC731E">
              <w:rPr>
                <w:sz w:val="20"/>
              </w:rPr>
              <w:t>AAA</w:t>
            </w:r>
          </w:p>
        </w:tc>
        <w:tc>
          <w:tcPr>
            <w:tcW w:w="1440" w:type="dxa"/>
            <w:shd w:val="clear" w:color="auto" w:fill="auto"/>
            <w:vAlign w:val="center"/>
          </w:tcPr>
          <w:p w14:paraId="13237182" w14:textId="77777777" w:rsidR="005C04D0" w:rsidRPr="00CC731E" w:rsidRDefault="005C04D0" w:rsidP="00A3430F">
            <w:pPr>
              <w:pStyle w:val="List"/>
              <w:ind w:left="0" w:firstLine="0"/>
              <w:jc w:val="center"/>
              <w:rPr>
                <w:sz w:val="20"/>
              </w:rPr>
            </w:pPr>
            <w:r w:rsidRPr="00CC731E">
              <w:rPr>
                <w:sz w:val="20"/>
              </w:rPr>
              <w:t>Aaa</w:t>
            </w:r>
          </w:p>
        </w:tc>
        <w:tc>
          <w:tcPr>
            <w:tcW w:w="2335" w:type="dxa"/>
            <w:shd w:val="clear" w:color="auto" w:fill="auto"/>
            <w:vAlign w:val="center"/>
          </w:tcPr>
          <w:p w14:paraId="51C64B5D" w14:textId="52C3DDB8" w:rsidR="005C04D0" w:rsidRPr="00CC731E" w:rsidRDefault="00D06677" w:rsidP="00A3430F">
            <w:pPr>
              <w:pStyle w:val="List"/>
              <w:ind w:left="0" w:firstLine="0"/>
              <w:jc w:val="center"/>
              <w:rPr>
                <w:sz w:val="20"/>
              </w:rPr>
            </w:pPr>
            <w:r>
              <w:rPr>
                <w:sz w:val="20"/>
              </w:rPr>
              <w:t>2.00</w:t>
            </w:r>
            <w:r w:rsidR="005C04D0" w:rsidRPr="00CC731E">
              <w:rPr>
                <w:sz w:val="20"/>
              </w:rPr>
              <w:t>%</w:t>
            </w:r>
          </w:p>
        </w:tc>
      </w:tr>
      <w:tr w:rsidR="005C04D0" w:rsidRPr="00CC731E" w14:paraId="0990E9F7" w14:textId="77777777" w:rsidTr="00A3430F">
        <w:tc>
          <w:tcPr>
            <w:tcW w:w="1530" w:type="dxa"/>
            <w:shd w:val="clear" w:color="auto" w:fill="auto"/>
            <w:vAlign w:val="center"/>
          </w:tcPr>
          <w:p w14:paraId="7B55C459" w14:textId="77777777" w:rsidR="005C04D0" w:rsidRPr="00CC731E" w:rsidRDefault="005C04D0" w:rsidP="00A3430F">
            <w:pPr>
              <w:pStyle w:val="List"/>
              <w:ind w:left="0" w:firstLine="0"/>
              <w:jc w:val="center"/>
              <w:rPr>
                <w:sz w:val="20"/>
              </w:rPr>
            </w:pPr>
            <w:r w:rsidRPr="00CC731E">
              <w:rPr>
                <w:sz w:val="20"/>
              </w:rPr>
              <w:t>AA+</w:t>
            </w:r>
          </w:p>
        </w:tc>
        <w:tc>
          <w:tcPr>
            <w:tcW w:w="1440" w:type="dxa"/>
            <w:shd w:val="clear" w:color="auto" w:fill="auto"/>
            <w:vAlign w:val="center"/>
          </w:tcPr>
          <w:p w14:paraId="245A807F" w14:textId="77777777" w:rsidR="005C04D0" w:rsidRPr="00CC731E" w:rsidRDefault="005C04D0" w:rsidP="00A3430F">
            <w:pPr>
              <w:pStyle w:val="List"/>
              <w:ind w:left="0" w:firstLine="0"/>
              <w:jc w:val="center"/>
              <w:rPr>
                <w:sz w:val="20"/>
              </w:rPr>
            </w:pPr>
            <w:r w:rsidRPr="00CC731E">
              <w:rPr>
                <w:sz w:val="20"/>
              </w:rPr>
              <w:t>Aa1</w:t>
            </w:r>
          </w:p>
        </w:tc>
        <w:tc>
          <w:tcPr>
            <w:tcW w:w="2335" w:type="dxa"/>
            <w:shd w:val="clear" w:color="auto" w:fill="auto"/>
            <w:vAlign w:val="center"/>
          </w:tcPr>
          <w:p w14:paraId="3F004CD9" w14:textId="0709F530" w:rsidR="005C04D0" w:rsidRPr="00CC731E" w:rsidRDefault="00D06677" w:rsidP="00A3430F">
            <w:pPr>
              <w:pStyle w:val="List"/>
              <w:ind w:left="0" w:firstLine="0"/>
              <w:jc w:val="center"/>
              <w:rPr>
                <w:sz w:val="20"/>
              </w:rPr>
            </w:pPr>
            <w:r>
              <w:rPr>
                <w:sz w:val="20"/>
              </w:rPr>
              <w:t>1.90</w:t>
            </w:r>
            <w:r w:rsidR="005C04D0" w:rsidRPr="00CC731E">
              <w:rPr>
                <w:sz w:val="20"/>
              </w:rPr>
              <w:t>%</w:t>
            </w:r>
          </w:p>
        </w:tc>
      </w:tr>
      <w:tr w:rsidR="005C04D0" w:rsidRPr="00CC731E" w14:paraId="49F08DD5" w14:textId="77777777" w:rsidTr="00A3430F">
        <w:tc>
          <w:tcPr>
            <w:tcW w:w="1530" w:type="dxa"/>
            <w:shd w:val="clear" w:color="auto" w:fill="auto"/>
            <w:vAlign w:val="center"/>
          </w:tcPr>
          <w:p w14:paraId="176C6700" w14:textId="77777777" w:rsidR="005C04D0" w:rsidRPr="00CC731E" w:rsidRDefault="005C04D0" w:rsidP="00A3430F">
            <w:pPr>
              <w:pStyle w:val="List"/>
              <w:ind w:left="0" w:firstLine="0"/>
              <w:jc w:val="center"/>
              <w:rPr>
                <w:sz w:val="20"/>
              </w:rPr>
            </w:pPr>
            <w:r w:rsidRPr="00CC731E">
              <w:rPr>
                <w:sz w:val="20"/>
              </w:rPr>
              <w:t>AA</w:t>
            </w:r>
          </w:p>
        </w:tc>
        <w:tc>
          <w:tcPr>
            <w:tcW w:w="1440" w:type="dxa"/>
            <w:shd w:val="clear" w:color="auto" w:fill="auto"/>
            <w:vAlign w:val="center"/>
          </w:tcPr>
          <w:p w14:paraId="34B81C4E" w14:textId="77777777" w:rsidR="005C04D0" w:rsidRPr="00CC731E" w:rsidRDefault="005C04D0" w:rsidP="00A3430F">
            <w:pPr>
              <w:pStyle w:val="List"/>
              <w:ind w:left="0" w:firstLine="0"/>
              <w:jc w:val="center"/>
              <w:rPr>
                <w:sz w:val="20"/>
              </w:rPr>
            </w:pPr>
            <w:r w:rsidRPr="00CC731E">
              <w:rPr>
                <w:sz w:val="20"/>
              </w:rPr>
              <w:t>Aa2</w:t>
            </w:r>
          </w:p>
        </w:tc>
        <w:tc>
          <w:tcPr>
            <w:tcW w:w="2335" w:type="dxa"/>
            <w:shd w:val="clear" w:color="auto" w:fill="auto"/>
            <w:vAlign w:val="center"/>
          </w:tcPr>
          <w:p w14:paraId="1622A3BF" w14:textId="7D3F8852" w:rsidR="005C04D0" w:rsidRPr="00CC731E" w:rsidRDefault="00D06677" w:rsidP="00A3430F">
            <w:pPr>
              <w:pStyle w:val="List"/>
              <w:ind w:left="0" w:firstLine="0"/>
              <w:jc w:val="center"/>
              <w:rPr>
                <w:sz w:val="20"/>
              </w:rPr>
            </w:pPr>
            <w:r>
              <w:rPr>
                <w:sz w:val="20"/>
              </w:rPr>
              <w:t>1.80</w:t>
            </w:r>
            <w:r w:rsidR="005C04D0" w:rsidRPr="00CC731E">
              <w:rPr>
                <w:sz w:val="20"/>
              </w:rPr>
              <w:t>%</w:t>
            </w:r>
          </w:p>
        </w:tc>
      </w:tr>
      <w:tr w:rsidR="005C04D0" w:rsidRPr="00CC731E" w14:paraId="06995DC2" w14:textId="77777777" w:rsidTr="00A3430F">
        <w:tc>
          <w:tcPr>
            <w:tcW w:w="1530" w:type="dxa"/>
            <w:shd w:val="clear" w:color="auto" w:fill="auto"/>
            <w:vAlign w:val="center"/>
          </w:tcPr>
          <w:p w14:paraId="2C7E0E1B" w14:textId="77777777" w:rsidR="005C04D0" w:rsidRPr="00CC731E" w:rsidRDefault="005C04D0" w:rsidP="00A3430F">
            <w:pPr>
              <w:pStyle w:val="List"/>
              <w:ind w:left="0" w:firstLine="0"/>
              <w:jc w:val="center"/>
              <w:rPr>
                <w:sz w:val="20"/>
              </w:rPr>
            </w:pPr>
            <w:r w:rsidRPr="00CC731E">
              <w:rPr>
                <w:sz w:val="20"/>
              </w:rPr>
              <w:t>AA-</w:t>
            </w:r>
          </w:p>
        </w:tc>
        <w:tc>
          <w:tcPr>
            <w:tcW w:w="1440" w:type="dxa"/>
            <w:shd w:val="clear" w:color="auto" w:fill="auto"/>
            <w:vAlign w:val="center"/>
          </w:tcPr>
          <w:p w14:paraId="7AEFE098" w14:textId="77777777" w:rsidR="005C04D0" w:rsidRPr="00CC731E" w:rsidRDefault="005C04D0" w:rsidP="00A3430F">
            <w:pPr>
              <w:pStyle w:val="List"/>
              <w:ind w:left="0" w:firstLine="0"/>
              <w:jc w:val="center"/>
              <w:rPr>
                <w:sz w:val="20"/>
              </w:rPr>
            </w:pPr>
            <w:r w:rsidRPr="00CC731E">
              <w:rPr>
                <w:sz w:val="20"/>
              </w:rPr>
              <w:t>Aa3</w:t>
            </w:r>
          </w:p>
        </w:tc>
        <w:tc>
          <w:tcPr>
            <w:tcW w:w="2335" w:type="dxa"/>
            <w:shd w:val="clear" w:color="auto" w:fill="auto"/>
            <w:vAlign w:val="center"/>
          </w:tcPr>
          <w:p w14:paraId="5F882FA9" w14:textId="076F4F7C" w:rsidR="005C04D0" w:rsidRPr="00CC731E" w:rsidRDefault="00D06677" w:rsidP="00A3430F">
            <w:pPr>
              <w:pStyle w:val="List"/>
              <w:ind w:left="0" w:firstLine="0"/>
              <w:jc w:val="center"/>
              <w:rPr>
                <w:sz w:val="20"/>
              </w:rPr>
            </w:pPr>
            <w:r>
              <w:rPr>
                <w:sz w:val="20"/>
              </w:rPr>
              <w:t>1.70</w:t>
            </w:r>
            <w:r w:rsidR="005C04D0" w:rsidRPr="00CC731E">
              <w:rPr>
                <w:sz w:val="20"/>
              </w:rPr>
              <w:t>%</w:t>
            </w:r>
          </w:p>
        </w:tc>
      </w:tr>
      <w:tr w:rsidR="005C04D0" w:rsidRPr="00CC731E" w14:paraId="25555B38" w14:textId="77777777" w:rsidTr="00A3430F">
        <w:tc>
          <w:tcPr>
            <w:tcW w:w="1530" w:type="dxa"/>
            <w:shd w:val="clear" w:color="auto" w:fill="auto"/>
            <w:vAlign w:val="center"/>
          </w:tcPr>
          <w:p w14:paraId="44AE9C84" w14:textId="77777777" w:rsidR="005C04D0" w:rsidRPr="00CC731E" w:rsidRDefault="005C04D0" w:rsidP="00A3430F">
            <w:pPr>
              <w:pStyle w:val="List"/>
              <w:ind w:left="0" w:firstLine="0"/>
              <w:jc w:val="center"/>
              <w:rPr>
                <w:sz w:val="20"/>
              </w:rPr>
            </w:pPr>
            <w:r w:rsidRPr="00CC731E">
              <w:rPr>
                <w:sz w:val="20"/>
              </w:rPr>
              <w:t>A+</w:t>
            </w:r>
          </w:p>
        </w:tc>
        <w:tc>
          <w:tcPr>
            <w:tcW w:w="1440" w:type="dxa"/>
            <w:shd w:val="clear" w:color="auto" w:fill="auto"/>
            <w:vAlign w:val="center"/>
          </w:tcPr>
          <w:p w14:paraId="79B740E7" w14:textId="77777777" w:rsidR="005C04D0" w:rsidRPr="00CC731E" w:rsidRDefault="005C04D0" w:rsidP="00A3430F">
            <w:pPr>
              <w:pStyle w:val="List"/>
              <w:ind w:left="0" w:firstLine="0"/>
              <w:jc w:val="center"/>
              <w:rPr>
                <w:sz w:val="20"/>
              </w:rPr>
            </w:pPr>
            <w:r w:rsidRPr="00CC731E">
              <w:rPr>
                <w:sz w:val="20"/>
              </w:rPr>
              <w:t>A1</w:t>
            </w:r>
          </w:p>
        </w:tc>
        <w:tc>
          <w:tcPr>
            <w:tcW w:w="2335" w:type="dxa"/>
            <w:shd w:val="clear" w:color="auto" w:fill="auto"/>
            <w:vAlign w:val="center"/>
          </w:tcPr>
          <w:p w14:paraId="0641CCAA" w14:textId="2BF0CEE5" w:rsidR="005C04D0" w:rsidRPr="00CC731E" w:rsidRDefault="00D06677" w:rsidP="00A3430F">
            <w:pPr>
              <w:pStyle w:val="List"/>
              <w:ind w:left="0" w:firstLine="0"/>
              <w:jc w:val="center"/>
              <w:rPr>
                <w:sz w:val="20"/>
              </w:rPr>
            </w:pPr>
            <w:r>
              <w:rPr>
                <w:sz w:val="20"/>
              </w:rPr>
              <w:t>1.60</w:t>
            </w:r>
            <w:r w:rsidR="005C04D0" w:rsidRPr="00CC731E">
              <w:rPr>
                <w:sz w:val="20"/>
              </w:rPr>
              <w:t>%</w:t>
            </w:r>
          </w:p>
        </w:tc>
      </w:tr>
      <w:tr w:rsidR="005C04D0" w:rsidRPr="00CC731E" w14:paraId="07B6253F" w14:textId="77777777" w:rsidTr="00A3430F">
        <w:tc>
          <w:tcPr>
            <w:tcW w:w="1530" w:type="dxa"/>
            <w:shd w:val="clear" w:color="auto" w:fill="auto"/>
            <w:vAlign w:val="center"/>
          </w:tcPr>
          <w:p w14:paraId="5699356E" w14:textId="77777777" w:rsidR="005C04D0" w:rsidRPr="00CC731E" w:rsidRDefault="005C04D0" w:rsidP="00A3430F">
            <w:pPr>
              <w:pStyle w:val="List"/>
              <w:ind w:left="0" w:firstLine="0"/>
              <w:jc w:val="center"/>
              <w:rPr>
                <w:sz w:val="20"/>
              </w:rPr>
            </w:pPr>
            <w:r w:rsidRPr="00CC731E">
              <w:rPr>
                <w:sz w:val="20"/>
              </w:rPr>
              <w:t>A</w:t>
            </w:r>
          </w:p>
        </w:tc>
        <w:tc>
          <w:tcPr>
            <w:tcW w:w="1440" w:type="dxa"/>
            <w:shd w:val="clear" w:color="auto" w:fill="auto"/>
            <w:vAlign w:val="center"/>
          </w:tcPr>
          <w:p w14:paraId="4EA39EBE" w14:textId="77777777" w:rsidR="005C04D0" w:rsidRPr="00CC731E" w:rsidRDefault="005C04D0" w:rsidP="00A3430F">
            <w:pPr>
              <w:pStyle w:val="List"/>
              <w:ind w:left="0" w:firstLine="0"/>
              <w:jc w:val="center"/>
              <w:rPr>
                <w:sz w:val="20"/>
              </w:rPr>
            </w:pPr>
            <w:r w:rsidRPr="00CC731E">
              <w:rPr>
                <w:sz w:val="20"/>
              </w:rPr>
              <w:t>A2</w:t>
            </w:r>
          </w:p>
        </w:tc>
        <w:tc>
          <w:tcPr>
            <w:tcW w:w="2335" w:type="dxa"/>
            <w:shd w:val="clear" w:color="auto" w:fill="auto"/>
            <w:vAlign w:val="center"/>
          </w:tcPr>
          <w:p w14:paraId="760DBA6F" w14:textId="11A9E464" w:rsidR="005C04D0" w:rsidRPr="00CC731E" w:rsidRDefault="00D06677" w:rsidP="00A3430F">
            <w:pPr>
              <w:pStyle w:val="List"/>
              <w:ind w:left="0" w:firstLine="0"/>
              <w:jc w:val="center"/>
              <w:rPr>
                <w:sz w:val="20"/>
              </w:rPr>
            </w:pPr>
            <w:r>
              <w:rPr>
                <w:sz w:val="20"/>
              </w:rPr>
              <w:t>1.50</w:t>
            </w:r>
            <w:r w:rsidR="005C04D0" w:rsidRPr="00CC731E">
              <w:rPr>
                <w:sz w:val="20"/>
              </w:rPr>
              <w:t>%</w:t>
            </w:r>
          </w:p>
        </w:tc>
      </w:tr>
      <w:tr w:rsidR="005C04D0" w:rsidRPr="00CC731E" w14:paraId="72BDF294" w14:textId="77777777" w:rsidTr="00A3430F">
        <w:tc>
          <w:tcPr>
            <w:tcW w:w="1530" w:type="dxa"/>
            <w:shd w:val="clear" w:color="auto" w:fill="auto"/>
            <w:vAlign w:val="center"/>
          </w:tcPr>
          <w:p w14:paraId="71BF8B2B" w14:textId="77777777" w:rsidR="005C04D0" w:rsidRPr="00CC731E" w:rsidRDefault="005C04D0" w:rsidP="00A3430F">
            <w:pPr>
              <w:pStyle w:val="List"/>
              <w:ind w:left="0" w:firstLine="0"/>
              <w:jc w:val="center"/>
              <w:rPr>
                <w:sz w:val="20"/>
              </w:rPr>
            </w:pPr>
            <w:r w:rsidRPr="00CC731E">
              <w:rPr>
                <w:sz w:val="20"/>
              </w:rPr>
              <w:t>A-</w:t>
            </w:r>
          </w:p>
        </w:tc>
        <w:tc>
          <w:tcPr>
            <w:tcW w:w="1440" w:type="dxa"/>
            <w:shd w:val="clear" w:color="auto" w:fill="auto"/>
            <w:vAlign w:val="center"/>
          </w:tcPr>
          <w:p w14:paraId="5C4AF40B" w14:textId="77777777" w:rsidR="005C04D0" w:rsidRPr="00CC731E" w:rsidRDefault="005C04D0" w:rsidP="00A3430F">
            <w:pPr>
              <w:pStyle w:val="List"/>
              <w:ind w:left="0" w:firstLine="0"/>
              <w:jc w:val="center"/>
              <w:rPr>
                <w:sz w:val="20"/>
              </w:rPr>
            </w:pPr>
            <w:r w:rsidRPr="00CC731E">
              <w:rPr>
                <w:sz w:val="20"/>
              </w:rPr>
              <w:t>A3</w:t>
            </w:r>
          </w:p>
        </w:tc>
        <w:tc>
          <w:tcPr>
            <w:tcW w:w="2335" w:type="dxa"/>
            <w:shd w:val="clear" w:color="auto" w:fill="auto"/>
            <w:vAlign w:val="center"/>
          </w:tcPr>
          <w:p w14:paraId="42813AEA" w14:textId="158E2E63" w:rsidR="005C04D0" w:rsidRPr="00CC731E" w:rsidRDefault="00D06677" w:rsidP="00A3430F">
            <w:pPr>
              <w:pStyle w:val="List"/>
              <w:ind w:left="0" w:firstLine="0"/>
              <w:jc w:val="center"/>
              <w:rPr>
                <w:sz w:val="20"/>
              </w:rPr>
            </w:pPr>
            <w:r>
              <w:rPr>
                <w:sz w:val="20"/>
              </w:rPr>
              <w:t>1.40</w:t>
            </w:r>
            <w:r w:rsidR="005C04D0" w:rsidRPr="00CC731E">
              <w:rPr>
                <w:sz w:val="20"/>
              </w:rPr>
              <w:t>%</w:t>
            </w:r>
          </w:p>
        </w:tc>
      </w:tr>
      <w:tr w:rsidR="005C04D0" w:rsidRPr="00CC731E" w14:paraId="00011312" w14:textId="77777777" w:rsidTr="00A3430F">
        <w:tc>
          <w:tcPr>
            <w:tcW w:w="1530" w:type="dxa"/>
            <w:shd w:val="clear" w:color="auto" w:fill="auto"/>
            <w:vAlign w:val="center"/>
          </w:tcPr>
          <w:p w14:paraId="7C101438" w14:textId="77777777" w:rsidR="005C04D0" w:rsidRPr="00CC731E" w:rsidRDefault="005C04D0" w:rsidP="00A3430F">
            <w:pPr>
              <w:pStyle w:val="List"/>
              <w:ind w:left="0" w:firstLine="0"/>
              <w:jc w:val="center"/>
              <w:rPr>
                <w:sz w:val="20"/>
              </w:rPr>
            </w:pPr>
            <w:r w:rsidRPr="00CC731E">
              <w:rPr>
                <w:sz w:val="20"/>
              </w:rPr>
              <w:t>Below A-</w:t>
            </w:r>
          </w:p>
        </w:tc>
        <w:tc>
          <w:tcPr>
            <w:tcW w:w="1440" w:type="dxa"/>
            <w:shd w:val="clear" w:color="auto" w:fill="auto"/>
            <w:vAlign w:val="center"/>
          </w:tcPr>
          <w:p w14:paraId="0FE49D4F" w14:textId="77777777" w:rsidR="005C04D0" w:rsidRPr="00CC731E" w:rsidRDefault="005C04D0" w:rsidP="00A3430F">
            <w:pPr>
              <w:pStyle w:val="List"/>
              <w:ind w:left="0" w:firstLine="0"/>
              <w:jc w:val="center"/>
              <w:rPr>
                <w:sz w:val="20"/>
              </w:rPr>
            </w:pPr>
            <w:r w:rsidRPr="00CC731E">
              <w:rPr>
                <w:sz w:val="20"/>
              </w:rPr>
              <w:t>Below A3</w:t>
            </w:r>
          </w:p>
        </w:tc>
        <w:tc>
          <w:tcPr>
            <w:tcW w:w="2335" w:type="dxa"/>
            <w:shd w:val="clear" w:color="auto" w:fill="auto"/>
            <w:vAlign w:val="center"/>
          </w:tcPr>
          <w:p w14:paraId="5073A801" w14:textId="77777777" w:rsidR="005C04D0" w:rsidRPr="00CC731E" w:rsidRDefault="005C04D0" w:rsidP="00A3430F">
            <w:pPr>
              <w:pStyle w:val="List"/>
              <w:ind w:left="0" w:firstLine="0"/>
              <w:jc w:val="center"/>
              <w:rPr>
                <w:sz w:val="20"/>
              </w:rPr>
            </w:pPr>
            <w:r w:rsidRPr="00CC731E">
              <w:rPr>
                <w:sz w:val="20"/>
              </w:rPr>
              <w:t>Not accepted</w:t>
            </w:r>
          </w:p>
        </w:tc>
      </w:tr>
    </w:tbl>
    <w:p w14:paraId="444551CF" w14:textId="1F6A6281" w:rsidR="005C04D0" w:rsidRPr="00CC731E" w:rsidRDefault="005C04D0" w:rsidP="005C04D0">
      <w:pPr>
        <w:pStyle w:val="List"/>
        <w:spacing w:before="240"/>
        <w:ind w:left="2880"/>
      </w:pPr>
      <w:r w:rsidRPr="00CC731E">
        <w:t>(A)</w:t>
      </w:r>
      <w:r w:rsidRPr="00CC731E">
        <w:tab/>
        <w:t xml:space="preserve">Each </w:t>
      </w:r>
      <w:r>
        <w:t>letter of credit</w:t>
      </w:r>
      <w:r w:rsidRPr="00CC731E">
        <w:t xml:space="preserve"> issuer limit is also subject to an overall limit of $750 million per issuer.</w:t>
      </w:r>
    </w:p>
    <w:p w14:paraId="32605BDA" w14:textId="77777777" w:rsidR="005C04D0" w:rsidRPr="00CC731E" w:rsidRDefault="005C04D0" w:rsidP="005C04D0">
      <w:pPr>
        <w:pStyle w:val="List"/>
        <w:ind w:left="2880"/>
      </w:pPr>
      <w:r w:rsidRPr="00CC731E">
        <w:t>(</w:t>
      </w:r>
      <w:r>
        <w:t>B</w:t>
      </w:r>
      <w:r w:rsidRPr="00CC731E">
        <w:t>)</w:t>
      </w:r>
      <w:r w:rsidRPr="00CC731E">
        <w:tab/>
        <w:t xml:space="preserve">Each Bank Business Day, ERCOT will issue a report of each </w:t>
      </w:r>
      <w:r>
        <w:t>letter of credit</w:t>
      </w:r>
      <w:r w:rsidRPr="00CC731E">
        <w:t xml:space="preserve"> issuer detailing the issuer’s dollar amount of the </w:t>
      </w:r>
      <w:r>
        <w:t>letters of credit</w:t>
      </w:r>
      <w:r w:rsidRPr="00CC731E">
        <w:t xml:space="preserve"> currently issued to ERCOT, the issuer’s computed aggregate concentration limit, and the unused capacity under that limit.  Market Participants may inquire of ERCOT about intra-day changes to the amount of posted </w:t>
      </w:r>
      <w:r>
        <w:t>letters of credit</w:t>
      </w:r>
      <w:r w:rsidRPr="00CC731E">
        <w:t>.</w:t>
      </w:r>
    </w:p>
    <w:p w14:paraId="35B07FE1" w14:textId="77777777" w:rsidR="005C04D0" w:rsidRPr="00CC731E" w:rsidRDefault="005C04D0" w:rsidP="005C04D0">
      <w:pPr>
        <w:pStyle w:val="List"/>
        <w:ind w:left="2880"/>
      </w:pPr>
      <w:r w:rsidRPr="00CC731E">
        <w:t>(</w:t>
      </w:r>
      <w:r>
        <w:t>C</w:t>
      </w:r>
      <w:r w:rsidRPr="00CC731E">
        <w:t>)</w:t>
      </w:r>
      <w:r w:rsidRPr="00CC731E">
        <w:tab/>
        <w:t xml:space="preserve">If a letter of credit issuer limit is breached, Counter-Parties utilizing that issuer will be notified and no new </w:t>
      </w:r>
      <w:r>
        <w:t>letters of credit</w:t>
      </w:r>
      <w:r w:rsidRPr="00CC731E">
        <w:t xml:space="preserve"> from the issuer will be accepted while the limit remains breached.</w:t>
      </w:r>
    </w:p>
    <w:p w14:paraId="4F26B1BB" w14:textId="77777777" w:rsidR="005C04D0" w:rsidRPr="00CC731E" w:rsidRDefault="005C04D0" w:rsidP="005C04D0">
      <w:pPr>
        <w:pStyle w:val="List"/>
        <w:ind w:left="2880"/>
      </w:pPr>
      <w:r w:rsidRPr="00CC731E">
        <w:t>(</w:t>
      </w:r>
      <w:r>
        <w:t>D</w:t>
      </w:r>
      <w:r w:rsidRPr="00CC731E">
        <w:t>)</w:t>
      </w:r>
      <w:r w:rsidRPr="00CC731E">
        <w:tab/>
        <w:t xml:space="preserve">After four months of the limit in breach, ERCOT will no longer accept new </w:t>
      </w:r>
      <w:r>
        <w:t>letters of credit</w:t>
      </w:r>
      <w:r w:rsidRPr="00CC731E">
        <w:t xml:space="preserve"> or amendments to existing </w:t>
      </w:r>
      <w:r>
        <w:t>letters of credit</w:t>
      </w:r>
      <w:r w:rsidRPr="00CC731E">
        <w:t xml:space="preserve"> from that issuer.</w:t>
      </w:r>
    </w:p>
    <w:p w14:paraId="1A7D285B" w14:textId="77777777" w:rsidR="005C04D0" w:rsidRPr="00CC731E" w:rsidRDefault="005C04D0" w:rsidP="005C04D0">
      <w:pPr>
        <w:pStyle w:val="List"/>
        <w:ind w:left="2880"/>
      </w:pPr>
      <w:r w:rsidRPr="00CC731E">
        <w:t>(</w:t>
      </w:r>
      <w:r>
        <w:t>E</w:t>
      </w:r>
      <w:r w:rsidRPr="00CC731E">
        <w:t>)</w:t>
      </w:r>
      <w:r w:rsidRPr="00CC731E">
        <w:tab/>
      </w:r>
      <w:r>
        <w:t>Letters of credit</w:t>
      </w:r>
      <w:r w:rsidRPr="00CC731E">
        <w:t xml:space="preserve"> held as collateral at the time of an issuer limit breach will not be rejected.</w:t>
      </w:r>
    </w:p>
    <w:p w14:paraId="4E81E13B" w14:textId="77777777" w:rsidR="005C04D0" w:rsidRDefault="005C04D0" w:rsidP="005C04D0">
      <w:pPr>
        <w:pStyle w:val="List"/>
        <w:ind w:left="2880"/>
      </w:pPr>
      <w:r w:rsidRPr="00CC731E">
        <w:t>(</w:t>
      </w:r>
      <w:r>
        <w:t>F</w:t>
      </w:r>
      <w:r w:rsidRPr="00CC731E">
        <w:t>)</w:t>
      </w:r>
      <w:r w:rsidRPr="00CC731E">
        <w:tab/>
        <w:t xml:space="preserve">ERCOT in its sole discretion may authorize exceptions to these limits. </w:t>
      </w:r>
      <w:r>
        <w:t xml:space="preserve"> </w:t>
      </w:r>
    </w:p>
    <w:p w14:paraId="67AA7AC9" w14:textId="77777777" w:rsidR="005C04D0" w:rsidRPr="00CC731E" w:rsidRDefault="005C04D0" w:rsidP="005C04D0">
      <w:pPr>
        <w:pStyle w:val="List"/>
        <w:ind w:left="2880"/>
      </w:pPr>
      <w:r>
        <w:lastRenderedPageBreak/>
        <w:t>(G)</w:t>
      </w:r>
      <w:r>
        <w:tab/>
      </w:r>
      <w:r w:rsidRPr="00CC731E">
        <w:t xml:space="preserve">Revisions to the issuer limit calculation in this Section will be recommended by </w:t>
      </w:r>
      <w:r>
        <w:t>the Technical Advisory Committee (</w:t>
      </w:r>
      <w:r w:rsidRPr="00CC731E">
        <w:t>TAC</w:t>
      </w:r>
      <w:r>
        <w:t>)</w:t>
      </w:r>
      <w:r w:rsidRPr="00CC731E">
        <w:t xml:space="preserve"> and approved by the ERCOT Board.  ERCOT shall update parameter values on the first day of the month following ERCOT Board approval unless otherwise directed by the ERCOT Board.  ERCOT shall provide a Market Notice prior to implementation of a revised parameter value.</w:t>
      </w:r>
    </w:p>
    <w:p w14:paraId="12354F82" w14:textId="77777777" w:rsidR="005C04D0" w:rsidRPr="00CC731E" w:rsidRDefault="005C04D0" w:rsidP="005C04D0">
      <w:pPr>
        <w:pStyle w:val="List"/>
      </w:pPr>
      <w:r w:rsidRPr="00CC731E">
        <w:t>(</w:t>
      </w:r>
      <w:r>
        <w:t>b</w:t>
      </w:r>
      <w:r w:rsidRPr="00CC731E">
        <w:t>)</w:t>
      </w:r>
      <w:r w:rsidRPr="00CC731E">
        <w:tab/>
        <w:t xml:space="preserve">The Counter-Party may give a surety bond naming ERCOT as the beneficiary.  </w:t>
      </w:r>
    </w:p>
    <w:p w14:paraId="2237E394" w14:textId="77777777" w:rsidR="005C04D0" w:rsidRPr="00CC731E" w:rsidRDefault="005C04D0" w:rsidP="005C04D0">
      <w:pPr>
        <w:pStyle w:val="List"/>
        <w:ind w:left="2160"/>
      </w:pPr>
      <w:r w:rsidRPr="00CC731E">
        <w:t>(i)</w:t>
      </w:r>
      <w:r w:rsidRPr="00CC731E">
        <w:tab/>
        <w:t>The surety bond must be signed by a surety acceptable to ERCOT, in its sole discretion and must be in the form of ERCOT’s standard surety bond form approved by the ERCOT Board.  No modifications to the form are permitted.</w:t>
      </w:r>
    </w:p>
    <w:p w14:paraId="552264D4" w14:textId="77777777" w:rsidR="005C04D0" w:rsidRPr="00CC731E" w:rsidRDefault="005C04D0" w:rsidP="005C04D0">
      <w:pPr>
        <w:pStyle w:val="List"/>
        <w:ind w:left="2160"/>
      </w:pPr>
      <w:r w:rsidRPr="00CC731E">
        <w:t>(ii)</w:t>
      </w:r>
      <w:r w:rsidRPr="00CC731E">
        <w:tab/>
        <w:t>The surety bond must be issued by an insurance company with a minimum rating of A- with S&amp;P or Fitch or A3 with Moody’s.</w:t>
      </w:r>
    </w:p>
    <w:p w14:paraId="2382FE78" w14:textId="77777777" w:rsidR="005C04D0" w:rsidRPr="00CC731E" w:rsidRDefault="005C04D0" w:rsidP="005C04D0">
      <w:pPr>
        <w:pStyle w:val="List"/>
        <w:ind w:left="2160"/>
      </w:pPr>
      <w:r w:rsidRPr="00CC731E">
        <w:t>(iii)</w:t>
      </w:r>
      <w:r w:rsidRPr="00CC731E">
        <w:tab/>
        <w:t>Surety bonds are subject to a limit of $10 million per Counter-Party per insurer and an overall limit of $100 million per insurer for all ERCOT Counter-Parties.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06677" w14:paraId="2F9BDD37" w14:textId="77777777" w:rsidTr="00D4184B">
        <w:tc>
          <w:tcPr>
            <w:tcW w:w="9332" w:type="dxa"/>
            <w:shd w:val="pct12" w:color="auto" w:fill="auto"/>
          </w:tcPr>
          <w:p w14:paraId="043746B3" w14:textId="1C4F8ED0" w:rsidR="00D06677" w:rsidRPr="0002450E" w:rsidRDefault="00D06677" w:rsidP="00D4184B">
            <w:pPr>
              <w:pStyle w:val="Instructions"/>
              <w:spacing w:before="120"/>
              <w:rPr>
                <w:iCs/>
              </w:rPr>
            </w:pPr>
            <w:r>
              <w:rPr>
                <w:iCs/>
              </w:rPr>
              <w:t>[NPRR1205</w:t>
            </w:r>
            <w:r w:rsidRPr="0002450E">
              <w:rPr>
                <w:iCs/>
              </w:rPr>
              <w:t xml:space="preserve">:  Replace </w:t>
            </w:r>
            <w:r>
              <w:rPr>
                <w:iCs/>
              </w:rPr>
              <w:t xml:space="preserve">paragraph (b) </w:t>
            </w:r>
            <w:r w:rsidRPr="0002450E">
              <w:rPr>
                <w:iCs/>
              </w:rPr>
              <w:t>above with the following upon system implementation:]</w:t>
            </w:r>
          </w:p>
          <w:p w14:paraId="06CA6107" w14:textId="77777777" w:rsidR="00D06677" w:rsidRPr="00B20198" w:rsidRDefault="00D06677" w:rsidP="00D06677">
            <w:pPr>
              <w:spacing w:after="240"/>
              <w:ind w:left="1440" w:hanging="720"/>
            </w:pPr>
            <w:r w:rsidRPr="00B20198">
              <w:t>(b)</w:t>
            </w:r>
            <w:r w:rsidRPr="00B20198">
              <w:tab/>
              <w:t xml:space="preserve">The Counter-Party may give a surety bond naming ERCOT as the beneficiary.  </w:t>
            </w:r>
          </w:p>
          <w:p w14:paraId="1CF8EE8F" w14:textId="77777777" w:rsidR="00D06677" w:rsidRPr="00B20198" w:rsidRDefault="00D06677" w:rsidP="00D06677">
            <w:pPr>
              <w:spacing w:after="240"/>
              <w:ind w:left="2160" w:hanging="720"/>
            </w:pPr>
            <w:r w:rsidRPr="00B20198">
              <w:t>(i)</w:t>
            </w:r>
            <w:r w:rsidRPr="00B20198">
              <w:tab/>
              <w:t>The surety bond must be signed by a surety acceptable to ERCOT, in its sole discretion and must be in the form of ERCOT’s standard surety bond form approved by the ERCOT Board.  No modifications to the form are permitted.</w:t>
            </w:r>
          </w:p>
          <w:p w14:paraId="14E4B373" w14:textId="77777777" w:rsidR="00D06677" w:rsidRPr="00B20198" w:rsidRDefault="00D06677" w:rsidP="00D06677">
            <w:pPr>
              <w:spacing w:after="240"/>
              <w:ind w:left="2160" w:hanging="720"/>
            </w:pPr>
            <w:r w:rsidRPr="00B20198">
              <w:t>(ii)</w:t>
            </w:r>
            <w:r w:rsidRPr="00B20198">
              <w:tab/>
              <w:t xml:space="preserve">The surety bond must be issued by an insurance company with a minimum rating of A- with S&amp;P </w:t>
            </w:r>
            <w:r>
              <w:t>and</w:t>
            </w:r>
            <w:r w:rsidRPr="00B20198">
              <w:t xml:space="preserve"> Fitch </w:t>
            </w:r>
            <w:r>
              <w:t>and</w:t>
            </w:r>
            <w:r w:rsidRPr="00B20198">
              <w:t xml:space="preserve"> A3 with Moody’s</w:t>
            </w:r>
            <w:r>
              <w:t>, if available</w:t>
            </w:r>
            <w:r w:rsidRPr="00B20198">
              <w:t xml:space="preserve">. </w:t>
            </w:r>
            <w:r>
              <w:t xml:space="preserve"> No surety bonds will be accepted from insurance companies, which are rated below A-/A3 by one or more rating agencies.  If there are split ratings amongst rating agencies, ERCOT will use the lowest of </w:t>
            </w:r>
            <w:r w:rsidRPr="00E57FBD">
              <w:t xml:space="preserve">different ratings </w:t>
            </w:r>
            <w:r w:rsidRPr="000E72B5">
              <w:t>within</w:t>
            </w:r>
            <w:r w:rsidRPr="00E57FBD">
              <w:t xml:space="preserve"> the same rating agency </w:t>
            </w:r>
            <w:r w:rsidRPr="000E72B5">
              <w:t>and</w:t>
            </w:r>
            <w:r w:rsidRPr="00E57FBD">
              <w:t xml:space="preserve"> amongst </w:t>
            </w:r>
            <w:r>
              <w:t xml:space="preserve">different </w:t>
            </w:r>
            <w:r w:rsidRPr="00E57FBD">
              <w:t>rating agencies</w:t>
            </w:r>
            <w:r>
              <w:t>.</w:t>
            </w:r>
          </w:p>
          <w:p w14:paraId="24C511E7" w14:textId="01749DBB" w:rsidR="00D06677" w:rsidRDefault="00D06677" w:rsidP="00D06677">
            <w:pPr>
              <w:pStyle w:val="List"/>
              <w:ind w:left="2160"/>
            </w:pPr>
            <w:r w:rsidRPr="00B20198">
              <w:t>(iii)</w:t>
            </w:r>
            <w:r w:rsidRPr="00B20198">
              <w:tab/>
              <w:t xml:space="preserve">Surety bonds are subject to a limit of $10 million per Counter-Party per insurer and an overall limit of $100 million per insurer for all ERCOT Counter-Parties. </w:t>
            </w:r>
            <w:r w:rsidR="006F5322">
              <w:t xml:space="preserve"> </w:t>
            </w:r>
            <w:r>
              <w:t>This overall limit is aggregated for the entire corporate family in case of multiple insurance companies belonging to the same corporate family.</w:t>
            </w:r>
          </w:p>
          <w:p w14:paraId="579FFC38" w14:textId="6716F6DF" w:rsidR="00D06677" w:rsidRPr="008D69E1" w:rsidRDefault="00D06677" w:rsidP="00D06677">
            <w:pPr>
              <w:pStyle w:val="List"/>
              <w:ind w:left="2160"/>
            </w:pPr>
            <w:r>
              <w:lastRenderedPageBreak/>
              <w:t>(iv)</w:t>
            </w:r>
            <w:r>
              <w:tab/>
            </w:r>
            <w:r w:rsidRPr="00CC731E">
              <w:t xml:space="preserve">The surety bond must be issued by an insurance company with a minimum </w:t>
            </w:r>
            <w:r>
              <w:t>financial size category of XII as determined by AM Best.</w:t>
            </w:r>
          </w:p>
        </w:tc>
      </w:tr>
    </w:tbl>
    <w:p w14:paraId="7369192F" w14:textId="2F852136" w:rsidR="005C04D0" w:rsidRDefault="005C04D0" w:rsidP="000E72B5">
      <w:pPr>
        <w:spacing w:before="240" w:after="240"/>
        <w:ind w:left="1440" w:hanging="720"/>
      </w:pPr>
      <w:r w:rsidRPr="00AF4A46">
        <w:lastRenderedPageBreak/>
        <w:t>(</w:t>
      </w:r>
      <w:r>
        <w:t>c</w:t>
      </w:r>
      <w:r w:rsidRPr="00AF4A46">
        <w:t>)</w:t>
      </w:r>
      <w:r w:rsidRPr="00AF4A46">
        <w:tab/>
        <w:t xml:space="preserve">The Counter-Party may deposit Cash Collateral with ERCOT with the understanding that ERCOT may draw part or all of the deposited cash to satisfy any overdue payments owed by the Counter-Party to ERCOT.  The Cash Collateral </w:t>
      </w:r>
      <w:r w:rsidR="001D1905">
        <w:t>shall</w:t>
      </w:r>
      <w:r w:rsidR="001D1905" w:rsidRPr="001D1905">
        <w:t xml:space="preserve"> </w:t>
      </w:r>
      <w:r w:rsidR="001D1905" w:rsidRPr="002A0C70">
        <w:t>be invested pursuant to the ERCOT Investment Corporate Standard and all</w:t>
      </w:r>
      <w:r w:rsidRPr="00AF4A46">
        <w:t xml:space="preserve"> interest </w:t>
      </w:r>
      <w:r w:rsidR="001D1905" w:rsidRPr="002A0C70">
        <w:t xml:space="preserve">received on Cash Collateral will be </w:t>
      </w:r>
      <w:r w:rsidRPr="00AF4A46">
        <w:t>payable directly to the Counter-Party</w:t>
      </w:r>
      <w:r w:rsidR="001D1905">
        <w:t>;</w:t>
      </w:r>
      <w:r w:rsidR="001D1905" w:rsidRPr="001D1905">
        <w:t xml:space="preserve"> </w:t>
      </w:r>
      <w:r w:rsidR="001D1905" w:rsidRPr="002A0C70">
        <w:t>provided, however</w:t>
      </w:r>
      <w:r w:rsidRPr="00AF4A46">
        <w:t xml:space="preserve">, </w:t>
      </w:r>
      <w:r w:rsidR="001D1905">
        <w:t>that</w:t>
      </w:r>
      <w:r w:rsidRPr="00AF4A46">
        <w:t xml:space="preserve"> any such arrangements may not restrict ERCOT’s immediate access to the cash.  </w:t>
      </w:r>
    </w:p>
    <w:p w14:paraId="21F806E1" w14:textId="32A194DA" w:rsidR="005C04D0" w:rsidRDefault="005C04D0" w:rsidP="005C04D0">
      <w:pPr>
        <w:spacing w:after="240"/>
        <w:ind w:left="2160" w:hanging="720"/>
      </w:pPr>
      <w:r>
        <w:t>(i)</w:t>
      </w:r>
      <w:r>
        <w:tab/>
        <w:t xml:space="preserve">Interest on Cash Collateral will be calculated </w:t>
      </w:r>
      <w:r w:rsidR="001D1905" w:rsidRPr="002A0C70">
        <w:t xml:space="preserve">on a monthly basis, </w:t>
      </w:r>
      <w:r>
        <w:t xml:space="preserve">based on </w:t>
      </w:r>
      <w:r w:rsidR="001D1905" w:rsidRPr="002A0C70">
        <w:t>average daily balances of the</w:t>
      </w:r>
      <w:r w:rsidR="001D1905">
        <w:t xml:space="preserve"> </w:t>
      </w:r>
      <w:r>
        <w:t>Counter-Party Cash Collateral.  Interest is not paid on Cash Collateral balances held by ERCOT where, in accordance with paragraph (4) of Section 16.11.7, Release of Market Participant’s Financial Security Requirement, the Counter-Party’s Standard Form Market Participant Agreement has been terminated and ERCOT has determined that no obligations remain owing or will become due and payable.</w:t>
      </w:r>
    </w:p>
    <w:p w14:paraId="69B4203F" w14:textId="5F899C0E" w:rsidR="005C04D0" w:rsidRDefault="005C04D0" w:rsidP="00FE4B56">
      <w:pPr>
        <w:pStyle w:val="List"/>
        <w:ind w:left="2160"/>
      </w:pPr>
      <w:r>
        <w:t>(ii)</w:t>
      </w:r>
      <w:r>
        <w:tab/>
      </w:r>
      <w:r w:rsidR="001D1905" w:rsidRPr="002A0C70">
        <w:t>On or before the 15th Bank Business Day of each month</w:t>
      </w:r>
      <w:r w:rsidRPr="00AF4A46">
        <w:t>, ERCOT will</w:t>
      </w:r>
      <w:r w:rsidR="001D1905" w:rsidRPr="002A0C70" w:rsidDel="00B71774">
        <w:t xml:space="preserve"> </w:t>
      </w:r>
      <w:r w:rsidR="001D1905" w:rsidRPr="002A0C70">
        <w:t>credit each Counter-Party’s Cash Collateral account for the amount of interest calculated for Cash Collateral held by ERCOT for the prior month</w:t>
      </w:r>
      <w:r w:rsidR="001D1905">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1D1905" w14:paraId="45EA6EC1" w14:textId="77777777" w:rsidTr="00E36168">
        <w:tc>
          <w:tcPr>
            <w:tcW w:w="9332" w:type="dxa"/>
            <w:shd w:val="pct12" w:color="auto" w:fill="auto"/>
          </w:tcPr>
          <w:p w14:paraId="649CFFA0" w14:textId="0358F1F4" w:rsidR="001D1905" w:rsidRPr="0002450E" w:rsidRDefault="001D1905" w:rsidP="00E36168">
            <w:pPr>
              <w:pStyle w:val="Instructions"/>
              <w:spacing w:before="120"/>
              <w:rPr>
                <w:iCs/>
              </w:rPr>
            </w:pPr>
            <w:r>
              <w:rPr>
                <w:iCs/>
              </w:rPr>
              <w:t>[NPRR1184</w:t>
            </w:r>
            <w:r w:rsidRPr="0002450E">
              <w:rPr>
                <w:iCs/>
              </w:rPr>
              <w:t xml:space="preserve">:  </w:t>
            </w:r>
            <w:r>
              <w:rPr>
                <w:iCs/>
              </w:rPr>
              <w:t>Insert paragraph (iii) below</w:t>
            </w:r>
            <w:r w:rsidRPr="0002450E">
              <w:rPr>
                <w:iCs/>
              </w:rPr>
              <w:t xml:space="preserve"> upon system implementation</w:t>
            </w:r>
            <w:r>
              <w:rPr>
                <w:iCs/>
              </w:rPr>
              <w:t xml:space="preserve"> and renumber accordingly</w:t>
            </w:r>
            <w:r w:rsidRPr="0002450E">
              <w:rPr>
                <w:iCs/>
              </w:rPr>
              <w:t xml:space="preserve">:] </w:t>
            </w:r>
          </w:p>
          <w:p w14:paraId="37C61A44" w14:textId="0D22CB15" w:rsidR="001D1905" w:rsidRPr="002D6ABD" w:rsidRDefault="001D1905" w:rsidP="001D1905">
            <w:pPr>
              <w:spacing w:after="240"/>
              <w:ind w:left="2160" w:hanging="720"/>
            </w:pPr>
            <w:r>
              <w:t xml:space="preserve">(iii)      </w:t>
            </w:r>
            <w:r w:rsidRPr="002A0C70">
              <w:t>In addition, ERCOT will provide a report containing details on how the interest amount was calculated for that month, which shall include, at a minimum, the daily principal amount of the Cash Collateral held from the Counter-Party and the imputed yield.</w:t>
            </w:r>
          </w:p>
        </w:tc>
      </w:tr>
    </w:tbl>
    <w:p w14:paraId="147657AA" w14:textId="18B09C23" w:rsidR="002D6ABD" w:rsidRDefault="005C04D0" w:rsidP="00FE4B56">
      <w:pPr>
        <w:spacing w:before="240" w:after="240"/>
        <w:ind w:left="2160" w:hanging="720"/>
      </w:pPr>
      <w:r>
        <w:t>(iii)</w:t>
      </w:r>
      <w:r>
        <w:tab/>
      </w:r>
      <w:r w:rsidRPr="00AF4A46">
        <w:t>ERCOT has a</w:t>
      </w:r>
      <w:r w:rsidR="001D1905">
        <w:t xml:space="preserve"> first priority</w:t>
      </w:r>
      <w:r w:rsidRPr="00AF4A46">
        <w:t xml:space="preserve"> security interest in all property delivered by the Counter-Party to ERCOT from time to tim</w:t>
      </w:r>
      <w:r>
        <w:t xml:space="preserve">e to meet the creditworthiness </w:t>
      </w:r>
      <w:r w:rsidRPr="00AF4A46">
        <w:t>requirements, and that property secures all amounts owed by the Counter-Party to ERCOT.</w:t>
      </w:r>
    </w:p>
    <w:p w14:paraId="7FD6B095" w14:textId="77777777" w:rsidR="00FC1C5F" w:rsidRDefault="00727E32" w:rsidP="00FE4B56">
      <w:pPr>
        <w:pStyle w:val="H3"/>
      </w:pPr>
      <w:bookmarkStart w:id="464" w:name="_Toc390438965"/>
      <w:bookmarkStart w:id="465" w:name="_Toc405897662"/>
      <w:bookmarkStart w:id="466" w:name="_Toc415055766"/>
      <w:bookmarkStart w:id="467" w:name="_Toc415055892"/>
      <w:bookmarkStart w:id="468" w:name="_Toc415055991"/>
      <w:bookmarkStart w:id="469" w:name="_Toc415056092"/>
      <w:bookmarkStart w:id="470" w:name="_Toc175159162"/>
      <w:r>
        <w:t>16.11.4</w:t>
      </w:r>
      <w:r>
        <w:tab/>
        <w:t>Determination and Monitoring of Counter-Party Credit Exposure</w:t>
      </w:r>
      <w:bookmarkEnd w:id="464"/>
      <w:bookmarkEnd w:id="465"/>
      <w:bookmarkEnd w:id="466"/>
      <w:bookmarkEnd w:id="467"/>
      <w:bookmarkEnd w:id="468"/>
      <w:bookmarkEnd w:id="469"/>
      <w:bookmarkEnd w:id="470"/>
    </w:p>
    <w:p w14:paraId="6A413844" w14:textId="77777777" w:rsidR="00856F40" w:rsidRPr="0002450E" w:rsidRDefault="00856F40" w:rsidP="00856F40">
      <w:pPr>
        <w:pStyle w:val="H4"/>
        <w:spacing w:before="120"/>
        <w:ind w:left="1267" w:hanging="1267"/>
        <w:rPr>
          <w:b/>
          <w:bCs/>
        </w:rPr>
      </w:pPr>
      <w:bookmarkStart w:id="471" w:name="_Toc390438966"/>
      <w:bookmarkStart w:id="472" w:name="_Toc405897663"/>
      <w:bookmarkStart w:id="473" w:name="_Toc415055767"/>
      <w:bookmarkStart w:id="474" w:name="_Toc415055893"/>
      <w:bookmarkStart w:id="475" w:name="_Toc415055992"/>
      <w:bookmarkStart w:id="476" w:name="_Toc415056093"/>
      <w:bookmarkStart w:id="477" w:name="_Toc175159163"/>
      <w:r w:rsidRPr="0002450E">
        <w:rPr>
          <w:b/>
          <w:bCs/>
        </w:rPr>
        <w:t>16.11.4.1</w:t>
      </w:r>
      <w:r w:rsidRPr="0002450E">
        <w:rPr>
          <w:b/>
          <w:bCs/>
        </w:rPr>
        <w:tab/>
        <w:t>Determination of Total Potential Exposure for a Counter-Party</w:t>
      </w:r>
      <w:bookmarkEnd w:id="471"/>
      <w:bookmarkEnd w:id="472"/>
      <w:bookmarkEnd w:id="473"/>
      <w:bookmarkEnd w:id="474"/>
      <w:bookmarkEnd w:id="475"/>
      <w:bookmarkEnd w:id="476"/>
      <w:bookmarkEnd w:id="477"/>
    </w:p>
    <w:p w14:paraId="2812848F" w14:textId="77777777" w:rsidR="005C04D0" w:rsidRDefault="005C04D0" w:rsidP="005C04D0">
      <w:pPr>
        <w:pStyle w:val="BodyTextNumbered"/>
      </w:pPr>
      <w:r>
        <w:t>(1)</w:t>
      </w:r>
      <w:r>
        <w:tab/>
        <w:t>A Counter-Party’s TPE is the sum of its “Total Potential Exposure Any” (TPEA) and TPES:</w:t>
      </w:r>
    </w:p>
    <w:p w14:paraId="69743CAF" w14:textId="77777777" w:rsidR="005C04D0" w:rsidRDefault="005C04D0" w:rsidP="005C04D0">
      <w:pPr>
        <w:pStyle w:val="BodyTextNumbered"/>
        <w:ind w:left="1440"/>
      </w:pPr>
      <w:r>
        <w:lastRenderedPageBreak/>
        <w:t>(a)</w:t>
      </w:r>
      <w:r>
        <w:tab/>
        <w:t>TPEA is the positive net exposure of the Counter-Party not included in TPES.</w:t>
      </w:r>
    </w:p>
    <w:p w14:paraId="6A58A4CF" w14:textId="77777777" w:rsidR="005C04D0" w:rsidRDefault="005C04D0" w:rsidP="005C04D0">
      <w:pPr>
        <w:pStyle w:val="BodyTextNumbered"/>
        <w:ind w:left="1440"/>
      </w:pPr>
      <w:r>
        <w:t>(b)</w:t>
      </w:r>
      <w:r>
        <w:tab/>
        <w:t>TPES is the positive net exposure of the Counter-Party for Future Credit Exposure (FCE) and the Independent Amount (IA).</w:t>
      </w:r>
    </w:p>
    <w:p w14:paraId="2AAC7917" w14:textId="2DEB56A4" w:rsidR="002D0D49" w:rsidRDefault="002D0D49" w:rsidP="00FB1643">
      <w:pPr>
        <w:pStyle w:val="BodyTextNumbered"/>
      </w:pPr>
      <w:r>
        <w:t>(2)</w:t>
      </w:r>
      <w:r>
        <w:tab/>
        <w:t>For all Counter-Parties:</w:t>
      </w:r>
    </w:p>
    <w:p w14:paraId="35AE3E7F" w14:textId="77777777" w:rsidR="002D0D49" w:rsidRDefault="002D0D49" w:rsidP="002D0D49">
      <w:pPr>
        <w:pStyle w:val="BodyText"/>
        <w:tabs>
          <w:tab w:val="left" w:pos="1440"/>
        </w:tabs>
        <w:ind w:left="2160" w:hanging="1440"/>
      </w:pPr>
      <w:r w:rsidRPr="002C0418">
        <w:t xml:space="preserve">TPEA </w:t>
      </w:r>
      <w:r w:rsidRPr="002C0418">
        <w:tab/>
        <w:t xml:space="preserve">= </w:t>
      </w:r>
      <w:r w:rsidRPr="002C0418">
        <w:tab/>
        <w:t xml:space="preserve">Max [0, MCE, Max [0, </w:t>
      </w:r>
      <w:r w:rsidRPr="00FF36D0">
        <w:t xml:space="preserve">((1-TOA) * EAL </w:t>
      </w:r>
      <w:r w:rsidRPr="00FF36D0">
        <w:rPr>
          <w:i/>
          <w:vertAlign w:val="subscript"/>
        </w:rPr>
        <w:t>q</w:t>
      </w:r>
      <w:r w:rsidRPr="00FF36D0">
        <w:t xml:space="preserve"> + TOA * EAL</w:t>
      </w:r>
      <w:r>
        <w:t xml:space="preserve"> </w:t>
      </w:r>
      <w:r w:rsidRPr="00B3490C">
        <w:rPr>
          <w:i/>
          <w:vertAlign w:val="subscript"/>
        </w:rPr>
        <w:t>t</w:t>
      </w:r>
      <w:r w:rsidRPr="00D77426">
        <w:t xml:space="preserve"> +</w:t>
      </w:r>
      <w:r w:rsidRPr="002C0418">
        <w:rPr>
          <w:vertAlign w:val="subscript"/>
        </w:rPr>
        <w:t xml:space="preserve"> </w:t>
      </w:r>
      <w:r>
        <w:t xml:space="preserve">EAL </w:t>
      </w:r>
      <w:r w:rsidRPr="00D77426">
        <w:rPr>
          <w:i/>
          <w:vertAlign w:val="subscript"/>
        </w:rPr>
        <w:t>a</w:t>
      </w:r>
      <w:r>
        <w:t>)]] + PUL</w:t>
      </w:r>
    </w:p>
    <w:p w14:paraId="78A0717D" w14:textId="77777777" w:rsidR="002D0D49" w:rsidRDefault="002D0D49" w:rsidP="002D0D49">
      <w:pPr>
        <w:pStyle w:val="BodyTextNumbered"/>
        <w:ind w:left="1440"/>
      </w:pPr>
      <w:r>
        <w:t>TPES</w:t>
      </w:r>
      <w:r>
        <w:tab/>
        <w:t>=</w:t>
      </w:r>
      <w:r>
        <w:tab/>
        <w:t xml:space="preserve">Max [0, FCE </w:t>
      </w:r>
      <w:r w:rsidRPr="00D77426">
        <w:rPr>
          <w:i/>
          <w:vertAlign w:val="subscript"/>
        </w:rPr>
        <w:t>a</w:t>
      </w:r>
      <w:r>
        <w:t>] + IA</w:t>
      </w:r>
    </w:p>
    <w:p w14:paraId="3E2EC311" w14:textId="77777777" w:rsidR="002D0D49" w:rsidRDefault="002D0D49" w:rsidP="002D0D49">
      <w:pPr>
        <w:pStyle w:val="BodyText"/>
        <w:spacing w:after="0"/>
      </w:pPr>
      <w:r>
        <w:rPr>
          <w:iCs w:val="0"/>
        </w:rP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2D0D49" w14:paraId="6A2B50C5" w14:textId="77777777" w:rsidTr="009F2C2F">
        <w:trPr>
          <w:trHeight w:val="351"/>
          <w:tblHeader/>
        </w:trPr>
        <w:tc>
          <w:tcPr>
            <w:tcW w:w="1652" w:type="dxa"/>
          </w:tcPr>
          <w:p w14:paraId="22FE4A5B" w14:textId="77777777" w:rsidR="002D0D49" w:rsidRDefault="002D0D49" w:rsidP="0031595F">
            <w:pPr>
              <w:pStyle w:val="TableHead"/>
            </w:pPr>
            <w:r>
              <w:t>Variable</w:t>
            </w:r>
          </w:p>
        </w:tc>
        <w:tc>
          <w:tcPr>
            <w:tcW w:w="986" w:type="dxa"/>
          </w:tcPr>
          <w:p w14:paraId="10773D1C" w14:textId="77777777" w:rsidR="002D0D49" w:rsidRDefault="002D0D49" w:rsidP="0031595F">
            <w:pPr>
              <w:pStyle w:val="TableHead"/>
            </w:pPr>
            <w:r>
              <w:t>Unit</w:t>
            </w:r>
          </w:p>
        </w:tc>
        <w:tc>
          <w:tcPr>
            <w:tcW w:w="6694" w:type="dxa"/>
          </w:tcPr>
          <w:p w14:paraId="4970098D" w14:textId="77777777" w:rsidR="002D0D49" w:rsidRDefault="002D0D49" w:rsidP="0031595F">
            <w:pPr>
              <w:pStyle w:val="TableHead"/>
            </w:pPr>
            <w:r>
              <w:t>Description</w:t>
            </w:r>
          </w:p>
        </w:tc>
      </w:tr>
      <w:tr w:rsidR="002D0D49" w14:paraId="0485A70D" w14:textId="77777777" w:rsidTr="009F2C2F">
        <w:trPr>
          <w:trHeight w:val="519"/>
        </w:trPr>
        <w:tc>
          <w:tcPr>
            <w:tcW w:w="1652" w:type="dxa"/>
          </w:tcPr>
          <w:p w14:paraId="1AC67AA6" w14:textId="77777777" w:rsidR="002D0D49" w:rsidRPr="00FF36D0" w:rsidRDefault="002D0D49" w:rsidP="0031595F">
            <w:pPr>
              <w:pStyle w:val="TableBody"/>
            </w:pPr>
            <w:r w:rsidRPr="00FF36D0">
              <w:t xml:space="preserve">EAL </w:t>
            </w:r>
            <w:r w:rsidRPr="00FF36D0">
              <w:rPr>
                <w:i/>
                <w:vertAlign w:val="subscript"/>
              </w:rPr>
              <w:t>q</w:t>
            </w:r>
          </w:p>
        </w:tc>
        <w:tc>
          <w:tcPr>
            <w:tcW w:w="986" w:type="dxa"/>
          </w:tcPr>
          <w:p w14:paraId="4B5BE70E" w14:textId="77777777" w:rsidR="002D0D49" w:rsidRPr="00906156" w:rsidRDefault="002D0D49" w:rsidP="0031595F">
            <w:pPr>
              <w:pStyle w:val="TableBody"/>
            </w:pPr>
            <w:r w:rsidRPr="00906156">
              <w:t>$</w:t>
            </w:r>
          </w:p>
        </w:tc>
        <w:tc>
          <w:tcPr>
            <w:tcW w:w="6694" w:type="dxa"/>
          </w:tcPr>
          <w:p w14:paraId="1FBBD922" w14:textId="77777777" w:rsidR="002D0D49" w:rsidRPr="00484E48" w:rsidRDefault="002D0D49" w:rsidP="0031595F">
            <w:pPr>
              <w:pStyle w:val="TableBody"/>
            </w:pPr>
            <w:r w:rsidRPr="004F59D3">
              <w:rPr>
                <w:i/>
              </w:rPr>
              <w:t>Estimated Aggregate Liability for all QSEs that represents Load or generation</w:t>
            </w:r>
            <w:r w:rsidRPr="004F59D3">
              <w:t>—EAL for all QSEs represented by the Counter-Party if at least one QSE represented by the Counter-Party represents either Load or generation</w:t>
            </w:r>
            <w:r w:rsidRPr="00484E48">
              <w:t>.</w:t>
            </w:r>
          </w:p>
        </w:tc>
      </w:tr>
      <w:tr w:rsidR="002D0D49" w14:paraId="1FC7BB7B" w14:textId="77777777" w:rsidTr="009F2C2F">
        <w:trPr>
          <w:trHeight w:val="519"/>
        </w:trPr>
        <w:tc>
          <w:tcPr>
            <w:tcW w:w="1652" w:type="dxa"/>
          </w:tcPr>
          <w:p w14:paraId="16664BF5" w14:textId="77777777" w:rsidR="002D0D49" w:rsidRDefault="002D0D49" w:rsidP="0031595F">
            <w:pPr>
              <w:pStyle w:val="TableBody"/>
            </w:pPr>
            <w:r>
              <w:t xml:space="preserve">EAL </w:t>
            </w:r>
            <w:r w:rsidRPr="00D857C2">
              <w:rPr>
                <w:i/>
                <w:vertAlign w:val="subscript"/>
              </w:rPr>
              <w:t>t</w:t>
            </w:r>
          </w:p>
        </w:tc>
        <w:tc>
          <w:tcPr>
            <w:tcW w:w="986" w:type="dxa"/>
          </w:tcPr>
          <w:p w14:paraId="6D7CAC40" w14:textId="77777777" w:rsidR="002D0D49" w:rsidRDefault="002D0D49" w:rsidP="0031595F">
            <w:pPr>
              <w:pStyle w:val="TableBody"/>
            </w:pPr>
            <w:r>
              <w:t>$</w:t>
            </w:r>
          </w:p>
        </w:tc>
        <w:tc>
          <w:tcPr>
            <w:tcW w:w="6694" w:type="dxa"/>
          </w:tcPr>
          <w:p w14:paraId="62E90092" w14:textId="77777777" w:rsidR="002D0D49" w:rsidRPr="00B67540" w:rsidRDefault="002D0D49" w:rsidP="0031595F">
            <w:pPr>
              <w:pStyle w:val="TableBody"/>
              <w:rPr>
                <w:i/>
              </w:rPr>
            </w:pPr>
            <w:r>
              <w:rPr>
                <w:i/>
              </w:rPr>
              <w:t xml:space="preserve">Estimated Aggregate Liability for all QSEs </w:t>
            </w:r>
            <w:r>
              <w:t xml:space="preserve">—EAL for all QSEs represented by the Counter-Party </w:t>
            </w:r>
            <w:r w:rsidRPr="00FF36D0">
              <w:t>if none of the QSEs represented by the Counter-Party represent either Load or generation.</w:t>
            </w:r>
          </w:p>
        </w:tc>
      </w:tr>
      <w:tr w:rsidR="002D0D49" w14:paraId="083B2258" w14:textId="77777777" w:rsidTr="009F2C2F">
        <w:trPr>
          <w:trHeight w:val="519"/>
        </w:trPr>
        <w:tc>
          <w:tcPr>
            <w:tcW w:w="1652" w:type="dxa"/>
          </w:tcPr>
          <w:p w14:paraId="4C701A60" w14:textId="77777777" w:rsidR="002D0D49" w:rsidRDefault="002D0D49" w:rsidP="0031595F">
            <w:pPr>
              <w:pStyle w:val="TableBody"/>
            </w:pPr>
            <w:r>
              <w:t xml:space="preserve">EAL </w:t>
            </w:r>
            <w:r w:rsidRPr="00D77426">
              <w:rPr>
                <w:i/>
                <w:vertAlign w:val="subscript"/>
              </w:rPr>
              <w:t>a</w:t>
            </w:r>
          </w:p>
        </w:tc>
        <w:tc>
          <w:tcPr>
            <w:tcW w:w="986" w:type="dxa"/>
          </w:tcPr>
          <w:p w14:paraId="03B0B3AA" w14:textId="77777777" w:rsidR="002D0D49" w:rsidRDefault="002D0D49" w:rsidP="0031595F">
            <w:pPr>
              <w:pStyle w:val="TableBody"/>
            </w:pPr>
            <w:r>
              <w:t>$</w:t>
            </w:r>
          </w:p>
        </w:tc>
        <w:tc>
          <w:tcPr>
            <w:tcW w:w="6694" w:type="dxa"/>
          </w:tcPr>
          <w:p w14:paraId="2CE92B9E" w14:textId="77777777" w:rsidR="002D0D49" w:rsidRPr="00B67540" w:rsidRDefault="002D0D49" w:rsidP="0031595F">
            <w:pPr>
              <w:pStyle w:val="TableBody"/>
              <w:rPr>
                <w:i/>
              </w:rPr>
            </w:pPr>
            <w:r w:rsidRPr="00B67540">
              <w:rPr>
                <w:i/>
              </w:rPr>
              <w:t>Estimated Aggregate Liability</w:t>
            </w:r>
            <w:r>
              <w:rPr>
                <w:i/>
              </w:rPr>
              <w:t xml:space="preserve"> for all CRR Account Holders</w:t>
            </w:r>
            <w:r>
              <w:t>—EAL for all CRR Account Holders represented by the Counter-Party.</w:t>
            </w:r>
          </w:p>
        </w:tc>
      </w:tr>
      <w:tr w:rsidR="002D0D49" w14:paraId="6A75524F" w14:textId="77777777" w:rsidTr="009F2C2F">
        <w:trPr>
          <w:trHeight w:val="519"/>
        </w:trPr>
        <w:tc>
          <w:tcPr>
            <w:tcW w:w="1652" w:type="dxa"/>
          </w:tcPr>
          <w:p w14:paraId="5FA14A8E" w14:textId="77777777" w:rsidR="002D0D49" w:rsidRDefault="002D0D49" w:rsidP="0031595F">
            <w:pPr>
              <w:pStyle w:val="TableBody"/>
            </w:pPr>
            <w:r w:rsidRPr="005D51CF">
              <w:t>PUL</w:t>
            </w:r>
          </w:p>
        </w:tc>
        <w:tc>
          <w:tcPr>
            <w:tcW w:w="986" w:type="dxa"/>
          </w:tcPr>
          <w:p w14:paraId="49B61974" w14:textId="77777777" w:rsidR="002D0D49" w:rsidRDefault="002D0D49" w:rsidP="0031595F">
            <w:pPr>
              <w:pStyle w:val="TableBody"/>
            </w:pPr>
            <w:r w:rsidRPr="005D51CF">
              <w:t>$</w:t>
            </w:r>
          </w:p>
        </w:tc>
        <w:tc>
          <w:tcPr>
            <w:tcW w:w="6694" w:type="dxa"/>
          </w:tcPr>
          <w:p w14:paraId="69FB583F" w14:textId="20752A12" w:rsidR="002D0D49" w:rsidRPr="00B67540" w:rsidRDefault="002D0D49" w:rsidP="0031595F">
            <w:pPr>
              <w:pStyle w:val="TableBody"/>
              <w:rPr>
                <w:i/>
              </w:rPr>
            </w:pPr>
            <w:r w:rsidRPr="00BD7386">
              <w:rPr>
                <w:i/>
              </w:rPr>
              <w:t>Potential Uplift</w:t>
            </w:r>
            <w:r w:rsidRPr="005D51CF">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w:t>
            </w:r>
            <w:r w:rsidR="0088125F">
              <w:t>the lesser of: (</w:t>
            </w:r>
            <w:r w:rsidR="003A5AEB">
              <w:t>i</w:t>
            </w:r>
            <w:r w:rsidR="0088125F">
              <w:t xml:space="preserve">) </w:t>
            </w:r>
            <w:r w:rsidR="0088125F" w:rsidRPr="00413D4A">
              <w:t>25%</w:t>
            </w:r>
            <w:r w:rsidR="0088125F">
              <w:t xml:space="preserve"> </w:t>
            </w:r>
            <w:r w:rsidR="0088125F" w:rsidRPr="007C65AD">
              <w:t>of amounts expected to be uplifted beyond one year of the date of the calculation</w:t>
            </w:r>
            <w:r w:rsidR="0088125F">
              <w:t>; or (</w:t>
            </w:r>
            <w:r w:rsidR="003A5AEB">
              <w:t>ii</w:t>
            </w:r>
            <w:r w:rsidR="0088125F">
              <w:t>)</w:t>
            </w:r>
            <w:r w:rsidR="0088125F" w:rsidRPr="007C65AD">
              <w:t xml:space="preserve"> </w:t>
            </w:r>
            <w:r w:rsidR="0088125F">
              <w:t>five</w:t>
            </w:r>
            <w:r w:rsidR="0088125F" w:rsidRPr="007C65AD">
              <w:t xml:space="preserve"> years’ worth of uplift charges</w:t>
            </w:r>
            <w:r w:rsidRPr="005D51CF">
              <w:t xml:space="preserve">. </w:t>
            </w:r>
          </w:p>
        </w:tc>
      </w:tr>
      <w:tr w:rsidR="002D0D49" w14:paraId="3ED79B4E" w14:textId="77777777" w:rsidTr="009F2C2F">
        <w:trPr>
          <w:trHeight w:val="519"/>
        </w:trPr>
        <w:tc>
          <w:tcPr>
            <w:tcW w:w="1652" w:type="dxa"/>
          </w:tcPr>
          <w:p w14:paraId="31E39058" w14:textId="77777777" w:rsidR="002D0D49" w:rsidRDefault="002D0D49" w:rsidP="0031595F">
            <w:pPr>
              <w:pStyle w:val="TableBody"/>
            </w:pPr>
            <w:r>
              <w:t xml:space="preserve">FCE </w:t>
            </w:r>
            <w:r w:rsidRPr="00D77426">
              <w:rPr>
                <w:i/>
                <w:vertAlign w:val="subscript"/>
              </w:rPr>
              <w:t>a</w:t>
            </w:r>
          </w:p>
        </w:tc>
        <w:tc>
          <w:tcPr>
            <w:tcW w:w="986" w:type="dxa"/>
          </w:tcPr>
          <w:p w14:paraId="02254C2D" w14:textId="77777777" w:rsidR="002D0D49" w:rsidRDefault="002D0D49" w:rsidP="0031595F">
            <w:pPr>
              <w:pStyle w:val="TableBody"/>
            </w:pPr>
            <w:r>
              <w:t>$</w:t>
            </w:r>
          </w:p>
        </w:tc>
        <w:tc>
          <w:tcPr>
            <w:tcW w:w="6694" w:type="dxa"/>
          </w:tcPr>
          <w:p w14:paraId="6BE80368" w14:textId="77777777" w:rsidR="002D0D49" w:rsidRPr="00B67540" w:rsidRDefault="002D0D49" w:rsidP="0031595F">
            <w:pPr>
              <w:pStyle w:val="TableBody"/>
              <w:rPr>
                <w:i/>
              </w:rPr>
            </w:pPr>
            <w:r>
              <w:rPr>
                <w:i/>
              </w:rPr>
              <w:t>Future Credit Exposure for all CRR Account Holders</w:t>
            </w:r>
            <w:r>
              <w:t>—FCE for all CRR Account Holders represented by the Counter-Party.</w:t>
            </w:r>
          </w:p>
        </w:tc>
      </w:tr>
      <w:tr w:rsidR="002D0D49" w14:paraId="0845AF43" w14:textId="77777777" w:rsidTr="009F2C2F">
        <w:trPr>
          <w:trHeight w:val="519"/>
        </w:trPr>
        <w:tc>
          <w:tcPr>
            <w:tcW w:w="1652" w:type="dxa"/>
          </w:tcPr>
          <w:p w14:paraId="706DC6BD" w14:textId="77777777" w:rsidR="002D0D49" w:rsidRDefault="002D0D49" w:rsidP="0031595F">
            <w:pPr>
              <w:pStyle w:val="TableBody"/>
            </w:pPr>
            <w:r>
              <w:t>MCE</w:t>
            </w:r>
          </w:p>
        </w:tc>
        <w:tc>
          <w:tcPr>
            <w:tcW w:w="986" w:type="dxa"/>
          </w:tcPr>
          <w:p w14:paraId="3E6E44D6" w14:textId="77777777" w:rsidR="002D0D49" w:rsidRDefault="002D0D49" w:rsidP="0031595F">
            <w:pPr>
              <w:pStyle w:val="TableBody"/>
            </w:pPr>
            <w:r>
              <w:t>$</w:t>
            </w:r>
          </w:p>
        </w:tc>
        <w:tc>
          <w:tcPr>
            <w:tcW w:w="6694" w:type="dxa"/>
          </w:tcPr>
          <w:p w14:paraId="2753891B" w14:textId="77777777" w:rsidR="002D0D49" w:rsidRPr="00BE4766" w:rsidRDefault="002D0D49" w:rsidP="0031595F">
            <w:pPr>
              <w:pStyle w:val="TableBody"/>
            </w:pPr>
            <w:r w:rsidRPr="00BE4766">
              <w:rPr>
                <w:i/>
              </w:rPr>
              <w:t>Minimum</w:t>
            </w:r>
            <w:r>
              <w:rPr>
                <w:i/>
              </w:rPr>
              <w:t xml:space="preserve"> Current</w:t>
            </w:r>
            <w:r w:rsidRPr="00BE4766">
              <w:rPr>
                <w:i/>
              </w:rPr>
              <w:t xml:space="preserve"> Exposure</w:t>
            </w:r>
            <w:r>
              <w:t>—</w:t>
            </w:r>
            <w:r w:rsidRPr="00BE4766">
              <w:t>For each Counter-Party, ERCOT shall determine a Minimum C</w:t>
            </w:r>
            <w:r>
              <w:t xml:space="preserve">urrent </w:t>
            </w:r>
            <w:r w:rsidRPr="00BE4766">
              <w:t xml:space="preserve">Exposure (MCE) as follows:  </w:t>
            </w:r>
          </w:p>
          <w:p w14:paraId="4ABF8F99" w14:textId="77777777" w:rsidR="002D0D49" w:rsidRPr="00BE4766" w:rsidRDefault="002D0D49" w:rsidP="0031595F">
            <w:pPr>
              <w:pStyle w:val="TableBody"/>
            </w:pPr>
          </w:p>
          <w:p w14:paraId="31F4C2AA" w14:textId="087CEC9C" w:rsidR="002D0D49" w:rsidRPr="00FF36D0" w:rsidRDefault="002D0D49" w:rsidP="0031595F">
            <w:pPr>
              <w:pStyle w:val="TableBody"/>
              <w:ind w:left="1643" w:hanging="1411"/>
            </w:pPr>
            <w:r w:rsidRPr="00FF36D0">
              <w:t>MCE = Max[RFAF * MAF * Max[{</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e>
              </m:nary>
            </m:oMath>
            <w:r w:rsidRPr="00FF36D0">
              <w:rPr>
                <w:b/>
                <w:bCs/>
              </w:rPr>
              <w:t>[</w:t>
            </w:r>
            <w:r w:rsidRPr="00FF36D0">
              <w:t xml:space="preserve">L </w:t>
            </w:r>
            <w:r w:rsidRPr="00FF36D0">
              <w:rPr>
                <w:i/>
                <w:vertAlign w:val="subscript"/>
              </w:rPr>
              <w:t>i, od, p</w:t>
            </w:r>
            <w:r w:rsidRPr="00FF36D0">
              <w:t xml:space="preserve"> * RTSPP </w:t>
            </w:r>
            <w:r w:rsidRPr="00FF36D0">
              <w:rPr>
                <w:i/>
                <w:vertAlign w:val="subscript"/>
              </w:rPr>
              <w:t>i, od, p</w:t>
            </w:r>
            <w:r w:rsidRPr="00FF36D0">
              <w:t>]/</w:t>
            </w:r>
            <w:r w:rsidRPr="00FF36D0">
              <w:rPr>
                <w:i/>
              </w:rPr>
              <w:t>n</w:t>
            </w:r>
            <w:r w:rsidRPr="00FF36D0">
              <w:t>},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L </w:t>
            </w:r>
            <w:r w:rsidRPr="00FF36D0">
              <w:rPr>
                <w:i/>
                <w:vertAlign w:val="subscript"/>
              </w:rPr>
              <w:t>i, od, p</w:t>
            </w:r>
            <w:r w:rsidRPr="00FF36D0">
              <w:t xml:space="preserve"> * </w:t>
            </w:r>
            <w:r w:rsidRPr="00FF36D0">
              <w:rPr>
                <w:i/>
              </w:rPr>
              <w:t>T2</w:t>
            </w:r>
            <w:r w:rsidRPr="00FF36D0">
              <w:rPr>
                <w:vertAlign w:val="subscript"/>
              </w:rPr>
              <w:t xml:space="preserve">  </w:t>
            </w:r>
            <w:r w:rsidRPr="00FF36D0">
              <w:rPr>
                <w:b/>
                <w:bCs/>
              </w:rPr>
              <w:t xml:space="preserve">- </w:t>
            </w:r>
            <w:r w:rsidRPr="00FF36D0">
              <w:t xml:space="preserve">G </w:t>
            </w:r>
            <w:r w:rsidRPr="00FF36D0">
              <w:rPr>
                <w:i/>
                <w:vertAlign w:val="subscript"/>
              </w:rPr>
              <w:t>i, od, p</w:t>
            </w:r>
            <w:r w:rsidRPr="00FF36D0">
              <w:t xml:space="preserve"> * (1-</w:t>
            </w:r>
            <w:r w:rsidRPr="00FF36D0">
              <w:rPr>
                <w:i/>
              </w:rPr>
              <w:t>NUCADJ</w:t>
            </w:r>
            <w:r w:rsidRPr="00FF36D0">
              <w:t xml:space="preserve">) * </w:t>
            </w:r>
            <w:r w:rsidRPr="00FF36D0">
              <w:rPr>
                <w:i/>
              </w:rPr>
              <w:t>T3</w:t>
            </w:r>
            <w:r w:rsidRPr="00FF36D0">
              <w:t xml:space="preserve">] * RTSPP </w:t>
            </w:r>
            <w:r w:rsidRPr="00FF36D0">
              <w:rPr>
                <w:i/>
                <w:vertAlign w:val="subscript"/>
              </w:rPr>
              <w:t>i, od, p</w:t>
            </w:r>
            <w:r w:rsidRPr="00FF36D0">
              <w:t xml:space="preserve">] + [RTQQNET </w:t>
            </w:r>
            <w:r w:rsidRPr="00FF36D0">
              <w:rPr>
                <w:i/>
                <w:vertAlign w:val="subscript"/>
              </w:rPr>
              <w:t>i, od, p</w:t>
            </w:r>
            <w:r w:rsidRPr="00FF36D0">
              <w:rPr>
                <w:b/>
                <w:bCs/>
              </w:rPr>
              <w:t xml:space="preserve"> </w:t>
            </w:r>
            <w:r w:rsidRPr="00FF36D0">
              <w:t xml:space="preserve">* </w:t>
            </w:r>
            <w:r w:rsidRPr="00FF36D0">
              <w:rPr>
                <w:i/>
              </w:rPr>
              <w:t>T5</w:t>
            </w:r>
            <w:r w:rsidRPr="00FF36D0">
              <w:t>]]</w:t>
            </w:r>
            <w:r w:rsidRPr="00FF36D0">
              <w:rPr>
                <w:b/>
                <w:bCs/>
              </w:rPr>
              <w:t>/</w:t>
            </w:r>
            <w:r w:rsidRPr="00FF36D0">
              <w:rPr>
                <w:i/>
              </w:rPr>
              <w:t>n</w:t>
            </w:r>
            <w:r w:rsidRPr="00FF36D0">
              <w:t xml:space="preserve">}, </w:t>
            </w:r>
          </w:p>
          <w:p w14:paraId="15DCC4AF" w14:textId="390ABB9C" w:rsidR="002D0D49" w:rsidRPr="00FF36D0" w:rsidRDefault="002D0D49" w:rsidP="0031595F">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G </w:t>
            </w:r>
            <w:r w:rsidRPr="00FF36D0">
              <w:rPr>
                <w:i/>
                <w:vertAlign w:val="subscript"/>
              </w:rPr>
              <w:t>i, od, p</w:t>
            </w:r>
            <w:r w:rsidRPr="00FF36D0">
              <w:t xml:space="preserve"> * </w:t>
            </w:r>
            <w:r w:rsidRPr="00FF36D0">
              <w:rPr>
                <w:i/>
              </w:rPr>
              <w:t>NUCADJ</w:t>
            </w:r>
            <w:r w:rsidRPr="00FF36D0">
              <w:t xml:space="preserve"> * </w:t>
            </w:r>
            <w:r w:rsidRPr="00FF36D0">
              <w:rPr>
                <w:i/>
              </w:rPr>
              <w:t>T1</w:t>
            </w:r>
            <w:r w:rsidRPr="00FF36D0">
              <w:t xml:space="preserve"> * RTSPP </w:t>
            </w:r>
            <w:r w:rsidRPr="00FF36D0">
              <w:rPr>
                <w:i/>
                <w:vertAlign w:val="subscript"/>
              </w:rPr>
              <w:t>i, od, p</w:t>
            </w:r>
            <w:r w:rsidRPr="00FF36D0">
              <w:rPr>
                <w:b/>
                <w:bCs/>
              </w:rPr>
              <w:t>]/</w:t>
            </w:r>
            <w:r w:rsidRPr="00FF36D0">
              <w:t>n},</w:t>
            </w:r>
          </w:p>
          <w:p w14:paraId="517227A5" w14:textId="201AE3E8" w:rsidR="002D0D49" w:rsidRPr="00FF36D0" w:rsidRDefault="002D0D49" w:rsidP="0031595F">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t>DARTNET</w:t>
            </w:r>
            <w:r w:rsidRPr="00FF36D0">
              <w:rPr>
                <w:sz w:val="16"/>
                <w:vertAlign w:val="subscript"/>
              </w:rPr>
              <w:t xml:space="preserve"> </w:t>
            </w:r>
            <w:r w:rsidRPr="00FF36D0">
              <w:rPr>
                <w:i/>
                <w:vertAlign w:val="subscript"/>
              </w:rPr>
              <w:t>i, od, p</w:t>
            </w:r>
            <w:r w:rsidRPr="00FF36D0">
              <w:t xml:space="preserve"> </w:t>
            </w:r>
            <w:r w:rsidRPr="00FF36D0">
              <w:rPr>
                <w:sz w:val="16"/>
              </w:rPr>
              <w:t xml:space="preserve">* </w:t>
            </w:r>
            <w:r w:rsidRPr="00FF36D0">
              <w:rPr>
                <w:i/>
              </w:rPr>
              <w:t>T4</w:t>
            </w:r>
            <w:r w:rsidRPr="00FF36D0">
              <w:t>/</w:t>
            </w:r>
            <w:r w:rsidRPr="00FF36D0">
              <w:rPr>
                <w:i/>
              </w:rPr>
              <w:t>n</w:t>
            </w:r>
            <w:r w:rsidRPr="00FF36D0">
              <w:t>}],</w:t>
            </w:r>
          </w:p>
          <w:p w14:paraId="2367B604" w14:textId="77777777" w:rsidR="002D0D49" w:rsidRPr="00BE4766" w:rsidRDefault="002D0D49" w:rsidP="0031595F">
            <w:pPr>
              <w:pStyle w:val="TableBody"/>
              <w:ind w:left="1643" w:hanging="1373"/>
            </w:pPr>
            <w:r w:rsidRPr="00FF36D0">
              <w:t xml:space="preserve">                      MAF * IMCE]</w:t>
            </w:r>
          </w:p>
          <w:p w14:paraId="5CBE7F75" w14:textId="77777777" w:rsidR="002D0D49" w:rsidRPr="00142152" w:rsidRDefault="002D0D49" w:rsidP="0031595F">
            <w:pPr>
              <w:pStyle w:val="TableBody"/>
              <w:ind w:left="1643" w:hanging="1373"/>
            </w:pPr>
          </w:p>
          <w:p w14:paraId="132C9AB3" w14:textId="42A6059C" w:rsidR="002D0D49" w:rsidRPr="00142152" w:rsidRDefault="002D0D49" w:rsidP="0031595F">
            <w:pPr>
              <w:pStyle w:val="TableBody"/>
              <w:ind w:left="1402" w:hanging="1170"/>
              <w:rPr>
                <w:b/>
              </w:rPr>
            </w:pPr>
            <w:r w:rsidRPr="00142152">
              <w:t xml:space="preserve">RTQQNET </w:t>
            </w:r>
            <w:r w:rsidRPr="00D77426">
              <w:rPr>
                <w:i/>
                <w:vertAlign w:val="subscript"/>
              </w:rPr>
              <w:t>i</w:t>
            </w:r>
            <w:r>
              <w:rPr>
                <w:i/>
                <w:vertAlign w:val="subscript"/>
              </w:rPr>
              <w:t>, o</w:t>
            </w:r>
            <w:r w:rsidRPr="00D77426">
              <w:rPr>
                <w:i/>
                <w:vertAlign w:val="subscript"/>
              </w:rPr>
              <w:t>d</w:t>
            </w:r>
            <w:r>
              <w:rPr>
                <w:i/>
                <w:vertAlign w:val="subscript"/>
              </w:rPr>
              <w:t>, p</w:t>
            </w:r>
            <w:r w:rsidRPr="00142152">
              <w:rPr>
                <w:i/>
              </w:rPr>
              <w:t xml:space="preserve"> </w:t>
            </w:r>
            <w:r w:rsidRPr="00142152">
              <w:t>= Max</w:t>
            </w:r>
            <w:r w:rsidRPr="00142152">
              <w:rPr>
                <w:b/>
              </w:rPr>
              <w:t>[</w:t>
            </w:r>
            <w:r w:rsidRPr="00BE4766">
              <w:rPr>
                <w:b/>
                <w:position w:val="-20"/>
              </w:rPr>
              <w:object w:dxaOrig="225" w:dyaOrig="420" w14:anchorId="4C3AB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2.2pt" o:ole="">
                  <v:imagedata r:id="rId17" o:title=""/>
                </v:shape>
                <o:OLEObject Type="Embed" ProgID="Equation.3" ShapeID="_x0000_i1025" DrawAspect="Content" ObjectID="_1788847468" r:id="rId18"/>
              </w:object>
            </w:r>
            <w:r w:rsidRPr="00142152">
              <w:rPr>
                <w:b/>
              </w:rPr>
              <w:t>(</w:t>
            </w:r>
            <w:r w:rsidRPr="00142152">
              <w:t xml:space="preserve">RTQQES </w:t>
            </w:r>
            <w:r>
              <w:rPr>
                <w:i/>
                <w:vertAlign w:val="subscript"/>
              </w:rPr>
              <w:t>i, o</w:t>
            </w:r>
            <w:r w:rsidRPr="00D77426">
              <w:rPr>
                <w:i/>
                <w:vertAlign w:val="subscript"/>
              </w:rPr>
              <w:t>d</w:t>
            </w:r>
            <w:r>
              <w:rPr>
                <w:i/>
                <w:vertAlign w:val="subscript"/>
              </w:rPr>
              <w:t xml:space="preserve">, p, </w:t>
            </w:r>
            <w:r w:rsidRPr="00D77426">
              <w:rPr>
                <w:i/>
                <w:vertAlign w:val="subscript"/>
              </w:rPr>
              <w:t>c</w:t>
            </w:r>
            <w:r>
              <w:rPr>
                <w:i/>
                <w:vertAlign w:val="subscript"/>
              </w:rPr>
              <w:t xml:space="preserve"> </w:t>
            </w:r>
            <w:r w:rsidRPr="00900F8C">
              <w:rPr>
                <w:i/>
              </w:rPr>
              <w:t>-</w:t>
            </w:r>
            <w:r>
              <w:rPr>
                <w:i/>
                <w:vertAlign w:val="subscript"/>
              </w:rPr>
              <w:t xml:space="preserve"> </w:t>
            </w:r>
            <w:r>
              <w:t xml:space="preserve">RTQQEP </w:t>
            </w:r>
            <w:r>
              <w:rPr>
                <w:i/>
                <w:vertAlign w:val="subscript"/>
              </w:rPr>
              <w:t>i</w:t>
            </w:r>
            <w:r w:rsidRPr="00921C84">
              <w:rPr>
                <w:i/>
                <w:vertAlign w:val="subscript"/>
              </w:rPr>
              <w:t>,</w:t>
            </w:r>
            <w:r w:rsidRPr="00F41A7B">
              <w:rPr>
                <w:i/>
                <w:vertAlign w:val="subscript"/>
              </w:rPr>
              <w:t xml:space="preserve"> </w:t>
            </w:r>
            <w:r>
              <w:rPr>
                <w:i/>
                <w:vertAlign w:val="subscript"/>
              </w:rPr>
              <w:t>o</w:t>
            </w:r>
            <w:r w:rsidRPr="00921C84">
              <w:rPr>
                <w:i/>
                <w:vertAlign w:val="subscript"/>
              </w:rPr>
              <w:t>d</w:t>
            </w:r>
            <w:r>
              <w:rPr>
                <w:i/>
                <w:vertAlign w:val="subscript"/>
              </w:rPr>
              <w:t>, p, c</w:t>
            </w:r>
            <w:r w:rsidRPr="00921C84">
              <w:t>)</w:t>
            </w:r>
            <w:r>
              <w:t xml:space="preserve">, </w:t>
            </w:r>
            <w:r>
              <w:rPr>
                <w:i/>
              </w:rPr>
              <w:t>BTCF</w:t>
            </w:r>
            <w:r>
              <w:t xml:space="preserve"> *   </w:t>
            </w:r>
            <w:r w:rsidR="00122AC9">
              <w:t xml:space="preserve"> </w:t>
            </w:r>
            <w:r>
              <w:t xml:space="preserve">  </w:t>
            </w:r>
            <w:r w:rsidRPr="00BE4766">
              <w:rPr>
                <w:b/>
                <w:position w:val="-20"/>
              </w:rPr>
              <w:object w:dxaOrig="225" w:dyaOrig="420" w14:anchorId="047E37C8">
                <v:shape id="_x0000_i1026" type="#_x0000_t75" style="width:14.4pt;height:22.2pt" o:ole="">
                  <v:imagedata r:id="rId17" o:title=""/>
                </v:shape>
                <o:OLEObject Type="Embed" ProgID="Equation.3" ShapeID="_x0000_i1026" DrawAspect="Content" ObjectID="_1788847469" r:id="rId19"/>
              </w:object>
            </w:r>
            <w:r>
              <w:t xml:space="preserve">(RTQQES </w:t>
            </w:r>
            <w:r>
              <w:rPr>
                <w:i/>
                <w:vertAlign w:val="subscript"/>
              </w:rPr>
              <w:t>i, od, p, c</w:t>
            </w:r>
            <w:r>
              <w:t xml:space="preserve"> – RTQQEP </w:t>
            </w:r>
            <w:r>
              <w:rPr>
                <w:i/>
                <w:vertAlign w:val="subscript"/>
              </w:rPr>
              <w:t>i, od, p, c</w:t>
            </w:r>
            <w:r>
              <w:t>)]</w:t>
            </w:r>
            <w:r w:rsidRPr="00142152">
              <w:t xml:space="preserve"> * RTSPP </w:t>
            </w:r>
            <w:r w:rsidRPr="00D77426">
              <w:rPr>
                <w:i/>
                <w:vertAlign w:val="subscript"/>
              </w:rPr>
              <w:t>i</w:t>
            </w:r>
            <w:r>
              <w:rPr>
                <w:i/>
                <w:vertAlign w:val="subscript"/>
              </w:rPr>
              <w:t>, o</w:t>
            </w:r>
            <w:r w:rsidRPr="00D77426">
              <w:rPr>
                <w:i/>
                <w:vertAlign w:val="subscript"/>
              </w:rPr>
              <w:t>d</w:t>
            </w:r>
            <w:r>
              <w:rPr>
                <w:i/>
                <w:vertAlign w:val="subscript"/>
              </w:rPr>
              <w:t>, p</w:t>
            </w:r>
          </w:p>
          <w:p w14:paraId="31378DC9" w14:textId="77777777" w:rsidR="002D0D49" w:rsidRPr="00142152" w:rsidRDefault="002D0D49" w:rsidP="0031595F">
            <w:pPr>
              <w:pStyle w:val="TableBody"/>
              <w:ind w:left="293"/>
              <w:rPr>
                <w:b/>
              </w:rPr>
            </w:pPr>
          </w:p>
          <w:p w14:paraId="3B4719CF" w14:textId="77777777" w:rsidR="002D0D49" w:rsidRPr="00142152" w:rsidRDefault="002D0D49" w:rsidP="0031595F">
            <w:pPr>
              <w:pStyle w:val="TableBody"/>
              <w:ind w:left="1402" w:hanging="1170"/>
              <w:rPr>
                <w:color w:val="000000"/>
              </w:rPr>
            </w:pPr>
            <w:r w:rsidRPr="00142152">
              <w:rPr>
                <w:color w:val="000000"/>
              </w:rPr>
              <w:lastRenderedPageBreak/>
              <w:t>DARTNET</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142152">
              <w:rPr>
                <w:color w:val="000000"/>
              </w:rPr>
              <w:t xml:space="preserve"> = DAM EOO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TPO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 DAM PTP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DARTPTP</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EOB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w:t>
            </w:r>
          </w:p>
          <w:p w14:paraId="31B5E01C" w14:textId="77777777" w:rsidR="002D0D49" w:rsidRDefault="002D0D49" w:rsidP="0031595F">
            <w:pPr>
              <w:pStyle w:val="TableBody"/>
              <w:keepNext/>
              <w:tabs>
                <w:tab w:val="left" w:pos="1728"/>
                <w:tab w:val="center" w:pos="4536"/>
                <w:tab w:val="right" w:pos="9360"/>
              </w:tabs>
              <w:spacing w:before="240"/>
              <w:ind w:left="1733" w:hanging="1440"/>
              <w:outlineLvl w:val="6"/>
              <w:rPr>
                <w:iCs w:val="0"/>
              </w:rPr>
            </w:pPr>
            <w:r w:rsidRPr="00403872">
              <w:rPr>
                <w:iCs w:val="0"/>
              </w:rPr>
              <w:t>Where:</w:t>
            </w:r>
          </w:p>
          <w:p w14:paraId="296357B5" w14:textId="77777777" w:rsidR="002D0D49" w:rsidRDefault="002D0D49" w:rsidP="0031595F">
            <w:pPr>
              <w:pStyle w:val="TableBody"/>
              <w:keepNext/>
              <w:tabs>
                <w:tab w:val="left" w:pos="1728"/>
                <w:tab w:val="center" w:pos="4536"/>
                <w:tab w:val="right" w:pos="9360"/>
              </w:tabs>
              <w:spacing w:before="240"/>
              <w:ind w:left="1733" w:hanging="1440"/>
              <w:outlineLvl w:val="6"/>
              <w:rPr>
                <w:rFonts w:ascii="Cambria" w:hAnsi="Cambria"/>
                <w:color w:val="404040"/>
              </w:rPr>
            </w:pPr>
            <w:r w:rsidRPr="00BE4766">
              <w:t>G</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Metered Generation at all Resource Nodes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 xml:space="preserve">d </w:t>
            </w:r>
            <w:r w:rsidRPr="00BE4766">
              <w:t xml:space="preserve">at Settlement Point </w:t>
            </w:r>
            <w:r>
              <w:rPr>
                <w:i/>
              </w:rPr>
              <w:t>p</w:t>
            </w:r>
          </w:p>
          <w:p w14:paraId="632883CF" w14:textId="77777777" w:rsidR="002D0D49" w:rsidRPr="00BE4766" w:rsidRDefault="002D0D49" w:rsidP="0031595F">
            <w:pPr>
              <w:pStyle w:val="TableBody"/>
              <w:tabs>
                <w:tab w:val="right" w:pos="9360"/>
              </w:tabs>
              <w:ind w:left="1733" w:hanging="1440"/>
              <w:rPr>
                <w:rFonts w:ascii="Cambria" w:hAnsi="Cambria"/>
                <w:i/>
                <w:color w:val="404040"/>
              </w:rPr>
            </w:pPr>
            <w:r w:rsidRPr="00BE4766">
              <w:t>L</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Adjusted Metered Load (AML) at all Load Zones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45579DD" w14:textId="1778F64D" w:rsidR="002D0D49" w:rsidRPr="007B39E8" w:rsidRDefault="002D0D49" w:rsidP="0031595F">
            <w:pPr>
              <w:pStyle w:val="TableBody"/>
              <w:tabs>
                <w:tab w:val="right" w:pos="9360"/>
              </w:tabs>
              <w:ind w:left="1733" w:hanging="1440"/>
            </w:pPr>
            <w:r w:rsidRPr="00A549C5">
              <w:rPr>
                <w:iCs w:val="0"/>
              </w:rPr>
              <w:t xml:space="preserve">MAF = </w:t>
            </w:r>
            <w:r w:rsidRPr="00A549C5">
              <w:rPr>
                <w:iCs w:val="0"/>
              </w:rPr>
              <w:tab/>
            </w:r>
            <w:r w:rsidRPr="00A549C5">
              <w:rPr>
                <w:i/>
                <w:iCs w:val="0"/>
              </w:rPr>
              <w:t>Market Adjustment Factor</w:t>
            </w:r>
            <w:r w:rsidRPr="00A549C5">
              <w:t>—</w:t>
            </w:r>
            <w:r w:rsidRPr="00A549C5">
              <w:rPr>
                <w:iCs w:val="0"/>
              </w:rPr>
              <w:t>Used to provide for the potential for overall price increases based on changes to ERCOT market rules</w:t>
            </w:r>
            <w:r>
              <w:rPr>
                <w:iCs w:val="0"/>
              </w:rPr>
              <w:t xml:space="preserve"> or market conditions</w:t>
            </w:r>
            <w:r w:rsidRPr="00A549C5">
              <w:rPr>
                <w:iCs w:val="0"/>
              </w:rPr>
              <w:t xml:space="preserve">.  </w:t>
            </w:r>
            <w:r>
              <w:rPr>
                <w:iCs w:val="0"/>
              </w:rPr>
              <w:t xml:space="preserve">This factor shall not be set below 100%.  Revisions to this factor will be recommended by </w:t>
            </w:r>
            <w:r w:rsidR="00081A43">
              <w:rPr>
                <w:iCs w:val="0"/>
              </w:rPr>
              <w:t>the Technical Advisory Committee (</w:t>
            </w:r>
            <w:r>
              <w:rPr>
                <w:iCs w:val="0"/>
              </w:rPr>
              <w:t>TAC</w:t>
            </w:r>
            <w:r w:rsidR="00081A43">
              <w:rPr>
                <w:iCs w:val="0"/>
              </w:rPr>
              <w:t>)</w:t>
            </w:r>
            <w:r>
              <w:rPr>
                <w:iCs w:val="0"/>
              </w:rPr>
              <w:t xml:space="preserve"> and the ERCOT Finance and Audit (F&amp;A) Committee, and approved by the ERCOT Board.  Such revisions shall be implemented on the 45th calendar day following ERCOT Board approval unless otherwise directed by the ERCOT Board.</w:t>
            </w:r>
          </w:p>
          <w:p w14:paraId="7E30C8B5" w14:textId="531B089A" w:rsidR="002D0D49" w:rsidRDefault="002D0D49" w:rsidP="0031595F">
            <w:pPr>
              <w:pStyle w:val="TableBody"/>
              <w:tabs>
                <w:tab w:val="right" w:pos="9360"/>
              </w:tabs>
              <w:ind w:left="1733" w:hanging="1440"/>
            </w:pPr>
            <w:r w:rsidRPr="00142152">
              <w:rPr>
                <w:i/>
              </w:rPr>
              <w:t>NUCADJ</w:t>
            </w:r>
            <w:r w:rsidRPr="00142152">
              <w:rPr>
                <w:vertAlign w:val="subscript"/>
              </w:rPr>
              <w:t xml:space="preserve"> </w:t>
            </w:r>
            <w:r w:rsidRPr="00142152">
              <w:t xml:space="preserve">= </w:t>
            </w:r>
            <w:r w:rsidRPr="00142152">
              <w:tab/>
            </w:r>
            <w:r w:rsidRPr="00142152">
              <w:rPr>
                <w:i/>
                <w:iCs w:val="0"/>
              </w:rPr>
              <w:t xml:space="preserve">Net Unit Contingent </w:t>
            </w:r>
            <w:r w:rsidRPr="00BE4766">
              <w:rPr>
                <w:i/>
                <w:iCs w:val="0"/>
              </w:rPr>
              <w:t>Adjustment</w:t>
            </w:r>
            <w:r w:rsidRPr="00BE4766">
              <w:t>—</w:t>
            </w:r>
            <w:r w:rsidRPr="00142152">
              <w:t xml:space="preserve">To </w:t>
            </w:r>
            <w:r w:rsidRPr="001E41FD">
              <w:rPr>
                <w:iCs w:val="0"/>
              </w:rPr>
              <w:t>allow</w:t>
            </w:r>
            <w:r w:rsidRPr="00142152">
              <w:t xml:space="preserve"> for situations </w:t>
            </w:r>
            <w:r w:rsidRPr="001E41FD">
              <w:t>where</w:t>
            </w:r>
            <w:r w:rsidRPr="00142152">
              <w:t xml:space="preserve"> a </w:t>
            </w:r>
            <w:r w:rsidRPr="001E41FD">
              <w:t>generator may unintentionally</w:t>
            </w:r>
            <w:r w:rsidRPr="00142152">
              <w:t xml:space="preserve"> or </w:t>
            </w:r>
            <w:r w:rsidRPr="001E41FD">
              <w:t>intentionally meet its requirement from</w:t>
            </w:r>
            <w:r w:rsidRPr="00142152">
              <w:t xml:space="preserve"> the Real-Time Market (RTM)</w:t>
            </w:r>
          </w:p>
          <w:p w14:paraId="3090B527" w14:textId="77777777" w:rsidR="002D0D49" w:rsidRPr="00BE4766" w:rsidRDefault="002D0D49" w:rsidP="0031595F">
            <w:pPr>
              <w:pStyle w:val="TableBody"/>
              <w:tabs>
                <w:tab w:val="right" w:pos="9360"/>
              </w:tabs>
              <w:ind w:left="1733" w:hanging="1440"/>
            </w:pPr>
            <w:r w:rsidRPr="00BE4766">
              <w:t>RTQQNET</w:t>
            </w:r>
            <w:r>
              <w:rPr>
                <w:i/>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xml:space="preserve">, p </w:t>
            </w:r>
            <w:r w:rsidRPr="00BE4766">
              <w:t>=</w:t>
            </w:r>
            <w:r>
              <w:t xml:space="preserve"> </w:t>
            </w:r>
            <w:r w:rsidRPr="00BE4766">
              <w:rPr>
                <w:i/>
              </w:rPr>
              <w:t xml:space="preserve">Net QSE-to-QSE Energy </w:t>
            </w:r>
            <w:r>
              <w:rPr>
                <w:i/>
              </w:rPr>
              <w:t>Trades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A825423" w14:textId="77777777" w:rsidR="002D0D49" w:rsidRPr="00BE4766" w:rsidRDefault="002D0D49" w:rsidP="0031595F">
            <w:pPr>
              <w:pStyle w:val="TableBody"/>
              <w:tabs>
                <w:tab w:val="right" w:pos="9360"/>
              </w:tabs>
              <w:ind w:left="1733" w:hanging="1440"/>
            </w:pPr>
            <w:r w:rsidRPr="00BE4766">
              <w:t>RTQQES</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 xml:space="preserve">for which the Counter-Party is the seller for interval </w:t>
            </w:r>
            <w:r w:rsidRPr="00BE4766">
              <w:rPr>
                <w:i/>
              </w:rPr>
              <w:t>i</w:t>
            </w:r>
            <w:r w:rsidRPr="00BE4766">
              <w:t xml:space="preserve"> for </w:t>
            </w:r>
            <w:r>
              <w:t xml:space="preserve">Operating Day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34E29AAF" w14:textId="4F25D1D0" w:rsidR="002D0D49" w:rsidRPr="00BE4766" w:rsidRDefault="002D0D49" w:rsidP="0031595F">
            <w:pPr>
              <w:pStyle w:val="TableBody"/>
              <w:tabs>
                <w:tab w:val="right" w:pos="9360"/>
              </w:tabs>
              <w:ind w:left="1733" w:hanging="1440"/>
            </w:pPr>
            <w:r w:rsidRPr="00BE4766">
              <w:t>RTQQEP</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for which the Counter-Party is</w:t>
            </w:r>
            <w:r>
              <w:t xml:space="preserve"> </w:t>
            </w:r>
            <w:r w:rsidRPr="00BE4766">
              <w:t xml:space="preserve">the buyer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7454E87D" w14:textId="77777777" w:rsidR="002D0D49" w:rsidRPr="00921C84" w:rsidRDefault="002D0D49" w:rsidP="0031595F">
            <w:pPr>
              <w:pStyle w:val="TableBody"/>
              <w:tabs>
                <w:tab w:val="right" w:pos="9360"/>
              </w:tabs>
              <w:ind w:left="1733" w:hanging="1440"/>
              <w:rPr>
                <w:i/>
              </w:rPr>
            </w:pPr>
            <w:r>
              <w:rPr>
                <w:i/>
              </w:rPr>
              <w:t>BTCF</w:t>
            </w:r>
            <w:r>
              <w:t xml:space="preserve"> =                </w:t>
            </w:r>
            <w:r>
              <w:rPr>
                <w:i/>
              </w:rPr>
              <w:t>Bilateral Trades Credit Factor</w:t>
            </w:r>
          </w:p>
          <w:p w14:paraId="7867F719" w14:textId="77777777" w:rsidR="002D0D49" w:rsidRPr="00BE4766" w:rsidRDefault="002D0D49" w:rsidP="0031595F">
            <w:pPr>
              <w:pStyle w:val="TableBody"/>
              <w:tabs>
                <w:tab w:val="right" w:pos="9360"/>
              </w:tabs>
              <w:ind w:left="1733" w:hanging="1440"/>
              <w:rPr>
                <w:i/>
              </w:rPr>
            </w:pPr>
            <w:r w:rsidRPr="00BE4766">
              <w:t>RTSPP</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Real-Time Settlement Point Price</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477F654E" w14:textId="77777777" w:rsidR="002D0D49" w:rsidRPr="00BE4766" w:rsidRDefault="002D0D49" w:rsidP="0031595F">
            <w:pPr>
              <w:pStyle w:val="TableBody"/>
              <w:tabs>
                <w:tab w:val="right" w:pos="9360"/>
              </w:tabs>
              <w:ind w:left="1733" w:hanging="1440"/>
              <w:rPr>
                <w:i/>
              </w:rPr>
            </w:pPr>
            <w:r w:rsidRPr="00BE4766">
              <w:t>DARTNET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w:t>
            </w:r>
            <w:r>
              <w:t xml:space="preserve">= </w:t>
            </w:r>
            <w:r w:rsidRPr="00BE4766">
              <w:rPr>
                <w:i/>
              </w:rPr>
              <w:t>Net DAM activities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7D5E3879" w14:textId="78EEF88B" w:rsidR="002D0D49" w:rsidRPr="00BE4766" w:rsidRDefault="002D0D49" w:rsidP="0031595F">
            <w:pPr>
              <w:pStyle w:val="TableBody"/>
              <w:tabs>
                <w:tab w:val="right" w:pos="9360"/>
              </w:tabs>
              <w:ind w:left="1733" w:hanging="1440"/>
            </w:pPr>
            <w:r w:rsidRPr="00BE4766">
              <w:t>DART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Day</w:t>
            </w:r>
            <w:r>
              <w:rPr>
                <w:i/>
              </w:rPr>
              <w:t>-</w:t>
            </w:r>
            <w:r w:rsidRPr="00BE4766">
              <w:rPr>
                <w:i/>
              </w:rPr>
              <w:t xml:space="preserve">Ahead - Real-Time Spread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2A983AD" w14:textId="77777777" w:rsidR="002D0D49" w:rsidRPr="00BE4766" w:rsidRDefault="002D0D49" w:rsidP="0031595F">
            <w:pPr>
              <w:pStyle w:val="TableBody"/>
              <w:tabs>
                <w:tab w:val="right" w:pos="9360"/>
              </w:tabs>
              <w:ind w:left="1733" w:hanging="1440"/>
            </w:pPr>
            <w:r w:rsidRPr="00BE4766">
              <w:t>DAM EOB Cleared</w:t>
            </w:r>
            <w:r w:rsidRPr="00BE4766">
              <w:rPr>
                <w:color w:val="000000"/>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DAM Energy Only Bids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C2D584A" w14:textId="77777777" w:rsidR="002D0D49" w:rsidRPr="00B3490C" w:rsidRDefault="002D0D49" w:rsidP="0031595F">
            <w:pPr>
              <w:pStyle w:val="TableBody"/>
              <w:tabs>
                <w:tab w:val="right" w:pos="9360"/>
              </w:tabs>
              <w:ind w:left="1728" w:hanging="1440"/>
              <w:rPr>
                <w:i/>
              </w:rPr>
            </w:pPr>
            <w:r w:rsidRPr="00BE4766">
              <w:t>DAM EOO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3490C">
              <w:rPr>
                <w:i/>
              </w:rPr>
              <w:t xml:space="preserve">DAM Energy Only Offers Cleared </w:t>
            </w:r>
            <w:r w:rsidRPr="00BE4766">
              <w:t xml:space="preserve">for interval </w:t>
            </w:r>
            <w:r w:rsidRPr="00BE4766">
              <w:rPr>
                <w:i/>
              </w:rPr>
              <w:t>i</w:t>
            </w:r>
            <w:r w:rsidRPr="00BE4766">
              <w:t xml:space="preserve"> for </w:t>
            </w:r>
            <w:r>
              <w:t>Operating</w:t>
            </w:r>
            <w:r w:rsidRPr="00BE4766">
              <w:t xml:space="preserve"> </w:t>
            </w:r>
            <w:r>
              <w:t>D</w:t>
            </w:r>
            <w:r w:rsidRPr="00BE4766">
              <w:t xml:space="preserve">ay </w:t>
            </w:r>
            <w:r w:rsidRPr="00AB68CC">
              <w:rPr>
                <w:i/>
              </w:rPr>
              <w:t>o</w:t>
            </w:r>
            <w:r w:rsidRPr="00BE4766">
              <w:rPr>
                <w:i/>
              </w:rPr>
              <w:t>d</w:t>
            </w:r>
            <w:r w:rsidRPr="00BE4766">
              <w:t xml:space="preserve"> at Settlement Point </w:t>
            </w:r>
            <w:r>
              <w:rPr>
                <w:i/>
              </w:rPr>
              <w:t>p</w:t>
            </w:r>
          </w:p>
          <w:p w14:paraId="52A103EC" w14:textId="77777777" w:rsidR="002D0D49" w:rsidRPr="00BE4766" w:rsidRDefault="002D0D49" w:rsidP="0031595F">
            <w:pPr>
              <w:pStyle w:val="TableBody"/>
              <w:ind w:left="1733" w:hanging="1440"/>
            </w:pPr>
            <w:r w:rsidRPr="00BE4766">
              <w:t>DAM TPO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Pr>
                <w:i/>
              </w:rPr>
              <w:t>DAM</w:t>
            </w:r>
            <w:r w:rsidRPr="00B3490C">
              <w:rPr>
                <w:i/>
              </w:rPr>
              <w:t xml:space="preserve"> Three-Part Offers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62043F0" w14:textId="77777777" w:rsidR="002D0D49" w:rsidRPr="00BE4766" w:rsidRDefault="002D0D49" w:rsidP="0031595F">
            <w:pPr>
              <w:pStyle w:val="TableBody"/>
              <w:ind w:left="1733" w:hanging="1440"/>
            </w:pPr>
            <w:r w:rsidRPr="00BE4766">
              <w:t xml:space="preserve">DAM PTP Cleared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 xml:space="preserve">DAM Point-to-Point (PTP) Obligations Cleared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1EDB0171" w14:textId="02C1E07D" w:rsidR="002D0D49" w:rsidRPr="00BE4766" w:rsidRDefault="002D0D49" w:rsidP="0031595F">
            <w:pPr>
              <w:pStyle w:val="TableBody"/>
              <w:ind w:left="1733" w:hanging="1440"/>
            </w:pPr>
            <w:r w:rsidRPr="00BE4766">
              <w:lastRenderedPageBreak/>
              <w:t xml:space="preserve">DARTPTP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E4766">
              <w:rPr>
                <w:i/>
              </w:rPr>
              <w:t>Day</w:t>
            </w:r>
            <w:r>
              <w:rPr>
                <w:i/>
              </w:rPr>
              <w:t>-</w:t>
            </w:r>
            <w:r w:rsidRPr="00BE4766">
              <w:rPr>
                <w:i/>
              </w:rPr>
              <w:t xml:space="preserve">Ahead - Real-Time Spread </w:t>
            </w:r>
            <w:r w:rsidRPr="00BE4766">
              <w:t xml:space="preserve">for value of PTP Obligation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2D308D1" w14:textId="77777777" w:rsidR="002D0D49" w:rsidRPr="00BE4766" w:rsidRDefault="002D0D49" w:rsidP="0031595F">
            <w:pPr>
              <w:pStyle w:val="TableBody"/>
              <w:ind w:left="1733" w:hanging="1440"/>
            </w:pPr>
            <w:r w:rsidRPr="00900F8C">
              <w:rPr>
                <w:i/>
              </w:rPr>
              <w:t>c</w:t>
            </w:r>
            <w:r w:rsidRPr="00BE4766">
              <w:t xml:space="preserve"> = </w:t>
            </w:r>
            <w:r w:rsidRPr="00BE4766">
              <w:tab/>
              <w:t xml:space="preserve">Bilateral Counter-Party </w:t>
            </w:r>
          </w:p>
          <w:p w14:paraId="05061FAF" w14:textId="77777777" w:rsidR="002D0D49" w:rsidRDefault="002D0D49" w:rsidP="0031595F">
            <w:pPr>
              <w:pStyle w:val="TableBody"/>
              <w:ind w:left="1733" w:hanging="1440"/>
              <w:rPr>
                <w:i/>
              </w:rPr>
            </w:pPr>
            <w:r w:rsidRPr="00FF36D0">
              <w:rPr>
                <w:i/>
              </w:rPr>
              <w:t>cif =</w:t>
            </w:r>
            <w:r w:rsidRPr="00FF36D0">
              <w:rPr>
                <w:i/>
              </w:rPr>
              <w:tab/>
              <w:t>Cap Interval Factor</w:t>
            </w:r>
            <w:r w:rsidRPr="00FF36D0">
              <w:t xml:space="preserve"> - Represents the historic largest percentage of System-Wide Offer Cap (SWCAP) intervals during a calendar day</w:t>
            </w:r>
          </w:p>
          <w:p w14:paraId="56FA2350" w14:textId="77777777" w:rsidR="002D0D49" w:rsidRPr="00BE4766" w:rsidRDefault="002D0D49" w:rsidP="0031595F">
            <w:pPr>
              <w:pStyle w:val="TableBody"/>
              <w:ind w:left="1733" w:hanging="1440"/>
            </w:pPr>
            <w:r w:rsidRPr="00900F8C">
              <w:rPr>
                <w:i/>
              </w:rPr>
              <w:t>e</w:t>
            </w:r>
            <w:r>
              <w:t xml:space="preserve"> = </w:t>
            </w:r>
            <w:r>
              <w:tab/>
              <w:t xml:space="preserve">Most recent </w:t>
            </w:r>
            <w:r w:rsidRPr="00355D7A">
              <w:rPr>
                <w:i/>
              </w:rPr>
              <w:t>n</w:t>
            </w:r>
            <w:r>
              <w:t xml:space="preserve"> Operating Days for which RTM Initial Settlement Statements are available</w:t>
            </w:r>
          </w:p>
          <w:p w14:paraId="55298A61" w14:textId="77777777" w:rsidR="002D0D49" w:rsidRPr="00BE4766" w:rsidRDefault="002D0D49" w:rsidP="0031595F">
            <w:pPr>
              <w:pStyle w:val="TableBody"/>
              <w:ind w:left="1733" w:hanging="1440"/>
            </w:pPr>
            <w:r w:rsidRPr="00900F8C">
              <w:rPr>
                <w:i/>
              </w:rPr>
              <w:t>i</w:t>
            </w:r>
            <w:r w:rsidRPr="00BE4766">
              <w:t xml:space="preserve"> = </w:t>
            </w:r>
            <w:r w:rsidRPr="00BE4766">
              <w:tab/>
              <w:t>Settlement Interval</w:t>
            </w:r>
          </w:p>
          <w:p w14:paraId="35AE8EAB" w14:textId="77777777" w:rsidR="002D0D49" w:rsidRPr="00BE4766" w:rsidRDefault="002D0D49" w:rsidP="0031595F">
            <w:pPr>
              <w:pStyle w:val="TableBody"/>
              <w:ind w:left="1733" w:hanging="1440"/>
            </w:pPr>
            <w:r w:rsidRPr="00900F8C">
              <w:rPr>
                <w:i/>
              </w:rPr>
              <w:t>n</w:t>
            </w:r>
            <w:r w:rsidRPr="00BE4766">
              <w:t xml:space="preserve"> = </w:t>
            </w:r>
            <w:r w:rsidRPr="00BE4766">
              <w:tab/>
            </w:r>
            <w:r>
              <w:t>D</w:t>
            </w:r>
            <w:r w:rsidRPr="00BE4766">
              <w:t>ays</w:t>
            </w:r>
            <w:r>
              <w:t xml:space="preserve"> used for averaging</w:t>
            </w:r>
          </w:p>
          <w:p w14:paraId="04A41163" w14:textId="77777777" w:rsidR="002D0D49" w:rsidRDefault="002D0D49" w:rsidP="0031595F">
            <w:pPr>
              <w:pStyle w:val="TableBody"/>
              <w:ind w:left="1733" w:hanging="1440"/>
              <w:rPr>
                <w:i/>
              </w:rPr>
            </w:pPr>
            <w:r w:rsidRPr="00FF36D0">
              <w:rPr>
                <w:i/>
              </w:rPr>
              <w:t>nm =</w:t>
            </w:r>
            <w:r w:rsidRPr="00FF36D0">
              <w:rPr>
                <w:i/>
              </w:rPr>
              <w:tab/>
            </w:r>
            <w:r w:rsidRPr="00FF36D0">
              <w:t>Notional Multiplier</w:t>
            </w:r>
          </w:p>
          <w:p w14:paraId="253BBF95" w14:textId="77777777" w:rsidR="002D0D49" w:rsidRPr="00BE4766" w:rsidRDefault="002D0D49" w:rsidP="0031595F">
            <w:pPr>
              <w:pStyle w:val="TableBody"/>
              <w:ind w:left="1733" w:hanging="1440"/>
            </w:pPr>
            <w:r w:rsidRPr="00900F8C">
              <w:rPr>
                <w:i/>
              </w:rPr>
              <w:t>o</w:t>
            </w:r>
            <w:r>
              <w:rPr>
                <w:i/>
              </w:rPr>
              <w:t>d</w:t>
            </w:r>
            <w:r w:rsidRPr="00BE4766">
              <w:t xml:space="preserve"> = </w:t>
            </w:r>
            <w:r w:rsidRPr="00BE4766">
              <w:tab/>
            </w:r>
            <w:r>
              <w:t>Operating Day</w:t>
            </w:r>
          </w:p>
          <w:p w14:paraId="00318EF3" w14:textId="77777777" w:rsidR="002D0D49" w:rsidRDefault="002D0D49" w:rsidP="0031595F">
            <w:pPr>
              <w:pStyle w:val="TableBody"/>
              <w:ind w:left="1733" w:hanging="1440"/>
              <w:rPr>
                <w:highlight w:val="yellow"/>
              </w:rPr>
            </w:pPr>
            <w:r>
              <w:rPr>
                <w:i/>
              </w:rPr>
              <w:t>p</w:t>
            </w:r>
            <w:r w:rsidRPr="00BE4766">
              <w:t xml:space="preserve"> = </w:t>
            </w:r>
            <w:r w:rsidRPr="00BE4766">
              <w:tab/>
              <w:t>A Settlement Point</w:t>
            </w:r>
          </w:p>
        </w:tc>
      </w:tr>
      <w:tr w:rsidR="004033D4" w14:paraId="18D4E8C6" w14:textId="77777777" w:rsidTr="00CD51A8">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4033D4" w14:paraId="310B4C93" w14:textId="77777777" w:rsidTr="005A32AC">
              <w:tc>
                <w:tcPr>
                  <w:tcW w:w="9134" w:type="dxa"/>
                  <w:shd w:val="pct12" w:color="auto" w:fill="auto"/>
                </w:tcPr>
                <w:p w14:paraId="16785432" w14:textId="086B2696" w:rsidR="004033D4" w:rsidRPr="0002450E" w:rsidRDefault="004033D4" w:rsidP="004033D4">
                  <w:pPr>
                    <w:pStyle w:val="Instructions"/>
                    <w:spacing w:before="120"/>
                    <w:rPr>
                      <w:iCs/>
                    </w:rPr>
                  </w:pPr>
                  <w:r>
                    <w:lastRenderedPageBreak/>
                    <w:t>[NPRR1013</w:t>
                  </w:r>
                  <w:r w:rsidRPr="0002450E">
                    <w:t xml:space="preserve">:  Replace </w:t>
                  </w:r>
                  <w:r>
                    <w:t>the variable “MCE”</w:t>
                  </w:r>
                  <w:r w:rsidRPr="0002450E">
                    <w:t xml:space="preserve"> above with the following upon system implementation</w:t>
                  </w:r>
                  <w:r>
                    <w:t xml:space="preserve"> of the Real-Time Co-Optimization (RTC) project</w:t>
                  </w:r>
                  <w:r w:rsidRPr="0002450E">
                    <w:t xml:space="preserve">:]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4033D4" w:rsidRPr="00367720" w14:paraId="459CC079" w14:textId="77777777" w:rsidTr="004033D4">
                    <w:trPr>
                      <w:trHeight w:val="91"/>
                    </w:trPr>
                    <w:tc>
                      <w:tcPr>
                        <w:tcW w:w="1619" w:type="dxa"/>
                      </w:tcPr>
                      <w:p w14:paraId="2142B352" w14:textId="5D7B2653" w:rsidR="004033D4" w:rsidRPr="00906156" w:rsidRDefault="004033D4" w:rsidP="004033D4">
                        <w:pPr>
                          <w:pStyle w:val="TableBody"/>
                        </w:pPr>
                        <w:r w:rsidRPr="009F4E0B">
                          <w:t>MCE</w:t>
                        </w:r>
                      </w:p>
                    </w:tc>
                    <w:tc>
                      <w:tcPr>
                        <w:tcW w:w="880" w:type="dxa"/>
                      </w:tcPr>
                      <w:p w14:paraId="16E60A43" w14:textId="600570C9" w:rsidR="004033D4" w:rsidRPr="004F59D3" w:rsidRDefault="004033D4" w:rsidP="004033D4">
                        <w:pPr>
                          <w:pStyle w:val="TableBody"/>
                        </w:pPr>
                        <w:r w:rsidRPr="009F4E0B">
                          <w:t>$</w:t>
                        </w:r>
                      </w:p>
                    </w:tc>
                    <w:tc>
                      <w:tcPr>
                        <w:tcW w:w="6504" w:type="dxa"/>
                      </w:tcPr>
                      <w:p w14:paraId="3C84A7D3" w14:textId="77777777" w:rsidR="004033D4" w:rsidRPr="009F4E0B" w:rsidRDefault="004033D4" w:rsidP="004033D4">
                        <w:pPr>
                          <w:spacing w:after="60"/>
                          <w:rPr>
                            <w:iCs/>
                            <w:sz w:val="20"/>
                          </w:rPr>
                        </w:pPr>
                        <w:r w:rsidRPr="009F4E0B">
                          <w:rPr>
                            <w:i/>
                            <w:iCs/>
                            <w:sz w:val="20"/>
                          </w:rPr>
                          <w:t>Minimum Current Exposure</w:t>
                        </w:r>
                        <w:r w:rsidRPr="009F4E0B">
                          <w:rPr>
                            <w:iCs/>
                            <w:sz w:val="20"/>
                          </w:rPr>
                          <w:t xml:space="preserve">—For each Counter-Party, ERCOT shall determine a Minimum Current Exposure (MCE) as follows:  </w:t>
                        </w:r>
                      </w:p>
                      <w:p w14:paraId="48270D03" w14:textId="77777777" w:rsidR="004033D4" w:rsidRPr="009F4E0B" w:rsidRDefault="004033D4" w:rsidP="004033D4">
                        <w:pPr>
                          <w:spacing w:after="60"/>
                          <w:rPr>
                            <w:iCs/>
                            <w:sz w:val="20"/>
                          </w:rPr>
                        </w:pPr>
                      </w:p>
                      <w:p w14:paraId="1D2B113F" w14:textId="77777777" w:rsidR="004033D4" w:rsidRPr="009F4E0B" w:rsidRDefault="004033D4" w:rsidP="004033D4">
                        <w:pPr>
                          <w:spacing w:after="60"/>
                          <w:ind w:left="1643" w:hanging="1411"/>
                          <w:rPr>
                            <w:iCs/>
                            <w:sz w:val="20"/>
                          </w:rPr>
                        </w:pPr>
                        <w:r w:rsidRPr="009F4E0B">
                          <w:rPr>
                            <w:iCs/>
                            <w:sz w:val="20"/>
                          </w:rPr>
                          <w:t>MCE = Max[RFAF * MAF * Max[{</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RTSPP </w:t>
                        </w:r>
                        <w:r w:rsidRPr="009F4E0B">
                          <w:rPr>
                            <w:i/>
                            <w:iCs/>
                            <w:sz w:val="20"/>
                            <w:vertAlign w:val="subscript"/>
                          </w:rPr>
                          <w:t>i, od, p</w:t>
                        </w:r>
                        <w:r w:rsidRPr="009F4E0B">
                          <w:rPr>
                            <w:iCs/>
                            <w:sz w:val="20"/>
                          </w:rPr>
                          <w:t>]/</w:t>
                        </w:r>
                        <w:r w:rsidRPr="009F4E0B">
                          <w:rPr>
                            <w:i/>
                            <w:iCs/>
                            <w:sz w:val="20"/>
                          </w:rPr>
                          <w:t>n</w:t>
                        </w:r>
                        <w:r w:rsidRPr="009F4E0B">
                          <w:rPr>
                            <w:iCs/>
                            <w:sz w:val="20"/>
                          </w:rPr>
                          <w:t>},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w:t>
                        </w:r>
                        <w:r w:rsidRPr="009F4E0B">
                          <w:rPr>
                            <w:i/>
                            <w:iCs/>
                            <w:sz w:val="20"/>
                          </w:rPr>
                          <w:t>T2</w:t>
                        </w:r>
                        <w:r w:rsidRPr="009F4E0B">
                          <w:rPr>
                            <w:iCs/>
                            <w:sz w:val="20"/>
                            <w:vertAlign w:val="subscript"/>
                          </w:rPr>
                          <w:t xml:space="preserve">  </w:t>
                        </w:r>
                        <w:r w:rsidRPr="009F4E0B">
                          <w:rPr>
                            <w:b/>
                            <w:bCs/>
                            <w:iCs/>
                            <w:sz w:val="20"/>
                          </w:rPr>
                          <w:t xml:space="preserve">- </w:t>
                        </w:r>
                        <w:r w:rsidRPr="009F4E0B">
                          <w:rPr>
                            <w:iCs/>
                            <w:sz w:val="20"/>
                          </w:rPr>
                          <w:t xml:space="preserve">G </w:t>
                        </w:r>
                        <w:r w:rsidRPr="009F4E0B">
                          <w:rPr>
                            <w:i/>
                            <w:iCs/>
                            <w:sz w:val="20"/>
                            <w:vertAlign w:val="subscript"/>
                          </w:rPr>
                          <w:t>i, od, p</w:t>
                        </w:r>
                        <w:r w:rsidRPr="009F4E0B">
                          <w:rPr>
                            <w:iCs/>
                            <w:sz w:val="20"/>
                          </w:rPr>
                          <w:t xml:space="preserve"> * (1-</w:t>
                        </w:r>
                        <w:r w:rsidRPr="009F4E0B">
                          <w:rPr>
                            <w:i/>
                            <w:iCs/>
                            <w:sz w:val="20"/>
                          </w:rPr>
                          <w:t>NUCADJ</w:t>
                        </w:r>
                        <w:r w:rsidRPr="009F4E0B">
                          <w:rPr>
                            <w:iCs/>
                            <w:sz w:val="20"/>
                          </w:rPr>
                          <w:t xml:space="preserve">) * </w:t>
                        </w:r>
                        <w:r w:rsidRPr="009F4E0B">
                          <w:rPr>
                            <w:i/>
                            <w:iCs/>
                            <w:sz w:val="20"/>
                          </w:rPr>
                          <w:t>T3</w:t>
                        </w:r>
                        <w:r w:rsidRPr="009F4E0B">
                          <w:rPr>
                            <w:iCs/>
                            <w:sz w:val="20"/>
                          </w:rPr>
                          <w:t xml:space="preserve">] * RTSPP </w:t>
                        </w:r>
                        <w:r w:rsidRPr="009F4E0B">
                          <w:rPr>
                            <w:i/>
                            <w:iCs/>
                            <w:sz w:val="20"/>
                            <w:vertAlign w:val="subscript"/>
                          </w:rPr>
                          <w:t>i, od, p</w:t>
                        </w:r>
                        <w:r w:rsidRPr="009F4E0B">
                          <w:rPr>
                            <w:iCs/>
                            <w:sz w:val="20"/>
                          </w:rPr>
                          <w:t xml:space="preserve">] + [RTQQNET </w:t>
                        </w:r>
                        <w:r w:rsidRPr="009F4E0B">
                          <w:rPr>
                            <w:i/>
                            <w:iCs/>
                            <w:sz w:val="20"/>
                            <w:vertAlign w:val="subscript"/>
                          </w:rPr>
                          <w:t>i, od, p</w:t>
                        </w:r>
                        <w:r w:rsidRPr="009F4E0B">
                          <w:rPr>
                            <w:b/>
                            <w:bCs/>
                            <w:iCs/>
                            <w:sz w:val="20"/>
                          </w:rPr>
                          <w:t xml:space="preserve"> </w:t>
                        </w:r>
                        <w:r w:rsidRPr="009F4E0B">
                          <w:rPr>
                            <w:iCs/>
                            <w:sz w:val="20"/>
                          </w:rPr>
                          <w:t xml:space="preserve">* </w:t>
                        </w:r>
                        <w:r w:rsidRPr="009F4E0B">
                          <w:rPr>
                            <w:i/>
                            <w:iCs/>
                            <w:sz w:val="20"/>
                          </w:rPr>
                          <w:t>T5</w:t>
                        </w:r>
                        <w:r w:rsidRPr="009F4E0B">
                          <w:rPr>
                            <w:iCs/>
                            <w:sz w:val="20"/>
                          </w:rPr>
                          <w:t>]]</w:t>
                        </w:r>
                        <w:r w:rsidRPr="009F4E0B">
                          <w:rPr>
                            <w:b/>
                            <w:bCs/>
                            <w:iCs/>
                            <w:sz w:val="20"/>
                          </w:rPr>
                          <w:t>/</w:t>
                        </w:r>
                        <w:r w:rsidRPr="009F4E0B">
                          <w:rPr>
                            <w:i/>
                            <w:iCs/>
                            <w:sz w:val="20"/>
                          </w:rPr>
                          <w:t>n</w:t>
                        </w:r>
                        <w:r w:rsidRPr="009F4E0B">
                          <w:rPr>
                            <w:iCs/>
                            <w:sz w:val="20"/>
                          </w:rPr>
                          <w:t xml:space="preserve">}, </w:t>
                        </w:r>
                      </w:p>
                      <w:p w14:paraId="1841599B" w14:textId="77777777" w:rsidR="004033D4" w:rsidRPr="009F4E0B" w:rsidRDefault="004033D4" w:rsidP="004033D4">
                        <w:pPr>
                          <w:spacing w:after="60"/>
                          <w:ind w:left="1643" w:hanging="1373"/>
                          <w:rPr>
                            <w:iCs/>
                            <w:sz w:val="20"/>
                          </w:rPr>
                        </w:pPr>
                        <w:r w:rsidRPr="009F4E0B">
                          <w:rPr>
                            <w:iCs/>
                            <w:sz w:val="20"/>
                          </w:rPr>
                          <w:t xml:space="preserve">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G </w:t>
                        </w:r>
                        <w:r w:rsidRPr="009F4E0B">
                          <w:rPr>
                            <w:i/>
                            <w:iCs/>
                            <w:sz w:val="20"/>
                            <w:vertAlign w:val="subscript"/>
                          </w:rPr>
                          <w:t>i, od, p</w:t>
                        </w:r>
                        <w:r w:rsidRPr="009F4E0B">
                          <w:rPr>
                            <w:iCs/>
                            <w:sz w:val="20"/>
                          </w:rPr>
                          <w:t xml:space="preserve"> * </w:t>
                        </w:r>
                        <w:r w:rsidRPr="009F4E0B">
                          <w:rPr>
                            <w:i/>
                            <w:iCs/>
                            <w:sz w:val="20"/>
                          </w:rPr>
                          <w:t>NUCADJ</w:t>
                        </w:r>
                        <w:r w:rsidRPr="009F4E0B">
                          <w:rPr>
                            <w:iCs/>
                            <w:sz w:val="20"/>
                          </w:rPr>
                          <w:t xml:space="preserve"> * </w:t>
                        </w:r>
                        <w:r w:rsidRPr="009F4E0B">
                          <w:rPr>
                            <w:i/>
                            <w:iCs/>
                            <w:sz w:val="20"/>
                          </w:rPr>
                          <w:t>T1</w:t>
                        </w:r>
                        <w:r w:rsidRPr="009F4E0B">
                          <w:rPr>
                            <w:iCs/>
                            <w:sz w:val="20"/>
                          </w:rPr>
                          <w:t xml:space="preserve"> * RTSPP </w:t>
                        </w:r>
                        <w:r w:rsidRPr="009F4E0B">
                          <w:rPr>
                            <w:i/>
                            <w:iCs/>
                            <w:sz w:val="20"/>
                            <w:vertAlign w:val="subscript"/>
                          </w:rPr>
                          <w:t>i, od, p</w:t>
                        </w:r>
                        <w:r w:rsidRPr="009F4E0B">
                          <w:rPr>
                            <w:b/>
                            <w:bCs/>
                            <w:iCs/>
                            <w:sz w:val="20"/>
                          </w:rPr>
                          <w:t>]/</w:t>
                        </w:r>
                        <w:r w:rsidRPr="009F4E0B">
                          <w:rPr>
                            <w:iCs/>
                            <w:sz w:val="20"/>
                          </w:rPr>
                          <w:t>n},</w:t>
                        </w:r>
                      </w:p>
                      <w:p w14:paraId="1E17603C" w14:textId="77777777" w:rsidR="004033D4" w:rsidRPr="009F4E0B" w:rsidRDefault="004033D4" w:rsidP="004033D4">
                        <w:pPr>
                          <w:spacing w:after="60"/>
                          <w:ind w:left="1643" w:hanging="1373"/>
                          <w:rPr>
                            <w:iCs/>
                            <w:sz w:val="20"/>
                          </w:rPr>
                        </w:pPr>
                        <w:r w:rsidRPr="009F4E0B">
                          <w:rPr>
                            <w:iCs/>
                            <w:sz w:val="20"/>
                          </w:rPr>
                          <w:t xml:space="preserve">                      {</w:t>
                        </w:r>
                        <w:r>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iCs/>
                            <w:sz w:val="20"/>
                          </w:rPr>
                          <w:t>DARTNET</w:t>
                        </w:r>
                        <w:r w:rsidRPr="009F4E0B">
                          <w:rPr>
                            <w:iCs/>
                            <w:sz w:val="16"/>
                            <w:vertAlign w:val="subscript"/>
                          </w:rPr>
                          <w:t xml:space="preserve"> </w:t>
                        </w:r>
                        <w:r w:rsidRPr="009F4E0B">
                          <w:rPr>
                            <w:i/>
                            <w:iCs/>
                            <w:sz w:val="20"/>
                            <w:vertAlign w:val="subscript"/>
                          </w:rPr>
                          <w:t>i, od, p</w:t>
                        </w:r>
                        <w:r w:rsidRPr="009F4E0B">
                          <w:rPr>
                            <w:iCs/>
                            <w:sz w:val="20"/>
                          </w:rPr>
                          <w:t xml:space="preserve"> </w:t>
                        </w:r>
                        <w:r w:rsidRPr="009F4E0B">
                          <w:rPr>
                            <w:iCs/>
                            <w:sz w:val="16"/>
                          </w:rPr>
                          <w:t xml:space="preserve">* </w:t>
                        </w:r>
                        <w:r w:rsidRPr="009F4E0B">
                          <w:rPr>
                            <w:i/>
                            <w:iCs/>
                            <w:sz w:val="20"/>
                          </w:rPr>
                          <w:t>T4</w:t>
                        </w:r>
                        <w:r w:rsidRPr="009F4E0B">
                          <w:rPr>
                            <w:iCs/>
                            <w:sz w:val="20"/>
                          </w:rPr>
                          <w:t>/</w:t>
                        </w:r>
                        <w:r w:rsidRPr="009F4E0B">
                          <w:rPr>
                            <w:i/>
                            <w:iCs/>
                            <w:sz w:val="20"/>
                          </w:rPr>
                          <w:t>n</w:t>
                        </w:r>
                        <w:r w:rsidRPr="009F4E0B">
                          <w:rPr>
                            <w:iCs/>
                            <w:sz w:val="20"/>
                          </w:rPr>
                          <w:t>}</w:t>
                        </w:r>
                        <w:r>
                          <w:rPr>
                            <w:iCs/>
                            <w:sz w:val="20"/>
                          </w:rPr>
                          <w:t xml:space="preserve"> </w:t>
                        </w:r>
                        <m:oMath>
                          <m:r>
                            <w:rPr>
                              <w:rFonts w:ascii="Cambria Math" w:hAnsi="Cambria Math"/>
                              <w:sz w:val="20"/>
                            </w:rPr>
                            <m:t>+</m:t>
                          </m:r>
                        </m:oMath>
                        <w:r w:rsidRPr="009F4E0B">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oMath>
                        <w:r>
                          <w:rPr>
                            <w:iCs/>
                            <w:sz w:val="20"/>
                          </w:rPr>
                          <w:t>DARTASONET</w:t>
                        </w:r>
                        <w:r w:rsidRPr="009F4E0B">
                          <w:rPr>
                            <w:i/>
                            <w:iCs/>
                            <w:sz w:val="20"/>
                            <w:vertAlign w:val="subscript"/>
                          </w:rPr>
                          <w:t xml:space="preserve"> </w:t>
                        </w:r>
                        <w:r>
                          <w:rPr>
                            <w:i/>
                            <w:iCs/>
                            <w:sz w:val="20"/>
                            <w:vertAlign w:val="subscript"/>
                          </w:rPr>
                          <w:t xml:space="preserve">i, od, </w:t>
                        </w:r>
                        <w:r w:rsidRPr="009F4E0B">
                          <w:rPr>
                            <w:i/>
                            <w:iCs/>
                            <w:sz w:val="20"/>
                            <w:vertAlign w:val="subscript"/>
                          </w:rPr>
                          <w:t>c</w:t>
                        </w:r>
                        <w:r>
                          <w:rPr>
                            <w:i/>
                            <w:iCs/>
                            <w:sz w:val="20"/>
                            <w:vertAlign w:val="subscript"/>
                          </w:rPr>
                          <w:t xml:space="preserve"> </w:t>
                        </w:r>
                        <w:r w:rsidRPr="007119F8">
                          <w:rPr>
                            <w:i/>
                            <w:iCs/>
                            <w:sz w:val="20"/>
                          </w:rPr>
                          <w:t>* T4/n</w:t>
                        </w:r>
                        <w:r w:rsidRPr="007119F8">
                          <w:rPr>
                            <w:iCs/>
                            <w:sz w:val="20"/>
                          </w:rPr>
                          <w:t>}</w:t>
                        </w:r>
                        <w:r>
                          <w:rPr>
                            <w:iCs/>
                            <w:sz w:val="20"/>
                          </w:rPr>
                          <w:t>}</w:t>
                        </w:r>
                        <w:r w:rsidRPr="009F4E0B">
                          <w:rPr>
                            <w:iCs/>
                            <w:sz w:val="20"/>
                          </w:rPr>
                          <w:t>],</w:t>
                        </w:r>
                      </w:p>
                      <w:p w14:paraId="01D397DF" w14:textId="77777777" w:rsidR="004033D4" w:rsidRPr="009F4E0B" w:rsidRDefault="004033D4" w:rsidP="004033D4">
                        <w:pPr>
                          <w:spacing w:after="60"/>
                          <w:ind w:left="1643" w:hanging="1373"/>
                          <w:rPr>
                            <w:iCs/>
                            <w:sz w:val="20"/>
                          </w:rPr>
                        </w:pPr>
                        <w:r w:rsidRPr="009F4E0B">
                          <w:rPr>
                            <w:iCs/>
                            <w:sz w:val="20"/>
                          </w:rPr>
                          <w:t xml:space="preserve">                      MAF * IMCE]</w:t>
                        </w:r>
                      </w:p>
                      <w:p w14:paraId="2D75F0B9" w14:textId="77777777" w:rsidR="004033D4" w:rsidRPr="009F4E0B" w:rsidRDefault="004033D4" w:rsidP="004033D4">
                        <w:pPr>
                          <w:spacing w:after="60"/>
                          <w:ind w:left="1643" w:hanging="1373"/>
                          <w:rPr>
                            <w:iCs/>
                            <w:sz w:val="20"/>
                          </w:rPr>
                        </w:pPr>
                      </w:p>
                      <w:p w14:paraId="20A0B138" w14:textId="77777777" w:rsidR="004033D4" w:rsidRPr="009F4E0B" w:rsidRDefault="004033D4" w:rsidP="004033D4">
                        <w:pPr>
                          <w:spacing w:after="60"/>
                          <w:ind w:left="1402" w:hanging="1170"/>
                          <w:rPr>
                            <w:b/>
                            <w:iCs/>
                            <w:sz w:val="20"/>
                          </w:rPr>
                        </w:pPr>
                        <w:r w:rsidRPr="009F4E0B">
                          <w:rPr>
                            <w:iCs/>
                            <w:sz w:val="20"/>
                          </w:rPr>
                          <w:t xml:space="preserve">RTQQNET </w:t>
                        </w:r>
                        <w:r w:rsidRPr="009F4E0B">
                          <w:rPr>
                            <w:i/>
                            <w:iCs/>
                            <w:sz w:val="20"/>
                            <w:vertAlign w:val="subscript"/>
                          </w:rPr>
                          <w:t>i, od, p</w:t>
                        </w:r>
                        <w:r w:rsidRPr="009F4E0B">
                          <w:rPr>
                            <w:i/>
                            <w:iCs/>
                            <w:sz w:val="20"/>
                          </w:rPr>
                          <w:t xml:space="preserve"> </w:t>
                        </w:r>
                        <w:r w:rsidRPr="009F4E0B">
                          <w:rPr>
                            <w:iCs/>
                            <w:sz w:val="20"/>
                          </w:rPr>
                          <w:t>= Max</w:t>
                        </w:r>
                        <w:r w:rsidRPr="009F4E0B">
                          <w:rPr>
                            <w:b/>
                            <w:iCs/>
                            <w:sz w:val="20"/>
                          </w:rPr>
                          <w:t>[</w:t>
                        </w:r>
                        <w:r w:rsidRPr="009F4E0B">
                          <w:rPr>
                            <w:b/>
                            <w:iCs/>
                            <w:position w:val="-20"/>
                            <w:sz w:val="20"/>
                          </w:rPr>
                          <w:object w:dxaOrig="225" w:dyaOrig="420" w14:anchorId="335FA0E3">
                            <v:shape id="_x0000_i1027" type="#_x0000_t75" style="width:7.8pt;height:22.2pt" o:ole="">
                              <v:imagedata r:id="rId17" o:title=""/>
                            </v:shape>
                            <o:OLEObject Type="Embed" ProgID="Equation.3" ShapeID="_x0000_i1027" DrawAspect="Content" ObjectID="_1788847470" r:id="rId20"/>
                          </w:object>
                        </w:r>
                        <w:r w:rsidRPr="009F4E0B">
                          <w:rPr>
                            <w:b/>
                            <w:iCs/>
                            <w:sz w:val="20"/>
                          </w:rPr>
                          <w:t>(</w:t>
                        </w:r>
                        <w:r w:rsidRPr="009F4E0B">
                          <w:rPr>
                            <w:iCs/>
                            <w:sz w:val="20"/>
                          </w:rPr>
                          <w:t xml:space="preserve">RTQQES </w:t>
                        </w:r>
                        <w:r w:rsidRPr="009F4E0B">
                          <w:rPr>
                            <w:i/>
                            <w:iCs/>
                            <w:sz w:val="20"/>
                            <w:vertAlign w:val="subscript"/>
                          </w:rPr>
                          <w:t xml:space="preserve">i, od, p, c </w:t>
                        </w:r>
                        <w:r w:rsidRPr="009F4E0B">
                          <w:rPr>
                            <w:i/>
                            <w:iCs/>
                            <w:sz w:val="20"/>
                          </w:rPr>
                          <w:t>-</w:t>
                        </w:r>
                        <w:r w:rsidRPr="009F4E0B">
                          <w:rPr>
                            <w:i/>
                            <w:iCs/>
                            <w:sz w:val="20"/>
                            <w:vertAlign w:val="subscript"/>
                          </w:rPr>
                          <w:t xml:space="preserve"> </w:t>
                        </w:r>
                        <w:r w:rsidRPr="009F4E0B">
                          <w:rPr>
                            <w:iCs/>
                            <w:sz w:val="20"/>
                          </w:rPr>
                          <w:t xml:space="preserve">RTQQEP </w:t>
                        </w:r>
                        <w:r w:rsidRPr="009F4E0B">
                          <w:rPr>
                            <w:i/>
                            <w:iCs/>
                            <w:sz w:val="20"/>
                            <w:vertAlign w:val="subscript"/>
                          </w:rPr>
                          <w:t>i, od, p, c</w:t>
                        </w:r>
                        <w:r w:rsidRPr="009F4E0B">
                          <w:rPr>
                            <w:iCs/>
                            <w:sz w:val="20"/>
                          </w:rPr>
                          <w:t xml:space="preserve">), </w:t>
                        </w:r>
                        <w:r w:rsidRPr="009F4E0B">
                          <w:rPr>
                            <w:i/>
                            <w:iCs/>
                            <w:sz w:val="20"/>
                          </w:rPr>
                          <w:t>BTCF</w:t>
                        </w:r>
                        <w:r w:rsidRPr="009F4E0B">
                          <w:rPr>
                            <w:iCs/>
                            <w:sz w:val="20"/>
                          </w:rPr>
                          <w:t xml:space="preserve"> *      </w:t>
                        </w:r>
                        <w:r w:rsidRPr="009F4E0B">
                          <w:rPr>
                            <w:b/>
                            <w:iCs/>
                            <w:position w:val="-20"/>
                            <w:sz w:val="20"/>
                          </w:rPr>
                          <w:object w:dxaOrig="225" w:dyaOrig="420" w14:anchorId="76ABEBDE">
                            <v:shape id="_x0000_i1028" type="#_x0000_t75" style="width:7.8pt;height:22.2pt" o:ole="">
                              <v:imagedata r:id="rId17" o:title=""/>
                            </v:shape>
                            <o:OLEObject Type="Embed" ProgID="Equation.3" ShapeID="_x0000_i1028" DrawAspect="Content" ObjectID="_1788847471" r:id="rId21"/>
                          </w:object>
                        </w:r>
                        <w:r w:rsidRPr="009F4E0B">
                          <w:rPr>
                            <w:iCs/>
                            <w:sz w:val="20"/>
                          </w:rPr>
                          <w:t xml:space="preserve">(RTQQES </w:t>
                        </w:r>
                        <w:r w:rsidRPr="009F4E0B">
                          <w:rPr>
                            <w:i/>
                            <w:iCs/>
                            <w:sz w:val="20"/>
                            <w:vertAlign w:val="subscript"/>
                          </w:rPr>
                          <w:t>i, od, p, c</w:t>
                        </w:r>
                        <w:r w:rsidRPr="009F4E0B">
                          <w:rPr>
                            <w:iCs/>
                            <w:sz w:val="20"/>
                          </w:rPr>
                          <w:t xml:space="preserve"> – RTQQEP </w:t>
                        </w:r>
                        <w:r w:rsidRPr="009F4E0B">
                          <w:rPr>
                            <w:i/>
                            <w:iCs/>
                            <w:sz w:val="20"/>
                            <w:vertAlign w:val="subscript"/>
                          </w:rPr>
                          <w:t>i, od, p, c</w:t>
                        </w:r>
                        <w:r w:rsidRPr="009F4E0B">
                          <w:rPr>
                            <w:iCs/>
                            <w:sz w:val="20"/>
                          </w:rPr>
                          <w:t xml:space="preserve">)] * RTSPP </w:t>
                        </w:r>
                        <w:r w:rsidRPr="009F4E0B">
                          <w:rPr>
                            <w:i/>
                            <w:iCs/>
                            <w:sz w:val="20"/>
                            <w:vertAlign w:val="subscript"/>
                          </w:rPr>
                          <w:t>i, od, p</w:t>
                        </w:r>
                      </w:p>
                      <w:p w14:paraId="4FBB6AD0" w14:textId="77777777" w:rsidR="004033D4" w:rsidRPr="009F4E0B" w:rsidRDefault="004033D4" w:rsidP="004033D4">
                        <w:pPr>
                          <w:spacing w:after="60"/>
                          <w:ind w:left="293"/>
                          <w:rPr>
                            <w:b/>
                            <w:iCs/>
                            <w:sz w:val="20"/>
                          </w:rPr>
                        </w:pPr>
                      </w:p>
                      <w:p w14:paraId="63FD939D" w14:textId="77777777" w:rsidR="004033D4" w:rsidRDefault="004033D4" w:rsidP="004033D4">
                        <w:pPr>
                          <w:spacing w:after="60"/>
                          <w:ind w:left="1402" w:hanging="1170"/>
                          <w:rPr>
                            <w:iCs/>
                            <w:color w:val="000000"/>
                            <w:sz w:val="20"/>
                          </w:rPr>
                        </w:pPr>
                        <w:r w:rsidRPr="009F4E0B">
                          <w:rPr>
                            <w:iCs/>
                            <w:color w:val="000000"/>
                            <w:sz w:val="20"/>
                          </w:rPr>
                          <w:t>DARTNET</w:t>
                        </w:r>
                        <w:r w:rsidRPr="009F4E0B">
                          <w:rPr>
                            <w:i/>
                            <w:iCs/>
                            <w:sz w:val="20"/>
                            <w:vertAlign w:val="subscript"/>
                          </w:rPr>
                          <w:t xml:space="preserve"> i, od, p </w:t>
                        </w:r>
                        <w:r w:rsidRPr="009F4E0B">
                          <w:rPr>
                            <w:iCs/>
                            <w:color w:val="000000"/>
                            <w:sz w:val="20"/>
                          </w:rPr>
                          <w:t xml:space="preserve"> = DAM EOO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TPO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 DAM PTP Cleared</w:t>
                        </w:r>
                        <w:r w:rsidRPr="009F4E0B">
                          <w:rPr>
                            <w:i/>
                            <w:iCs/>
                            <w:sz w:val="20"/>
                            <w:vertAlign w:val="subscript"/>
                          </w:rPr>
                          <w:t xml:space="preserve"> i, od, p</w:t>
                        </w:r>
                        <w:r w:rsidRPr="009F4E0B">
                          <w:rPr>
                            <w:i/>
                            <w:iCs/>
                            <w:sz w:val="20"/>
                          </w:rPr>
                          <w:t xml:space="preserve"> </w:t>
                        </w:r>
                        <w:r w:rsidRPr="009F4E0B">
                          <w:rPr>
                            <w:iCs/>
                            <w:color w:val="000000"/>
                            <w:sz w:val="20"/>
                          </w:rPr>
                          <w:t>* DARTPTP</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EOB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w:t>
                        </w:r>
                      </w:p>
                      <w:p w14:paraId="1214D703" w14:textId="77777777" w:rsidR="004033D4" w:rsidRDefault="004033D4" w:rsidP="004033D4">
                        <w:pPr>
                          <w:spacing w:after="60"/>
                          <w:ind w:left="1402" w:hanging="1170"/>
                          <w:rPr>
                            <w:iCs/>
                            <w:color w:val="000000"/>
                            <w:sz w:val="20"/>
                          </w:rPr>
                        </w:pPr>
                      </w:p>
                      <w:p w14:paraId="448953EC" w14:textId="77777777" w:rsidR="004033D4" w:rsidRPr="009F4E0B" w:rsidRDefault="004033D4" w:rsidP="004033D4">
                        <w:pPr>
                          <w:spacing w:after="60"/>
                          <w:ind w:left="1402" w:hanging="1170"/>
                          <w:rPr>
                            <w:iCs/>
                            <w:color w:val="000000"/>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DAM ASOO Cleared </w:t>
                        </w:r>
                        <w:r>
                          <w:rPr>
                            <w:i/>
                            <w:iCs/>
                            <w:sz w:val="20"/>
                            <w:vertAlign w:val="subscript"/>
                          </w:rPr>
                          <w:t>i, od</w:t>
                        </w:r>
                        <w:r>
                          <w:rPr>
                            <w:iCs/>
                            <w:color w:val="000000"/>
                            <w:sz w:val="20"/>
                          </w:rPr>
                          <w:t xml:space="preserve"> * DARTMCPC</w:t>
                        </w:r>
                        <w:r>
                          <w:rPr>
                            <w:i/>
                            <w:iCs/>
                            <w:sz w:val="20"/>
                            <w:vertAlign w:val="subscript"/>
                          </w:rPr>
                          <w:t xml:space="preserve"> i, od</w:t>
                        </w:r>
                      </w:p>
                      <w:p w14:paraId="636569A9" w14:textId="77777777" w:rsidR="004033D4" w:rsidRPr="009F4E0B" w:rsidRDefault="004033D4" w:rsidP="004033D4">
                        <w:pPr>
                          <w:keepNext/>
                          <w:tabs>
                            <w:tab w:val="left" w:pos="1728"/>
                            <w:tab w:val="center" w:pos="4536"/>
                            <w:tab w:val="right" w:pos="9360"/>
                          </w:tabs>
                          <w:spacing w:before="240" w:after="60"/>
                          <w:ind w:left="1733" w:hanging="1440"/>
                          <w:outlineLvl w:val="6"/>
                          <w:rPr>
                            <w:sz w:val="20"/>
                          </w:rPr>
                        </w:pPr>
                        <w:r w:rsidRPr="009F4E0B">
                          <w:rPr>
                            <w:sz w:val="20"/>
                          </w:rPr>
                          <w:lastRenderedPageBreak/>
                          <w:t>Where:</w:t>
                        </w:r>
                      </w:p>
                      <w:p w14:paraId="44936BEF" w14:textId="77777777" w:rsidR="004033D4" w:rsidRPr="009F4E0B" w:rsidRDefault="004033D4" w:rsidP="004033D4">
                        <w:pPr>
                          <w:keepNext/>
                          <w:tabs>
                            <w:tab w:val="left" w:pos="1728"/>
                            <w:tab w:val="center" w:pos="4536"/>
                            <w:tab w:val="right" w:pos="9360"/>
                          </w:tabs>
                          <w:spacing w:before="240" w:after="60"/>
                          <w:ind w:left="1733" w:hanging="1440"/>
                          <w:outlineLvl w:val="6"/>
                          <w:rPr>
                            <w:rFonts w:ascii="Cambria" w:hAnsi="Cambria"/>
                            <w:iCs/>
                            <w:color w:val="404040"/>
                            <w:sz w:val="20"/>
                          </w:rPr>
                        </w:pPr>
                        <w:r w:rsidRPr="009F4E0B">
                          <w:rPr>
                            <w:iCs/>
                            <w:sz w:val="20"/>
                          </w:rPr>
                          <w:t>G</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 Metered Generation at all Resource Nodes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 xml:space="preserve">od </w:t>
                        </w:r>
                        <w:r w:rsidRPr="009F4E0B">
                          <w:rPr>
                            <w:iCs/>
                            <w:sz w:val="20"/>
                          </w:rPr>
                          <w:t xml:space="preserve">at Settlement Point </w:t>
                        </w:r>
                        <w:r w:rsidRPr="009F4E0B">
                          <w:rPr>
                            <w:i/>
                            <w:iCs/>
                            <w:sz w:val="20"/>
                          </w:rPr>
                          <w:t>p</w:t>
                        </w:r>
                      </w:p>
                      <w:p w14:paraId="66A08D1C" w14:textId="77777777" w:rsidR="004033D4" w:rsidRPr="009F4E0B" w:rsidRDefault="004033D4" w:rsidP="004033D4">
                        <w:pPr>
                          <w:tabs>
                            <w:tab w:val="right" w:pos="9360"/>
                          </w:tabs>
                          <w:spacing w:after="60"/>
                          <w:ind w:left="1733" w:hanging="1440"/>
                          <w:rPr>
                            <w:rFonts w:ascii="Cambria" w:hAnsi="Cambria"/>
                            <w:i/>
                            <w:iCs/>
                            <w:color w:val="404040"/>
                            <w:sz w:val="20"/>
                          </w:rPr>
                        </w:pPr>
                        <w:r w:rsidRPr="009F4E0B">
                          <w:rPr>
                            <w:iCs/>
                            <w:sz w:val="20"/>
                          </w:rPr>
                          <w:t>L</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 Adjusted Metered Load (AML) at all Load Zones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8524A7B" w14:textId="62822F50" w:rsidR="004033D4" w:rsidRPr="009F4E0B" w:rsidRDefault="004033D4" w:rsidP="004033D4">
                        <w:pPr>
                          <w:tabs>
                            <w:tab w:val="right" w:pos="9360"/>
                          </w:tabs>
                          <w:spacing w:after="60"/>
                          <w:ind w:left="1733" w:hanging="1440"/>
                          <w:rPr>
                            <w:iCs/>
                            <w:sz w:val="20"/>
                          </w:rPr>
                        </w:pPr>
                        <w:r w:rsidRPr="009F4E0B">
                          <w:rPr>
                            <w:sz w:val="20"/>
                          </w:rPr>
                          <w:t xml:space="preserve">MAF = </w:t>
                        </w:r>
                        <w:r w:rsidRPr="009F4E0B">
                          <w:rPr>
                            <w:sz w:val="20"/>
                          </w:rPr>
                          <w:tab/>
                        </w:r>
                        <w:r w:rsidRPr="009F4E0B">
                          <w:rPr>
                            <w:i/>
                            <w:sz w:val="20"/>
                          </w:rPr>
                          <w:t>Market Adjustment Factor</w:t>
                        </w:r>
                        <w:r w:rsidRPr="009F4E0B">
                          <w:rPr>
                            <w:iCs/>
                            <w:sz w:val="20"/>
                          </w:rPr>
                          <w:t>—</w:t>
                        </w:r>
                        <w:r w:rsidRPr="009F4E0B">
                          <w:rPr>
                            <w:sz w:val="20"/>
                          </w:rPr>
                          <w:t>Used to provide for the potential for overall price increases based on changes to ERCOT market rules or market conditions.  This factor shall not be set below 100%.  Revisions to this factor will be recommended by</w:t>
                        </w:r>
                        <w:r w:rsidR="00081A43">
                          <w:rPr>
                            <w:sz w:val="20"/>
                          </w:rPr>
                          <w:t xml:space="preserve"> the</w:t>
                        </w:r>
                        <w:r w:rsidR="00081A43" w:rsidRPr="009F4E0B">
                          <w:rPr>
                            <w:sz w:val="20"/>
                          </w:rPr>
                          <w:t xml:space="preserve"> </w:t>
                        </w:r>
                        <w:r w:rsidR="00081A43">
                          <w:rPr>
                            <w:sz w:val="20"/>
                          </w:rPr>
                          <w:t>Technical Advisory Committee (</w:t>
                        </w:r>
                        <w:r w:rsidR="00081A43" w:rsidRPr="009F4E0B">
                          <w:rPr>
                            <w:sz w:val="20"/>
                          </w:rPr>
                          <w:t>TAC</w:t>
                        </w:r>
                        <w:r w:rsidR="00081A43">
                          <w:rPr>
                            <w:sz w:val="20"/>
                          </w:rPr>
                          <w:t>)</w:t>
                        </w:r>
                        <w:r w:rsidR="00081A43" w:rsidRPr="009F4E0B">
                          <w:rPr>
                            <w:sz w:val="20"/>
                          </w:rPr>
                          <w:t xml:space="preserve"> </w:t>
                        </w:r>
                        <w:r w:rsidRPr="009F4E0B">
                          <w:rPr>
                            <w:sz w:val="20"/>
                          </w:rPr>
                          <w:t>and the ERCOT Finance and Audit (F&amp;A) Committee, and approved by the ERCOT Board.  Such revisions shall be implemented on the 45th calendar day following ERCOT Board approval unless otherwise directed by the ERCOT Board.</w:t>
                        </w:r>
                      </w:p>
                      <w:p w14:paraId="48002C52" w14:textId="6672C9B2" w:rsidR="004033D4" w:rsidRPr="009F4E0B" w:rsidRDefault="004033D4" w:rsidP="004033D4">
                        <w:pPr>
                          <w:tabs>
                            <w:tab w:val="right" w:pos="9360"/>
                          </w:tabs>
                          <w:spacing w:after="60"/>
                          <w:ind w:left="1733" w:hanging="1440"/>
                          <w:rPr>
                            <w:iCs/>
                            <w:sz w:val="20"/>
                          </w:rPr>
                        </w:pPr>
                        <w:r w:rsidRPr="009F4E0B">
                          <w:rPr>
                            <w:i/>
                            <w:iCs/>
                            <w:sz w:val="20"/>
                          </w:rPr>
                          <w:t>NUCADJ</w:t>
                        </w:r>
                        <w:r w:rsidRPr="009F4E0B">
                          <w:rPr>
                            <w:iCs/>
                            <w:sz w:val="20"/>
                            <w:vertAlign w:val="subscript"/>
                          </w:rPr>
                          <w:t xml:space="preserve"> </w:t>
                        </w:r>
                        <w:r w:rsidRPr="009F4E0B">
                          <w:rPr>
                            <w:iCs/>
                            <w:sz w:val="20"/>
                          </w:rPr>
                          <w:t xml:space="preserve">= </w:t>
                        </w:r>
                        <w:r w:rsidRPr="009F4E0B">
                          <w:rPr>
                            <w:iCs/>
                            <w:sz w:val="20"/>
                          </w:rPr>
                          <w:tab/>
                        </w:r>
                        <w:r w:rsidRPr="009F4E0B">
                          <w:rPr>
                            <w:i/>
                            <w:sz w:val="20"/>
                          </w:rPr>
                          <w:t>Net Unit Contingent Adjustment</w:t>
                        </w:r>
                        <w:r w:rsidRPr="009F4E0B">
                          <w:rPr>
                            <w:iCs/>
                            <w:sz w:val="20"/>
                          </w:rPr>
                          <w:t xml:space="preserve">—To </w:t>
                        </w:r>
                        <w:r w:rsidRPr="009F4E0B">
                          <w:rPr>
                            <w:sz w:val="20"/>
                          </w:rPr>
                          <w:t>allow</w:t>
                        </w:r>
                        <w:r w:rsidRPr="009F4E0B">
                          <w:rPr>
                            <w:iCs/>
                            <w:sz w:val="20"/>
                          </w:rPr>
                          <w:t xml:space="preserve"> for situations where a generator may unintentionally or intentionally meet its requirement from the Real-Time Market (RTM)</w:t>
                        </w:r>
                      </w:p>
                      <w:p w14:paraId="49B1253F" w14:textId="77777777" w:rsidR="004033D4" w:rsidRPr="009F4E0B" w:rsidRDefault="004033D4" w:rsidP="004033D4">
                        <w:pPr>
                          <w:tabs>
                            <w:tab w:val="right" w:pos="9360"/>
                          </w:tabs>
                          <w:spacing w:after="60"/>
                          <w:ind w:left="1733" w:hanging="1440"/>
                          <w:rPr>
                            <w:iCs/>
                            <w:sz w:val="20"/>
                          </w:rPr>
                        </w:pPr>
                        <w:r w:rsidRPr="009F4E0B">
                          <w:rPr>
                            <w:iCs/>
                            <w:sz w:val="20"/>
                          </w:rPr>
                          <w:t>RTQQNET</w:t>
                        </w:r>
                        <w:r w:rsidRPr="009F4E0B">
                          <w:rPr>
                            <w:i/>
                            <w:iCs/>
                            <w:sz w:val="20"/>
                            <w:vertAlign w:val="subscript"/>
                          </w:rPr>
                          <w:t xml:space="preserve"> i, od, p </w:t>
                        </w:r>
                        <w:r w:rsidRPr="009F4E0B">
                          <w:rPr>
                            <w:iCs/>
                            <w:sz w:val="20"/>
                          </w:rPr>
                          <w:t xml:space="preserve">= </w:t>
                        </w:r>
                        <w:r w:rsidRPr="009F4E0B">
                          <w:rPr>
                            <w:i/>
                            <w:iCs/>
                            <w:sz w:val="20"/>
                          </w:rPr>
                          <w:t>Net QSE-to-QSE Energy Trades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2BEECB76" w14:textId="77777777" w:rsidR="004033D4" w:rsidRPr="009F4E0B" w:rsidRDefault="004033D4" w:rsidP="004033D4">
                        <w:pPr>
                          <w:tabs>
                            <w:tab w:val="right" w:pos="9360"/>
                          </w:tabs>
                          <w:spacing w:after="60"/>
                          <w:ind w:left="1733" w:hanging="1440"/>
                          <w:rPr>
                            <w:iCs/>
                            <w:sz w:val="20"/>
                          </w:rPr>
                        </w:pPr>
                        <w:r w:rsidRPr="009F4E0B">
                          <w:rPr>
                            <w:iCs/>
                            <w:sz w:val="20"/>
                          </w:rPr>
                          <w:t>RTQQES</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Counter-Party is the seller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03004516" w14:textId="51C6B9E6" w:rsidR="004033D4" w:rsidRDefault="004033D4" w:rsidP="004033D4">
                        <w:pPr>
                          <w:tabs>
                            <w:tab w:val="right" w:pos="9360"/>
                          </w:tabs>
                          <w:spacing w:after="60"/>
                          <w:ind w:left="1733" w:hanging="1440"/>
                          <w:rPr>
                            <w:i/>
                            <w:iCs/>
                            <w:sz w:val="20"/>
                          </w:rPr>
                        </w:pPr>
                        <w:r w:rsidRPr="009F4E0B">
                          <w:rPr>
                            <w:iCs/>
                            <w:sz w:val="20"/>
                          </w:rPr>
                          <w:t>RTQQEP</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Counter-Party is the buyer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3C6720F4" w14:textId="26CE7C0B" w:rsidR="004033D4" w:rsidRPr="009F4E0B" w:rsidRDefault="004033D4" w:rsidP="004033D4">
                        <w:pPr>
                          <w:tabs>
                            <w:tab w:val="right" w:pos="9360"/>
                          </w:tabs>
                          <w:spacing w:after="60"/>
                          <w:ind w:left="1733" w:hanging="1440"/>
                          <w:rPr>
                            <w:i/>
                            <w:iCs/>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w:t>
                        </w:r>
                        <w:r w:rsidRPr="009F4E0B">
                          <w:rPr>
                            <w:i/>
                            <w:iCs/>
                            <w:sz w:val="20"/>
                          </w:rPr>
                          <w:t xml:space="preserve">Net DAM </w:t>
                        </w:r>
                        <w:r>
                          <w:rPr>
                            <w:i/>
                            <w:iCs/>
                            <w:sz w:val="20"/>
                          </w:rPr>
                          <w:t xml:space="preserve">Ancillary Service Only </w:t>
                        </w:r>
                        <w:r w:rsidRPr="009F4E0B">
                          <w:rPr>
                            <w:i/>
                            <w:iCs/>
                            <w:sz w:val="20"/>
                          </w:rPr>
                          <w:t>activities</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w:t>
                        </w:r>
                      </w:p>
                      <w:p w14:paraId="5B6800D1" w14:textId="092F69D5" w:rsidR="004033D4" w:rsidRDefault="004033D4" w:rsidP="004033D4">
                        <w:pPr>
                          <w:tabs>
                            <w:tab w:val="right" w:pos="9360"/>
                          </w:tabs>
                          <w:spacing w:after="60"/>
                          <w:ind w:left="1733" w:hanging="1440"/>
                          <w:rPr>
                            <w:iCs/>
                            <w:color w:val="000000"/>
                            <w:sz w:val="20"/>
                          </w:rPr>
                        </w:pPr>
                        <w:r>
                          <w:rPr>
                            <w:iCs/>
                            <w:color w:val="000000"/>
                            <w:sz w:val="20"/>
                          </w:rPr>
                          <w:t xml:space="preserve">DAM ASOO Cleared </w:t>
                        </w:r>
                        <w:r>
                          <w:rPr>
                            <w:i/>
                            <w:iCs/>
                            <w:sz w:val="20"/>
                            <w:vertAlign w:val="subscript"/>
                          </w:rPr>
                          <w:t>i, od</w:t>
                        </w:r>
                        <w:r>
                          <w:rPr>
                            <w:iCs/>
                            <w:color w:val="000000"/>
                            <w:sz w:val="20"/>
                          </w:rPr>
                          <w:t xml:space="preserve"> = DAM Ancillary Service Only Offers Cleared in DAM</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p>
                      <w:p w14:paraId="3FF42A0B" w14:textId="5BC4C227" w:rsidR="004033D4" w:rsidRPr="009F4E0B" w:rsidRDefault="004033D4" w:rsidP="004033D4">
                        <w:pPr>
                          <w:tabs>
                            <w:tab w:val="right" w:pos="9360"/>
                          </w:tabs>
                          <w:spacing w:after="60"/>
                          <w:ind w:left="1733" w:hanging="1440"/>
                          <w:rPr>
                            <w:iCs/>
                            <w:sz w:val="20"/>
                          </w:rPr>
                        </w:pPr>
                        <w:r>
                          <w:rPr>
                            <w:iCs/>
                            <w:color w:val="000000"/>
                            <w:sz w:val="20"/>
                          </w:rPr>
                          <w:t>DARTMCPC</w:t>
                        </w:r>
                        <w:r>
                          <w:rPr>
                            <w:i/>
                            <w:iCs/>
                            <w:sz w:val="20"/>
                            <w:vertAlign w:val="subscript"/>
                          </w:rPr>
                          <w:t xml:space="preserve"> i, od</w:t>
                        </w:r>
                        <w:r>
                          <w:rPr>
                            <w:iCs/>
                            <w:color w:val="000000"/>
                            <w:sz w:val="20"/>
                          </w:rPr>
                          <w:t xml:space="preserve"> = Day-Ahead – Real-Time MCPC Spread for interval </w:t>
                        </w:r>
                        <w:r w:rsidRPr="007119F8">
                          <w:rPr>
                            <w:i/>
                            <w:iCs/>
                            <w:color w:val="000000"/>
                            <w:sz w:val="20"/>
                          </w:rPr>
                          <w:t>i</w:t>
                        </w:r>
                        <w:r>
                          <w:rPr>
                            <w:iCs/>
                            <w:color w:val="000000"/>
                            <w:sz w:val="20"/>
                          </w:rPr>
                          <w:t xml:space="preserve"> for Operating Day </w:t>
                        </w:r>
                        <w:r w:rsidRPr="007119F8">
                          <w:rPr>
                            <w:i/>
                            <w:iCs/>
                            <w:color w:val="000000"/>
                            <w:sz w:val="20"/>
                          </w:rPr>
                          <w:t>od</w:t>
                        </w:r>
                      </w:p>
                      <w:p w14:paraId="14FDB2DA" w14:textId="77777777" w:rsidR="004033D4" w:rsidRPr="009F4E0B" w:rsidRDefault="004033D4" w:rsidP="004033D4">
                        <w:pPr>
                          <w:tabs>
                            <w:tab w:val="right" w:pos="9360"/>
                          </w:tabs>
                          <w:spacing w:after="60"/>
                          <w:ind w:left="1733" w:hanging="1440"/>
                          <w:rPr>
                            <w:i/>
                            <w:iCs/>
                            <w:sz w:val="20"/>
                          </w:rPr>
                        </w:pPr>
                        <w:r w:rsidRPr="009F4E0B">
                          <w:rPr>
                            <w:i/>
                            <w:iCs/>
                            <w:sz w:val="20"/>
                          </w:rPr>
                          <w:t>BTCF</w:t>
                        </w:r>
                        <w:r w:rsidRPr="009F4E0B">
                          <w:rPr>
                            <w:iCs/>
                            <w:sz w:val="20"/>
                          </w:rPr>
                          <w:t xml:space="preserve"> =                </w:t>
                        </w:r>
                        <w:r w:rsidRPr="009F4E0B">
                          <w:rPr>
                            <w:i/>
                            <w:iCs/>
                            <w:sz w:val="20"/>
                          </w:rPr>
                          <w:t>Bilateral Trades Credit Factor</w:t>
                        </w:r>
                      </w:p>
                      <w:p w14:paraId="63C31A47" w14:textId="77777777" w:rsidR="004033D4" w:rsidRDefault="004033D4" w:rsidP="004033D4">
                        <w:pPr>
                          <w:tabs>
                            <w:tab w:val="right" w:pos="9360"/>
                          </w:tabs>
                          <w:spacing w:after="60"/>
                          <w:ind w:left="1733" w:hanging="1440"/>
                          <w:rPr>
                            <w:i/>
                            <w:iCs/>
                            <w:sz w:val="20"/>
                          </w:rPr>
                        </w:pPr>
                        <w:r w:rsidRPr="009F4E0B">
                          <w:rPr>
                            <w:iCs/>
                            <w:sz w:val="20"/>
                          </w:rPr>
                          <w:t>RTSPP</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Real-Time Settlement Point Price</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6548C3A" w14:textId="77777777" w:rsidR="004033D4" w:rsidRPr="009F4E0B" w:rsidRDefault="004033D4" w:rsidP="004033D4">
                        <w:pPr>
                          <w:tabs>
                            <w:tab w:val="right" w:pos="9360"/>
                          </w:tabs>
                          <w:spacing w:after="60"/>
                          <w:ind w:left="1733" w:hanging="1440"/>
                          <w:rPr>
                            <w:i/>
                            <w:iCs/>
                            <w:sz w:val="20"/>
                          </w:rPr>
                        </w:pPr>
                        <w:r w:rsidRPr="009F4E0B">
                          <w:rPr>
                            <w:iCs/>
                            <w:sz w:val="20"/>
                          </w:rPr>
                          <w:t>DARTNET</w:t>
                        </w:r>
                        <w:r w:rsidRPr="009F4E0B">
                          <w:rPr>
                            <w:i/>
                            <w:iCs/>
                            <w:sz w:val="20"/>
                            <w:vertAlign w:val="subscript"/>
                          </w:rPr>
                          <w:t xml:space="preserve"> i, od, p</w:t>
                        </w:r>
                        <w:r w:rsidRPr="009F4E0B">
                          <w:rPr>
                            <w:iCs/>
                            <w:sz w:val="20"/>
                          </w:rPr>
                          <w:t xml:space="preserve"> = </w:t>
                        </w:r>
                        <w:r w:rsidRPr="009F4E0B">
                          <w:rPr>
                            <w:i/>
                            <w:iCs/>
                            <w:sz w:val="20"/>
                          </w:rPr>
                          <w:t>Net DAM activities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494669C" w14:textId="08C5789F" w:rsidR="004033D4" w:rsidRPr="009F4E0B" w:rsidRDefault="004033D4" w:rsidP="004033D4">
                        <w:pPr>
                          <w:tabs>
                            <w:tab w:val="right" w:pos="9360"/>
                          </w:tabs>
                          <w:spacing w:after="60"/>
                          <w:ind w:left="1733" w:hanging="1440"/>
                          <w:rPr>
                            <w:iCs/>
                            <w:sz w:val="20"/>
                          </w:rPr>
                        </w:pPr>
                        <w:r w:rsidRPr="009F4E0B">
                          <w:rPr>
                            <w:iCs/>
                            <w:sz w:val="20"/>
                          </w:rPr>
                          <w:t>DART</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 xml:space="preserve">Day-Ahead - Real-Time Spread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2C314AD6" w14:textId="77777777" w:rsidR="004033D4" w:rsidRPr="009F4E0B" w:rsidRDefault="004033D4" w:rsidP="004033D4">
                        <w:pPr>
                          <w:tabs>
                            <w:tab w:val="right" w:pos="9360"/>
                          </w:tabs>
                          <w:spacing w:after="60"/>
                          <w:ind w:left="1733" w:hanging="1440"/>
                          <w:rPr>
                            <w:iCs/>
                            <w:sz w:val="20"/>
                          </w:rPr>
                        </w:pPr>
                        <w:r w:rsidRPr="009F4E0B">
                          <w:rPr>
                            <w:iCs/>
                            <w:sz w:val="20"/>
                          </w:rPr>
                          <w:t>DAM EOB Cleared</w:t>
                        </w:r>
                        <w:r w:rsidRPr="009F4E0B">
                          <w:rPr>
                            <w:iCs/>
                            <w:color w:val="000000"/>
                            <w:sz w:val="20"/>
                            <w:vertAlign w:val="subscript"/>
                          </w:rPr>
                          <w:t xml:space="preserve"> </w:t>
                        </w:r>
                        <w:r w:rsidRPr="009F4E0B">
                          <w:rPr>
                            <w:i/>
                            <w:iCs/>
                            <w:sz w:val="20"/>
                            <w:vertAlign w:val="subscript"/>
                          </w:rPr>
                          <w:t>i, od, p</w:t>
                        </w:r>
                        <w:r w:rsidRPr="009F4E0B">
                          <w:rPr>
                            <w:iCs/>
                            <w:sz w:val="20"/>
                          </w:rPr>
                          <w:t xml:space="preserve"> = </w:t>
                        </w:r>
                        <w:r w:rsidRPr="009F4E0B">
                          <w:rPr>
                            <w:i/>
                            <w:iCs/>
                            <w:sz w:val="20"/>
                          </w:rPr>
                          <w:t>DAM Energy Only Bids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7A10B740" w14:textId="77777777" w:rsidR="004033D4" w:rsidRPr="009F4E0B" w:rsidRDefault="004033D4" w:rsidP="004033D4">
                        <w:pPr>
                          <w:tabs>
                            <w:tab w:val="right" w:pos="9360"/>
                          </w:tabs>
                          <w:spacing w:after="60"/>
                          <w:ind w:left="1728" w:hanging="1440"/>
                          <w:rPr>
                            <w:i/>
                            <w:iCs/>
                            <w:sz w:val="20"/>
                          </w:rPr>
                        </w:pPr>
                        <w:r w:rsidRPr="009F4E0B">
                          <w:rPr>
                            <w:iCs/>
                            <w:sz w:val="20"/>
                          </w:rPr>
                          <w:t>DAM EOO Cleared</w:t>
                        </w:r>
                        <w:r w:rsidRPr="009F4E0B">
                          <w:rPr>
                            <w:i/>
                            <w:iCs/>
                            <w:sz w:val="20"/>
                            <w:vertAlign w:val="subscript"/>
                          </w:rPr>
                          <w:t xml:space="preserve"> i, od, p</w:t>
                        </w:r>
                        <w:r w:rsidRPr="009F4E0B">
                          <w:rPr>
                            <w:iCs/>
                            <w:sz w:val="20"/>
                          </w:rPr>
                          <w:t xml:space="preserve"> = </w:t>
                        </w:r>
                        <w:r w:rsidRPr="009F4E0B">
                          <w:rPr>
                            <w:i/>
                            <w:iCs/>
                            <w:sz w:val="20"/>
                          </w:rPr>
                          <w:t xml:space="preserve">DAM Energy Only Offers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E530556" w14:textId="77777777" w:rsidR="004033D4" w:rsidRPr="009F4E0B" w:rsidRDefault="004033D4" w:rsidP="004033D4">
                        <w:pPr>
                          <w:spacing w:after="60"/>
                          <w:ind w:left="1733" w:hanging="1440"/>
                          <w:rPr>
                            <w:iCs/>
                            <w:sz w:val="20"/>
                          </w:rPr>
                        </w:pPr>
                        <w:r w:rsidRPr="009F4E0B">
                          <w:rPr>
                            <w:iCs/>
                            <w:sz w:val="20"/>
                          </w:rPr>
                          <w:t>DAM TPO Cleared</w:t>
                        </w:r>
                        <w:r w:rsidRPr="009F4E0B">
                          <w:rPr>
                            <w:i/>
                            <w:iCs/>
                            <w:sz w:val="20"/>
                            <w:vertAlign w:val="subscript"/>
                          </w:rPr>
                          <w:t xml:space="preserve"> i, od, p</w:t>
                        </w:r>
                        <w:r w:rsidRPr="009F4E0B">
                          <w:rPr>
                            <w:iCs/>
                            <w:sz w:val="20"/>
                          </w:rPr>
                          <w:t xml:space="preserve"> = </w:t>
                        </w:r>
                        <w:r w:rsidRPr="009F4E0B">
                          <w:rPr>
                            <w:i/>
                            <w:iCs/>
                            <w:sz w:val="20"/>
                          </w:rPr>
                          <w:t>DAM Three-Part Offers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0200B473" w14:textId="77777777" w:rsidR="004033D4" w:rsidRPr="009F4E0B" w:rsidRDefault="004033D4" w:rsidP="004033D4">
                        <w:pPr>
                          <w:spacing w:after="60"/>
                          <w:ind w:left="1733" w:hanging="1440"/>
                          <w:rPr>
                            <w:iCs/>
                            <w:sz w:val="20"/>
                          </w:rPr>
                        </w:pPr>
                        <w:r w:rsidRPr="009F4E0B">
                          <w:rPr>
                            <w:iCs/>
                            <w:sz w:val="20"/>
                          </w:rPr>
                          <w:lastRenderedPageBreak/>
                          <w:t xml:space="preserve">DAM PTP Cleared </w:t>
                        </w:r>
                        <w:r w:rsidRPr="009F4E0B">
                          <w:rPr>
                            <w:i/>
                            <w:iCs/>
                            <w:sz w:val="20"/>
                            <w:vertAlign w:val="subscript"/>
                          </w:rPr>
                          <w:t>i, od, p</w:t>
                        </w:r>
                        <w:r w:rsidRPr="009F4E0B">
                          <w:rPr>
                            <w:iCs/>
                            <w:sz w:val="20"/>
                          </w:rPr>
                          <w:t xml:space="preserve"> = </w:t>
                        </w:r>
                        <w:r w:rsidRPr="009F4E0B">
                          <w:rPr>
                            <w:i/>
                            <w:iCs/>
                            <w:sz w:val="20"/>
                          </w:rPr>
                          <w:t xml:space="preserve">DAM Point-to-Point (PTP) Obligations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70174B29" w14:textId="4DD0887E" w:rsidR="004033D4" w:rsidRPr="009F4E0B" w:rsidRDefault="004033D4" w:rsidP="004033D4">
                        <w:pPr>
                          <w:spacing w:after="60"/>
                          <w:ind w:left="1733" w:hanging="1440"/>
                          <w:rPr>
                            <w:iCs/>
                            <w:sz w:val="20"/>
                          </w:rPr>
                        </w:pPr>
                        <w:r w:rsidRPr="009F4E0B">
                          <w:rPr>
                            <w:iCs/>
                            <w:sz w:val="20"/>
                          </w:rPr>
                          <w:t xml:space="preserve">DARTPTP </w:t>
                        </w:r>
                        <w:r w:rsidRPr="009F4E0B">
                          <w:rPr>
                            <w:i/>
                            <w:iCs/>
                            <w:sz w:val="20"/>
                            <w:vertAlign w:val="subscript"/>
                          </w:rPr>
                          <w:t>i, od, p</w:t>
                        </w:r>
                        <w:r w:rsidRPr="009F4E0B">
                          <w:rPr>
                            <w:iCs/>
                            <w:sz w:val="20"/>
                          </w:rPr>
                          <w:t xml:space="preserve"> =  </w:t>
                        </w:r>
                        <w:r w:rsidRPr="009F4E0B">
                          <w:rPr>
                            <w:i/>
                            <w:iCs/>
                            <w:sz w:val="20"/>
                          </w:rPr>
                          <w:t xml:space="preserve">Day-Ahead - Real-Time Spread </w:t>
                        </w:r>
                        <w:r w:rsidRPr="009F4E0B">
                          <w:rPr>
                            <w:iCs/>
                            <w:sz w:val="20"/>
                          </w:rPr>
                          <w:t xml:space="preserve">for value of PTP Obligation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48AB4441" w14:textId="77777777" w:rsidR="004033D4" w:rsidRPr="009F4E0B" w:rsidRDefault="004033D4" w:rsidP="004033D4">
                        <w:pPr>
                          <w:spacing w:after="60"/>
                          <w:ind w:left="1733" w:hanging="1440"/>
                          <w:rPr>
                            <w:iCs/>
                            <w:sz w:val="20"/>
                          </w:rPr>
                        </w:pPr>
                        <w:r w:rsidRPr="009F4E0B">
                          <w:rPr>
                            <w:i/>
                            <w:iCs/>
                            <w:sz w:val="20"/>
                          </w:rPr>
                          <w:t>c</w:t>
                        </w:r>
                        <w:r w:rsidRPr="009F4E0B">
                          <w:rPr>
                            <w:iCs/>
                            <w:sz w:val="20"/>
                          </w:rPr>
                          <w:t xml:space="preserve"> = </w:t>
                        </w:r>
                        <w:r w:rsidRPr="009F4E0B">
                          <w:rPr>
                            <w:iCs/>
                            <w:sz w:val="20"/>
                          </w:rPr>
                          <w:tab/>
                          <w:t xml:space="preserve">Bilateral Counter-Party </w:t>
                        </w:r>
                      </w:p>
                      <w:p w14:paraId="6D6652CB" w14:textId="77777777" w:rsidR="004033D4" w:rsidRPr="009F4E0B" w:rsidRDefault="004033D4" w:rsidP="004033D4">
                        <w:pPr>
                          <w:spacing w:after="60"/>
                          <w:ind w:left="1733" w:hanging="1440"/>
                          <w:rPr>
                            <w:i/>
                            <w:iCs/>
                            <w:sz w:val="20"/>
                          </w:rPr>
                        </w:pPr>
                        <w:r w:rsidRPr="009F4E0B">
                          <w:rPr>
                            <w:i/>
                            <w:iCs/>
                            <w:sz w:val="20"/>
                          </w:rPr>
                          <w:t>cif =</w:t>
                        </w:r>
                        <w:r w:rsidRPr="009F4E0B">
                          <w:rPr>
                            <w:i/>
                            <w:iCs/>
                            <w:sz w:val="20"/>
                          </w:rPr>
                          <w:tab/>
                          <w:t>Cap Interval Factor</w:t>
                        </w:r>
                        <w:r w:rsidRPr="009F4E0B">
                          <w:rPr>
                            <w:iCs/>
                            <w:sz w:val="20"/>
                          </w:rPr>
                          <w:t xml:space="preserve"> - Represents the historic largest percentage of System-Wide Offer Cap (SWCAP) intervals during a calendar day</w:t>
                        </w:r>
                      </w:p>
                      <w:p w14:paraId="09832624" w14:textId="77777777" w:rsidR="004033D4" w:rsidRPr="009F4E0B" w:rsidRDefault="004033D4" w:rsidP="004033D4">
                        <w:pPr>
                          <w:spacing w:after="60"/>
                          <w:ind w:left="1733" w:hanging="1440"/>
                          <w:rPr>
                            <w:iCs/>
                            <w:sz w:val="20"/>
                          </w:rPr>
                        </w:pPr>
                        <w:r w:rsidRPr="009F4E0B">
                          <w:rPr>
                            <w:i/>
                            <w:iCs/>
                            <w:sz w:val="20"/>
                          </w:rPr>
                          <w:t>e</w:t>
                        </w:r>
                        <w:r w:rsidRPr="009F4E0B">
                          <w:rPr>
                            <w:iCs/>
                            <w:sz w:val="20"/>
                          </w:rPr>
                          <w:t xml:space="preserve"> = </w:t>
                        </w:r>
                        <w:r w:rsidRPr="009F4E0B">
                          <w:rPr>
                            <w:iCs/>
                            <w:sz w:val="20"/>
                          </w:rPr>
                          <w:tab/>
                          <w:t xml:space="preserve">Most recent </w:t>
                        </w:r>
                        <w:r w:rsidRPr="009F4E0B">
                          <w:rPr>
                            <w:i/>
                            <w:iCs/>
                            <w:sz w:val="20"/>
                          </w:rPr>
                          <w:t>n</w:t>
                        </w:r>
                        <w:r w:rsidRPr="009F4E0B">
                          <w:rPr>
                            <w:iCs/>
                            <w:sz w:val="20"/>
                          </w:rPr>
                          <w:t xml:space="preserve"> Operating Days for which RTM Initial Settlement Statements are available</w:t>
                        </w:r>
                      </w:p>
                      <w:p w14:paraId="075AF83E" w14:textId="77777777" w:rsidR="004033D4" w:rsidRPr="009F4E0B" w:rsidRDefault="004033D4" w:rsidP="004033D4">
                        <w:pPr>
                          <w:spacing w:after="60"/>
                          <w:ind w:left="1733" w:hanging="1440"/>
                          <w:rPr>
                            <w:iCs/>
                            <w:sz w:val="20"/>
                          </w:rPr>
                        </w:pPr>
                        <w:r w:rsidRPr="009F4E0B">
                          <w:rPr>
                            <w:i/>
                            <w:iCs/>
                            <w:sz w:val="20"/>
                          </w:rPr>
                          <w:t>i</w:t>
                        </w:r>
                        <w:r w:rsidRPr="009F4E0B">
                          <w:rPr>
                            <w:iCs/>
                            <w:sz w:val="20"/>
                          </w:rPr>
                          <w:t xml:space="preserve"> = </w:t>
                        </w:r>
                        <w:r w:rsidRPr="009F4E0B">
                          <w:rPr>
                            <w:iCs/>
                            <w:sz w:val="20"/>
                          </w:rPr>
                          <w:tab/>
                          <w:t>Settlement Interval</w:t>
                        </w:r>
                      </w:p>
                      <w:p w14:paraId="47F208BD" w14:textId="77777777" w:rsidR="004033D4" w:rsidRPr="009F4E0B" w:rsidRDefault="004033D4" w:rsidP="004033D4">
                        <w:pPr>
                          <w:spacing w:after="60"/>
                          <w:ind w:left="1733" w:hanging="1440"/>
                          <w:rPr>
                            <w:iCs/>
                            <w:sz w:val="20"/>
                          </w:rPr>
                        </w:pPr>
                        <w:r w:rsidRPr="009F4E0B">
                          <w:rPr>
                            <w:i/>
                            <w:iCs/>
                            <w:sz w:val="20"/>
                          </w:rPr>
                          <w:t>n</w:t>
                        </w:r>
                        <w:r w:rsidRPr="009F4E0B">
                          <w:rPr>
                            <w:iCs/>
                            <w:sz w:val="20"/>
                          </w:rPr>
                          <w:t xml:space="preserve"> = </w:t>
                        </w:r>
                        <w:r w:rsidRPr="009F4E0B">
                          <w:rPr>
                            <w:iCs/>
                            <w:sz w:val="20"/>
                          </w:rPr>
                          <w:tab/>
                          <w:t>Days used for averaging</w:t>
                        </w:r>
                      </w:p>
                      <w:p w14:paraId="2B460690" w14:textId="77777777" w:rsidR="004033D4" w:rsidRPr="009F4E0B" w:rsidRDefault="004033D4" w:rsidP="004033D4">
                        <w:pPr>
                          <w:spacing w:after="60"/>
                          <w:ind w:left="1733" w:hanging="1440"/>
                          <w:rPr>
                            <w:i/>
                            <w:iCs/>
                            <w:sz w:val="20"/>
                          </w:rPr>
                        </w:pPr>
                        <w:r w:rsidRPr="009F4E0B">
                          <w:rPr>
                            <w:i/>
                            <w:iCs/>
                            <w:sz w:val="20"/>
                          </w:rPr>
                          <w:t>nm =</w:t>
                        </w:r>
                        <w:r w:rsidRPr="009F4E0B">
                          <w:rPr>
                            <w:i/>
                            <w:iCs/>
                            <w:sz w:val="20"/>
                          </w:rPr>
                          <w:tab/>
                        </w:r>
                        <w:r w:rsidRPr="009F4E0B">
                          <w:rPr>
                            <w:iCs/>
                            <w:sz w:val="20"/>
                          </w:rPr>
                          <w:t>Notional Multiplier</w:t>
                        </w:r>
                      </w:p>
                      <w:p w14:paraId="38769C3A" w14:textId="77777777" w:rsidR="004033D4" w:rsidRPr="009F4E0B" w:rsidRDefault="004033D4" w:rsidP="004033D4">
                        <w:pPr>
                          <w:spacing w:after="60"/>
                          <w:ind w:left="1733" w:hanging="1440"/>
                          <w:rPr>
                            <w:iCs/>
                            <w:sz w:val="20"/>
                          </w:rPr>
                        </w:pPr>
                        <w:r w:rsidRPr="009F4E0B">
                          <w:rPr>
                            <w:i/>
                            <w:iCs/>
                            <w:sz w:val="20"/>
                          </w:rPr>
                          <w:t>od</w:t>
                        </w:r>
                        <w:r w:rsidRPr="009F4E0B">
                          <w:rPr>
                            <w:iCs/>
                            <w:sz w:val="20"/>
                          </w:rPr>
                          <w:t xml:space="preserve"> = </w:t>
                        </w:r>
                        <w:r w:rsidRPr="009F4E0B">
                          <w:rPr>
                            <w:iCs/>
                            <w:sz w:val="20"/>
                          </w:rPr>
                          <w:tab/>
                          <w:t>Operating Day</w:t>
                        </w:r>
                      </w:p>
                      <w:p w14:paraId="7A9873BB" w14:textId="395435B6" w:rsidR="004033D4" w:rsidRPr="00367720" w:rsidRDefault="004033D4" w:rsidP="004033D4">
                        <w:pPr>
                          <w:pStyle w:val="TableBody"/>
                          <w:ind w:left="1762" w:hanging="1440"/>
                          <w:rPr>
                            <w:i/>
                          </w:rPr>
                        </w:pPr>
                        <w:r w:rsidRPr="009F4E0B">
                          <w:rPr>
                            <w:i/>
                          </w:rPr>
                          <w:t>p</w:t>
                        </w:r>
                        <w:r w:rsidRPr="009F4E0B">
                          <w:t xml:space="preserve"> = </w:t>
                        </w:r>
                        <w:r w:rsidRPr="009F4E0B">
                          <w:tab/>
                          <w:t>A Settlement Point</w:t>
                        </w:r>
                      </w:p>
                    </w:tc>
                  </w:tr>
                </w:tbl>
                <w:p w14:paraId="2990BF65" w14:textId="77777777" w:rsidR="004033D4" w:rsidRPr="00B35DA1" w:rsidRDefault="004033D4" w:rsidP="004033D4">
                  <w:pPr>
                    <w:pStyle w:val="TableBody"/>
                    <w:ind w:left="1710"/>
                  </w:pPr>
                </w:p>
              </w:tc>
            </w:tr>
          </w:tbl>
          <w:p w14:paraId="1960276B" w14:textId="77777777" w:rsidR="004033D4" w:rsidRPr="004F59D3" w:rsidRDefault="004033D4" w:rsidP="0031595F">
            <w:pPr>
              <w:pStyle w:val="TableBody"/>
              <w:rPr>
                <w:i/>
              </w:rPr>
            </w:pPr>
          </w:p>
        </w:tc>
      </w:tr>
      <w:tr w:rsidR="002D0D49" w14:paraId="7494BB88" w14:textId="77777777" w:rsidTr="009F2C2F">
        <w:trPr>
          <w:trHeight w:val="91"/>
        </w:trPr>
        <w:tc>
          <w:tcPr>
            <w:tcW w:w="1652" w:type="dxa"/>
          </w:tcPr>
          <w:p w14:paraId="74614C8B" w14:textId="77777777" w:rsidR="002D0D49" w:rsidRPr="00906156" w:rsidRDefault="002D0D49" w:rsidP="0031595F">
            <w:pPr>
              <w:pStyle w:val="TableBody"/>
            </w:pPr>
            <w:r w:rsidRPr="00906156">
              <w:lastRenderedPageBreak/>
              <w:t>IMCE</w:t>
            </w:r>
          </w:p>
        </w:tc>
        <w:tc>
          <w:tcPr>
            <w:tcW w:w="986" w:type="dxa"/>
          </w:tcPr>
          <w:p w14:paraId="53C26958" w14:textId="77777777" w:rsidR="002D0D49" w:rsidRPr="004F59D3" w:rsidRDefault="002D0D49" w:rsidP="0031595F">
            <w:pPr>
              <w:pStyle w:val="TableBody"/>
            </w:pPr>
            <w:r w:rsidRPr="004F59D3">
              <w:t>$</w:t>
            </w:r>
          </w:p>
        </w:tc>
        <w:tc>
          <w:tcPr>
            <w:tcW w:w="6694" w:type="dxa"/>
          </w:tcPr>
          <w:p w14:paraId="6450456F" w14:textId="77777777" w:rsidR="002D0D49" w:rsidRPr="004F59D3" w:rsidRDefault="002D0D49" w:rsidP="0031595F">
            <w:pPr>
              <w:pStyle w:val="TableBody"/>
            </w:pPr>
            <w:r w:rsidRPr="004F59D3">
              <w:rPr>
                <w:i/>
              </w:rPr>
              <w:t xml:space="preserve">Initial Minimum Current Exposure </w:t>
            </w:r>
          </w:p>
          <w:p w14:paraId="7684A5D0" w14:textId="77777777" w:rsidR="002D0D49" w:rsidRPr="00484E48" w:rsidRDefault="002D0D49" w:rsidP="0031595F">
            <w:pPr>
              <w:pStyle w:val="TableBody"/>
            </w:pPr>
          </w:p>
          <w:p w14:paraId="59DA0B61" w14:textId="734586B2" w:rsidR="002D0D49" w:rsidRPr="00367720" w:rsidRDefault="002D0D49" w:rsidP="0031595F">
            <w:pPr>
              <w:pStyle w:val="TableBody"/>
              <w:ind w:left="1757" w:hanging="1440"/>
            </w:pPr>
            <w:r w:rsidRPr="00484E48">
              <w:t xml:space="preserve">IMCE =   </w:t>
            </w:r>
            <w:r w:rsidRPr="00484E48">
              <w:tab/>
              <w:t>TOA * (</w:t>
            </w:r>
            <w:r w:rsidR="00E67BE0">
              <w:t>SW</w:t>
            </w:r>
            <w:r w:rsidRPr="00484E48">
              <w:t xml:space="preserve">CAP * </w:t>
            </w:r>
            <w:r w:rsidRPr="00367720">
              <w:rPr>
                <w:i/>
              </w:rPr>
              <w:t>nm</w:t>
            </w:r>
            <w:r w:rsidRPr="00367720">
              <w:t xml:space="preserve"> * </w:t>
            </w:r>
            <w:r w:rsidRPr="00367720">
              <w:rPr>
                <w:i/>
              </w:rPr>
              <w:t>cif%</w:t>
            </w:r>
            <w:r w:rsidRPr="00367720">
              <w:t>)</w:t>
            </w:r>
          </w:p>
          <w:p w14:paraId="1901C950" w14:textId="1429B239" w:rsidR="002D0D49" w:rsidRPr="00367720" w:rsidRDefault="002D0D49" w:rsidP="009F2C2F">
            <w:pPr>
              <w:pStyle w:val="TableBody"/>
              <w:rPr>
                <w:i/>
              </w:rPr>
            </w:pPr>
            <w:r w:rsidRPr="00367720">
              <w:t xml:space="preserve"> </w:t>
            </w:r>
          </w:p>
        </w:tc>
      </w:tr>
      <w:tr w:rsidR="002D0D49" w14:paraId="77D72BA9" w14:textId="77777777" w:rsidTr="009F2C2F">
        <w:trPr>
          <w:trHeight w:val="91"/>
        </w:trPr>
        <w:tc>
          <w:tcPr>
            <w:tcW w:w="1652" w:type="dxa"/>
          </w:tcPr>
          <w:p w14:paraId="08EB3676" w14:textId="77777777" w:rsidR="002D0D49" w:rsidRPr="00906156" w:rsidRDefault="002D0D49" w:rsidP="0031595F">
            <w:pPr>
              <w:pStyle w:val="TableBody"/>
            </w:pPr>
            <w:r w:rsidRPr="00906156">
              <w:t>TOA</w:t>
            </w:r>
          </w:p>
        </w:tc>
        <w:tc>
          <w:tcPr>
            <w:tcW w:w="986" w:type="dxa"/>
          </w:tcPr>
          <w:p w14:paraId="42950FA1" w14:textId="77777777" w:rsidR="002D0D49" w:rsidRPr="004F59D3" w:rsidRDefault="002D0D49" w:rsidP="0031595F">
            <w:pPr>
              <w:pStyle w:val="TableBody"/>
            </w:pPr>
            <w:r w:rsidRPr="004F59D3">
              <w:t>None</w:t>
            </w:r>
          </w:p>
        </w:tc>
        <w:tc>
          <w:tcPr>
            <w:tcW w:w="6694" w:type="dxa"/>
          </w:tcPr>
          <w:p w14:paraId="6B856741" w14:textId="77777777" w:rsidR="002D0D49" w:rsidRPr="00367720" w:rsidRDefault="002D0D49" w:rsidP="0031595F">
            <w:pPr>
              <w:pStyle w:val="TableBody"/>
              <w:rPr>
                <w:i/>
              </w:rPr>
            </w:pPr>
            <w:r w:rsidRPr="004F59D3">
              <w:rPr>
                <w:i/>
              </w:rPr>
              <w:t>Trade-Only Activity</w:t>
            </w:r>
            <w:r w:rsidRPr="004F59D3">
              <w:t>—Counter-Party that does not represent either a Load or a generatio</w:t>
            </w:r>
            <w:r w:rsidRPr="00484E48">
              <w:t xml:space="preserve">n QSE.  </w:t>
            </w:r>
            <w:r w:rsidRPr="00484E48">
              <w:rPr>
                <w:iCs w:val="0"/>
              </w:rPr>
              <w:t>Set to “0” if Counter-Party represents a QSE that has an association with a</w:t>
            </w:r>
            <w:r w:rsidRPr="00484E48" w:rsidDel="0044096C">
              <w:rPr>
                <w:iCs w:val="0"/>
              </w:rPr>
              <w:t xml:space="preserve"> </w:t>
            </w:r>
            <w:r w:rsidRPr="00367720">
              <w:rPr>
                <w:iCs w:val="0"/>
              </w:rPr>
              <w:t>Load Serving Entity (LSE) or a Resource Entity, or if Counter-Party does not represent any QSE;</w:t>
            </w:r>
            <w:r w:rsidRPr="00367720">
              <w:rPr>
                <w:b/>
                <w:bCs/>
                <w:i/>
                <w:iCs w:val="0"/>
              </w:rPr>
              <w:t xml:space="preserve"> </w:t>
            </w:r>
            <w:r w:rsidRPr="00367720">
              <w:rPr>
                <w:iCs w:val="0"/>
              </w:rPr>
              <w:t>otherwise set to 1.</w:t>
            </w:r>
          </w:p>
        </w:tc>
      </w:tr>
      <w:tr w:rsidR="002D0D49" w14:paraId="107B6A72" w14:textId="77777777" w:rsidTr="009F2C2F">
        <w:trPr>
          <w:trHeight w:val="91"/>
        </w:trPr>
        <w:tc>
          <w:tcPr>
            <w:tcW w:w="1652" w:type="dxa"/>
          </w:tcPr>
          <w:p w14:paraId="14B2E6C3" w14:textId="77777777" w:rsidR="002D0D49" w:rsidRPr="00906156" w:rsidRDefault="002D0D49" w:rsidP="0031595F">
            <w:pPr>
              <w:pStyle w:val="TableBody"/>
              <w:rPr>
                <w:i/>
              </w:rPr>
            </w:pPr>
            <w:r w:rsidRPr="00906156">
              <w:rPr>
                <w:i/>
              </w:rPr>
              <w:t>q</w:t>
            </w:r>
          </w:p>
        </w:tc>
        <w:tc>
          <w:tcPr>
            <w:tcW w:w="986" w:type="dxa"/>
          </w:tcPr>
          <w:p w14:paraId="2E4B7DC4" w14:textId="1EA6EDF4" w:rsidR="002D0D49" w:rsidRPr="004F59D3" w:rsidRDefault="002D0D49" w:rsidP="0031595F">
            <w:pPr>
              <w:pStyle w:val="TableBody"/>
            </w:pPr>
            <w:r w:rsidRPr="004F59D3">
              <w:t>None</w:t>
            </w:r>
          </w:p>
        </w:tc>
        <w:tc>
          <w:tcPr>
            <w:tcW w:w="6694" w:type="dxa"/>
          </w:tcPr>
          <w:p w14:paraId="21248127" w14:textId="77777777" w:rsidR="002D0D49" w:rsidRPr="004F59D3" w:rsidRDefault="002D0D49" w:rsidP="0031595F">
            <w:pPr>
              <w:pStyle w:val="TableBody"/>
            </w:pPr>
            <w:r w:rsidRPr="004F59D3">
              <w:t>QSEs represented by Counter-Party.</w:t>
            </w:r>
          </w:p>
        </w:tc>
      </w:tr>
      <w:tr w:rsidR="002D0D49" w14:paraId="3A635143" w14:textId="77777777" w:rsidTr="009F2C2F">
        <w:trPr>
          <w:trHeight w:val="91"/>
        </w:trPr>
        <w:tc>
          <w:tcPr>
            <w:tcW w:w="1652" w:type="dxa"/>
          </w:tcPr>
          <w:p w14:paraId="69AF5082" w14:textId="77777777" w:rsidR="002D0D49" w:rsidRPr="00906156" w:rsidRDefault="002D0D49" w:rsidP="0031595F">
            <w:pPr>
              <w:pStyle w:val="TableBody"/>
              <w:rPr>
                <w:i/>
              </w:rPr>
            </w:pPr>
            <w:r w:rsidRPr="00906156">
              <w:rPr>
                <w:i/>
              </w:rPr>
              <w:t>a</w:t>
            </w:r>
          </w:p>
        </w:tc>
        <w:tc>
          <w:tcPr>
            <w:tcW w:w="986" w:type="dxa"/>
          </w:tcPr>
          <w:p w14:paraId="05B074CE" w14:textId="05037ACB" w:rsidR="002D0D49" w:rsidRPr="004F59D3" w:rsidRDefault="002D0D49" w:rsidP="0031595F">
            <w:pPr>
              <w:pStyle w:val="TableBody"/>
            </w:pPr>
            <w:r w:rsidRPr="004F59D3">
              <w:t>None</w:t>
            </w:r>
          </w:p>
        </w:tc>
        <w:tc>
          <w:tcPr>
            <w:tcW w:w="6694" w:type="dxa"/>
          </w:tcPr>
          <w:p w14:paraId="5D7DB3B0" w14:textId="77777777" w:rsidR="002D0D49" w:rsidRPr="004F59D3" w:rsidRDefault="002D0D49" w:rsidP="0031595F">
            <w:pPr>
              <w:pStyle w:val="TableBody"/>
            </w:pPr>
            <w:r w:rsidRPr="004F59D3">
              <w:t>CRR Account Holders represented by Counter-Party.</w:t>
            </w:r>
          </w:p>
        </w:tc>
      </w:tr>
      <w:tr w:rsidR="002D0D49" w14:paraId="11055758" w14:textId="77777777" w:rsidTr="009F2C2F">
        <w:trPr>
          <w:trHeight w:val="91"/>
        </w:trPr>
        <w:tc>
          <w:tcPr>
            <w:tcW w:w="1652" w:type="dxa"/>
          </w:tcPr>
          <w:p w14:paraId="0F314784" w14:textId="77777777" w:rsidR="002D0D49" w:rsidRPr="00951B55" w:rsidRDefault="002D0D49" w:rsidP="0031595F">
            <w:pPr>
              <w:pStyle w:val="TableBody"/>
            </w:pPr>
            <w:r>
              <w:t>IA</w:t>
            </w:r>
          </w:p>
        </w:tc>
        <w:tc>
          <w:tcPr>
            <w:tcW w:w="986" w:type="dxa"/>
          </w:tcPr>
          <w:p w14:paraId="70915410" w14:textId="77777777" w:rsidR="002D0D49" w:rsidRDefault="002D0D49" w:rsidP="0031595F">
            <w:pPr>
              <w:pStyle w:val="TableBody"/>
            </w:pPr>
            <w:r>
              <w:t>$</w:t>
            </w:r>
          </w:p>
        </w:tc>
        <w:tc>
          <w:tcPr>
            <w:tcW w:w="6694" w:type="dxa"/>
          </w:tcPr>
          <w:p w14:paraId="1252E419" w14:textId="77777777" w:rsidR="002D0D49" w:rsidRPr="00947170" w:rsidRDefault="002D0D49" w:rsidP="0031595F">
            <w:pPr>
              <w:pStyle w:val="TableBody"/>
            </w:pPr>
            <w:r w:rsidRPr="00CE545D">
              <w:rPr>
                <w:i/>
              </w:rPr>
              <w:t>Independent Amount</w:t>
            </w:r>
            <w:r>
              <w:t>—</w:t>
            </w:r>
            <w:r w:rsidRPr="00CE545D">
              <w:t>The amount required to be posted as defined in Section 16.16.1, Counter-Party Criteria.</w:t>
            </w:r>
          </w:p>
        </w:tc>
      </w:tr>
      <w:tr w:rsidR="002D0D49" w14:paraId="7322E519" w14:textId="77777777" w:rsidTr="009F2C2F">
        <w:trPr>
          <w:trHeight w:val="91"/>
        </w:trPr>
        <w:tc>
          <w:tcPr>
            <w:tcW w:w="1652" w:type="dxa"/>
          </w:tcPr>
          <w:p w14:paraId="14F490A8" w14:textId="77777777" w:rsidR="002D0D49" w:rsidRDefault="002D0D49" w:rsidP="0031595F">
            <w:pPr>
              <w:pStyle w:val="TableBody"/>
            </w:pPr>
            <w:r>
              <w:t>RFAF</w:t>
            </w:r>
          </w:p>
        </w:tc>
        <w:tc>
          <w:tcPr>
            <w:tcW w:w="986" w:type="dxa"/>
          </w:tcPr>
          <w:p w14:paraId="055E2DAA" w14:textId="77777777" w:rsidR="002D0D49" w:rsidRDefault="002D0D49" w:rsidP="0031595F">
            <w:pPr>
              <w:pStyle w:val="TableBody"/>
            </w:pPr>
            <w:r>
              <w:t>None</w:t>
            </w:r>
          </w:p>
        </w:tc>
        <w:tc>
          <w:tcPr>
            <w:tcW w:w="6694" w:type="dxa"/>
          </w:tcPr>
          <w:p w14:paraId="090A81D1" w14:textId="77777777" w:rsidR="002D0D49" w:rsidRPr="00CE545D" w:rsidRDefault="002D0D49" w:rsidP="0031595F">
            <w:pPr>
              <w:pStyle w:val="TableBody"/>
              <w:rPr>
                <w:i/>
              </w:rPr>
            </w:pPr>
            <w:r>
              <w:rPr>
                <w:i/>
              </w:rPr>
              <w:t>Real-Time Forward Adjustment Factor</w:t>
            </w:r>
            <w:r w:rsidRPr="00A549C5">
              <w:t>—</w:t>
            </w:r>
            <w:r w:rsidRPr="00CE545D">
              <w:t xml:space="preserve">The </w:t>
            </w:r>
            <w:r>
              <w:t xml:space="preserve">adjustment factor for RTM-related forward exposure as </w:t>
            </w:r>
            <w:r w:rsidRPr="00CE545D">
              <w:t xml:space="preserve">defined in Section </w:t>
            </w:r>
            <w:r w:rsidRPr="006E7FC0">
              <w:t>16.11.4.3.3, Forward Adjustment Factors</w:t>
            </w:r>
            <w:r w:rsidRPr="00CE545D">
              <w:t>.</w:t>
            </w:r>
          </w:p>
        </w:tc>
      </w:tr>
    </w:tbl>
    <w:p w14:paraId="1CBBD670" w14:textId="77777777" w:rsidR="002D0D49" w:rsidRDefault="002D0D49" w:rsidP="002D0D49">
      <w:pPr>
        <w:pStyle w:val="BodyText"/>
        <w:spacing w:before="240" w:after="0"/>
      </w:pPr>
      <w: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2D0D49" w:rsidRPr="00BE4766" w14:paraId="50ECFB23" w14:textId="77777777" w:rsidTr="002D0D49">
        <w:trPr>
          <w:trHeight w:val="351"/>
          <w:tblHeader/>
        </w:trPr>
        <w:tc>
          <w:tcPr>
            <w:tcW w:w="1448" w:type="dxa"/>
          </w:tcPr>
          <w:p w14:paraId="6D1E3EF5" w14:textId="77777777" w:rsidR="002D0D49" w:rsidRPr="00BE4766" w:rsidRDefault="002D0D49" w:rsidP="0031595F">
            <w:pPr>
              <w:pStyle w:val="TableHead"/>
            </w:pPr>
            <w:r>
              <w:t>Parameter</w:t>
            </w:r>
          </w:p>
        </w:tc>
        <w:tc>
          <w:tcPr>
            <w:tcW w:w="1702" w:type="dxa"/>
          </w:tcPr>
          <w:p w14:paraId="3C6226A7" w14:textId="77777777" w:rsidR="002D0D49" w:rsidRPr="00BE4766" w:rsidRDefault="002D0D49" w:rsidP="0031595F">
            <w:pPr>
              <w:pStyle w:val="TableHead"/>
            </w:pPr>
            <w:r w:rsidRPr="00BE4766">
              <w:t>Unit</w:t>
            </w:r>
          </w:p>
        </w:tc>
        <w:tc>
          <w:tcPr>
            <w:tcW w:w="6120" w:type="dxa"/>
          </w:tcPr>
          <w:p w14:paraId="1C71B301" w14:textId="77777777" w:rsidR="002D0D49" w:rsidRPr="00BE4766" w:rsidRDefault="002D0D49" w:rsidP="0031595F">
            <w:pPr>
              <w:pStyle w:val="TableHead"/>
            </w:pPr>
            <w:r>
              <w:t>Current Value*</w:t>
            </w:r>
          </w:p>
        </w:tc>
      </w:tr>
      <w:tr w:rsidR="002D0D49" w:rsidRPr="00BE4766" w14:paraId="4515A9BE" w14:textId="77777777" w:rsidTr="002D0D49">
        <w:trPr>
          <w:trHeight w:val="519"/>
        </w:trPr>
        <w:tc>
          <w:tcPr>
            <w:tcW w:w="1448" w:type="dxa"/>
          </w:tcPr>
          <w:p w14:paraId="2E6B5C63" w14:textId="77777777" w:rsidR="002D0D49" w:rsidRPr="004F59D3" w:rsidRDefault="002D0D49" w:rsidP="0031595F">
            <w:pPr>
              <w:pStyle w:val="TableBody"/>
              <w:rPr>
                <w:i/>
              </w:rPr>
            </w:pPr>
            <w:r w:rsidRPr="004F59D3">
              <w:rPr>
                <w:i/>
              </w:rPr>
              <w:t>nm</w:t>
            </w:r>
          </w:p>
        </w:tc>
        <w:tc>
          <w:tcPr>
            <w:tcW w:w="1702" w:type="dxa"/>
          </w:tcPr>
          <w:p w14:paraId="67C4004E" w14:textId="77777777" w:rsidR="002D0D49" w:rsidRPr="004F59D3" w:rsidRDefault="002D0D49" w:rsidP="0031595F">
            <w:pPr>
              <w:pStyle w:val="TableBody"/>
            </w:pPr>
            <w:r w:rsidRPr="004F59D3">
              <w:t>None</w:t>
            </w:r>
          </w:p>
        </w:tc>
        <w:tc>
          <w:tcPr>
            <w:tcW w:w="6120" w:type="dxa"/>
          </w:tcPr>
          <w:p w14:paraId="654C8EF8" w14:textId="77777777" w:rsidR="002D0D49" w:rsidRPr="00484E48" w:rsidRDefault="002D0D49" w:rsidP="0031595F">
            <w:pPr>
              <w:pStyle w:val="TableBody"/>
            </w:pPr>
            <w:r w:rsidRPr="00484E48">
              <w:t>50</w:t>
            </w:r>
          </w:p>
        </w:tc>
      </w:tr>
      <w:tr w:rsidR="002D0D49" w:rsidRPr="00BE4766" w14:paraId="4BD7A6C0" w14:textId="77777777" w:rsidTr="002D0D49">
        <w:trPr>
          <w:trHeight w:val="519"/>
        </w:trPr>
        <w:tc>
          <w:tcPr>
            <w:tcW w:w="1448" w:type="dxa"/>
          </w:tcPr>
          <w:p w14:paraId="6B1DBC35" w14:textId="77777777" w:rsidR="002D0D49" w:rsidRPr="004F59D3" w:rsidRDefault="002D0D49" w:rsidP="0031595F">
            <w:pPr>
              <w:pStyle w:val="TableBody"/>
              <w:rPr>
                <w:i/>
              </w:rPr>
            </w:pPr>
            <w:r w:rsidRPr="004F59D3">
              <w:rPr>
                <w:i/>
              </w:rPr>
              <w:t>cif</w:t>
            </w:r>
          </w:p>
        </w:tc>
        <w:tc>
          <w:tcPr>
            <w:tcW w:w="1702" w:type="dxa"/>
          </w:tcPr>
          <w:p w14:paraId="6ECA2374" w14:textId="77777777" w:rsidR="002D0D49" w:rsidRPr="004F59D3" w:rsidRDefault="002D0D49" w:rsidP="0031595F">
            <w:pPr>
              <w:pStyle w:val="TableBody"/>
            </w:pPr>
            <w:r w:rsidRPr="004F59D3">
              <w:t>Percentage</w:t>
            </w:r>
          </w:p>
        </w:tc>
        <w:tc>
          <w:tcPr>
            <w:tcW w:w="6120" w:type="dxa"/>
          </w:tcPr>
          <w:p w14:paraId="5BBF100D" w14:textId="77777777" w:rsidR="002D0D49" w:rsidRPr="00484E48" w:rsidRDefault="002D0D49" w:rsidP="0031595F">
            <w:pPr>
              <w:pStyle w:val="TableBody"/>
            </w:pPr>
            <w:r w:rsidRPr="00484E48">
              <w:t>9%</w:t>
            </w:r>
          </w:p>
        </w:tc>
      </w:tr>
      <w:tr w:rsidR="002D0D49" w:rsidRPr="00BE4766" w14:paraId="2ACB7A72" w14:textId="77777777" w:rsidTr="002D0D49">
        <w:trPr>
          <w:trHeight w:val="519"/>
        </w:trPr>
        <w:tc>
          <w:tcPr>
            <w:tcW w:w="1448" w:type="dxa"/>
          </w:tcPr>
          <w:p w14:paraId="2B250066" w14:textId="77777777" w:rsidR="002D0D49" w:rsidRPr="008F4340" w:rsidRDefault="002D0D49" w:rsidP="0031595F">
            <w:pPr>
              <w:pStyle w:val="TableBody"/>
              <w:rPr>
                <w:i/>
              </w:rPr>
            </w:pPr>
            <w:r w:rsidRPr="008F4340">
              <w:rPr>
                <w:i/>
                <w:lang w:val="fr-FR"/>
              </w:rPr>
              <w:t>NUCADJ</w:t>
            </w:r>
          </w:p>
        </w:tc>
        <w:tc>
          <w:tcPr>
            <w:tcW w:w="1702" w:type="dxa"/>
          </w:tcPr>
          <w:p w14:paraId="458D0B11" w14:textId="77777777" w:rsidR="002D0D49" w:rsidRDefault="002D0D49" w:rsidP="0031595F">
            <w:pPr>
              <w:pStyle w:val="TableBody"/>
            </w:pPr>
            <w:r>
              <w:t>Percentage</w:t>
            </w:r>
          </w:p>
        </w:tc>
        <w:tc>
          <w:tcPr>
            <w:tcW w:w="6120" w:type="dxa"/>
          </w:tcPr>
          <w:p w14:paraId="4EEE65FD" w14:textId="77777777" w:rsidR="002D0D49" w:rsidRDefault="002D0D49" w:rsidP="0031595F">
            <w:pPr>
              <w:pStyle w:val="TableBody"/>
            </w:pPr>
            <w:r>
              <w:t>Minimum value of 20%.</w:t>
            </w:r>
          </w:p>
        </w:tc>
      </w:tr>
      <w:tr w:rsidR="002D0D49" w:rsidRPr="00BE4766" w14:paraId="5C27CF7D" w14:textId="77777777" w:rsidTr="002D0D49">
        <w:trPr>
          <w:trHeight w:val="519"/>
        </w:trPr>
        <w:tc>
          <w:tcPr>
            <w:tcW w:w="1448" w:type="dxa"/>
          </w:tcPr>
          <w:p w14:paraId="5B253197" w14:textId="77777777" w:rsidR="002D0D49" w:rsidRDefault="002D0D49" w:rsidP="0031595F">
            <w:pPr>
              <w:pStyle w:val="TableBody"/>
              <w:rPr>
                <w:i/>
              </w:rPr>
            </w:pPr>
            <w:r>
              <w:rPr>
                <w:i/>
              </w:rPr>
              <w:t>T1</w:t>
            </w:r>
          </w:p>
        </w:tc>
        <w:tc>
          <w:tcPr>
            <w:tcW w:w="1702" w:type="dxa"/>
          </w:tcPr>
          <w:p w14:paraId="3CEC6751" w14:textId="77777777" w:rsidR="002D0D49" w:rsidRDefault="002D0D49" w:rsidP="0031595F">
            <w:pPr>
              <w:pStyle w:val="TableBody"/>
            </w:pPr>
            <w:r>
              <w:t>Days</w:t>
            </w:r>
          </w:p>
        </w:tc>
        <w:tc>
          <w:tcPr>
            <w:tcW w:w="6120" w:type="dxa"/>
          </w:tcPr>
          <w:p w14:paraId="544452C2" w14:textId="77777777" w:rsidR="002D0D49" w:rsidRDefault="002D0D49" w:rsidP="0031595F">
            <w:pPr>
              <w:pStyle w:val="TableBody"/>
            </w:pPr>
            <w:r>
              <w:t>2</w:t>
            </w:r>
          </w:p>
        </w:tc>
      </w:tr>
      <w:tr w:rsidR="002D0D49" w:rsidRPr="00BE4766" w14:paraId="14D849AF" w14:textId="77777777" w:rsidTr="002D0D49">
        <w:trPr>
          <w:trHeight w:val="519"/>
        </w:trPr>
        <w:tc>
          <w:tcPr>
            <w:tcW w:w="1448" w:type="dxa"/>
          </w:tcPr>
          <w:p w14:paraId="7E4FE7A4" w14:textId="77777777" w:rsidR="002D0D49" w:rsidRDefault="002D0D49" w:rsidP="0031595F">
            <w:pPr>
              <w:pStyle w:val="TableBody"/>
              <w:rPr>
                <w:i/>
              </w:rPr>
            </w:pPr>
            <w:r>
              <w:rPr>
                <w:i/>
              </w:rPr>
              <w:t>T2</w:t>
            </w:r>
          </w:p>
        </w:tc>
        <w:tc>
          <w:tcPr>
            <w:tcW w:w="1702" w:type="dxa"/>
          </w:tcPr>
          <w:p w14:paraId="5A767ABC" w14:textId="77777777" w:rsidR="002D0D49" w:rsidRDefault="002D0D49" w:rsidP="0031595F">
            <w:pPr>
              <w:pStyle w:val="TableBody"/>
            </w:pPr>
            <w:r>
              <w:t>Days</w:t>
            </w:r>
          </w:p>
        </w:tc>
        <w:tc>
          <w:tcPr>
            <w:tcW w:w="6120" w:type="dxa"/>
          </w:tcPr>
          <w:p w14:paraId="0E4F5764" w14:textId="77777777" w:rsidR="002D0D49" w:rsidRDefault="002D0D49" w:rsidP="0031595F">
            <w:pPr>
              <w:pStyle w:val="TableBody"/>
              <w:rPr>
                <w:i/>
              </w:rPr>
            </w:pPr>
            <w:r>
              <w:t>5</w:t>
            </w:r>
          </w:p>
        </w:tc>
      </w:tr>
      <w:tr w:rsidR="002D0D49" w:rsidRPr="00BE4766" w14:paraId="5855A457" w14:textId="77777777" w:rsidTr="002D0D49">
        <w:trPr>
          <w:trHeight w:val="519"/>
        </w:trPr>
        <w:tc>
          <w:tcPr>
            <w:tcW w:w="1448" w:type="dxa"/>
          </w:tcPr>
          <w:p w14:paraId="488F7473" w14:textId="77777777" w:rsidR="002D0D49" w:rsidRDefault="002D0D49" w:rsidP="0031595F">
            <w:pPr>
              <w:pStyle w:val="TableBody"/>
              <w:rPr>
                <w:i/>
              </w:rPr>
            </w:pPr>
            <w:r>
              <w:rPr>
                <w:i/>
              </w:rPr>
              <w:lastRenderedPageBreak/>
              <w:t>T3</w:t>
            </w:r>
          </w:p>
        </w:tc>
        <w:tc>
          <w:tcPr>
            <w:tcW w:w="1702" w:type="dxa"/>
          </w:tcPr>
          <w:p w14:paraId="42732A42" w14:textId="77777777" w:rsidR="002D0D49" w:rsidRDefault="002D0D49" w:rsidP="0031595F">
            <w:pPr>
              <w:pStyle w:val="TableBody"/>
            </w:pPr>
            <w:r w:rsidRPr="00AD0E0C">
              <w:t>Days</w:t>
            </w:r>
          </w:p>
        </w:tc>
        <w:tc>
          <w:tcPr>
            <w:tcW w:w="6120" w:type="dxa"/>
          </w:tcPr>
          <w:p w14:paraId="5728EE95" w14:textId="77777777" w:rsidR="002D0D49" w:rsidRDefault="002D0D49" w:rsidP="0031595F">
            <w:pPr>
              <w:pStyle w:val="TableBody"/>
              <w:rPr>
                <w:i/>
              </w:rPr>
            </w:pPr>
            <w:r>
              <w:t>5</w:t>
            </w:r>
          </w:p>
        </w:tc>
      </w:tr>
      <w:tr w:rsidR="002D0D49" w:rsidRPr="00BE4766" w14:paraId="0F5C2904" w14:textId="77777777" w:rsidTr="002D0D49">
        <w:trPr>
          <w:trHeight w:val="519"/>
        </w:trPr>
        <w:tc>
          <w:tcPr>
            <w:tcW w:w="1448" w:type="dxa"/>
          </w:tcPr>
          <w:p w14:paraId="688E921E" w14:textId="77777777" w:rsidR="002D0D49" w:rsidRDefault="002D0D49" w:rsidP="0031595F">
            <w:pPr>
              <w:pStyle w:val="TableBody"/>
              <w:rPr>
                <w:i/>
              </w:rPr>
            </w:pPr>
            <w:r>
              <w:rPr>
                <w:i/>
              </w:rPr>
              <w:t>T4</w:t>
            </w:r>
          </w:p>
        </w:tc>
        <w:tc>
          <w:tcPr>
            <w:tcW w:w="1702" w:type="dxa"/>
          </w:tcPr>
          <w:p w14:paraId="4088740C" w14:textId="77777777" w:rsidR="002D0D49" w:rsidRDefault="002D0D49" w:rsidP="0031595F">
            <w:pPr>
              <w:pStyle w:val="TableBody"/>
            </w:pPr>
            <w:r w:rsidRPr="00AD0E0C">
              <w:t>Days</w:t>
            </w:r>
          </w:p>
        </w:tc>
        <w:tc>
          <w:tcPr>
            <w:tcW w:w="6120" w:type="dxa"/>
          </w:tcPr>
          <w:p w14:paraId="4DD8C075" w14:textId="77777777" w:rsidR="002D0D49" w:rsidRDefault="002D0D49" w:rsidP="0031595F">
            <w:pPr>
              <w:pStyle w:val="TableBody"/>
            </w:pPr>
            <w:r>
              <w:t>1</w:t>
            </w:r>
          </w:p>
        </w:tc>
      </w:tr>
      <w:tr w:rsidR="002D0D49" w:rsidRPr="00BE4766" w14:paraId="4148A062" w14:textId="77777777" w:rsidTr="002D0D49">
        <w:trPr>
          <w:trHeight w:val="519"/>
        </w:trPr>
        <w:tc>
          <w:tcPr>
            <w:tcW w:w="1448" w:type="dxa"/>
          </w:tcPr>
          <w:p w14:paraId="5D9E3021" w14:textId="77777777" w:rsidR="002D0D49" w:rsidRDefault="002D0D49" w:rsidP="0031595F">
            <w:pPr>
              <w:pStyle w:val="TableBody"/>
              <w:rPr>
                <w:i/>
              </w:rPr>
            </w:pPr>
            <w:r>
              <w:rPr>
                <w:i/>
              </w:rPr>
              <w:t>T5</w:t>
            </w:r>
          </w:p>
        </w:tc>
        <w:tc>
          <w:tcPr>
            <w:tcW w:w="1702" w:type="dxa"/>
          </w:tcPr>
          <w:p w14:paraId="18A94C3D" w14:textId="77777777" w:rsidR="002D0D49" w:rsidRDefault="002D0D49" w:rsidP="0031595F">
            <w:pPr>
              <w:pStyle w:val="TableBody"/>
            </w:pPr>
            <w:r w:rsidRPr="00AD0E0C">
              <w:t>Days</w:t>
            </w:r>
          </w:p>
        </w:tc>
        <w:tc>
          <w:tcPr>
            <w:tcW w:w="6120" w:type="dxa"/>
          </w:tcPr>
          <w:p w14:paraId="31DE895E" w14:textId="77777777" w:rsidR="002D0D49" w:rsidRDefault="002D0D49" w:rsidP="0031595F">
            <w:pPr>
              <w:pStyle w:val="TableBody"/>
              <w:rPr>
                <w:i/>
              </w:rPr>
            </w:pPr>
            <w:r>
              <w:t>For a Counter-Party that represents Load this value is equal to 5, otherwise this value is equal to 2.</w:t>
            </w:r>
          </w:p>
        </w:tc>
      </w:tr>
      <w:tr w:rsidR="002D0D49" w:rsidRPr="00BE4766" w14:paraId="64DA81C6" w14:textId="77777777" w:rsidTr="002D0D49">
        <w:trPr>
          <w:trHeight w:val="519"/>
        </w:trPr>
        <w:tc>
          <w:tcPr>
            <w:tcW w:w="1448" w:type="dxa"/>
          </w:tcPr>
          <w:p w14:paraId="1A3DA326" w14:textId="77777777" w:rsidR="002D0D49" w:rsidRPr="008F4340" w:rsidRDefault="002D0D49" w:rsidP="0031595F">
            <w:pPr>
              <w:pStyle w:val="TableBody"/>
              <w:rPr>
                <w:i/>
              </w:rPr>
            </w:pPr>
            <w:r w:rsidRPr="008F4340">
              <w:rPr>
                <w:i/>
              </w:rPr>
              <w:t>BTCF</w:t>
            </w:r>
          </w:p>
        </w:tc>
        <w:tc>
          <w:tcPr>
            <w:tcW w:w="1702" w:type="dxa"/>
          </w:tcPr>
          <w:p w14:paraId="49A8B096" w14:textId="77777777" w:rsidR="002D0D49" w:rsidRDefault="002D0D49" w:rsidP="0031595F">
            <w:pPr>
              <w:pStyle w:val="TableBody"/>
            </w:pPr>
            <w:r>
              <w:t>Percentage</w:t>
            </w:r>
          </w:p>
        </w:tc>
        <w:tc>
          <w:tcPr>
            <w:tcW w:w="6120" w:type="dxa"/>
          </w:tcPr>
          <w:p w14:paraId="678B44C7" w14:textId="77777777" w:rsidR="002D0D49" w:rsidRDefault="002D0D49" w:rsidP="0031595F">
            <w:pPr>
              <w:pStyle w:val="TableBody"/>
            </w:pPr>
            <w:r>
              <w:t>80%</w:t>
            </w:r>
          </w:p>
        </w:tc>
      </w:tr>
      <w:tr w:rsidR="002D0D49" w:rsidRPr="00BE4766" w14:paraId="38A43523" w14:textId="77777777" w:rsidTr="002D0D49">
        <w:trPr>
          <w:trHeight w:val="519"/>
        </w:trPr>
        <w:tc>
          <w:tcPr>
            <w:tcW w:w="1448" w:type="dxa"/>
          </w:tcPr>
          <w:p w14:paraId="2DB16FF5" w14:textId="77777777" w:rsidR="002D0D49" w:rsidRPr="008F4340" w:rsidRDefault="002D0D49" w:rsidP="0031595F">
            <w:pPr>
              <w:pStyle w:val="TableBody"/>
              <w:rPr>
                <w:i/>
              </w:rPr>
            </w:pPr>
            <w:r>
              <w:rPr>
                <w:i/>
              </w:rPr>
              <w:t>n</w:t>
            </w:r>
          </w:p>
        </w:tc>
        <w:tc>
          <w:tcPr>
            <w:tcW w:w="1702" w:type="dxa"/>
          </w:tcPr>
          <w:p w14:paraId="0B20DA7B" w14:textId="77777777" w:rsidR="002D0D49" w:rsidRDefault="002D0D49" w:rsidP="0031595F">
            <w:pPr>
              <w:pStyle w:val="TableBody"/>
            </w:pPr>
            <w:r>
              <w:t>Days</w:t>
            </w:r>
          </w:p>
        </w:tc>
        <w:tc>
          <w:tcPr>
            <w:tcW w:w="6120" w:type="dxa"/>
          </w:tcPr>
          <w:p w14:paraId="066A574F" w14:textId="77777777" w:rsidR="002D0D49" w:rsidRDefault="002D0D49" w:rsidP="0031595F">
            <w:pPr>
              <w:pStyle w:val="TableBody"/>
            </w:pPr>
            <w:r>
              <w:t>14</w:t>
            </w:r>
          </w:p>
        </w:tc>
      </w:tr>
      <w:tr w:rsidR="002D0D49" w:rsidRPr="00BE4766" w14:paraId="5C5110EA" w14:textId="77777777" w:rsidTr="002D0D49">
        <w:trPr>
          <w:trHeight w:val="519"/>
        </w:trPr>
        <w:tc>
          <w:tcPr>
            <w:tcW w:w="9270" w:type="dxa"/>
            <w:gridSpan w:val="3"/>
          </w:tcPr>
          <w:p w14:paraId="0E97457A" w14:textId="77777777" w:rsidR="002D0D49" w:rsidRDefault="002D0D49" w:rsidP="0031595F">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2D02D8AB" w14:textId="77777777" w:rsidR="00856F40" w:rsidRDefault="00856F40" w:rsidP="00E45FD4">
      <w:pPr>
        <w:pStyle w:val="BodyTextNumbered"/>
        <w:spacing w:before="240"/>
      </w:pPr>
      <w:r>
        <w:t>(3)</w:t>
      </w:r>
      <w:r>
        <w:tab/>
        <w:t>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extent practical, give to the Counter-Party the information used to determine that different TPEA or TPES.  ERCOT shall provide written or electronic Notice to the Counter-Party of the basis for ERCOT’s assessment of the Counter-Party’s financial risk and the resulting creditworthiness requirements.</w:t>
      </w:r>
    </w:p>
    <w:p w14:paraId="613EF508" w14:textId="77777777" w:rsidR="00856F40" w:rsidRDefault="00856F40" w:rsidP="00C9406C">
      <w:pPr>
        <w:pStyle w:val="H4"/>
        <w:keepNext w:val="0"/>
        <w:spacing w:before="0"/>
        <w:ind w:left="720" w:hanging="720"/>
        <w:outlineLvl w:val="9"/>
        <w:rPr>
          <w:b/>
        </w:rPr>
      </w:pPr>
      <w:bookmarkStart w:id="478" w:name="_Toc344279648"/>
      <w:bookmarkStart w:id="479" w:name="_Toc344279748"/>
      <w:bookmarkStart w:id="480" w:name="_Toc349821800"/>
      <w:r w:rsidRPr="00D77FC8">
        <w:rPr>
          <w:iCs/>
        </w:rPr>
        <w:t>(4)</w:t>
      </w:r>
      <w:r w:rsidRPr="00D77FC8">
        <w:rPr>
          <w:iCs/>
        </w:rPr>
        <w:tab/>
        <w:t>ERCOT shall monitor and calculate each Counter-Party’s TPEA and TPES daily.</w:t>
      </w:r>
      <w:bookmarkEnd w:id="478"/>
      <w:bookmarkEnd w:id="479"/>
      <w:bookmarkEnd w:id="480"/>
    </w:p>
    <w:p w14:paraId="474B16BD" w14:textId="77777777" w:rsidR="00F56ABB" w:rsidRPr="00D63F95" w:rsidRDefault="00727E32" w:rsidP="00866318">
      <w:pPr>
        <w:pStyle w:val="H4"/>
        <w:keepNext w:val="0"/>
        <w:ind w:left="1267" w:hanging="1267"/>
        <w:rPr>
          <w:b/>
        </w:rPr>
      </w:pPr>
      <w:bookmarkStart w:id="481" w:name="_Toc390438967"/>
      <w:bookmarkStart w:id="482" w:name="_Toc405897664"/>
      <w:bookmarkStart w:id="483" w:name="_Toc415055768"/>
      <w:bookmarkStart w:id="484" w:name="_Toc415055894"/>
      <w:bookmarkStart w:id="485" w:name="_Toc415055993"/>
      <w:bookmarkStart w:id="486" w:name="_Toc415056094"/>
      <w:bookmarkStart w:id="487" w:name="_Toc175159164"/>
      <w:r w:rsidRPr="004F59D3">
        <w:rPr>
          <w:b/>
        </w:rPr>
        <w:t>16.11.4.2</w:t>
      </w:r>
      <w:r w:rsidRPr="00D63F95">
        <w:rPr>
          <w:b/>
        </w:rPr>
        <w:tab/>
        <w:t>Determination of Counter-Party Initial Estimated Liability</w:t>
      </w:r>
      <w:bookmarkEnd w:id="481"/>
      <w:bookmarkEnd w:id="482"/>
      <w:bookmarkEnd w:id="483"/>
      <w:bookmarkEnd w:id="484"/>
      <w:bookmarkEnd w:id="485"/>
      <w:bookmarkEnd w:id="486"/>
      <w:bookmarkEnd w:id="487"/>
    </w:p>
    <w:p w14:paraId="26B41A8B" w14:textId="77777777" w:rsidR="00FC1C5F" w:rsidRDefault="00727E32">
      <w:pPr>
        <w:pStyle w:val="List"/>
        <w:ind w:left="720"/>
      </w:pPr>
      <w:r>
        <w:t>(1)</w:t>
      </w:r>
      <w:r>
        <w:tab/>
      </w:r>
      <w:r w:rsidR="002D0D49">
        <w:t xml:space="preserve">For each Counter-Party, </w:t>
      </w:r>
      <w:r w:rsidR="002D0D49" w:rsidRPr="004F59D3">
        <w:t>except those Counter-Parties that are only CRR Account Holders,</w:t>
      </w:r>
      <w:r w:rsidR="002D0D49">
        <w:t xml:space="preserve"> ERCOT shall determine </w:t>
      </w:r>
      <w:r w:rsidR="0058051D">
        <w:t xml:space="preserve">an Initial Estimated Liability (IEL) </w:t>
      </w:r>
      <w:r w:rsidR="002D0D49">
        <w:t>for purposes of Section 16.11.3, Alternative Means of Satisfying ERCOT Creditworthiness Requirements.</w:t>
      </w:r>
    </w:p>
    <w:p w14:paraId="666AFDB7" w14:textId="77777777" w:rsidR="000370C5" w:rsidRDefault="000370C5" w:rsidP="000370C5">
      <w:pPr>
        <w:pStyle w:val="List"/>
        <w:ind w:left="720"/>
      </w:pPr>
      <w:r>
        <w:t>(2)</w:t>
      </w:r>
      <w:r>
        <w:tab/>
        <w:t xml:space="preserve">For a Counter-Party that </w:t>
      </w:r>
      <w:r w:rsidR="00023149">
        <w:t>has all its</w:t>
      </w:r>
      <w:r>
        <w:t xml:space="preserve"> QSE</w:t>
      </w:r>
      <w:r w:rsidR="00023149">
        <w:t>s</w:t>
      </w:r>
      <w:r>
        <w:t xml:space="preserve"> representing only LSEs, ERCOT shall calculate the IEL using the following formula: </w:t>
      </w:r>
    </w:p>
    <w:p w14:paraId="319450AA" w14:textId="77777777" w:rsidR="000370C5" w:rsidRDefault="000370C5" w:rsidP="000370C5">
      <w:pPr>
        <w:pStyle w:val="List"/>
        <w:rPr>
          <w:b/>
          <w:lang w:val="es-ES"/>
        </w:rPr>
      </w:pPr>
      <w:r>
        <w:rPr>
          <w:b/>
          <w:lang w:val="es-ES"/>
        </w:rPr>
        <w:t xml:space="preserve">IEL = DEL </w:t>
      </w:r>
      <w:r w:rsidRPr="00753977">
        <w:rPr>
          <w:b/>
          <w:lang w:val="es-ES"/>
        </w:rPr>
        <w:t>*</w:t>
      </w:r>
      <w:r>
        <w:rPr>
          <w:b/>
          <w:lang w:val="es-ES"/>
        </w:rPr>
        <w:t xml:space="preserve"> Max [0.2, RTEFL] </w:t>
      </w:r>
      <w:r w:rsidRPr="00753977">
        <w:rPr>
          <w:b/>
          <w:lang w:val="es-ES"/>
        </w:rPr>
        <w:t>*</w:t>
      </w:r>
      <w:r>
        <w:rPr>
          <w:b/>
          <w:lang w:val="es-ES"/>
        </w:rPr>
        <w:t xml:space="preserve"> RTAEP </w:t>
      </w:r>
      <w:r w:rsidRPr="00753977">
        <w:rPr>
          <w:b/>
          <w:lang w:val="es-ES"/>
        </w:rPr>
        <w:t>*</w:t>
      </w:r>
      <w:r>
        <w:rPr>
          <w:b/>
          <w:lang w:val="es-ES"/>
        </w:rPr>
        <w:t xml:space="preserve"> (M1 + M2)</w:t>
      </w:r>
    </w:p>
    <w:p w14:paraId="21E754EA" w14:textId="77777777" w:rsidR="000370C5" w:rsidRDefault="000370C5" w:rsidP="000370C5">
      <w:pPr>
        <w:pStyle w:val="BodyTextIndent"/>
        <w:spacing w:after="0"/>
        <w:ind w:left="0"/>
        <w:rPr>
          <w:iCs w:val="0"/>
        </w:rPr>
      </w:pPr>
      <w:r>
        <w:rPr>
          <w:iCs w:val="0"/>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39"/>
        <w:gridCol w:w="6588"/>
      </w:tblGrid>
      <w:tr w:rsidR="000370C5" w14:paraId="6BCA4948" w14:textId="77777777" w:rsidTr="000370C5">
        <w:tc>
          <w:tcPr>
            <w:tcW w:w="1574" w:type="dxa"/>
          </w:tcPr>
          <w:p w14:paraId="42B14F9A" w14:textId="77777777" w:rsidR="000370C5" w:rsidRDefault="000370C5" w:rsidP="000370C5">
            <w:pPr>
              <w:pStyle w:val="TableHead"/>
            </w:pPr>
            <w:r>
              <w:t>Variable</w:t>
            </w:r>
          </w:p>
        </w:tc>
        <w:tc>
          <w:tcPr>
            <w:tcW w:w="694" w:type="dxa"/>
          </w:tcPr>
          <w:p w14:paraId="2747A26F" w14:textId="77777777" w:rsidR="000370C5" w:rsidRDefault="000370C5" w:rsidP="000370C5">
            <w:pPr>
              <w:pStyle w:val="TableHead"/>
              <w:jc w:val="center"/>
            </w:pPr>
            <w:r>
              <w:t>Unit</w:t>
            </w:r>
          </w:p>
        </w:tc>
        <w:tc>
          <w:tcPr>
            <w:tcW w:w="6588" w:type="dxa"/>
          </w:tcPr>
          <w:p w14:paraId="022F4DDA" w14:textId="77777777" w:rsidR="000370C5" w:rsidRDefault="000370C5" w:rsidP="000370C5">
            <w:pPr>
              <w:pStyle w:val="TableHead"/>
            </w:pPr>
            <w:r>
              <w:t>Description</w:t>
            </w:r>
          </w:p>
        </w:tc>
      </w:tr>
      <w:tr w:rsidR="000370C5" w14:paraId="2961F599" w14:textId="77777777" w:rsidTr="000370C5">
        <w:tc>
          <w:tcPr>
            <w:tcW w:w="1574" w:type="dxa"/>
          </w:tcPr>
          <w:p w14:paraId="4A6A4BFD" w14:textId="77777777" w:rsidR="000370C5" w:rsidRDefault="000370C5" w:rsidP="000370C5">
            <w:pPr>
              <w:pStyle w:val="TableBody"/>
            </w:pPr>
            <w:r>
              <w:t>IEL</w:t>
            </w:r>
          </w:p>
        </w:tc>
        <w:tc>
          <w:tcPr>
            <w:tcW w:w="694" w:type="dxa"/>
          </w:tcPr>
          <w:p w14:paraId="6AF20AFD" w14:textId="77777777" w:rsidR="000370C5" w:rsidRDefault="000370C5" w:rsidP="000370C5">
            <w:pPr>
              <w:pStyle w:val="TableBody"/>
            </w:pPr>
            <w:r>
              <w:t>$</w:t>
            </w:r>
          </w:p>
        </w:tc>
        <w:tc>
          <w:tcPr>
            <w:tcW w:w="6588" w:type="dxa"/>
          </w:tcPr>
          <w:p w14:paraId="629C8332" w14:textId="77777777" w:rsidR="000370C5" w:rsidRDefault="000370C5" w:rsidP="000370C5">
            <w:pPr>
              <w:pStyle w:val="TableBody"/>
            </w:pPr>
            <w:r w:rsidRPr="00B67540">
              <w:rPr>
                <w:i/>
              </w:rPr>
              <w:t>Initial Estimated Liability</w:t>
            </w:r>
            <w:r w:rsidRPr="00B67540">
              <w:rPr>
                <w:color w:val="000000"/>
              </w:rPr>
              <w:sym w:font="Symbol" w:char="F0BE"/>
            </w:r>
            <w:r>
              <w:t>The Counter-Party’s</w:t>
            </w:r>
            <w:r w:rsidR="00C3054D" w:rsidRPr="00C3054D">
              <w:t xml:space="preserve"> Initial Estimated Liability</w:t>
            </w:r>
            <w:r>
              <w:t>.</w:t>
            </w:r>
          </w:p>
        </w:tc>
      </w:tr>
      <w:tr w:rsidR="000370C5" w14:paraId="105BDDFD" w14:textId="77777777" w:rsidTr="000370C5">
        <w:tc>
          <w:tcPr>
            <w:tcW w:w="1574" w:type="dxa"/>
          </w:tcPr>
          <w:p w14:paraId="2E17BFA8" w14:textId="77777777" w:rsidR="000370C5" w:rsidRDefault="000370C5" w:rsidP="000370C5">
            <w:pPr>
              <w:pStyle w:val="TableBody"/>
            </w:pPr>
            <w:smartTag w:uri="urn:schemas-microsoft-com:office:smarttags" w:element="place">
              <w:smartTag w:uri="urn:schemas-microsoft-com:office:smarttags" w:element="State">
                <w:r>
                  <w:t>DEL</w:t>
                </w:r>
              </w:smartTag>
            </w:smartTag>
          </w:p>
        </w:tc>
        <w:tc>
          <w:tcPr>
            <w:tcW w:w="694" w:type="dxa"/>
          </w:tcPr>
          <w:p w14:paraId="60205809" w14:textId="77777777" w:rsidR="000370C5" w:rsidRDefault="000370C5" w:rsidP="000370C5">
            <w:pPr>
              <w:pStyle w:val="TableBody"/>
            </w:pPr>
            <w:r>
              <w:t>MWh</w:t>
            </w:r>
          </w:p>
        </w:tc>
        <w:tc>
          <w:tcPr>
            <w:tcW w:w="6588" w:type="dxa"/>
          </w:tcPr>
          <w:p w14:paraId="53DE4076" w14:textId="77777777" w:rsidR="000370C5" w:rsidRDefault="000370C5" w:rsidP="000370C5">
            <w:pPr>
              <w:pStyle w:val="TableBody"/>
            </w:pPr>
            <w:r w:rsidRPr="00B67540">
              <w:rPr>
                <w:i/>
              </w:rPr>
              <w:t>Daily Estimated Load</w:t>
            </w:r>
            <w:r w:rsidRPr="00B67540">
              <w:rPr>
                <w:color w:val="000000"/>
              </w:rPr>
              <w:sym w:font="Symbol" w:char="F0BE"/>
            </w:r>
            <w:r>
              <w:t xml:space="preserve">The Counter-Party’s estimated average daily Load as determined by ERCOT based on information provided by the Counter-Party. </w:t>
            </w:r>
          </w:p>
        </w:tc>
      </w:tr>
      <w:tr w:rsidR="000370C5" w14:paraId="2C92EA43" w14:textId="77777777" w:rsidTr="000370C5">
        <w:tc>
          <w:tcPr>
            <w:tcW w:w="1574" w:type="dxa"/>
          </w:tcPr>
          <w:p w14:paraId="2F5FF4B3" w14:textId="77777777" w:rsidR="000370C5" w:rsidRDefault="000370C5" w:rsidP="000370C5">
            <w:pPr>
              <w:pStyle w:val="TableBody"/>
            </w:pPr>
            <w:r>
              <w:t>RTEFL</w:t>
            </w:r>
          </w:p>
        </w:tc>
        <w:tc>
          <w:tcPr>
            <w:tcW w:w="694" w:type="dxa"/>
          </w:tcPr>
          <w:p w14:paraId="0F3B3CF0" w14:textId="77777777" w:rsidR="000370C5" w:rsidRDefault="000370C5" w:rsidP="000370C5">
            <w:pPr>
              <w:pStyle w:val="TableBody"/>
            </w:pPr>
            <w:r>
              <w:t>none</w:t>
            </w:r>
          </w:p>
        </w:tc>
        <w:tc>
          <w:tcPr>
            <w:tcW w:w="6588" w:type="dxa"/>
          </w:tcPr>
          <w:p w14:paraId="6E9D88B8" w14:textId="77777777" w:rsidR="000370C5" w:rsidRDefault="000370C5" w:rsidP="00E12AFD">
            <w:pPr>
              <w:pStyle w:val="TableBody"/>
            </w:pPr>
            <w:r w:rsidRPr="00B67540">
              <w:rPr>
                <w:i/>
              </w:rPr>
              <w:t>Real-Time Energy Factor for Load</w:t>
            </w:r>
            <w:r w:rsidRPr="00B67540">
              <w:rPr>
                <w:color w:val="000000"/>
              </w:rPr>
              <w:sym w:font="Symbol" w:char="F0BE"/>
            </w:r>
            <w:r>
              <w:t>The ratio of the Counter-Party’s estimated energy pur</w:t>
            </w:r>
            <w:r w:rsidR="00E12AFD">
              <w:t xml:space="preserve">chases in the </w:t>
            </w:r>
            <w:r>
              <w:t xml:space="preserve">RTM as determined by ERCOT based on </w:t>
            </w:r>
            <w:r>
              <w:lastRenderedPageBreak/>
              <w:t>information provided by the Counter-Party, to the Counter-Party’s Daily Estimated Load.</w:t>
            </w:r>
          </w:p>
        </w:tc>
      </w:tr>
      <w:tr w:rsidR="000370C5" w14:paraId="6564F50A" w14:textId="77777777" w:rsidTr="000370C5">
        <w:tc>
          <w:tcPr>
            <w:tcW w:w="1574" w:type="dxa"/>
          </w:tcPr>
          <w:p w14:paraId="1B31EA14" w14:textId="77777777" w:rsidR="000370C5" w:rsidRPr="00B67540" w:rsidRDefault="000370C5" w:rsidP="000370C5">
            <w:pPr>
              <w:pStyle w:val="TableBody"/>
              <w:rPr>
                <w:color w:val="000000"/>
              </w:rPr>
            </w:pPr>
            <w:r w:rsidRPr="00B67540">
              <w:rPr>
                <w:color w:val="000000"/>
              </w:rPr>
              <w:lastRenderedPageBreak/>
              <w:t>RTAEP</w:t>
            </w:r>
          </w:p>
        </w:tc>
        <w:tc>
          <w:tcPr>
            <w:tcW w:w="694" w:type="dxa"/>
          </w:tcPr>
          <w:p w14:paraId="64EDBDA8" w14:textId="77777777" w:rsidR="000370C5" w:rsidRDefault="000370C5" w:rsidP="000370C5">
            <w:pPr>
              <w:pStyle w:val="TableBody"/>
            </w:pPr>
            <w:r>
              <w:t>$/MWh</w:t>
            </w:r>
          </w:p>
        </w:tc>
        <w:tc>
          <w:tcPr>
            <w:tcW w:w="6588" w:type="dxa"/>
          </w:tcPr>
          <w:p w14:paraId="0F91BF4F" w14:textId="77777777" w:rsidR="000370C5" w:rsidRPr="00B67540" w:rsidRDefault="000370C5" w:rsidP="000370C5">
            <w:pPr>
              <w:pStyle w:val="TableBody"/>
              <w:rPr>
                <w:color w:val="000000"/>
              </w:rPr>
            </w:pPr>
            <w:r w:rsidRPr="00B67540">
              <w:rPr>
                <w:i/>
              </w:rPr>
              <w:t>Real-Time Average Energy Price</w:t>
            </w:r>
            <w:r w:rsidRPr="00B67540">
              <w:rPr>
                <w:color w:val="000000"/>
              </w:rPr>
              <w:sym w:font="Symbol" w:char="F0BE"/>
            </w:r>
            <w:r w:rsidRPr="00B67540">
              <w:rPr>
                <w:color w:val="000000"/>
              </w:rPr>
              <w:t xml:space="preserve">Average Settlement Point Price for the “ERCOT 345” as defined in Section 3.5.2.5, ERCOT Hub Average 345 kV Hub (ERCOT 345), based upon the previous seven days’ average Real-Time Settlement Point Prices. </w:t>
            </w:r>
          </w:p>
        </w:tc>
      </w:tr>
    </w:tbl>
    <w:p w14:paraId="6D197B70" w14:textId="77777777" w:rsidR="000370C5" w:rsidRDefault="000370C5" w:rsidP="000370C5">
      <w:pPr>
        <w:pStyle w:val="List"/>
        <w:spacing w:before="240"/>
        <w:ind w:left="720"/>
      </w:pPr>
      <w:r>
        <w:t>(3)</w:t>
      </w:r>
      <w:r>
        <w:tab/>
        <w:t xml:space="preserve">For a Counter-Party that </w:t>
      </w:r>
      <w:r w:rsidR="00023149">
        <w:t>has all its</w:t>
      </w:r>
      <w:r>
        <w:t xml:space="preserve"> QSE</w:t>
      </w:r>
      <w:r w:rsidR="00023149">
        <w:t>s</w:t>
      </w:r>
      <w:r>
        <w:t xml:space="preserve"> representing only Resources, ERCOT shall calculate the IEL using the following formula: </w:t>
      </w:r>
    </w:p>
    <w:p w14:paraId="05A16CBB" w14:textId="77777777" w:rsidR="000370C5" w:rsidRDefault="000370C5" w:rsidP="000370C5">
      <w:pPr>
        <w:pStyle w:val="List"/>
        <w:rPr>
          <w:lang w:val="es-ES"/>
        </w:rPr>
      </w:pPr>
      <w:r w:rsidRPr="00753977">
        <w:rPr>
          <w:b/>
          <w:lang w:val="es-ES"/>
        </w:rPr>
        <w:t>IEL</w:t>
      </w:r>
      <w:r w:rsidRPr="00753977">
        <w:rPr>
          <w:b/>
          <w:lang w:val="es-ES"/>
        </w:rPr>
        <w:tab/>
        <w:t>=</w:t>
      </w:r>
      <w:r w:rsidRPr="00753977">
        <w:rPr>
          <w:b/>
          <w:lang w:val="es-ES"/>
        </w:rPr>
        <w:tab/>
        <w:t>DEG * Max [0.2, RTEFG] * RTAEP * (M1 + M2)</w:t>
      </w:r>
    </w:p>
    <w:p w14:paraId="1CD4EAEC" w14:textId="77777777" w:rsidR="000370C5" w:rsidRDefault="000370C5" w:rsidP="000370C5">
      <w:pPr>
        <w:pStyle w:val="BodyTextIndent"/>
        <w:spacing w:after="0"/>
        <w:ind w:left="0"/>
        <w:rPr>
          <w:iCs w:val="0"/>
        </w:rPr>
      </w:pPr>
      <w:r>
        <w:rPr>
          <w:iCs w:val="0"/>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74"/>
        <w:gridCol w:w="6408"/>
      </w:tblGrid>
      <w:tr w:rsidR="000370C5" w14:paraId="729820C2" w14:textId="77777777" w:rsidTr="000370C5">
        <w:trPr>
          <w:tblHeader/>
        </w:trPr>
        <w:tc>
          <w:tcPr>
            <w:tcW w:w="1574" w:type="dxa"/>
          </w:tcPr>
          <w:p w14:paraId="2F4520EC" w14:textId="77777777" w:rsidR="000370C5" w:rsidRPr="00B67540" w:rsidRDefault="000370C5" w:rsidP="000370C5">
            <w:pPr>
              <w:pStyle w:val="TableHead"/>
              <w:rPr>
                <w:color w:val="000000"/>
              </w:rPr>
            </w:pPr>
            <w:r w:rsidRPr="00B67540">
              <w:rPr>
                <w:color w:val="000000"/>
              </w:rPr>
              <w:t>Variable</w:t>
            </w:r>
          </w:p>
        </w:tc>
        <w:tc>
          <w:tcPr>
            <w:tcW w:w="874" w:type="dxa"/>
          </w:tcPr>
          <w:p w14:paraId="0A0CD8A0" w14:textId="77777777" w:rsidR="000370C5" w:rsidRPr="00B67540" w:rsidRDefault="000370C5" w:rsidP="000370C5">
            <w:pPr>
              <w:pStyle w:val="TableHead"/>
              <w:jc w:val="center"/>
              <w:rPr>
                <w:color w:val="000000"/>
              </w:rPr>
            </w:pPr>
            <w:r w:rsidRPr="00B67540">
              <w:rPr>
                <w:color w:val="000000"/>
              </w:rPr>
              <w:t>Unit</w:t>
            </w:r>
          </w:p>
        </w:tc>
        <w:tc>
          <w:tcPr>
            <w:tcW w:w="6408" w:type="dxa"/>
          </w:tcPr>
          <w:p w14:paraId="29DF3244" w14:textId="77777777" w:rsidR="000370C5" w:rsidRPr="00B67540" w:rsidRDefault="000370C5" w:rsidP="000370C5">
            <w:pPr>
              <w:pStyle w:val="TableHead"/>
              <w:rPr>
                <w:color w:val="000000"/>
              </w:rPr>
            </w:pPr>
            <w:r w:rsidRPr="00B67540">
              <w:rPr>
                <w:color w:val="000000"/>
              </w:rPr>
              <w:t>Description</w:t>
            </w:r>
          </w:p>
        </w:tc>
      </w:tr>
      <w:tr w:rsidR="000370C5" w14:paraId="5149DB8B" w14:textId="77777777" w:rsidTr="000370C5">
        <w:tc>
          <w:tcPr>
            <w:tcW w:w="1574" w:type="dxa"/>
          </w:tcPr>
          <w:p w14:paraId="512DAC4F" w14:textId="77777777" w:rsidR="000370C5" w:rsidRPr="00B67540" w:rsidRDefault="000370C5" w:rsidP="000370C5">
            <w:pPr>
              <w:pStyle w:val="TableBody"/>
              <w:rPr>
                <w:color w:val="000000"/>
              </w:rPr>
            </w:pPr>
            <w:r w:rsidRPr="00B67540">
              <w:rPr>
                <w:color w:val="000000"/>
              </w:rPr>
              <w:t>IEL</w:t>
            </w:r>
          </w:p>
        </w:tc>
        <w:tc>
          <w:tcPr>
            <w:tcW w:w="874" w:type="dxa"/>
          </w:tcPr>
          <w:p w14:paraId="60383A06" w14:textId="77777777" w:rsidR="000370C5" w:rsidRPr="00B67540" w:rsidRDefault="000370C5" w:rsidP="000370C5">
            <w:pPr>
              <w:pStyle w:val="TableBody"/>
              <w:rPr>
                <w:color w:val="000000"/>
              </w:rPr>
            </w:pPr>
            <w:r w:rsidRPr="00B67540">
              <w:rPr>
                <w:color w:val="000000"/>
              </w:rPr>
              <w:t>$</w:t>
            </w:r>
          </w:p>
        </w:tc>
        <w:tc>
          <w:tcPr>
            <w:tcW w:w="6408" w:type="dxa"/>
          </w:tcPr>
          <w:p w14:paraId="6816E486" w14:textId="77777777" w:rsidR="000370C5" w:rsidRPr="00B67540" w:rsidRDefault="000370C5" w:rsidP="000370C5">
            <w:pPr>
              <w:pStyle w:val="TableBody"/>
              <w:rPr>
                <w:color w:val="000000"/>
              </w:rPr>
            </w:pPr>
            <w:r w:rsidRPr="00B67540">
              <w:rPr>
                <w:i/>
                <w:color w:val="000000"/>
              </w:rPr>
              <w:t>Initial Estimated Liability</w:t>
            </w:r>
            <w:r w:rsidRPr="00B67540">
              <w:rPr>
                <w:color w:val="000000"/>
              </w:rPr>
              <w:sym w:font="Symbol" w:char="F0BE"/>
            </w:r>
            <w:r w:rsidRPr="00B67540">
              <w:rPr>
                <w:color w:val="000000"/>
              </w:rPr>
              <w:t>The Counter-Party’s Initial Estimated Liability.</w:t>
            </w:r>
          </w:p>
        </w:tc>
      </w:tr>
      <w:tr w:rsidR="000370C5" w14:paraId="5BC89D86" w14:textId="77777777" w:rsidTr="000370C5">
        <w:tc>
          <w:tcPr>
            <w:tcW w:w="1574" w:type="dxa"/>
          </w:tcPr>
          <w:p w14:paraId="19784ECC" w14:textId="77777777" w:rsidR="000370C5" w:rsidRPr="00B67540" w:rsidRDefault="000370C5" w:rsidP="000370C5">
            <w:pPr>
              <w:pStyle w:val="TableBody"/>
              <w:rPr>
                <w:color w:val="000000"/>
              </w:rPr>
            </w:pPr>
            <w:r w:rsidRPr="00B67540">
              <w:rPr>
                <w:color w:val="000000"/>
              </w:rPr>
              <w:t>DEG</w:t>
            </w:r>
          </w:p>
        </w:tc>
        <w:tc>
          <w:tcPr>
            <w:tcW w:w="874" w:type="dxa"/>
          </w:tcPr>
          <w:p w14:paraId="37739FC8" w14:textId="77777777" w:rsidR="000370C5" w:rsidRPr="00B67540" w:rsidRDefault="000370C5" w:rsidP="000370C5">
            <w:pPr>
              <w:pStyle w:val="TableBody"/>
              <w:rPr>
                <w:i/>
                <w:color w:val="000000"/>
              </w:rPr>
            </w:pPr>
            <w:r w:rsidRPr="00B67540">
              <w:rPr>
                <w:color w:val="000000"/>
              </w:rPr>
              <w:t>MWh</w:t>
            </w:r>
          </w:p>
        </w:tc>
        <w:tc>
          <w:tcPr>
            <w:tcW w:w="6408" w:type="dxa"/>
          </w:tcPr>
          <w:p w14:paraId="69C593EB" w14:textId="77777777" w:rsidR="000370C5" w:rsidRPr="00B67540" w:rsidRDefault="000370C5" w:rsidP="000370C5">
            <w:pPr>
              <w:pStyle w:val="TableBody"/>
              <w:rPr>
                <w:color w:val="000000"/>
              </w:rPr>
            </w:pPr>
            <w:r w:rsidRPr="00B67540">
              <w:rPr>
                <w:i/>
                <w:color w:val="000000"/>
              </w:rPr>
              <w:t>Daily Estimated Generation</w:t>
            </w:r>
            <w:r w:rsidRPr="00B67540">
              <w:rPr>
                <w:color w:val="000000"/>
              </w:rPr>
              <w:sym w:font="Symbol" w:char="F0BE"/>
            </w:r>
            <w:r w:rsidRPr="00B67540">
              <w:rPr>
                <w:color w:val="000000"/>
              </w:rPr>
              <w:t>The Counter-Party’s estimated average daily generation</w:t>
            </w:r>
            <w:r>
              <w:t xml:space="preserve"> as determined by ERCOT based on information provided by the Counter-Party</w:t>
            </w:r>
            <w:r w:rsidRPr="00B67540">
              <w:rPr>
                <w:color w:val="000000"/>
              </w:rPr>
              <w:t>.</w:t>
            </w:r>
          </w:p>
        </w:tc>
      </w:tr>
      <w:tr w:rsidR="000370C5" w14:paraId="4DFF228B" w14:textId="77777777" w:rsidTr="000370C5">
        <w:tc>
          <w:tcPr>
            <w:tcW w:w="1574" w:type="dxa"/>
          </w:tcPr>
          <w:p w14:paraId="3A5000E3" w14:textId="77777777" w:rsidR="000370C5" w:rsidRPr="00B67540" w:rsidRDefault="000370C5" w:rsidP="000370C5">
            <w:pPr>
              <w:pStyle w:val="TableBody"/>
              <w:rPr>
                <w:color w:val="000000"/>
              </w:rPr>
            </w:pPr>
            <w:r w:rsidRPr="00B67540">
              <w:rPr>
                <w:color w:val="000000"/>
              </w:rPr>
              <w:t>RTEFG</w:t>
            </w:r>
          </w:p>
        </w:tc>
        <w:tc>
          <w:tcPr>
            <w:tcW w:w="874" w:type="dxa"/>
          </w:tcPr>
          <w:p w14:paraId="2A3ECAD3" w14:textId="77777777" w:rsidR="000370C5" w:rsidRPr="00B67540" w:rsidRDefault="000370C5" w:rsidP="000370C5">
            <w:pPr>
              <w:pStyle w:val="TableBody"/>
              <w:rPr>
                <w:color w:val="000000"/>
              </w:rPr>
            </w:pPr>
            <w:r w:rsidRPr="00B67540">
              <w:rPr>
                <w:color w:val="000000"/>
              </w:rPr>
              <w:t>none</w:t>
            </w:r>
          </w:p>
        </w:tc>
        <w:tc>
          <w:tcPr>
            <w:tcW w:w="6408" w:type="dxa"/>
          </w:tcPr>
          <w:p w14:paraId="45F7C9A2" w14:textId="77777777" w:rsidR="000370C5" w:rsidRPr="00B67540" w:rsidRDefault="000370C5" w:rsidP="009B0BEE">
            <w:pPr>
              <w:pStyle w:val="TableBody"/>
              <w:rPr>
                <w:color w:val="000000"/>
              </w:rPr>
            </w:pPr>
            <w:r w:rsidRPr="00B67540">
              <w:rPr>
                <w:i/>
                <w:color w:val="000000"/>
              </w:rPr>
              <w:t>Real-Time Energy Factor for Generation</w:t>
            </w:r>
            <w:r w:rsidRPr="00B67540">
              <w:rPr>
                <w:color w:val="000000"/>
              </w:rPr>
              <w:sym w:font="Symbol" w:char="F0BE"/>
            </w:r>
            <w:r>
              <w:t xml:space="preserve">The ratio of the Counter-Party’s </w:t>
            </w:r>
            <w:r w:rsidR="009B0BEE">
              <w:t xml:space="preserve">QSE to QSE </w:t>
            </w:r>
            <w:r>
              <w:t>estimated energy sales as determined by ERCOT based on information provided by the Counter-Party, to the Counter-Party’s Daily Estimated Generation.</w:t>
            </w:r>
          </w:p>
        </w:tc>
      </w:tr>
      <w:tr w:rsidR="000370C5" w14:paraId="0608F5DC" w14:textId="77777777" w:rsidTr="000370C5">
        <w:tc>
          <w:tcPr>
            <w:tcW w:w="1574" w:type="dxa"/>
          </w:tcPr>
          <w:p w14:paraId="4FDD0E67" w14:textId="77777777" w:rsidR="000370C5" w:rsidRPr="00B67540" w:rsidRDefault="000370C5" w:rsidP="000370C5">
            <w:pPr>
              <w:pStyle w:val="TableBody"/>
              <w:rPr>
                <w:color w:val="000000"/>
              </w:rPr>
            </w:pPr>
            <w:r w:rsidRPr="00B67540">
              <w:rPr>
                <w:color w:val="000000"/>
              </w:rPr>
              <w:t>RTAEP</w:t>
            </w:r>
          </w:p>
        </w:tc>
        <w:tc>
          <w:tcPr>
            <w:tcW w:w="874" w:type="dxa"/>
          </w:tcPr>
          <w:p w14:paraId="6E7E7270" w14:textId="77777777" w:rsidR="000370C5" w:rsidRPr="00B67540" w:rsidRDefault="000370C5" w:rsidP="000370C5">
            <w:pPr>
              <w:pStyle w:val="TableBody"/>
              <w:rPr>
                <w:color w:val="000000"/>
              </w:rPr>
            </w:pPr>
            <w:r w:rsidRPr="00B67540">
              <w:rPr>
                <w:color w:val="000000"/>
              </w:rPr>
              <w:t>$/MWh</w:t>
            </w:r>
          </w:p>
        </w:tc>
        <w:tc>
          <w:tcPr>
            <w:tcW w:w="6408" w:type="dxa"/>
          </w:tcPr>
          <w:p w14:paraId="03F9178C" w14:textId="77777777" w:rsidR="000370C5" w:rsidRPr="00B67540" w:rsidRDefault="000370C5" w:rsidP="000370C5">
            <w:pPr>
              <w:pStyle w:val="TableBody"/>
              <w:rPr>
                <w:color w:val="000000"/>
              </w:rPr>
            </w:pPr>
            <w:r w:rsidRPr="00B67540">
              <w:rPr>
                <w:i/>
                <w:color w:val="000000"/>
              </w:rPr>
              <w:t>Real-Time Average Energy Price</w:t>
            </w:r>
            <w:r w:rsidRPr="00B67540">
              <w:rPr>
                <w:color w:val="000000"/>
              </w:rPr>
              <w:sym w:font="Symbol" w:char="F0BE"/>
            </w:r>
            <w:r w:rsidRPr="00B67540">
              <w:rPr>
                <w:color w:val="000000"/>
              </w:rPr>
              <w:t>Average Settlement Point Price for the “ERCOT 345” as defined in Section 3.5.2.5 based upon the previous seven days average Real-Time Settlement Point Prices.</w:t>
            </w:r>
          </w:p>
        </w:tc>
      </w:tr>
    </w:tbl>
    <w:p w14:paraId="20CC9B8A" w14:textId="77777777" w:rsidR="000370C5" w:rsidRDefault="000370C5" w:rsidP="000370C5">
      <w:pPr>
        <w:pStyle w:val="List"/>
        <w:spacing w:before="240"/>
        <w:ind w:left="720"/>
      </w:pPr>
      <w:r>
        <w:t>(4)</w:t>
      </w:r>
      <w:r>
        <w:tab/>
        <w:t xml:space="preserve">For a Counter-Party that </w:t>
      </w:r>
      <w:r w:rsidR="00023149">
        <w:t>has</w:t>
      </w:r>
      <w:r>
        <w:t xml:space="preserve"> QSE</w:t>
      </w:r>
      <w:r w:rsidR="00023149">
        <w:t>s</w:t>
      </w:r>
      <w:r>
        <w:t xml:space="preserve"> representing both LSE and Resources, ERCOT shall calculate the Counter-Party’s IEL using the following formula:</w:t>
      </w:r>
    </w:p>
    <w:p w14:paraId="6477D3D3" w14:textId="77777777" w:rsidR="000370C5" w:rsidRDefault="000370C5" w:rsidP="000370C5">
      <w:pPr>
        <w:pStyle w:val="BodyText"/>
        <w:tabs>
          <w:tab w:val="left" w:pos="1440"/>
        </w:tabs>
        <w:ind w:left="2160" w:hanging="1440"/>
      </w:pPr>
      <w:r w:rsidRPr="00753977">
        <w:rPr>
          <w:b/>
        </w:rPr>
        <w:t>IEL</w:t>
      </w:r>
      <w:r w:rsidRPr="00753977">
        <w:rPr>
          <w:b/>
        </w:rPr>
        <w:tab/>
        <w:t>=</w:t>
      </w:r>
      <w:r w:rsidRPr="00753977">
        <w:rPr>
          <w:b/>
        </w:rPr>
        <w:tab/>
        <w:t xml:space="preserve">DEL * Max [0.1, RTEFL] * RTAEP </w:t>
      </w:r>
      <w:r w:rsidRPr="00753977">
        <w:t>*</w:t>
      </w:r>
      <w:r w:rsidRPr="00753977">
        <w:rPr>
          <w:b/>
        </w:rPr>
        <w:t xml:space="preserve"> (M1 + M2) + DEG * Max [0.1, RTEFG] * RTAEP * (M1 + M2)</w:t>
      </w:r>
    </w:p>
    <w:p w14:paraId="6406258F" w14:textId="77777777" w:rsidR="000370C5" w:rsidRDefault="000370C5" w:rsidP="000370C5">
      <w:pPr>
        <w:pStyle w:val="BodyTextIndent"/>
        <w:spacing w:after="0"/>
        <w:ind w:left="0"/>
        <w:rPr>
          <w:iCs w:val="0"/>
        </w:rPr>
      </w:pPr>
      <w:r>
        <w:rPr>
          <w:iCs w:val="0"/>
        </w:rPr>
        <w:t xml:space="preserve">The above variables are defined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74"/>
        <w:gridCol w:w="6408"/>
      </w:tblGrid>
      <w:tr w:rsidR="000370C5" w14:paraId="57A3DB74" w14:textId="77777777" w:rsidTr="000370C5">
        <w:trPr>
          <w:cantSplit/>
          <w:tblHeader/>
        </w:trPr>
        <w:tc>
          <w:tcPr>
            <w:tcW w:w="1574" w:type="dxa"/>
          </w:tcPr>
          <w:p w14:paraId="5ADBCBF8" w14:textId="77777777" w:rsidR="000370C5" w:rsidRDefault="000370C5" w:rsidP="000370C5">
            <w:pPr>
              <w:pStyle w:val="TableHead"/>
            </w:pPr>
            <w:r>
              <w:lastRenderedPageBreak/>
              <w:t>Variable</w:t>
            </w:r>
          </w:p>
        </w:tc>
        <w:tc>
          <w:tcPr>
            <w:tcW w:w="874" w:type="dxa"/>
          </w:tcPr>
          <w:p w14:paraId="3D2CCDF3" w14:textId="77777777" w:rsidR="000370C5" w:rsidRDefault="000370C5" w:rsidP="000370C5">
            <w:pPr>
              <w:pStyle w:val="TableHead"/>
            </w:pPr>
            <w:r>
              <w:t>Unit</w:t>
            </w:r>
          </w:p>
        </w:tc>
        <w:tc>
          <w:tcPr>
            <w:tcW w:w="6408" w:type="dxa"/>
          </w:tcPr>
          <w:p w14:paraId="7AE5A97B" w14:textId="77777777" w:rsidR="000370C5" w:rsidRDefault="000370C5" w:rsidP="000370C5">
            <w:pPr>
              <w:pStyle w:val="TableHead"/>
            </w:pPr>
            <w:r>
              <w:t>Description</w:t>
            </w:r>
          </w:p>
        </w:tc>
      </w:tr>
      <w:tr w:rsidR="000370C5" w14:paraId="6AA9984A" w14:textId="77777777" w:rsidTr="000370C5">
        <w:trPr>
          <w:cantSplit/>
          <w:tblHeader/>
        </w:trPr>
        <w:tc>
          <w:tcPr>
            <w:tcW w:w="1574" w:type="dxa"/>
          </w:tcPr>
          <w:p w14:paraId="4426D013" w14:textId="77777777" w:rsidR="000370C5" w:rsidRDefault="000370C5" w:rsidP="000370C5">
            <w:pPr>
              <w:pStyle w:val="TableBody"/>
            </w:pPr>
            <w:r>
              <w:t>IEL</w:t>
            </w:r>
          </w:p>
        </w:tc>
        <w:tc>
          <w:tcPr>
            <w:tcW w:w="874" w:type="dxa"/>
          </w:tcPr>
          <w:p w14:paraId="20094810" w14:textId="77777777" w:rsidR="000370C5" w:rsidRDefault="000370C5" w:rsidP="000370C5">
            <w:pPr>
              <w:pStyle w:val="TableBody"/>
            </w:pPr>
            <w:r>
              <w:t>$</w:t>
            </w:r>
          </w:p>
        </w:tc>
        <w:tc>
          <w:tcPr>
            <w:tcW w:w="6408" w:type="dxa"/>
          </w:tcPr>
          <w:p w14:paraId="1F1E5B84" w14:textId="77777777" w:rsidR="000370C5" w:rsidRDefault="000370C5" w:rsidP="000370C5">
            <w:pPr>
              <w:pStyle w:val="TableBody"/>
            </w:pPr>
            <w:r w:rsidRPr="00B67540">
              <w:rPr>
                <w:i/>
              </w:rPr>
              <w:t>Initial Estimated Liability</w:t>
            </w:r>
            <w:r w:rsidRPr="00B67540">
              <w:sym w:font="Symbol" w:char="F0BE"/>
            </w:r>
            <w:r>
              <w:t>The Counter-Party’s Initial Estimated Liability.</w:t>
            </w:r>
          </w:p>
        </w:tc>
      </w:tr>
      <w:tr w:rsidR="000370C5" w14:paraId="0A6C37C5" w14:textId="77777777" w:rsidTr="000370C5">
        <w:trPr>
          <w:cantSplit/>
          <w:trHeight w:val="89"/>
          <w:tblHeader/>
        </w:trPr>
        <w:tc>
          <w:tcPr>
            <w:tcW w:w="1574" w:type="dxa"/>
          </w:tcPr>
          <w:p w14:paraId="074437B6" w14:textId="77777777" w:rsidR="000370C5" w:rsidRDefault="000370C5" w:rsidP="000370C5">
            <w:pPr>
              <w:pStyle w:val="TableBody"/>
            </w:pPr>
            <w:smartTag w:uri="urn:schemas-microsoft-com:office:smarttags" w:element="place">
              <w:smartTag w:uri="urn:schemas-microsoft-com:office:smarttags" w:element="State">
                <w:r>
                  <w:t>DEL</w:t>
                </w:r>
              </w:smartTag>
            </w:smartTag>
          </w:p>
        </w:tc>
        <w:tc>
          <w:tcPr>
            <w:tcW w:w="874" w:type="dxa"/>
          </w:tcPr>
          <w:p w14:paraId="5F19F903" w14:textId="77777777" w:rsidR="000370C5" w:rsidRDefault="000370C5" w:rsidP="000370C5">
            <w:pPr>
              <w:pStyle w:val="TableBody"/>
            </w:pPr>
            <w:r>
              <w:t>MWh</w:t>
            </w:r>
          </w:p>
        </w:tc>
        <w:tc>
          <w:tcPr>
            <w:tcW w:w="6408" w:type="dxa"/>
          </w:tcPr>
          <w:p w14:paraId="0272D544" w14:textId="77777777" w:rsidR="000370C5" w:rsidRDefault="000370C5" w:rsidP="000370C5">
            <w:pPr>
              <w:pStyle w:val="TableBody"/>
            </w:pPr>
            <w:r w:rsidRPr="00B67540">
              <w:rPr>
                <w:i/>
              </w:rPr>
              <w:t>Daily Estimated Load</w:t>
            </w:r>
            <w:r w:rsidRPr="00B67540">
              <w:sym w:font="Symbol" w:char="F0BE"/>
            </w:r>
            <w:r>
              <w:t>The Counter-Party’s estimated average daily Load as determined by ERCOT based on information provided by the Counter-Party.</w:t>
            </w:r>
          </w:p>
        </w:tc>
      </w:tr>
      <w:tr w:rsidR="000370C5" w14:paraId="4D81AF51" w14:textId="77777777" w:rsidTr="000370C5">
        <w:trPr>
          <w:cantSplit/>
          <w:tblHeader/>
        </w:trPr>
        <w:tc>
          <w:tcPr>
            <w:tcW w:w="1574" w:type="dxa"/>
          </w:tcPr>
          <w:p w14:paraId="74A43E88" w14:textId="77777777" w:rsidR="000370C5" w:rsidRDefault="000370C5" w:rsidP="000370C5">
            <w:pPr>
              <w:pStyle w:val="TableBody"/>
            </w:pPr>
            <w:r>
              <w:t>DEG</w:t>
            </w:r>
          </w:p>
        </w:tc>
        <w:tc>
          <w:tcPr>
            <w:tcW w:w="874" w:type="dxa"/>
          </w:tcPr>
          <w:p w14:paraId="5BFFE08E" w14:textId="77777777" w:rsidR="000370C5" w:rsidRDefault="000370C5" w:rsidP="000370C5">
            <w:pPr>
              <w:pStyle w:val="TableBody"/>
            </w:pPr>
            <w:r>
              <w:t>MWh</w:t>
            </w:r>
          </w:p>
        </w:tc>
        <w:tc>
          <w:tcPr>
            <w:tcW w:w="6408" w:type="dxa"/>
          </w:tcPr>
          <w:p w14:paraId="02568D91" w14:textId="77777777" w:rsidR="000370C5" w:rsidRDefault="000370C5" w:rsidP="000370C5">
            <w:pPr>
              <w:pStyle w:val="TableBody"/>
            </w:pPr>
            <w:r w:rsidRPr="00B67540">
              <w:rPr>
                <w:i/>
              </w:rPr>
              <w:t>Daily Estimated Generation</w:t>
            </w:r>
            <w:r w:rsidRPr="00B67540">
              <w:sym w:font="Symbol" w:char="F0BE"/>
            </w:r>
            <w:r w:rsidRPr="00B67540">
              <w:rPr>
                <w:color w:val="000000"/>
              </w:rPr>
              <w:t>The Counter-Party’s estimated average daily generation</w:t>
            </w:r>
            <w:r>
              <w:t xml:space="preserve"> as determined by ERCOT based on information provided by the Counter-Party</w:t>
            </w:r>
            <w:r w:rsidRPr="00B67540">
              <w:rPr>
                <w:color w:val="000000"/>
              </w:rPr>
              <w:t>.</w:t>
            </w:r>
          </w:p>
        </w:tc>
      </w:tr>
      <w:tr w:rsidR="000370C5" w14:paraId="42BB3D32" w14:textId="77777777" w:rsidTr="000370C5">
        <w:trPr>
          <w:cantSplit/>
          <w:tblHeader/>
        </w:trPr>
        <w:tc>
          <w:tcPr>
            <w:tcW w:w="1574" w:type="dxa"/>
          </w:tcPr>
          <w:p w14:paraId="032FA6C0" w14:textId="77777777" w:rsidR="000370C5" w:rsidRDefault="000370C5" w:rsidP="000370C5">
            <w:pPr>
              <w:pStyle w:val="TableBody"/>
            </w:pPr>
            <w:r>
              <w:t>RTEFL</w:t>
            </w:r>
          </w:p>
        </w:tc>
        <w:tc>
          <w:tcPr>
            <w:tcW w:w="874" w:type="dxa"/>
          </w:tcPr>
          <w:p w14:paraId="561CC294" w14:textId="77777777" w:rsidR="000370C5" w:rsidRDefault="000370C5" w:rsidP="000370C5">
            <w:pPr>
              <w:pStyle w:val="TableBody"/>
            </w:pPr>
            <w:r>
              <w:t>none</w:t>
            </w:r>
          </w:p>
        </w:tc>
        <w:tc>
          <w:tcPr>
            <w:tcW w:w="6408" w:type="dxa"/>
          </w:tcPr>
          <w:p w14:paraId="286195C4" w14:textId="77777777" w:rsidR="000370C5" w:rsidRDefault="000370C5" w:rsidP="000370C5">
            <w:pPr>
              <w:pStyle w:val="TableBody"/>
            </w:pPr>
            <w:r w:rsidRPr="00B67540">
              <w:rPr>
                <w:i/>
              </w:rPr>
              <w:t>Real-Time Energy Factor for Load</w:t>
            </w:r>
            <w:r w:rsidRPr="00B67540">
              <w:sym w:font="Symbol" w:char="F0BE"/>
            </w:r>
            <w:r>
              <w:t>The ratio of the Counter-Party’s estimated energy purchases in the RTM as determined by ERCOT based on information provided by the Counter-Party, to the Counter-Party’s Daily Estimated Load.</w:t>
            </w:r>
          </w:p>
        </w:tc>
      </w:tr>
      <w:tr w:rsidR="000370C5" w14:paraId="537F599D" w14:textId="77777777" w:rsidTr="000370C5">
        <w:trPr>
          <w:cantSplit/>
          <w:tblHeader/>
        </w:trPr>
        <w:tc>
          <w:tcPr>
            <w:tcW w:w="1574" w:type="dxa"/>
          </w:tcPr>
          <w:p w14:paraId="24277B76" w14:textId="77777777" w:rsidR="000370C5" w:rsidRDefault="000370C5" w:rsidP="000370C5">
            <w:pPr>
              <w:pStyle w:val="TableBody"/>
            </w:pPr>
            <w:r>
              <w:t>RTAEP</w:t>
            </w:r>
          </w:p>
        </w:tc>
        <w:tc>
          <w:tcPr>
            <w:tcW w:w="874" w:type="dxa"/>
          </w:tcPr>
          <w:p w14:paraId="19B81E9C" w14:textId="77777777" w:rsidR="000370C5" w:rsidRDefault="000370C5" w:rsidP="000370C5">
            <w:pPr>
              <w:pStyle w:val="TableBody"/>
            </w:pPr>
            <w:r>
              <w:t>$/MWh</w:t>
            </w:r>
          </w:p>
        </w:tc>
        <w:tc>
          <w:tcPr>
            <w:tcW w:w="6408" w:type="dxa"/>
          </w:tcPr>
          <w:p w14:paraId="477AF7C0" w14:textId="77777777" w:rsidR="000370C5" w:rsidRDefault="000370C5" w:rsidP="000370C5">
            <w:pPr>
              <w:pStyle w:val="TableBody"/>
            </w:pPr>
            <w:r w:rsidRPr="00B67540">
              <w:rPr>
                <w:i/>
              </w:rPr>
              <w:t>Real-Time Average Energy Price</w:t>
            </w:r>
            <w:r w:rsidRPr="00B67540">
              <w:sym w:font="Symbol" w:char="F0BE"/>
            </w:r>
            <w:r w:rsidRPr="00B67540">
              <w:rPr>
                <w:color w:val="000000"/>
              </w:rPr>
              <w:t>Average Settlement Point Price for the “ERCOT 345” as defined in Section 3.5.2.5 based upon the previous seven days’ average Real-Time Settlement Point Prices.</w:t>
            </w:r>
          </w:p>
        </w:tc>
      </w:tr>
      <w:tr w:rsidR="000370C5" w14:paraId="78F5152D" w14:textId="77777777" w:rsidTr="000370C5">
        <w:tblPrEx>
          <w:tblLook w:val="01E0" w:firstRow="1" w:lastRow="1" w:firstColumn="1" w:lastColumn="1" w:noHBand="0" w:noVBand="0"/>
        </w:tblPrEx>
        <w:trPr>
          <w:cantSplit/>
          <w:tblHeader/>
        </w:trPr>
        <w:tc>
          <w:tcPr>
            <w:tcW w:w="1574" w:type="dxa"/>
          </w:tcPr>
          <w:p w14:paraId="579DC635" w14:textId="77777777" w:rsidR="000370C5" w:rsidRDefault="000370C5" w:rsidP="000370C5">
            <w:pPr>
              <w:pStyle w:val="TableBody"/>
            </w:pPr>
            <w:r>
              <w:t>RTEFG</w:t>
            </w:r>
          </w:p>
        </w:tc>
        <w:tc>
          <w:tcPr>
            <w:tcW w:w="874" w:type="dxa"/>
          </w:tcPr>
          <w:p w14:paraId="5AC9C7DA" w14:textId="77777777" w:rsidR="000370C5" w:rsidRDefault="000370C5" w:rsidP="000370C5">
            <w:pPr>
              <w:pStyle w:val="TableBody"/>
            </w:pPr>
            <w:r>
              <w:t>none</w:t>
            </w:r>
          </w:p>
        </w:tc>
        <w:tc>
          <w:tcPr>
            <w:tcW w:w="6408" w:type="dxa"/>
          </w:tcPr>
          <w:p w14:paraId="0A04E5EB" w14:textId="77777777" w:rsidR="000370C5" w:rsidRPr="00B67540" w:rsidRDefault="000370C5" w:rsidP="009B0BEE">
            <w:pPr>
              <w:pStyle w:val="TableBody"/>
              <w:rPr>
                <w:i/>
              </w:rPr>
            </w:pPr>
            <w:r w:rsidRPr="00B67540">
              <w:rPr>
                <w:i/>
              </w:rPr>
              <w:t>Real-Time Energy Factor for Generation</w:t>
            </w:r>
            <w:r>
              <w:t xml:space="preserve">—The ratio of the Counter-Party’s </w:t>
            </w:r>
            <w:r w:rsidR="009B0BEE">
              <w:t xml:space="preserve">QSE to QSE </w:t>
            </w:r>
            <w:r>
              <w:t>estimated energy sales as determined by ERCOT, based on information provided by the Counter-Party, to the Counter-Party’s Daily Estimated Generation.</w:t>
            </w:r>
          </w:p>
        </w:tc>
      </w:tr>
    </w:tbl>
    <w:p w14:paraId="6D3A5103" w14:textId="77777777" w:rsidR="009B0BEE" w:rsidRDefault="00727E32" w:rsidP="004A233E">
      <w:pPr>
        <w:pStyle w:val="List"/>
        <w:spacing w:before="240"/>
        <w:ind w:left="720"/>
      </w:pPr>
      <w:r>
        <w:t>(5)</w:t>
      </w:r>
      <w:r>
        <w:tab/>
      </w:r>
      <w:r w:rsidR="009B0BEE">
        <w:t xml:space="preserve">For a Counter-Party that has all its QSEs representing neither Load nor generation, and that is not representing a CRR Account Holder, the IEL is equal to IMCE as defined in paragraph (2) of Section 16.11.4.1, </w:t>
      </w:r>
      <w:r w:rsidR="009B0BEE" w:rsidRPr="004526B8">
        <w:t>Determination of Total Potential Exposure for a Counter-Party</w:t>
      </w:r>
      <w:r w:rsidR="009B0BEE">
        <w:t>.</w:t>
      </w:r>
    </w:p>
    <w:p w14:paraId="7142CF0E" w14:textId="77777777" w:rsidR="00082575" w:rsidRDefault="009B0BEE" w:rsidP="009B0BEE">
      <w:pPr>
        <w:spacing w:after="240"/>
      </w:pPr>
      <w:r>
        <w:t>(6)</w:t>
      </w:r>
      <w:r>
        <w:tab/>
      </w:r>
      <w:r w:rsidR="00727E32">
        <w:t>For a Counter-Party that is only a CRR Account Holder and is not a QSE, the IEL is zero.</w:t>
      </w:r>
    </w:p>
    <w:p w14:paraId="2B0E4CBD" w14:textId="77777777" w:rsidR="00AF167A" w:rsidRPr="0002450E" w:rsidRDefault="00AF167A" w:rsidP="00AF167A">
      <w:pPr>
        <w:pStyle w:val="H4"/>
        <w:rPr>
          <w:b/>
          <w:bCs/>
        </w:rPr>
      </w:pPr>
      <w:bookmarkStart w:id="488" w:name="_Toc390438968"/>
      <w:bookmarkStart w:id="489" w:name="_Toc405897665"/>
      <w:bookmarkStart w:id="490" w:name="_Toc415055769"/>
      <w:bookmarkStart w:id="491" w:name="_Toc415055895"/>
      <w:bookmarkStart w:id="492" w:name="_Toc415055994"/>
      <w:bookmarkStart w:id="493" w:name="_Toc415056095"/>
      <w:bookmarkStart w:id="494" w:name="_Toc175159165"/>
      <w:r w:rsidRPr="0002450E">
        <w:rPr>
          <w:b/>
          <w:bCs/>
        </w:rPr>
        <w:t>16.11.4.3</w:t>
      </w:r>
      <w:r w:rsidRPr="0002450E">
        <w:rPr>
          <w:b/>
          <w:bCs/>
        </w:rPr>
        <w:tab/>
        <w:t>Determination of Counter-Party Estimated Aggregate Liability</w:t>
      </w:r>
      <w:bookmarkEnd w:id="488"/>
      <w:bookmarkEnd w:id="489"/>
      <w:bookmarkEnd w:id="490"/>
      <w:bookmarkEnd w:id="491"/>
      <w:bookmarkEnd w:id="492"/>
      <w:bookmarkEnd w:id="493"/>
      <w:bookmarkEnd w:id="494"/>
    </w:p>
    <w:p w14:paraId="5EA2C3DA" w14:textId="77777777" w:rsidR="00DF0271" w:rsidRDefault="00DF0271" w:rsidP="00DF0271">
      <w:pPr>
        <w:pStyle w:val="List"/>
        <w:ind w:left="720"/>
      </w:pPr>
      <w:r>
        <w:t>(1)</w:t>
      </w:r>
      <w:r>
        <w:tab/>
        <w:t xml:space="preserve">After a Counter-Party commences activity in ERCOT markets, ERCOT shall monitor and calculate the Counter-Party’s EAL based on the formulas below.  </w:t>
      </w:r>
    </w:p>
    <w:p w14:paraId="25407031" w14:textId="5A963065" w:rsidR="00DF0271" w:rsidRPr="00183BC3" w:rsidRDefault="00DF0271" w:rsidP="00DF0271">
      <w:pPr>
        <w:pStyle w:val="BodyText"/>
        <w:tabs>
          <w:tab w:val="left" w:pos="1440"/>
        </w:tabs>
        <w:ind w:left="2160" w:hanging="1440"/>
        <w:rPr>
          <w:b/>
          <w:i/>
        </w:rPr>
      </w:pPr>
      <w:r w:rsidRPr="00753977">
        <w:rPr>
          <w:b/>
        </w:rPr>
        <w:t>EAL</w:t>
      </w:r>
      <w:r>
        <w:rPr>
          <w:b/>
        </w:rPr>
        <w:t xml:space="preserve"> </w:t>
      </w:r>
      <w:r w:rsidRPr="00D77426">
        <w:rPr>
          <w:b/>
          <w:i/>
          <w:vertAlign w:val="subscript"/>
        </w:rPr>
        <w:t>q</w:t>
      </w:r>
      <w:r w:rsidRPr="00277384">
        <w:rPr>
          <w:b/>
        </w:rPr>
        <w:t xml:space="preserve"> </w:t>
      </w:r>
      <w:r w:rsidRPr="00753977">
        <w:rPr>
          <w:b/>
        </w:rPr>
        <w:t>=</w:t>
      </w:r>
      <w:r w:rsidRPr="00753977">
        <w:rPr>
          <w:b/>
        </w:rPr>
        <w:tab/>
      </w:r>
      <w:r w:rsidRPr="00D77426">
        <w:rPr>
          <w:b/>
        </w:rPr>
        <w:t>Max [IEL</w:t>
      </w:r>
      <w:r>
        <w:rPr>
          <w:b/>
        </w:rPr>
        <w:t xml:space="preserve"> during the first 40-day period only beginning on the date that the Counter-Party commences activity in ERCOT markets</w:t>
      </w:r>
      <w:r w:rsidRPr="00D77426">
        <w:rPr>
          <w:b/>
        </w:rPr>
        <w:t xml:space="preserve">, </w:t>
      </w:r>
      <w:r>
        <w:rPr>
          <w:b/>
        </w:rPr>
        <w:t xml:space="preserve">RFAF * </w:t>
      </w:r>
      <w:r w:rsidRPr="00D77426">
        <w:rPr>
          <w:b/>
        </w:rPr>
        <w:t xml:space="preserve">Max {RTLE during the previous </w:t>
      </w:r>
      <w:r w:rsidRPr="00934A67">
        <w:rPr>
          <w:b/>
          <w:i/>
        </w:rPr>
        <w:t>lrq</w:t>
      </w:r>
      <w:r>
        <w:rPr>
          <w:b/>
          <w:i/>
        </w:rPr>
        <w:t xml:space="preserve"> </w:t>
      </w:r>
      <w:r w:rsidRPr="00D77426">
        <w:rPr>
          <w:b/>
        </w:rPr>
        <w:t>day</w:t>
      </w:r>
      <w:r>
        <w:rPr>
          <w:b/>
        </w:rPr>
        <w:t>s</w:t>
      </w:r>
      <w:r w:rsidRPr="00D77426">
        <w:rPr>
          <w:b/>
        </w:rPr>
        <w:t>}, RTLF]</w:t>
      </w:r>
      <w:r>
        <w:rPr>
          <w:b/>
        </w:rPr>
        <w:t xml:space="preserve"> + DFAF * DALE</w:t>
      </w:r>
      <w:r w:rsidRPr="00D77426">
        <w:rPr>
          <w:b/>
        </w:rPr>
        <w:t xml:space="preserve"> + Max [RTLCNS, Max {URTA during the previous </w:t>
      </w:r>
      <w:r w:rsidRPr="00934A67">
        <w:rPr>
          <w:b/>
          <w:i/>
        </w:rPr>
        <w:t>lrq</w:t>
      </w:r>
      <w:r>
        <w:rPr>
          <w:b/>
          <w:i/>
        </w:rPr>
        <w:t xml:space="preserve"> </w:t>
      </w:r>
      <w:r w:rsidRPr="00D77426">
        <w:rPr>
          <w:b/>
        </w:rPr>
        <w:t>day</w:t>
      </w:r>
      <w:r>
        <w:rPr>
          <w:b/>
        </w:rPr>
        <w:t>s</w:t>
      </w:r>
      <w:r w:rsidRPr="00D77426">
        <w:rPr>
          <w:b/>
        </w:rPr>
        <w:t>}] + OUT</w:t>
      </w:r>
      <w:r w:rsidRPr="00277384">
        <w:rPr>
          <w:b/>
          <w:i/>
          <w:vertAlign w:val="subscript"/>
        </w:rPr>
        <w:t xml:space="preserve"> q</w:t>
      </w:r>
      <w:r w:rsidRPr="00753977">
        <w:rPr>
          <w:b/>
        </w:rPr>
        <w:t xml:space="preserve"> </w:t>
      </w:r>
      <w:r>
        <w:rPr>
          <w:b/>
        </w:rPr>
        <w:t>+ ILE</w:t>
      </w:r>
      <w:r>
        <w:rPr>
          <w:b/>
          <w:vertAlign w:val="subscript"/>
        </w:rPr>
        <w:t xml:space="preserve"> </w:t>
      </w:r>
      <w:r>
        <w:rPr>
          <w:b/>
          <w:i/>
          <w:vertAlign w:val="subscript"/>
        </w:rPr>
        <w:t>q</w:t>
      </w:r>
    </w:p>
    <w:p w14:paraId="341CD427" w14:textId="4ECB82B5" w:rsidR="00DF0271" w:rsidRDefault="00DF0271" w:rsidP="00DF0271">
      <w:pPr>
        <w:pStyle w:val="BodyText"/>
        <w:tabs>
          <w:tab w:val="left" w:pos="1440"/>
        </w:tabs>
        <w:ind w:left="2160" w:hanging="1440"/>
        <w:rPr>
          <w:b/>
        </w:rPr>
      </w:pPr>
      <w:r w:rsidRPr="004F59D3">
        <w:rPr>
          <w:b/>
        </w:rPr>
        <w:t xml:space="preserve">EAL </w:t>
      </w:r>
      <w:r w:rsidRPr="004F59D3">
        <w:rPr>
          <w:b/>
          <w:i/>
          <w:vertAlign w:val="subscript"/>
        </w:rPr>
        <w:t>t</w:t>
      </w:r>
      <w:r w:rsidRPr="004F59D3">
        <w:rPr>
          <w:b/>
        </w:rPr>
        <w:t xml:space="preserve"> =</w:t>
      </w:r>
      <w:r w:rsidRPr="004F59D3">
        <w:rPr>
          <w:b/>
        </w:rPr>
        <w:tab/>
        <w:t xml:space="preserve">Max [RFAF * Max {RTLE during the previous </w:t>
      </w:r>
      <w:r w:rsidRPr="004F59D3">
        <w:rPr>
          <w:b/>
          <w:i/>
        </w:rPr>
        <w:t>lrt</w:t>
      </w:r>
      <w:r w:rsidRPr="004F59D3">
        <w:rPr>
          <w:b/>
        </w:rPr>
        <w:t xml:space="preserve"> days}, RTLF] + DFAF * DALE + Max [RTLCNS, Max {URTA during the previous </w:t>
      </w:r>
      <w:r w:rsidRPr="004F59D3">
        <w:rPr>
          <w:b/>
          <w:i/>
        </w:rPr>
        <w:t>lrt</w:t>
      </w:r>
      <w:r w:rsidRPr="004F59D3">
        <w:rPr>
          <w:b/>
        </w:rPr>
        <w:t xml:space="preserve"> days}] + OUT</w:t>
      </w:r>
      <w:r w:rsidRPr="004F59D3">
        <w:rPr>
          <w:b/>
          <w:i/>
          <w:vertAlign w:val="subscript"/>
        </w:rPr>
        <w:t xml:space="preserve"> t</w:t>
      </w:r>
      <w:r w:rsidRPr="00753977">
        <w:rPr>
          <w:b/>
        </w:rPr>
        <w:t xml:space="preserve"> </w:t>
      </w:r>
    </w:p>
    <w:p w14:paraId="5103B987" w14:textId="77777777" w:rsidR="00DF0271" w:rsidRDefault="00DF0271" w:rsidP="00DF0271">
      <w:pPr>
        <w:pStyle w:val="BodyText"/>
        <w:tabs>
          <w:tab w:val="left" w:pos="1440"/>
        </w:tabs>
        <w:ind w:left="2160" w:hanging="1440"/>
        <w:rPr>
          <w:b/>
          <w:i/>
          <w:vertAlign w:val="subscript"/>
        </w:rPr>
      </w:pPr>
      <w:r w:rsidRPr="00D77426">
        <w:rPr>
          <w:b/>
        </w:rPr>
        <w:t>EAL</w:t>
      </w:r>
      <w:r>
        <w:rPr>
          <w:b/>
        </w:rPr>
        <w:t xml:space="preserve"> </w:t>
      </w:r>
      <w:r w:rsidRPr="00D77426">
        <w:rPr>
          <w:b/>
          <w:i/>
          <w:vertAlign w:val="subscript"/>
        </w:rPr>
        <w:t>a</w:t>
      </w:r>
      <w:r w:rsidRPr="00D77426">
        <w:rPr>
          <w:b/>
        </w:rPr>
        <w:t xml:space="preserve"> =</w:t>
      </w:r>
      <w:r>
        <w:rPr>
          <w:b/>
        </w:rPr>
        <w:tab/>
      </w:r>
      <w:r w:rsidRPr="00D77426">
        <w:rPr>
          <w:b/>
        </w:rPr>
        <w:t>OUT</w:t>
      </w:r>
      <w:r w:rsidRPr="00277384">
        <w:rPr>
          <w:b/>
          <w:i/>
          <w:vertAlign w:val="subscript"/>
        </w:rPr>
        <w:t xml:space="preserve"> a</w:t>
      </w:r>
    </w:p>
    <w:p w14:paraId="16F15653" w14:textId="77777777" w:rsidR="00DF0271" w:rsidRPr="00C42795" w:rsidRDefault="00DF0271" w:rsidP="00DF0271">
      <w:pPr>
        <w:pStyle w:val="BodyText"/>
        <w:tabs>
          <w:tab w:val="left" w:pos="1440"/>
        </w:tabs>
        <w:rPr>
          <w:b/>
          <w:bCs/>
        </w:rPr>
      </w:pPr>
      <w:r w:rsidRPr="00AE1A71">
        <w:t xml:space="preserve">ERCOT </w:t>
      </w:r>
      <w:r>
        <w:t xml:space="preserve">may </w:t>
      </w:r>
      <w:r w:rsidRPr="00AE1A71">
        <w:t xml:space="preserve">adjust the number of days used in determining the highest RTLE and/or URTA, and/or to exclude specific Operating Days to calculate </w:t>
      </w:r>
      <w:r>
        <w:t>RTLE</w:t>
      </w:r>
      <w:r w:rsidRPr="00AE1A71">
        <w:t xml:space="preserve">, URTA, </w:t>
      </w:r>
      <w:r>
        <w:t xml:space="preserve">OUT, </w:t>
      </w:r>
      <w:r w:rsidRPr="00AE1A71">
        <w:t>or DALE</w:t>
      </w:r>
      <w:r>
        <w:t>.</w:t>
      </w:r>
    </w:p>
    <w:p w14:paraId="43895F4E" w14:textId="77777777" w:rsidR="00DF0271" w:rsidRDefault="00DF0271" w:rsidP="00DF0271">
      <w:pPr>
        <w:pStyle w:val="BodyTextIndent"/>
        <w:spacing w:after="0"/>
        <w:ind w:left="0"/>
        <w:rPr>
          <w:iCs w:val="0"/>
        </w:rPr>
      </w:pPr>
      <w:r>
        <w:rPr>
          <w:iCs w:val="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DF0271" w:rsidRPr="003D0DC1" w14:paraId="58EAB5C6" w14:textId="77777777" w:rsidTr="0031595F">
        <w:trPr>
          <w:trHeight w:val="351"/>
          <w:tblHeader/>
        </w:trPr>
        <w:tc>
          <w:tcPr>
            <w:tcW w:w="1503" w:type="dxa"/>
          </w:tcPr>
          <w:p w14:paraId="081A132C" w14:textId="77777777" w:rsidR="00DF0271" w:rsidRPr="00BE4766" w:rsidRDefault="00DF0271" w:rsidP="0031595F">
            <w:pPr>
              <w:pStyle w:val="TableHead"/>
            </w:pPr>
            <w:r w:rsidRPr="00BE4766">
              <w:lastRenderedPageBreak/>
              <w:t>Variable</w:t>
            </w:r>
          </w:p>
        </w:tc>
        <w:tc>
          <w:tcPr>
            <w:tcW w:w="886" w:type="dxa"/>
          </w:tcPr>
          <w:p w14:paraId="6B5E3EAC" w14:textId="77777777" w:rsidR="00DF0271" w:rsidRPr="00BE4766" w:rsidRDefault="00DF0271" w:rsidP="0031595F">
            <w:pPr>
              <w:pStyle w:val="TableHead"/>
            </w:pPr>
            <w:r w:rsidRPr="00BE4766">
              <w:t>Unit</w:t>
            </w:r>
          </w:p>
        </w:tc>
        <w:tc>
          <w:tcPr>
            <w:tcW w:w="6701" w:type="dxa"/>
          </w:tcPr>
          <w:p w14:paraId="19973576" w14:textId="77777777" w:rsidR="00DF0271" w:rsidRPr="00BE4766" w:rsidRDefault="00DF0271" w:rsidP="0031595F">
            <w:pPr>
              <w:pStyle w:val="TableHead"/>
            </w:pPr>
            <w:r w:rsidRPr="00BE4766">
              <w:t>Description</w:t>
            </w:r>
          </w:p>
        </w:tc>
      </w:tr>
      <w:tr w:rsidR="00DF0271" w:rsidRPr="003D0DC1" w14:paraId="552B0677" w14:textId="77777777" w:rsidTr="0031595F">
        <w:trPr>
          <w:trHeight w:val="519"/>
        </w:trPr>
        <w:tc>
          <w:tcPr>
            <w:tcW w:w="1503" w:type="dxa"/>
          </w:tcPr>
          <w:p w14:paraId="3F4C58D4" w14:textId="77777777" w:rsidR="00DF0271" w:rsidRPr="00BE4766" w:rsidRDefault="00DF0271" w:rsidP="0031595F">
            <w:pPr>
              <w:pStyle w:val="TableBody"/>
            </w:pPr>
            <w:r w:rsidRPr="00BE4766">
              <w:t>EAL</w:t>
            </w:r>
            <w:r w:rsidRPr="00277384">
              <w:rPr>
                <w:b/>
                <w:i/>
                <w:vertAlign w:val="subscript"/>
              </w:rPr>
              <w:t xml:space="preserve"> </w:t>
            </w:r>
            <w:r w:rsidRPr="00D36347">
              <w:rPr>
                <w:i/>
                <w:vertAlign w:val="subscript"/>
              </w:rPr>
              <w:t>q</w:t>
            </w:r>
          </w:p>
        </w:tc>
        <w:tc>
          <w:tcPr>
            <w:tcW w:w="886" w:type="dxa"/>
          </w:tcPr>
          <w:p w14:paraId="6EF88611" w14:textId="77777777" w:rsidR="00DF0271" w:rsidRPr="00BE4766" w:rsidRDefault="00DF0271" w:rsidP="0031595F">
            <w:pPr>
              <w:pStyle w:val="TableBody"/>
            </w:pPr>
            <w:r w:rsidRPr="00BE4766">
              <w:t>$</w:t>
            </w:r>
          </w:p>
        </w:tc>
        <w:tc>
          <w:tcPr>
            <w:tcW w:w="6701" w:type="dxa"/>
          </w:tcPr>
          <w:p w14:paraId="4F3C3E33" w14:textId="77777777" w:rsidR="00DF0271" w:rsidRPr="00BE4766" w:rsidRDefault="00DF0271" w:rsidP="0031595F">
            <w:pPr>
              <w:pStyle w:val="TableBody"/>
              <w:rPr>
                <w:i/>
              </w:rPr>
            </w:pPr>
            <w:r w:rsidRPr="00BE4766">
              <w:rPr>
                <w:i/>
              </w:rPr>
              <w:t xml:space="preserve">Estimated Aggregate Liability for </w:t>
            </w:r>
            <w:r>
              <w:rPr>
                <w:i/>
              </w:rPr>
              <w:t>all the</w:t>
            </w:r>
            <w:r w:rsidRPr="00BE4766">
              <w:rPr>
                <w:i/>
              </w:rPr>
              <w:t xml:space="preserve"> QSE</w:t>
            </w:r>
            <w:r>
              <w:rPr>
                <w:i/>
              </w:rPr>
              <w:t>s</w:t>
            </w:r>
            <w:r w:rsidRPr="00BE4766">
              <w:t xml:space="preserve"> represented </w:t>
            </w:r>
            <w:r w:rsidRPr="004F59D3">
              <w:t>by a Counter-Party if at least one QSE represented by the Counter-Party represents either Load or generation.</w:t>
            </w:r>
          </w:p>
        </w:tc>
      </w:tr>
      <w:tr w:rsidR="00DF0271" w:rsidRPr="003D0DC1" w14:paraId="3B8F1FA5" w14:textId="77777777" w:rsidTr="0031595F">
        <w:trPr>
          <w:trHeight w:val="519"/>
        </w:trPr>
        <w:tc>
          <w:tcPr>
            <w:tcW w:w="1503" w:type="dxa"/>
          </w:tcPr>
          <w:p w14:paraId="6EA3D832" w14:textId="77777777" w:rsidR="00DF0271" w:rsidRPr="004F59D3" w:rsidRDefault="00DF0271" w:rsidP="0031595F">
            <w:pPr>
              <w:pStyle w:val="TableBody"/>
            </w:pPr>
            <w:r w:rsidRPr="004F59D3">
              <w:t xml:space="preserve">EAL </w:t>
            </w:r>
            <w:r w:rsidRPr="004F59D3">
              <w:rPr>
                <w:i/>
                <w:vertAlign w:val="subscript"/>
              </w:rPr>
              <w:t>t</w:t>
            </w:r>
          </w:p>
        </w:tc>
        <w:tc>
          <w:tcPr>
            <w:tcW w:w="886" w:type="dxa"/>
          </w:tcPr>
          <w:p w14:paraId="1EA9F59F" w14:textId="77777777" w:rsidR="00DF0271" w:rsidRPr="00484E48" w:rsidRDefault="00DF0271" w:rsidP="0031595F">
            <w:pPr>
              <w:pStyle w:val="TableBody"/>
            </w:pPr>
            <w:r w:rsidRPr="00484E48">
              <w:t>$</w:t>
            </w:r>
          </w:p>
        </w:tc>
        <w:tc>
          <w:tcPr>
            <w:tcW w:w="6701" w:type="dxa"/>
          </w:tcPr>
          <w:p w14:paraId="7940872F" w14:textId="77777777" w:rsidR="00DF0271" w:rsidRPr="00367720" w:rsidRDefault="00DF0271" w:rsidP="0031595F">
            <w:pPr>
              <w:pStyle w:val="TableBody"/>
              <w:rPr>
                <w:i/>
              </w:rPr>
            </w:pPr>
            <w:r w:rsidRPr="00484E48">
              <w:rPr>
                <w:i/>
              </w:rPr>
              <w:t>Estimated Aggregate Liability for all the QSEs</w:t>
            </w:r>
            <w:r w:rsidRPr="00367720">
              <w:t xml:space="preserve"> represented by a Counter-Party if none of the QSEs represented by the Counter-Party represent either Load or generation.</w:t>
            </w:r>
          </w:p>
        </w:tc>
      </w:tr>
      <w:tr w:rsidR="00DF0271" w:rsidRPr="003D0DC1" w14:paraId="230AF888" w14:textId="77777777" w:rsidTr="0031595F">
        <w:trPr>
          <w:trHeight w:val="519"/>
        </w:trPr>
        <w:tc>
          <w:tcPr>
            <w:tcW w:w="1503" w:type="dxa"/>
          </w:tcPr>
          <w:p w14:paraId="7CBDC34C" w14:textId="77777777" w:rsidR="00DF0271" w:rsidRPr="00484E48" w:rsidRDefault="00DF0271" w:rsidP="0031595F">
            <w:pPr>
              <w:pStyle w:val="TableBody"/>
            </w:pPr>
            <w:r w:rsidRPr="004F59D3">
              <w:t>EAL</w:t>
            </w:r>
            <w:r w:rsidRPr="004F59D3">
              <w:rPr>
                <w:b/>
                <w:i/>
                <w:vertAlign w:val="subscript"/>
              </w:rPr>
              <w:t xml:space="preserve"> </w:t>
            </w:r>
            <w:r w:rsidRPr="004F59D3">
              <w:rPr>
                <w:i/>
                <w:vertAlign w:val="subscript"/>
              </w:rPr>
              <w:t>a</w:t>
            </w:r>
          </w:p>
        </w:tc>
        <w:tc>
          <w:tcPr>
            <w:tcW w:w="886" w:type="dxa"/>
          </w:tcPr>
          <w:p w14:paraId="16FA29F5" w14:textId="77777777" w:rsidR="00DF0271" w:rsidRPr="00484E48" w:rsidRDefault="00DF0271" w:rsidP="0031595F">
            <w:pPr>
              <w:pStyle w:val="TableBody"/>
            </w:pPr>
            <w:r w:rsidRPr="00484E48">
              <w:t>$</w:t>
            </w:r>
          </w:p>
        </w:tc>
        <w:tc>
          <w:tcPr>
            <w:tcW w:w="6701" w:type="dxa"/>
          </w:tcPr>
          <w:p w14:paraId="16284C7C" w14:textId="77777777" w:rsidR="00DF0271" w:rsidRPr="00367720" w:rsidRDefault="00DF0271" w:rsidP="0031595F">
            <w:pPr>
              <w:pStyle w:val="TableBody"/>
              <w:rPr>
                <w:i/>
              </w:rPr>
            </w:pPr>
            <w:r w:rsidRPr="00367720">
              <w:rPr>
                <w:i/>
              </w:rPr>
              <w:t>Estimated Aggregate Liability for all the CRR Account Holders</w:t>
            </w:r>
            <w:r w:rsidRPr="00367720">
              <w:t xml:space="preserve"> represented by the Counter-Party.</w:t>
            </w:r>
          </w:p>
        </w:tc>
      </w:tr>
      <w:tr w:rsidR="00DF0271" w:rsidRPr="003D0DC1" w14:paraId="6BAB699E" w14:textId="77777777" w:rsidTr="0031595F">
        <w:trPr>
          <w:trHeight w:val="91"/>
        </w:trPr>
        <w:tc>
          <w:tcPr>
            <w:tcW w:w="1503" w:type="dxa"/>
          </w:tcPr>
          <w:p w14:paraId="76ED37D2" w14:textId="77777777" w:rsidR="00DF0271" w:rsidRPr="00BE4766" w:rsidRDefault="00DF0271" w:rsidP="0031595F">
            <w:pPr>
              <w:pStyle w:val="TableBody"/>
            </w:pPr>
            <w:r w:rsidRPr="00BE4766">
              <w:t>IEL</w:t>
            </w:r>
          </w:p>
        </w:tc>
        <w:tc>
          <w:tcPr>
            <w:tcW w:w="886" w:type="dxa"/>
          </w:tcPr>
          <w:p w14:paraId="058358E5" w14:textId="77777777" w:rsidR="00DF0271" w:rsidRPr="00BE4766" w:rsidRDefault="00DF0271" w:rsidP="0031595F">
            <w:pPr>
              <w:pStyle w:val="TableBody"/>
            </w:pPr>
            <w:r w:rsidRPr="00BE4766">
              <w:t>$</w:t>
            </w:r>
          </w:p>
        </w:tc>
        <w:tc>
          <w:tcPr>
            <w:tcW w:w="6701" w:type="dxa"/>
          </w:tcPr>
          <w:p w14:paraId="1AF6085C" w14:textId="77777777" w:rsidR="00DF0271" w:rsidRPr="00BE4766" w:rsidRDefault="00DF0271" w:rsidP="0031595F">
            <w:pPr>
              <w:pStyle w:val="TableBody"/>
            </w:pPr>
            <w:r w:rsidRPr="00BE4766">
              <w:rPr>
                <w:i/>
              </w:rPr>
              <w:t xml:space="preserve">Initial Estimated Liability for </w:t>
            </w:r>
            <w:r>
              <w:rPr>
                <w:i/>
              </w:rPr>
              <w:t xml:space="preserve">all </w:t>
            </w:r>
            <w:r w:rsidRPr="00BE4766">
              <w:rPr>
                <w:i/>
              </w:rPr>
              <w:t>the QSE</w:t>
            </w:r>
            <w:r>
              <w:rPr>
                <w:i/>
              </w:rPr>
              <w:t>s</w:t>
            </w:r>
            <w:r w:rsidRPr="00BE4766">
              <w:t xml:space="preserve"> represented by the Counter-Party</w:t>
            </w:r>
            <w:r w:rsidRPr="00C44724">
              <w:t xml:space="preserve"> if at least one QSE represented by the Counter-Party represents either Load or generation as defined in paragraphs (1), (2), (3) and (4) of Section 16.11.</w:t>
            </w:r>
            <w:r>
              <w:t>4.</w:t>
            </w:r>
            <w:r w:rsidRPr="00C44724">
              <w:t>2, Determination of Counter-Party Initial Estimated Liability</w:t>
            </w:r>
            <w:r w:rsidRPr="00BE4766">
              <w:t>.</w:t>
            </w:r>
          </w:p>
        </w:tc>
      </w:tr>
      <w:tr w:rsidR="00DF0271" w:rsidRPr="003D0DC1" w14:paraId="2C75A29C" w14:textId="77777777" w:rsidTr="0031595F">
        <w:trPr>
          <w:trHeight w:val="91"/>
        </w:trPr>
        <w:tc>
          <w:tcPr>
            <w:tcW w:w="1503" w:type="dxa"/>
          </w:tcPr>
          <w:p w14:paraId="29FFB515" w14:textId="77777777" w:rsidR="00DF0271" w:rsidRPr="00BE4766" w:rsidRDefault="00DF0271" w:rsidP="0031595F">
            <w:pPr>
              <w:pStyle w:val="TableBody"/>
              <w:rPr>
                <w:i/>
              </w:rPr>
            </w:pPr>
            <w:r>
              <w:rPr>
                <w:i/>
              </w:rPr>
              <w:t>q</w:t>
            </w:r>
          </w:p>
        </w:tc>
        <w:tc>
          <w:tcPr>
            <w:tcW w:w="886" w:type="dxa"/>
          </w:tcPr>
          <w:p w14:paraId="51D2A2A5" w14:textId="77777777" w:rsidR="00DF0271" w:rsidRPr="00BE4766" w:rsidRDefault="00DF0271" w:rsidP="0031595F">
            <w:pPr>
              <w:pStyle w:val="TableBody"/>
            </w:pPr>
          </w:p>
        </w:tc>
        <w:tc>
          <w:tcPr>
            <w:tcW w:w="6701" w:type="dxa"/>
          </w:tcPr>
          <w:p w14:paraId="18B680BD" w14:textId="77777777" w:rsidR="00DF0271" w:rsidRPr="00BE4766" w:rsidRDefault="00DF0271" w:rsidP="0031595F">
            <w:pPr>
              <w:pStyle w:val="TableBody"/>
            </w:pPr>
            <w:r w:rsidRPr="00BE4766">
              <w:t>QSE</w:t>
            </w:r>
            <w:r>
              <w:t>s</w:t>
            </w:r>
            <w:r w:rsidRPr="00BE4766">
              <w:t xml:space="preserve"> represented by Counter-Party.</w:t>
            </w:r>
          </w:p>
        </w:tc>
      </w:tr>
      <w:tr w:rsidR="00DF0271" w:rsidRPr="003D0DC1" w14:paraId="29DE967E" w14:textId="77777777" w:rsidTr="0031595F">
        <w:trPr>
          <w:trHeight w:val="91"/>
        </w:trPr>
        <w:tc>
          <w:tcPr>
            <w:tcW w:w="1503" w:type="dxa"/>
          </w:tcPr>
          <w:p w14:paraId="37EC0D3E" w14:textId="77777777" w:rsidR="00DF0271" w:rsidRDefault="00DF0271" w:rsidP="0031595F">
            <w:pPr>
              <w:pStyle w:val="TableBody"/>
              <w:rPr>
                <w:i/>
              </w:rPr>
            </w:pPr>
            <w:r>
              <w:rPr>
                <w:i/>
              </w:rPr>
              <w:t>t</w:t>
            </w:r>
          </w:p>
        </w:tc>
        <w:tc>
          <w:tcPr>
            <w:tcW w:w="886" w:type="dxa"/>
          </w:tcPr>
          <w:p w14:paraId="75C4E3CE" w14:textId="77777777" w:rsidR="00DF0271" w:rsidRPr="00BE4766" w:rsidRDefault="00DF0271" w:rsidP="0031595F">
            <w:pPr>
              <w:pStyle w:val="TableBody"/>
            </w:pPr>
          </w:p>
        </w:tc>
        <w:tc>
          <w:tcPr>
            <w:tcW w:w="6701" w:type="dxa"/>
          </w:tcPr>
          <w:p w14:paraId="1D643F56" w14:textId="058F9B4C" w:rsidR="00DF0271" w:rsidRPr="00BE4766" w:rsidRDefault="00DF0271" w:rsidP="0031595F">
            <w:pPr>
              <w:pStyle w:val="TableBody"/>
            </w:pPr>
            <w:r w:rsidRPr="00545E0B">
              <w:t>QSEs represented by a Counter-Party if none of the QSEs represented by the Counter-Party represent either Load or generation</w:t>
            </w:r>
            <w:r w:rsidR="002C3748">
              <w:t>.</w:t>
            </w:r>
          </w:p>
        </w:tc>
      </w:tr>
      <w:tr w:rsidR="00DF0271" w:rsidRPr="003D0DC1" w14:paraId="1631C39D" w14:textId="77777777" w:rsidTr="0031595F">
        <w:trPr>
          <w:trHeight w:val="91"/>
        </w:trPr>
        <w:tc>
          <w:tcPr>
            <w:tcW w:w="1503" w:type="dxa"/>
          </w:tcPr>
          <w:p w14:paraId="5B4027DA" w14:textId="77777777" w:rsidR="00DF0271" w:rsidRPr="00BE4766" w:rsidRDefault="00DF0271" w:rsidP="0031595F">
            <w:pPr>
              <w:pStyle w:val="TableBody"/>
              <w:rPr>
                <w:i/>
              </w:rPr>
            </w:pPr>
            <w:r>
              <w:rPr>
                <w:i/>
              </w:rPr>
              <w:t>a</w:t>
            </w:r>
          </w:p>
        </w:tc>
        <w:tc>
          <w:tcPr>
            <w:tcW w:w="886" w:type="dxa"/>
          </w:tcPr>
          <w:p w14:paraId="4745CC5B" w14:textId="77777777" w:rsidR="00DF0271" w:rsidRPr="00BE4766" w:rsidRDefault="00DF0271" w:rsidP="0031595F">
            <w:pPr>
              <w:pStyle w:val="TableBody"/>
            </w:pPr>
          </w:p>
        </w:tc>
        <w:tc>
          <w:tcPr>
            <w:tcW w:w="6701" w:type="dxa"/>
          </w:tcPr>
          <w:p w14:paraId="5BBDAA0E" w14:textId="77777777" w:rsidR="00DF0271" w:rsidRPr="00BE4766" w:rsidRDefault="00DF0271" w:rsidP="0031595F">
            <w:pPr>
              <w:pStyle w:val="TableBody"/>
            </w:pPr>
            <w:r w:rsidRPr="00BE4766">
              <w:t>CRR Account Holder</w:t>
            </w:r>
            <w:r>
              <w:t>s</w:t>
            </w:r>
            <w:r w:rsidRPr="00BE4766">
              <w:t xml:space="preserve"> represented by Counter-Party.</w:t>
            </w:r>
          </w:p>
        </w:tc>
      </w:tr>
      <w:tr w:rsidR="00DF0271" w:rsidRPr="003D0DC1" w14:paraId="1DF94383" w14:textId="77777777" w:rsidTr="0031595F">
        <w:trPr>
          <w:trHeight w:val="593"/>
        </w:trPr>
        <w:tc>
          <w:tcPr>
            <w:tcW w:w="1503" w:type="dxa"/>
          </w:tcPr>
          <w:p w14:paraId="0E2A206D" w14:textId="77777777" w:rsidR="00DF0271" w:rsidRPr="00BE4766" w:rsidRDefault="00DF0271" w:rsidP="0031595F">
            <w:pPr>
              <w:pStyle w:val="TableBody"/>
            </w:pPr>
            <w:r w:rsidRPr="00BE4766">
              <w:t>RTLE</w:t>
            </w:r>
          </w:p>
        </w:tc>
        <w:tc>
          <w:tcPr>
            <w:tcW w:w="886" w:type="dxa"/>
          </w:tcPr>
          <w:p w14:paraId="012AA688" w14:textId="77777777" w:rsidR="00DF0271" w:rsidRPr="00BE4766" w:rsidRDefault="00DF0271" w:rsidP="0031595F">
            <w:pPr>
              <w:pStyle w:val="TableBody"/>
            </w:pPr>
            <w:r w:rsidRPr="00BE4766">
              <w:t>$</w:t>
            </w:r>
          </w:p>
        </w:tc>
        <w:tc>
          <w:tcPr>
            <w:tcW w:w="6701" w:type="dxa"/>
          </w:tcPr>
          <w:p w14:paraId="5C4353F8" w14:textId="71455659" w:rsidR="00DF0271" w:rsidRPr="00BE4766" w:rsidRDefault="00941CD9" w:rsidP="0031595F">
            <w:pPr>
              <w:pStyle w:val="TableBody"/>
            </w:pPr>
            <w:r w:rsidRPr="00BE4766">
              <w:rPr>
                <w:i/>
              </w:rPr>
              <w:t>Real</w:t>
            </w:r>
            <w:r>
              <w:rPr>
                <w:i/>
              </w:rPr>
              <w:t>-</w:t>
            </w:r>
            <w:r w:rsidR="00DF0271" w:rsidRPr="00BE4766">
              <w:rPr>
                <w:i/>
              </w:rPr>
              <w:t>Time Liability Extrapolated</w:t>
            </w:r>
            <w:r w:rsidR="00DF0271" w:rsidRPr="00BE4766">
              <w:t>—M1 multiplied by the sum of the net amount</w:t>
            </w:r>
            <w:r w:rsidR="00DF0271">
              <w:t>, with zero substituted for missing values,</w:t>
            </w:r>
            <w:r w:rsidR="00DF0271" w:rsidRPr="00BE4766">
              <w:t xml:space="preserve"> due to</w:t>
            </w:r>
            <w:r w:rsidR="00DF0271">
              <w:t xml:space="preserve"> or from</w:t>
            </w:r>
            <w:r w:rsidR="00DF0271" w:rsidRPr="00BE4766">
              <w:t xml:space="preserve"> ERCOT by the Counter-Party</w:t>
            </w:r>
            <w:r w:rsidR="00DF0271">
              <w:t xml:space="preserve"> in the 14 most recent Operating Days for which</w:t>
            </w:r>
            <w:r w:rsidR="00DF0271" w:rsidRPr="00BE4766">
              <w:t xml:space="preserve"> </w:t>
            </w:r>
            <w:r w:rsidR="00DF0271">
              <w:t>RTM</w:t>
            </w:r>
            <w:r w:rsidR="00DF0271" w:rsidRPr="00BE4766">
              <w:t xml:space="preserve"> Initial Statements </w:t>
            </w:r>
            <w:r w:rsidR="00DF0271">
              <w:t xml:space="preserve">are produced for Counter-Parties according to the ERCOT Settlement Calendar </w:t>
            </w:r>
            <w:r w:rsidR="00DF0271" w:rsidRPr="00BE4766">
              <w:t>divided by 14.</w:t>
            </w:r>
          </w:p>
        </w:tc>
      </w:tr>
      <w:tr w:rsidR="00DF0271" w:rsidRPr="003D0DC1" w14:paraId="0D1C249E" w14:textId="77777777" w:rsidTr="0031595F">
        <w:trPr>
          <w:trHeight w:val="350"/>
        </w:trPr>
        <w:tc>
          <w:tcPr>
            <w:tcW w:w="1503" w:type="dxa"/>
          </w:tcPr>
          <w:p w14:paraId="7E9FC58A" w14:textId="77777777" w:rsidR="00DF0271" w:rsidRPr="00BE4766" w:rsidRDefault="00DF0271" w:rsidP="0031595F">
            <w:pPr>
              <w:pStyle w:val="TableBody"/>
            </w:pPr>
            <w:r w:rsidRPr="00BE4766">
              <w:t>URTA</w:t>
            </w:r>
          </w:p>
        </w:tc>
        <w:tc>
          <w:tcPr>
            <w:tcW w:w="886" w:type="dxa"/>
          </w:tcPr>
          <w:p w14:paraId="526A2DE0" w14:textId="77777777" w:rsidR="00DF0271" w:rsidRPr="00BE4766" w:rsidRDefault="00DF0271" w:rsidP="0031595F">
            <w:pPr>
              <w:pStyle w:val="TableBody"/>
            </w:pPr>
            <w:r w:rsidRPr="00BE4766">
              <w:t>$</w:t>
            </w:r>
          </w:p>
        </w:tc>
        <w:tc>
          <w:tcPr>
            <w:tcW w:w="6701" w:type="dxa"/>
          </w:tcPr>
          <w:p w14:paraId="4E6ED632" w14:textId="77777777" w:rsidR="00DF0271" w:rsidRPr="00BE4766" w:rsidRDefault="00DF0271" w:rsidP="0031595F">
            <w:pPr>
              <w:pStyle w:val="TableBody"/>
              <w:rPr>
                <w:i/>
              </w:rPr>
            </w:pPr>
            <w:r w:rsidRPr="00BE4766">
              <w:rPr>
                <w:i/>
              </w:rPr>
              <w:t>Unbilled Real</w:t>
            </w:r>
            <w:r>
              <w:rPr>
                <w:i/>
              </w:rPr>
              <w:t>-</w:t>
            </w:r>
            <w:r w:rsidRPr="00BE4766">
              <w:rPr>
                <w:i/>
              </w:rPr>
              <w:t>Time Amount</w:t>
            </w:r>
            <w:r w:rsidRPr="00BE4766">
              <w:t>—M2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RTM Initial Statements </w:t>
            </w:r>
            <w:r>
              <w:t>are produced for Counter-Parties according to the ERCOT Settlement Calendar</w:t>
            </w:r>
            <w:r w:rsidRPr="00BE4766">
              <w:t xml:space="preserve"> divided by 14.</w:t>
            </w:r>
          </w:p>
        </w:tc>
      </w:tr>
      <w:tr w:rsidR="00DF0271" w:rsidRPr="003D0DC1" w14:paraId="0640B979" w14:textId="77777777" w:rsidTr="0031595F">
        <w:trPr>
          <w:trHeight w:val="350"/>
        </w:trPr>
        <w:tc>
          <w:tcPr>
            <w:tcW w:w="1503" w:type="dxa"/>
          </w:tcPr>
          <w:p w14:paraId="0BB57CD2" w14:textId="77777777" w:rsidR="00DF0271" w:rsidRPr="00BE4766" w:rsidRDefault="00DF0271" w:rsidP="0031595F">
            <w:pPr>
              <w:pStyle w:val="TableBody"/>
            </w:pPr>
            <w:r w:rsidRPr="00BE4766">
              <w:t>RTL</w:t>
            </w:r>
          </w:p>
        </w:tc>
        <w:tc>
          <w:tcPr>
            <w:tcW w:w="886" w:type="dxa"/>
          </w:tcPr>
          <w:p w14:paraId="4C823956" w14:textId="77777777" w:rsidR="00DF0271" w:rsidRPr="00BE4766" w:rsidRDefault="00DF0271" w:rsidP="0031595F">
            <w:pPr>
              <w:pStyle w:val="TableBody"/>
            </w:pPr>
            <w:r w:rsidRPr="00BE4766">
              <w:t>$</w:t>
            </w:r>
          </w:p>
        </w:tc>
        <w:tc>
          <w:tcPr>
            <w:tcW w:w="6701" w:type="dxa"/>
          </w:tcPr>
          <w:p w14:paraId="3ADE8929" w14:textId="77777777" w:rsidR="00DF0271" w:rsidRPr="00BE4766" w:rsidRDefault="00DF0271" w:rsidP="0031595F">
            <w:pPr>
              <w:pStyle w:val="TableBody"/>
              <w:rPr>
                <w:i/>
              </w:rPr>
            </w:pPr>
            <w:r w:rsidRPr="00BE4766">
              <w:rPr>
                <w:i/>
                <w:iCs w:val="0"/>
              </w:rPr>
              <w:t>Real-Time Liability</w:t>
            </w:r>
            <w:r w:rsidRPr="00BE4766">
              <w:rPr>
                <w:iCs w:val="0"/>
              </w:rPr>
              <w:t>—The estimated or settled amounts due to</w:t>
            </w:r>
            <w:r>
              <w:rPr>
                <w:iCs w:val="0"/>
              </w:rPr>
              <w:t xml:space="preserve"> or from</w:t>
            </w:r>
            <w:r w:rsidRPr="00BE4766">
              <w:rPr>
                <w:iCs w:val="0"/>
              </w:rPr>
              <w:t xml:space="preserve"> ERCOT due to activities in the R</w:t>
            </w:r>
            <w:r w:rsidRPr="005548A2">
              <w:rPr>
                <w:iCs w:val="0"/>
              </w:rPr>
              <w:t>TM for an Operating Day, as defined in Section 16.11.4.3.2, Real-Time Liability Estimate</w:t>
            </w:r>
            <w:r w:rsidRPr="00BE4766">
              <w:rPr>
                <w:iCs w:val="0"/>
              </w:rPr>
              <w:t>.</w:t>
            </w:r>
          </w:p>
        </w:tc>
      </w:tr>
      <w:tr w:rsidR="00DF0271" w:rsidRPr="003D0DC1" w14:paraId="6D710D5D" w14:textId="77777777" w:rsidTr="0031595F">
        <w:trPr>
          <w:trHeight w:val="350"/>
        </w:trPr>
        <w:tc>
          <w:tcPr>
            <w:tcW w:w="1503" w:type="dxa"/>
          </w:tcPr>
          <w:p w14:paraId="7C1806AF" w14:textId="77777777" w:rsidR="00DF0271" w:rsidRPr="00BE4766" w:rsidRDefault="00DF0271" w:rsidP="0031595F">
            <w:pPr>
              <w:pStyle w:val="TableBody"/>
            </w:pPr>
            <w:r w:rsidRPr="00BE4766">
              <w:t>RTLCNS</w:t>
            </w:r>
          </w:p>
        </w:tc>
        <w:tc>
          <w:tcPr>
            <w:tcW w:w="886" w:type="dxa"/>
          </w:tcPr>
          <w:p w14:paraId="40C55C76" w14:textId="77777777" w:rsidR="00DF0271" w:rsidRPr="00BE4766" w:rsidRDefault="00DF0271" w:rsidP="0031595F">
            <w:pPr>
              <w:pStyle w:val="TableBody"/>
            </w:pPr>
            <w:r w:rsidRPr="00BE4766">
              <w:t>$</w:t>
            </w:r>
          </w:p>
        </w:tc>
        <w:tc>
          <w:tcPr>
            <w:tcW w:w="6701" w:type="dxa"/>
          </w:tcPr>
          <w:p w14:paraId="6E79027E" w14:textId="0C0E86D3" w:rsidR="00DF0271" w:rsidRPr="005548A2" w:rsidRDefault="00941CD9" w:rsidP="0031595F">
            <w:pPr>
              <w:pStyle w:val="TableBody"/>
              <w:rPr>
                <w:i/>
              </w:rPr>
            </w:pPr>
            <w:r w:rsidRPr="005548A2">
              <w:rPr>
                <w:i/>
              </w:rPr>
              <w:t>Real</w:t>
            </w:r>
            <w:r>
              <w:rPr>
                <w:i/>
              </w:rPr>
              <w:t>-</w:t>
            </w:r>
            <w:r w:rsidR="00DF0271" w:rsidRPr="005548A2">
              <w:rPr>
                <w:i/>
              </w:rPr>
              <w:t>Time Liability Completed and Not Settled</w:t>
            </w:r>
            <w:r w:rsidR="00DF0271" w:rsidRPr="005548A2">
              <w:t xml:space="preserve">—For each Operating Day that is completed but not settled, ERCOT shall calculate RTL adjusted up by </w:t>
            </w:r>
            <w:r w:rsidR="00DF0271" w:rsidRPr="005548A2">
              <w:rPr>
                <w:i/>
              </w:rPr>
              <w:t xml:space="preserve">rtlcu% </w:t>
            </w:r>
            <w:r w:rsidR="00DF0271" w:rsidRPr="005548A2">
              <w:t xml:space="preserve">if there is a net amount due to ERCOT or adjusted down by </w:t>
            </w:r>
            <w:r w:rsidR="00DF0271" w:rsidRPr="005548A2">
              <w:rPr>
                <w:i/>
              </w:rPr>
              <w:t>rtlcd%</w:t>
            </w:r>
            <w:r w:rsidR="00DF0271" w:rsidRPr="005548A2">
              <w:t xml:space="preserve"> if there is a net amount due to the QSE. </w:t>
            </w:r>
          </w:p>
          <w:p w14:paraId="33617DA2" w14:textId="77777777" w:rsidR="00DF0271" w:rsidRPr="005548A2" w:rsidRDefault="00DF0271" w:rsidP="0031595F">
            <w:pPr>
              <w:rPr>
                <w:sz w:val="20"/>
              </w:rPr>
            </w:pPr>
          </w:p>
          <w:p w14:paraId="3E1D6C05" w14:textId="77777777" w:rsidR="00DF0271" w:rsidRDefault="00DF0271" w:rsidP="0031595F">
            <w:pPr>
              <w:ind w:left="720"/>
              <w:rPr>
                <w:sz w:val="20"/>
              </w:rPr>
            </w:pPr>
            <w:r w:rsidRPr="005548A2">
              <w:rPr>
                <w:sz w:val="20"/>
              </w:rPr>
              <w:t>RTLCNS = Sum of Max RTL(</w:t>
            </w:r>
            <w:r w:rsidRPr="005548A2">
              <w:rPr>
                <w:i/>
                <w:iCs/>
                <w:sz w:val="20"/>
              </w:rPr>
              <w:t>rtlcu%</w:t>
            </w:r>
            <w:r w:rsidRPr="005548A2">
              <w:rPr>
                <w:sz w:val="20"/>
              </w:rPr>
              <w:t xml:space="preserve"> * RTL, </w:t>
            </w:r>
            <w:r w:rsidRPr="005548A2">
              <w:rPr>
                <w:i/>
                <w:sz w:val="20"/>
              </w:rPr>
              <w:t>rtlcd%</w:t>
            </w:r>
            <w:r w:rsidRPr="005548A2">
              <w:rPr>
                <w:sz w:val="20"/>
              </w:rPr>
              <w:t xml:space="preserve"> * RTL) for all completed and not settled Operating Days</w:t>
            </w:r>
          </w:p>
          <w:p w14:paraId="09C5D030" w14:textId="77777777" w:rsidR="00DF0271" w:rsidRPr="005548A2" w:rsidRDefault="00DF0271" w:rsidP="0031595F">
            <w:pPr>
              <w:ind w:left="720"/>
              <w:rPr>
                <w:sz w:val="20"/>
              </w:rPr>
            </w:pPr>
          </w:p>
          <w:p w14:paraId="04D08926" w14:textId="77777777" w:rsidR="00DF0271" w:rsidRPr="005548A2" w:rsidRDefault="00DF0271" w:rsidP="0031595F">
            <w:pPr>
              <w:tabs>
                <w:tab w:val="right" w:pos="9360"/>
              </w:tabs>
              <w:spacing w:after="60"/>
              <w:rPr>
                <w:iCs/>
                <w:sz w:val="20"/>
              </w:rPr>
            </w:pPr>
            <w:r w:rsidRPr="005548A2">
              <w:rPr>
                <w:iCs/>
                <w:sz w:val="20"/>
              </w:rPr>
              <w:t>Where:</w:t>
            </w:r>
          </w:p>
          <w:p w14:paraId="4F2A23C3" w14:textId="77777777" w:rsidR="00DF0271" w:rsidRPr="005548A2" w:rsidRDefault="00DF0271" w:rsidP="0031595F">
            <w:pPr>
              <w:tabs>
                <w:tab w:val="right" w:pos="9360"/>
              </w:tabs>
              <w:rPr>
                <w:iCs/>
                <w:sz w:val="20"/>
              </w:rPr>
            </w:pPr>
          </w:p>
          <w:p w14:paraId="1EAAC915" w14:textId="77777777" w:rsidR="00DF0271" w:rsidRPr="005548A2" w:rsidRDefault="00DF0271" w:rsidP="0031595F">
            <w:pPr>
              <w:ind w:left="1913" w:hanging="1440"/>
              <w:rPr>
                <w:i/>
                <w:sz w:val="20"/>
              </w:rPr>
            </w:pPr>
            <w:r w:rsidRPr="005548A2">
              <w:rPr>
                <w:i/>
                <w:sz w:val="20"/>
              </w:rPr>
              <w:t>rtlcu</w:t>
            </w:r>
            <w:r w:rsidRPr="005548A2">
              <w:rPr>
                <w:sz w:val="20"/>
              </w:rPr>
              <w:t xml:space="preserve"> =</w:t>
            </w:r>
            <w:r w:rsidRPr="005548A2">
              <w:rPr>
                <w:sz w:val="20"/>
              </w:rPr>
              <w:tab/>
              <w:t>Real-Time Liability Markup</w:t>
            </w:r>
          </w:p>
          <w:p w14:paraId="18F0EAEC" w14:textId="77777777" w:rsidR="00DF0271" w:rsidRPr="005548A2" w:rsidRDefault="00DF0271" w:rsidP="0031595F">
            <w:pPr>
              <w:ind w:left="1913" w:hanging="1440"/>
              <w:rPr>
                <w:i/>
                <w:sz w:val="20"/>
              </w:rPr>
            </w:pPr>
            <w:r w:rsidRPr="005548A2">
              <w:rPr>
                <w:i/>
                <w:sz w:val="20"/>
              </w:rPr>
              <w:t xml:space="preserve">rtlcd </w:t>
            </w:r>
            <w:r w:rsidRPr="005548A2">
              <w:rPr>
                <w:sz w:val="20"/>
              </w:rPr>
              <w:t>=</w:t>
            </w:r>
            <w:r w:rsidRPr="005548A2">
              <w:rPr>
                <w:sz w:val="20"/>
              </w:rPr>
              <w:tab/>
              <w:t>Real-Time Li</w:t>
            </w:r>
            <w:r>
              <w:rPr>
                <w:sz w:val="20"/>
              </w:rPr>
              <w:t>a</w:t>
            </w:r>
            <w:r w:rsidRPr="005548A2">
              <w:rPr>
                <w:sz w:val="20"/>
              </w:rPr>
              <w:t>bility Markdown</w:t>
            </w:r>
          </w:p>
        </w:tc>
      </w:tr>
      <w:tr w:rsidR="00DF0271" w:rsidRPr="003D0DC1" w14:paraId="04DCE2DB" w14:textId="77777777" w:rsidTr="0031595F">
        <w:trPr>
          <w:trHeight w:val="350"/>
        </w:trPr>
        <w:tc>
          <w:tcPr>
            <w:tcW w:w="1503" w:type="dxa"/>
          </w:tcPr>
          <w:p w14:paraId="251A9A61" w14:textId="77777777" w:rsidR="00DF0271" w:rsidRPr="00BE4766" w:rsidRDefault="00DF0271" w:rsidP="0031595F">
            <w:pPr>
              <w:pStyle w:val="TableBody"/>
              <w:tabs>
                <w:tab w:val="right" w:pos="9360"/>
              </w:tabs>
              <w:rPr>
                <w:noProof/>
              </w:rPr>
            </w:pPr>
            <w:r w:rsidRPr="00BE4766">
              <w:t>RTLF</w:t>
            </w:r>
          </w:p>
        </w:tc>
        <w:tc>
          <w:tcPr>
            <w:tcW w:w="886" w:type="dxa"/>
          </w:tcPr>
          <w:p w14:paraId="08A13CCE" w14:textId="77777777" w:rsidR="00DF0271" w:rsidRPr="00BE4766" w:rsidRDefault="00DF0271" w:rsidP="0031595F">
            <w:pPr>
              <w:pStyle w:val="TableBody"/>
              <w:tabs>
                <w:tab w:val="right" w:pos="9360"/>
              </w:tabs>
              <w:rPr>
                <w:noProof/>
              </w:rPr>
            </w:pPr>
            <w:r w:rsidRPr="00BE4766">
              <w:t>$</w:t>
            </w:r>
          </w:p>
        </w:tc>
        <w:tc>
          <w:tcPr>
            <w:tcW w:w="6701" w:type="dxa"/>
          </w:tcPr>
          <w:p w14:paraId="2CA65BD7" w14:textId="2457151C" w:rsidR="00DF0271" w:rsidRPr="005548A2" w:rsidRDefault="00DF0271" w:rsidP="0031595F">
            <w:pPr>
              <w:rPr>
                <w:sz w:val="20"/>
              </w:rPr>
            </w:pPr>
            <w:r w:rsidRPr="005548A2">
              <w:rPr>
                <w:i/>
                <w:sz w:val="20"/>
              </w:rPr>
              <w:t>Real-Time Liability Forward</w:t>
            </w:r>
            <w:r w:rsidRPr="005548A2">
              <w:rPr>
                <w:sz w:val="20"/>
              </w:rPr>
              <w:t xml:space="preserve">—rtlfp% of the sum of estimated RTL from the most recent seven Operating Days.   </w:t>
            </w:r>
          </w:p>
          <w:p w14:paraId="051E1902" w14:textId="77777777" w:rsidR="00DF0271" w:rsidRPr="005548A2" w:rsidRDefault="00DF0271" w:rsidP="0031595F">
            <w:pPr>
              <w:jc w:val="both"/>
              <w:rPr>
                <w:sz w:val="20"/>
              </w:rPr>
            </w:pPr>
          </w:p>
          <w:p w14:paraId="6EB2034B" w14:textId="77777777" w:rsidR="00DF0271" w:rsidRPr="005548A2" w:rsidRDefault="00DF0271" w:rsidP="0031595F">
            <w:pPr>
              <w:ind w:left="720"/>
              <w:jc w:val="both"/>
              <w:rPr>
                <w:sz w:val="20"/>
              </w:rPr>
            </w:pPr>
            <w:r w:rsidRPr="005548A2">
              <w:rPr>
                <w:sz w:val="20"/>
              </w:rPr>
              <w:t xml:space="preserve">RTLF = </w:t>
            </w:r>
            <w:r w:rsidRPr="005548A2">
              <w:rPr>
                <w:i/>
                <w:iCs/>
                <w:sz w:val="20"/>
              </w:rPr>
              <w:t>rtlf%</w:t>
            </w:r>
            <w:r w:rsidRPr="005548A2">
              <w:rPr>
                <w:sz w:val="20"/>
              </w:rPr>
              <w:t xml:space="preserve"> of the Sum of Max RTL(</w:t>
            </w:r>
            <w:r w:rsidRPr="005548A2">
              <w:rPr>
                <w:i/>
                <w:iCs/>
                <w:sz w:val="20"/>
              </w:rPr>
              <w:t>rtlcu%</w:t>
            </w:r>
            <w:r w:rsidRPr="005548A2">
              <w:rPr>
                <w:sz w:val="20"/>
              </w:rPr>
              <w:t xml:space="preserve"> * RTL</w:t>
            </w:r>
            <w:r w:rsidRPr="005548A2">
              <w:rPr>
                <w:i/>
                <w:iCs/>
                <w:sz w:val="20"/>
              </w:rPr>
              <w:t>, rtlcd%</w:t>
            </w:r>
            <w:r w:rsidRPr="005548A2">
              <w:rPr>
                <w:sz w:val="20"/>
              </w:rPr>
              <w:t xml:space="preserve"> * RTL) for the most recent seven Operating Days</w:t>
            </w:r>
          </w:p>
          <w:p w14:paraId="3E353C79" w14:textId="77777777" w:rsidR="00DF0271" w:rsidRPr="005548A2" w:rsidRDefault="00DF0271" w:rsidP="0031595F">
            <w:pPr>
              <w:tabs>
                <w:tab w:val="right" w:pos="9360"/>
              </w:tabs>
              <w:spacing w:after="60"/>
              <w:rPr>
                <w:iCs/>
                <w:sz w:val="20"/>
              </w:rPr>
            </w:pPr>
            <w:r w:rsidRPr="005548A2">
              <w:rPr>
                <w:iCs/>
                <w:sz w:val="20"/>
              </w:rPr>
              <w:t>Where:</w:t>
            </w:r>
          </w:p>
          <w:p w14:paraId="1B5DBAE9" w14:textId="77777777" w:rsidR="00DF0271" w:rsidRPr="005548A2" w:rsidRDefault="00DF0271" w:rsidP="0031595F">
            <w:pPr>
              <w:tabs>
                <w:tab w:val="right" w:pos="9360"/>
              </w:tabs>
              <w:rPr>
                <w:iCs/>
                <w:sz w:val="20"/>
              </w:rPr>
            </w:pPr>
          </w:p>
          <w:p w14:paraId="75D84506" w14:textId="77777777" w:rsidR="00DF0271" w:rsidRPr="005548A2" w:rsidRDefault="00DF0271" w:rsidP="0031595F">
            <w:pPr>
              <w:ind w:left="1913" w:hanging="1440"/>
              <w:rPr>
                <w:i/>
                <w:sz w:val="20"/>
              </w:rPr>
            </w:pPr>
            <w:r w:rsidRPr="005548A2">
              <w:rPr>
                <w:i/>
                <w:sz w:val="20"/>
              </w:rPr>
              <w:t>rtlfp =</w:t>
            </w:r>
            <w:r w:rsidRPr="005548A2">
              <w:rPr>
                <w:i/>
                <w:sz w:val="20"/>
              </w:rPr>
              <w:tab/>
            </w:r>
            <w:r w:rsidRPr="005548A2">
              <w:rPr>
                <w:sz w:val="20"/>
              </w:rPr>
              <w:t>Real-Time Liability Forward</w:t>
            </w:r>
          </w:p>
        </w:tc>
      </w:tr>
      <w:tr w:rsidR="00DF0271" w:rsidRPr="003D0DC1" w14:paraId="14F896A3" w14:textId="77777777" w:rsidTr="0031595F">
        <w:trPr>
          <w:trHeight w:val="350"/>
        </w:trPr>
        <w:tc>
          <w:tcPr>
            <w:tcW w:w="1503" w:type="dxa"/>
          </w:tcPr>
          <w:p w14:paraId="28F79FC9" w14:textId="77777777" w:rsidR="00DF0271" w:rsidRPr="00BE4766" w:rsidRDefault="00DF0271" w:rsidP="0031595F">
            <w:pPr>
              <w:pStyle w:val="TableBody"/>
              <w:tabs>
                <w:tab w:val="right" w:pos="9360"/>
              </w:tabs>
              <w:rPr>
                <w:noProof/>
              </w:rPr>
            </w:pPr>
            <w:r w:rsidRPr="00BE4766">
              <w:lastRenderedPageBreak/>
              <w:t>OUT</w:t>
            </w:r>
            <w:r>
              <w:t xml:space="preserve"> </w:t>
            </w:r>
            <w:r w:rsidRPr="002C3748">
              <w:rPr>
                <w:i/>
                <w:iCs w:val="0"/>
                <w:vertAlign w:val="subscript"/>
              </w:rPr>
              <w:t>q</w:t>
            </w:r>
          </w:p>
        </w:tc>
        <w:tc>
          <w:tcPr>
            <w:tcW w:w="886" w:type="dxa"/>
          </w:tcPr>
          <w:p w14:paraId="3EB9ACA6" w14:textId="77777777" w:rsidR="00DF0271" w:rsidRPr="00BE4766" w:rsidRDefault="00DF0271" w:rsidP="0031595F">
            <w:pPr>
              <w:pStyle w:val="TableBody"/>
              <w:tabs>
                <w:tab w:val="right" w:pos="9360"/>
              </w:tabs>
              <w:rPr>
                <w:noProof/>
              </w:rPr>
            </w:pPr>
            <w:r w:rsidRPr="00BE4766">
              <w:t>$</w:t>
            </w:r>
          </w:p>
        </w:tc>
        <w:tc>
          <w:tcPr>
            <w:tcW w:w="6701" w:type="dxa"/>
          </w:tcPr>
          <w:p w14:paraId="742132D8" w14:textId="77777777" w:rsidR="00DF0271" w:rsidRPr="00853D39" w:rsidRDefault="00DF0271" w:rsidP="0031595F">
            <w:pPr>
              <w:pStyle w:val="BodyText"/>
              <w:rPr>
                <w:sz w:val="20"/>
              </w:rPr>
            </w:pPr>
            <w:r w:rsidRPr="00853D39">
              <w:rPr>
                <w:i/>
                <w:sz w:val="20"/>
              </w:rPr>
              <w:t>Outstanding Unpaid Transactions</w:t>
            </w:r>
            <w:r w:rsidRPr="00853D39">
              <w:rPr>
                <w:sz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38A880CE" w14:textId="77777777" w:rsidR="00DF0271" w:rsidRPr="00C21ED2" w:rsidRDefault="00DF0271" w:rsidP="0031595F">
            <w:pPr>
              <w:pStyle w:val="TableBody"/>
              <w:tabs>
                <w:tab w:val="right" w:pos="9360"/>
              </w:tabs>
              <w:ind w:left="522"/>
            </w:pPr>
            <w:r w:rsidRPr="00C21ED2">
              <w:t>OUT</w:t>
            </w:r>
            <w:r>
              <w:t xml:space="preserve"> </w:t>
            </w:r>
            <w:r w:rsidRPr="00545E0B">
              <w:rPr>
                <w:i/>
                <w:vertAlign w:val="subscript"/>
              </w:rPr>
              <w:t>q</w:t>
            </w:r>
            <w:r w:rsidRPr="00C21ED2">
              <w:t xml:space="preserve"> = OIA</w:t>
            </w:r>
            <w:r>
              <w:t xml:space="preserve"> </w:t>
            </w:r>
            <w:r w:rsidRPr="00545E0B">
              <w:rPr>
                <w:i/>
                <w:vertAlign w:val="subscript"/>
              </w:rPr>
              <w:t>q</w:t>
            </w:r>
            <w:r w:rsidRPr="00C21ED2">
              <w:t xml:space="preserve"> + UDAA</w:t>
            </w:r>
            <w:r>
              <w:t xml:space="preserve"> </w:t>
            </w:r>
            <w:r w:rsidRPr="00545E0B">
              <w:rPr>
                <w:i/>
                <w:vertAlign w:val="subscript"/>
              </w:rPr>
              <w:t>q</w:t>
            </w:r>
            <w:r w:rsidRPr="00C21ED2">
              <w:t xml:space="preserve"> + UFA</w:t>
            </w:r>
            <w:r>
              <w:t xml:space="preserve"> </w:t>
            </w:r>
            <w:r w:rsidRPr="00545E0B">
              <w:rPr>
                <w:i/>
                <w:vertAlign w:val="subscript"/>
              </w:rPr>
              <w:t>q</w:t>
            </w:r>
            <w:r w:rsidRPr="00C21ED2">
              <w:t xml:space="preserve"> + UTA</w:t>
            </w:r>
            <w:r>
              <w:t xml:space="preserve"> </w:t>
            </w:r>
            <w:r w:rsidRPr="00545E0B">
              <w:rPr>
                <w:i/>
                <w:vertAlign w:val="subscript"/>
              </w:rPr>
              <w:t>q</w:t>
            </w:r>
            <w:r w:rsidRPr="00C21ED2">
              <w:t xml:space="preserve"> + CARD</w:t>
            </w:r>
          </w:p>
          <w:p w14:paraId="33622DE3" w14:textId="77777777" w:rsidR="00DF0271" w:rsidRDefault="00DF0271" w:rsidP="0031595F">
            <w:pPr>
              <w:pStyle w:val="TableBody"/>
              <w:tabs>
                <w:tab w:val="right" w:pos="9360"/>
              </w:tabs>
            </w:pPr>
          </w:p>
          <w:p w14:paraId="58872924" w14:textId="77777777" w:rsidR="00DF0271" w:rsidRDefault="00DF0271" w:rsidP="0031595F">
            <w:pPr>
              <w:pStyle w:val="TableBody"/>
              <w:tabs>
                <w:tab w:val="right" w:pos="9360"/>
              </w:tabs>
            </w:pPr>
            <w:r>
              <w:t>Where:</w:t>
            </w:r>
          </w:p>
          <w:p w14:paraId="54423573" w14:textId="77777777" w:rsidR="00DF0271" w:rsidRPr="00C21ED2" w:rsidRDefault="00DF0271" w:rsidP="0031595F">
            <w:pPr>
              <w:pStyle w:val="TableBody"/>
              <w:tabs>
                <w:tab w:val="right" w:pos="9360"/>
              </w:tabs>
              <w:spacing w:after="0"/>
            </w:pPr>
          </w:p>
          <w:p w14:paraId="0B0961C9" w14:textId="3BD19F73" w:rsidR="00DF0271" w:rsidRPr="00300257" w:rsidRDefault="00DF0271" w:rsidP="0031595F">
            <w:pPr>
              <w:spacing w:after="60"/>
              <w:ind w:left="1958" w:hanging="1440"/>
              <w:rPr>
                <w:sz w:val="20"/>
              </w:rPr>
            </w:pPr>
            <w:r w:rsidRPr="00300257">
              <w:rPr>
                <w:sz w:val="20"/>
              </w:rPr>
              <w:t>OIA</w:t>
            </w:r>
            <w:r>
              <w:t xml:space="preserve"> </w:t>
            </w:r>
            <w:r w:rsidRPr="00545E0B">
              <w:rPr>
                <w:i/>
                <w:vertAlign w:val="subscript"/>
              </w:rPr>
              <w:t>q</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w:t>
            </w:r>
            <w:r>
              <w:rPr>
                <w:sz w:val="20"/>
              </w:rPr>
              <w:t xml:space="preserve"> </w:t>
            </w:r>
            <w:r w:rsidRPr="00300257">
              <w:rPr>
                <w:sz w:val="20"/>
              </w:rPr>
              <w:t>– Sum of any outstanding Real-Time and Day-Ahead unpaid invoices issued to the Counter-Party</w:t>
            </w:r>
            <w:r>
              <w:rPr>
                <w:sz w:val="20"/>
              </w:rPr>
              <w:t xml:space="preserve">, </w:t>
            </w:r>
            <w:r w:rsidRPr="00300257">
              <w:rPr>
                <w:sz w:val="20"/>
              </w:rPr>
              <w:t>including but not limited to CRR Auction Revenue Distribution</w:t>
            </w:r>
            <w:r>
              <w:rPr>
                <w:sz w:val="20"/>
              </w:rPr>
              <w:t xml:space="preserve"> (CARD)</w:t>
            </w:r>
            <w:r w:rsidRPr="00300257">
              <w:rPr>
                <w:sz w:val="20"/>
              </w:rPr>
              <w:t xml:space="preserve"> </w:t>
            </w:r>
            <w:r>
              <w:rPr>
                <w:sz w:val="20"/>
              </w:rPr>
              <w:t>I</w:t>
            </w:r>
            <w:r w:rsidRPr="00300257">
              <w:rPr>
                <w:sz w:val="20"/>
              </w:rPr>
              <w:t xml:space="preserve">nvoices, CRR Balancing Account </w:t>
            </w:r>
            <w:r>
              <w:rPr>
                <w:sz w:val="20"/>
              </w:rPr>
              <w:t>I</w:t>
            </w:r>
            <w:r w:rsidRPr="00300257">
              <w:rPr>
                <w:sz w:val="20"/>
              </w:rPr>
              <w:t xml:space="preserve">nvoices, Default Uplift </w:t>
            </w:r>
            <w:r>
              <w:rPr>
                <w:sz w:val="20"/>
              </w:rPr>
              <w:t>I</w:t>
            </w:r>
            <w:r w:rsidRPr="00300257">
              <w:rPr>
                <w:sz w:val="20"/>
              </w:rPr>
              <w:t>nvoices</w:t>
            </w:r>
            <w:r w:rsidR="00002A11">
              <w:rPr>
                <w:sz w:val="20"/>
              </w:rPr>
              <w:t xml:space="preserve">, </w:t>
            </w:r>
            <w:r w:rsidR="00002A11" w:rsidRPr="00C31D74">
              <w:rPr>
                <w:sz w:val="20"/>
              </w:rPr>
              <w:t>Securitization Uplift Charge Reallocation Invoices</w:t>
            </w:r>
            <w:r w:rsidR="00002A11">
              <w:rPr>
                <w:sz w:val="20"/>
              </w:rPr>
              <w:t>,</w:t>
            </w:r>
            <w:r w:rsidRPr="00300257">
              <w:rPr>
                <w:sz w:val="20"/>
              </w:rPr>
              <w:t xml:space="preserve">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01F909CE" w14:textId="46A4BD05" w:rsidR="00DF0271" w:rsidRPr="005078C5" w:rsidRDefault="00DF0271" w:rsidP="0031595F">
            <w:pPr>
              <w:pStyle w:val="TableBody"/>
              <w:tabs>
                <w:tab w:val="right" w:pos="9360"/>
              </w:tabs>
              <w:ind w:left="1962" w:hanging="1440"/>
            </w:pPr>
            <w:r w:rsidRPr="00D43459">
              <w:t>UDAA</w:t>
            </w:r>
            <w:r>
              <w:t xml:space="preserve"> </w:t>
            </w:r>
            <w:r w:rsidRPr="00545E0B">
              <w:rPr>
                <w:i/>
                <w:vertAlign w:val="subscript"/>
              </w:rPr>
              <w:t>q</w:t>
            </w:r>
            <w:r w:rsidRPr="00D43459">
              <w:t xml:space="preserve"> </w:t>
            </w:r>
            <w:r>
              <w:t>=</w:t>
            </w:r>
            <w:r>
              <w:tab/>
            </w:r>
            <w:r w:rsidRPr="00D43459">
              <w:rPr>
                <w:i/>
              </w:rPr>
              <w:t>Unbilled Day-Ahead Amounts</w:t>
            </w:r>
            <w:r>
              <w:rPr>
                <w:i/>
              </w:rPr>
              <w:t xml:space="preserve"> for all the QSEs represented by the Counter-Party </w:t>
            </w:r>
            <w:r w:rsidRPr="00D43459">
              <w:t xml:space="preserve">– </w:t>
            </w:r>
            <w:r w:rsidRPr="00AE7F00">
              <w:t>Sum of DAL</w:t>
            </w:r>
            <w:r>
              <w:t xml:space="preserve"> for all the QSEs represented by the Counter-Party </w:t>
            </w:r>
            <w:r w:rsidRPr="00AE7F00">
              <w:t xml:space="preserve">for all Operating Days for which </w:t>
            </w:r>
            <w:r>
              <w:t xml:space="preserve">a </w:t>
            </w:r>
            <w:r w:rsidRPr="00AE7F00">
              <w:t xml:space="preserve">DAM Statement is not </w:t>
            </w:r>
            <w:r w:rsidRPr="00D43459">
              <w:t>generated.</w:t>
            </w:r>
          </w:p>
          <w:p w14:paraId="49F9D6A3" w14:textId="77777777" w:rsidR="00DF0271" w:rsidRDefault="00DF0271" w:rsidP="0031595F">
            <w:pPr>
              <w:pStyle w:val="TableBody"/>
              <w:tabs>
                <w:tab w:val="right" w:pos="9360"/>
              </w:tabs>
              <w:ind w:left="1962" w:hanging="1440"/>
            </w:pPr>
            <w:r w:rsidRPr="005078C5">
              <w:t>UFA</w:t>
            </w:r>
            <w:r>
              <w:t xml:space="preserve"> </w:t>
            </w:r>
            <w:r w:rsidRPr="00545E0B">
              <w:rPr>
                <w:i/>
                <w:vertAlign w:val="subscript"/>
              </w:rPr>
              <w:t>q</w:t>
            </w:r>
            <w:r w:rsidRPr="005078C5">
              <w:t xml:space="preserve"> </w:t>
            </w:r>
            <w:r>
              <w:t>=</w:t>
            </w:r>
            <w:r>
              <w:tab/>
            </w:r>
            <w:r w:rsidRPr="00300257">
              <w:rPr>
                <w:i/>
              </w:rPr>
              <w:t>Unbilled Final Amounts</w:t>
            </w:r>
            <w:r>
              <w:rPr>
                <w:i/>
              </w:rPr>
              <w:t xml:space="preserve"> for all the QSEs represented by the Counter-Party</w:t>
            </w:r>
            <w:r w:rsidRPr="00F37A27">
              <w:t xml:space="preserve"> – </w:t>
            </w:r>
            <w:r>
              <w:t>U</w:t>
            </w:r>
            <w:r w:rsidRPr="00C7221C">
              <w:t>nbilled final ex</w:t>
            </w:r>
            <w:r>
              <w:t>t</w:t>
            </w:r>
            <w:r w:rsidRPr="00C7221C">
              <w:t>rapolated days (</w:t>
            </w:r>
            <w:r w:rsidRPr="00C7221C">
              <w:rPr>
                <w:i/>
              </w:rPr>
              <w:t>ufd)</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10AC0AE7" w14:textId="42799CFC" w:rsidR="00DF0271" w:rsidRPr="005548A2" w:rsidRDefault="00DF0271" w:rsidP="0031595F">
            <w:pPr>
              <w:pStyle w:val="TableBody"/>
              <w:tabs>
                <w:tab w:val="right" w:pos="9360"/>
              </w:tabs>
              <w:ind w:left="1962" w:hanging="1440"/>
            </w:pPr>
            <w:r w:rsidRPr="005548A2">
              <w:t xml:space="preserve">UTA </w:t>
            </w:r>
            <w:r w:rsidRPr="005548A2">
              <w:rPr>
                <w:i/>
                <w:vertAlign w:val="subscript"/>
              </w:rPr>
              <w:t>q</w:t>
            </w:r>
            <w:r w:rsidRPr="005548A2">
              <w:t xml:space="preserve"> =</w:t>
            </w:r>
            <w:r w:rsidRPr="005548A2">
              <w:tab/>
            </w:r>
            <w:r w:rsidRPr="005548A2">
              <w:rPr>
                <w:i/>
              </w:rPr>
              <w:t>Unbilled True-Up Amounts for all the QSEs represented by the Counter-Party</w:t>
            </w:r>
            <w:r w:rsidRPr="005548A2">
              <w:t xml:space="preserve"> –</w:t>
            </w:r>
            <w:r w:rsidR="00C5441E">
              <w:t xml:space="preserve"> </w:t>
            </w:r>
            <w:r w:rsidRPr="005548A2">
              <w:t>Unbilled true-up extrapolated days (</w:t>
            </w:r>
            <w:r w:rsidRPr="005548A2">
              <w:rPr>
                <w:i/>
              </w:rPr>
              <w:t>utd)</w:t>
            </w:r>
            <w:r w:rsidRPr="005548A2">
              <w:t xml:space="preserve"> multiplied by the sum of the net amount due to or from ERCOT by the Counter-Party for all the QSEs represented by the Counter-Party for Operating Days for which RTM True-</w:t>
            </w:r>
            <w:r w:rsidR="002C3748">
              <w:t>U</w:t>
            </w:r>
            <w:r w:rsidRPr="005548A2">
              <w:t>p Statements were generated in the 21 most recent calendar days, divided by the number of Operating Days for which RTM True-</w:t>
            </w:r>
            <w:r w:rsidR="002C3748">
              <w:t>U</w:t>
            </w:r>
            <w:r w:rsidRPr="005548A2">
              <w:t xml:space="preserve">p Settlement Statements were generated for the Counter-Party in the 21 most recent calendar days.  </w:t>
            </w:r>
          </w:p>
          <w:p w14:paraId="332B08AD" w14:textId="39679267" w:rsidR="00DF0271" w:rsidRPr="00BE4766" w:rsidRDefault="00DF0271" w:rsidP="0058051D">
            <w:pPr>
              <w:spacing w:after="120"/>
              <w:ind w:left="1962" w:hanging="1440"/>
              <w:rPr>
                <w:noProof/>
              </w:rPr>
            </w:pPr>
            <w:r w:rsidRPr="005548A2">
              <w:rPr>
                <w:sz w:val="20"/>
              </w:rPr>
              <w:lastRenderedPageBreak/>
              <w:t>CARD =</w:t>
            </w:r>
            <w:r w:rsidRPr="005548A2">
              <w:rPr>
                <w:sz w:val="20"/>
              </w:rPr>
              <w:tab/>
            </w:r>
            <w:r w:rsidRPr="005548A2">
              <w:rPr>
                <w:i/>
                <w:sz w:val="20"/>
              </w:rPr>
              <w:t>CRR Auction Revenue Distribution for all the QSEs represented by the Counter-Party</w:t>
            </w:r>
            <w:r w:rsidRPr="005548A2">
              <w:rPr>
                <w:sz w:val="20"/>
              </w:rPr>
              <w:t xml:space="preserve"> –</w:t>
            </w:r>
            <w:r w:rsidR="002C3748">
              <w:rPr>
                <w:sz w:val="20"/>
              </w:rPr>
              <w:t xml:space="preserve"> </w:t>
            </w:r>
            <w:r w:rsidRPr="005548A2">
              <w:rPr>
                <w:sz w:val="20"/>
              </w:rPr>
              <w:t xml:space="preserve">Estimate of the Counter-Party’s unpaid allocation of CRR Auction revenues that have already been collected but have not been paid out to all QSEs represented by the Counter-Party. </w:t>
            </w:r>
            <w:r w:rsidR="002C3748">
              <w:rPr>
                <w:sz w:val="20"/>
              </w:rPr>
              <w:t xml:space="preserve"> </w:t>
            </w:r>
            <w:r w:rsidRPr="005548A2">
              <w:rPr>
                <w:sz w:val="20"/>
              </w:rPr>
              <w:t>CRR Auction revenues that have been earned but not billed are distributed based on the following Load Ratio Shares (LRS</w:t>
            </w:r>
            <w:r w:rsidR="0058051D">
              <w:rPr>
                <w:sz w:val="20"/>
              </w:rPr>
              <w:t>s</w:t>
            </w:r>
            <w:r w:rsidRPr="005548A2">
              <w:rPr>
                <w:sz w:val="20"/>
              </w:rPr>
              <w:t>):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p>
        </w:tc>
      </w:tr>
      <w:tr w:rsidR="00DF0271" w:rsidRPr="003D0DC1" w14:paraId="2BF5AEF0" w14:textId="77777777" w:rsidTr="0031595F">
        <w:trPr>
          <w:trHeight w:val="350"/>
        </w:trPr>
        <w:tc>
          <w:tcPr>
            <w:tcW w:w="1503" w:type="dxa"/>
          </w:tcPr>
          <w:p w14:paraId="1FB7B120" w14:textId="77777777" w:rsidR="00DF0271" w:rsidRPr="00BE4766" w:rsidRDefault="00DF0271" w:rsidP="0031595F">
            <w:pPr>
              <w:pStyle w:val="TableBody"/>
              <w:tabs>
                <w:tab w:val="right" w:pos="9360"/>
              </w:tabs>
            </w:pPr>
            <w:r w:rsidRPr="00545E0B">
              <w:lastRenderedPageBreak/>
              <w:t>DAL</w:t>
            </w:r>
          </w:p>
        </w:tc>
        <w:tc>
          <w:tcPr>
            <w:tcW w:w="886" w:type="dxa"/>
          </w:tcPr>
          <w:p w14:paraId="6512DE28" w14:textId="77777777" w:rsidR="00DF0271" w:rsidRPr="00BE4766" w:rsidRDefault="00DF0271" w:rsidP="0031595F">
            <w:pPr>
              <w:pStyle w:val="TableBody"/>
              <w:tabs>
                <w:tab w:val="right" w:pos="9360"/>
              </w:tabs>
            </w:pPr>
            <w:r w:rsidRPr="00545E0B">
              <w:t>$</w:t>
            </w:r>
          </w:p>
        </w:tc>
        <w:tc>
          <w:tcPr>
            <w:tcW w:w="6701" w:type="dxa"/>
          </w:tcPr>
          <w:p w14:paraId="1FE193F4" w14:textId="77777777" w:rsidR="00DF0271" w:rsidRPr="004F71C8" w:rsidRDefault="00DF0271" w:rsidP="0031595F">
            <w:pPr>
              <w:pStyle w:val="H8"/>
              <w:keepNext w:val="0"/>
              <w:tabs>
                <w:tab w:val="clear" w:pos="2160"/>
                <w:tab w:val="right" w:pos="9360"/>
              </w:tabs>
              <w:spacing w:before="0" w:after="60"/>
              <w:ind w:left="0" w:firstLine="0"/>
              <w:rPr>
                <w:b w:val="0"/>
                <w:i/>
                <w:sz w:val="20"/>
                <w:szCs w:val="20"/>
              </w:rPr>
            </w:pPr>
            <w:r w:rsidRPr="00545E0B">
              <w:rPr>
                <w:b w:val="0"/>
                <w:i/>
                <w:iCs w:val="0"/>
                <w:sz w:val="20"/>
                <w:szCs w:val="20"/>
              </w:rPr>
              <w:t>Day-Ahead Liability</w:t>
            </w:r>
            <w:r w:rsidRPr="00545E0B">
              <w:rPr>
                <w:b w:val="0"/>
                <w:iCs w:val="0"/>
                <w:sz w:val="20"/>
                <w:szCs w:val="20"/>
              </w:rPr>
              <w:t xml:space="preserve">—The estimated or settled amounts due </w:t>
            </w:r>
            <w:r>
              <w:rPr>
                <w:b w:val="0"/>
                <w:iCs w:val="0"/>
                <w:sz w:val="20"/>
                <w:szCs w:val="20"/>
              </w:rPr>
              <w:t>to or from</w:t>
            </w:r>
            <w:r w:rsidRPr="00545E0B">
              <w:rPr>
                <w:b w:val="0"/>
                <w:iCs w:val="0"/>
                <w:sz w:val="20"/>
                <w:szCs w:val="20"/>
              </w:rPr>
              <w:t xml:space="preserve"> ERCOT due to activities in the DAM for an Operating Day, as defined in </w:t>
            </w:r>
            <w:r>
              <w:rPr>
                <w:b w:val="0"/>
                <w:iCs w:val="0"/>
                <w:sz w:val="20"/>
                <w:szCs w:val="20"/>
              </w:rPr>
              <w:t>S</w:t>
            </w:r>
            <w:r w:rsidRPr="00545E0B">
              <w:rPr>
                <w:b w:val="0"/>
                <w:iCs w:val="0"/>
                <w:sz w:val="20"/>
                <w:szCs w:val="20"/>
              </w:rPr>
              <w:t>ection 16.11.4.3.1</w:t>
            </w:r>
            <w:r>
              <w:rPr>
                <w:b w:val="0"/>
                <w:iCs w:val="0"/>
                <w:sz w:val="20"/>
                <w:szCs w:val="20"/>
              </w:rPr>
              <w:t xml:space="preserve">, </w:t>
            </w:r>
            <w:r w:rsidRPr="000619D0">
              <w:rPr>
                <w:b w:val="0"/>
                <w:iCs w:val="0"/>
                <w:sz w:val="20"/>
                <w:szCs w:val="20"/>
              </w:rPr>
              <w:t>Day-Ahead Liability Estimate</w:t>
            </w:r>
            <w:r w:rsidRPr="00DB2C96">
              <w:rPr>
                <w:b w:val="0"/>
                <w:iCs w:val="0"/>
                <w:sz w:val="20"/>
                <w:szCs w:val="20"/>
              </w:rPr>
              <w:t xml:space="preserve">. </w:t>
            </w:r>
          </w:p>
        </w:tc>
      </w:tr>
      <w:tr w:rsidR="00DF0271" w:rsidRPr="003D0DC1" w14:paraId="55806A34" w14:textId="77777777" w:rsidTr="0031595F">
        <w:trPr>
          <w:trHeight w:val="350"/>
        </w:trPr>
        <w:tc>
          <w:tcPr>
            <w:tcW w:w="1503" w:type="dxa"/>
          </w:tcPr>
          <w:p w14:paraId="0B4508FA" w14:textId="77777777" w:rsidR="00DF0271" w:rsidRPr="0012579B" w:rsidRDefault="00DF0271" w:rsidP="0031595F">
            <w:pPr>
              <w:pStyle w:val="TableBody"/>
              <w:tabs>
                <w:tab w:val="right" w:pos="9360"/>
              </w:tabs>
            </w:pPr>
            <w:r w:rsidRPr="00BE4766">
              <w:t>OUT</w:t>
            </w:r>
            <w:r>
              <w:t xml:space="preserve"> </w:t>
            </w:r>
            <w:r>
              <w:rPr>
                <w:i/>
                <w:vertAlign w:val="subscript"/>
              </w:rPr>
              <w:t>t</w:t>
            </w:r>
          </w:p>
        </w:tc>
        <w:tc>
          <w:tcPr>
            <w:tcW w:w="886" w:type="dxa"/>
          </w:tcPr>
          <w:p w14:paraId="727625D9" w14:textId="77777777" w:rsidR="00DF0271" w:rsidRPr="0012579B" w:rsidRDefault="00DF0271" w:rsidP="0031595F">
            <w:pPr>
              <w:pStyle w:val="TableBody"/>
              <w:tabs>
                <w:tab w:val="right" w:pos="9360"/>
              </w:tabs>
            </w:pPr>
            <w:r w:rsidRPr="00BE4766">
              <w:t>$</w:t>
            </w:r>
          </w:p>
        </w:tc>
        <w:tc>
          <w:tcPr>
            <w:tcW w:w="6701" w:type="dxa"/>
          </w:tcPr>
          <w:p w14:paraId="3996FD87" w14:textId="77777777" w:rsidR="00DF0271" w:rsidRPr="0085021C" w:rsidRDefault="00DF0271" w:rsidP="0031595F">
            <w:pPr>
              <w:pStyle w:val="H8"/>
              <w:keepNext w:val="0"/>
              <w:tabs>
                <w:tab w:val="clear" w:pos="2160"/>
                <w:tab w:val="right" w:pos="9360"/>
              </w:tabs>
              <w:spacing w:before="0" w:after="60"/>
              <w:ind w:left="0" w:firstLine="0"/>
              <w:rPr>
                <w:b w:val="0"/>
                <w:sz w:val="20"/>
                <w:szCs w:val="20"/>
              </w:rPr>
            </w:pPr>
            <w:r w:rsidRPr="0085021C">
              <w:rPr>
                <w:b w:val="0"/>
                <w:i/>
                <w:sz w:val="20"/>
                <w:szCs w:val="20"/>
              </w:rPr>
              <w:t>Outstanding Unpaid Transactions</w:t>
            </w:r>
            <w:r w:rsidRPr="0085021C">
              <w:rPr>
                <w:b w:val="0"/>
                <w:sz w:val="20"/>
                <w:szCs w:val="20"/>
              </w:rPr>
              <w:t>—Outstanding unpaid transactions for all QSEs represented by the Counter-Party</w:t>
            </w:r>
            <w:r w:rsidRPr="00DB2C96">
              <w:rPr>
                <w:b w:val="0"/>
                <w:sz w:val="20"/>
                <w:szCs w:val="20"/>
              </w:rPr>
              <w:t xml:space="preserve"> if none of the QSEs represented by the Counter-Party represent either Load or generation</w:t>
            </w:r>
            <w:r w:rsidRPr="0085021C">
              <w:rPr>
                <w:b w:val="0"/>
                <w:sz w:val="20"/>
                <w:szCs w:val="20"/>
              </w:rPr>
              <w:t>, which include (a) outstanding Invoices to the Counter-Party; (b) estimated unbilled items to the Counter-Party, to the extent not adequately accommodated in the RTLE calculation (including resettlemen</w:t>
            </w:r>
            <w:r>
              <w:rPr>
                <w:b w:val="0"/>
                <w:sz w:val="20"/>
                <w:szCs w:val="20"/>
              </w:rPr>
              <w:t>ts and other known liabilities)</w:t>
            </w:r>
            <w:r w:rsidRPr="0085021C">
              <w:rPr>
                <w:b w:val="0"/>
                <w:sz w:val="20"/>
                <w:szCs w:val="20"/>
              </w:rPr>
              <w:t>.</w:t>
            </w:r>
          </w:p>
          <w:p w14:paraId="7088FC15" w14:textId="77777777" w:rsidR="00DF0271" w:rsidRDefault="00DF0271" w:rsidP="0031595F">
            <w:pPr>
              <w:pStyle w:val="TableBody"/>
              <w:tabs>
                <w:tab w:val="right" w:pos="9360"/>
              </w:tabs>
            </w:pPr>
          </w:p>
          <w:p w14:paraId="523B9BE0" w14:textId="77777777" w:rsidR="00DF0271" w:rsidRPr="00142152" w:rsidRDefault="00DF0271" w:rsidP="0031595F">
            <w:pPr>
              <w:pStyle w:val="TableBody"/>
              <w:tabs>
                <w:tab w:val="right" w:pos="9360"/>
              </w:tabs>
              <w:ind w:left="522"/>
            </w:pPr>
            <w:r w:rsidRPr="00142152">
              <w:t xml:space="preserve">OUT </w:t>
            </w:r>
            <w:r w:rsidRPr="00142152">
              <w:rPr>
                <w:i/>
                <w:vertAlign w:val="subscript"/>
              </w:rPr>
              <w:t>t</w:t>
            </w:r>
            <w:r w:rsidRPr="00142152">
              <w:t xml:space="preserve"> = OIA </w:t>
            </w:r>
            <w:r w:rsidRPr="00142152">
              <w:rPr>
                <w:i/>
                <w:vertAlign w:val="subscript"/>
              </w:rPr>
              <w:t>t</w:t>
            </w:r>
            <w:r w:rsidRPr="00142152">
              <w:t xml:space="preserve"> + UDAA </w:t>
            </w:r>
            <w:r w:rsidRPr="00142152">
              <w:rPr>
                <w:i/>
                <w:vertAlign w:val="subscript"/>
              </w:rPr>
              <w:t>t</w:t>
            </w:r>
            <w:r w:rsidRPr="00142152">
              <w:t xml:space="preserve"> + UFA </w:t>
            </w:r>
            <w:r w:rsidRPr="00142152">
              <w:rPr>
                <w:i/>
                <w:vertAlign w:val="subscript"/>
              </w:rPr>
              <w:t>t</w:t>
            </w:r>
            <w:r w:rsidRPr="00142152">
              <w:t xml:space="preserve"> + UTA </w:t>
            </w:r>
            <w:r w:rsidRPr="00142152">
              <w:rPr>
                <w:i/>
                <w:vertAlign w:val="subscript"/>
              </w:rPr>
              <w:t>t</w:t>
            </w:r>
          </w:p>
          <w:p w14:paraId="53D7D018" w14:textId="77777777" w:rsidR="00DF0271" w:rsidRPr="00142152" w:rsidRDefault="00DF0271" w:rsidP="0031595F">
            <w:pPr>
              <w:pStyle w:val="TableBody"/>
              <w:tabs>
                <w:tab w:val="right" w:pos="9360"/>
              </w:tabs>
            </w:pPr>
          </w:p>
          <w:p w14:paraId="1956FBE4" w14:textId="77777777" w:rsidR="00DF0271" w:rsidRDefault="00DF0271" w:rsidP="0031595F">
            <w:pPr>
              <w:pStyle w:val="TableBody"/>
              <w:tabs>
                <w:tab w:val="right" w:pos="9360"/>
              </w:tabs>
            </w:pPr>
            <w:r>
              <w:t>Where:</w:t>
            </w:r>
          </w:p>
          <w:p w14:paraId="390A2522" w14:textId="77777777" w:rsidR="00DF0271" w:rsidRPr="00C21ED2" w:rsidRDefault="00DF0271" w:rsidP="0031595F">
            <w:pPr>
              <w:pStyle w:val="TableBody"/>
              <w:tabs>
                <w:tab w:val="right" w:pos="9360"/>
              </w:tabs>
              <w:spacing w:after="0"/>
            </w:pPr>
          </w:p>
          <w:p w14:paraId="553F51E2" w14:textId="77777777" w:rsidR="00DF0271" w:rsidRPr="00300257" w:rsidRDefault="00DF0271" w:rsidP="0031595F">
            <w:pPr>
              <w:spacing w:after="60"/>
              <w:ind w:left="1958" w:hanging="1440"/>
              <w:rPr>
                <w:sz w:val="20"/>
              </w:rPr>
            </w:pPr>
            <w:r w:rsidRPr="00300257">
              <w:rPr>
                <w:sz w:val="20"/>
              </w:rPr>
              <w:t>OIA</w:t>
            </w:r>
            <w:r>
              <w:t xml:space="preserve"> </w:t>
            </w:r>
            <w:r>
              <w:rPr>
                <w:i/>
                <w:vertAlign w:val="subscript"/>
              </w:rPr>
              <w:t>t</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 </w:t>
            </w:r>
            <w:r w:rsidRPr="00545E0B">
              <w:rPr>
                <w:i/>
                <w:sz w:val="20"/>
              </w:rPr>
              <w:t>if none of the QSEs represented by the Counter-Party represent either Load or generation</w:t>
            </w:r>
            <w:r>
              <w:rPr>
                <w:sz w:val="20"/>
              </w:rPr>
              <w:t xml:space="preserve"> </w:t>
            </w:r>
            <w:r w:rsidRPr="00300257">
              <w:rPr>
                <w:sz w:val="20"/>
              </w:rPr>
              <w:t xml:space="preserve">– Sum of any outstanding Real-Time and Day-Ahead unpaid </w:t>
            </w:r>
            <w:r>
              <w:rPr>
                <w:sz w:val="20"/>
              </w:rPr>
              <w:t>I</w:t>
            </w:r>
            <w:r w:rsidRPr="00300257">
              <w:rPr>
                <w:sz w:val="20"/>
              </w:rPr>
              <w:t>nvoices issued to the Counter-Party</w:t>
            </w:r>
            <w:r>
              <w:rPr>
                <w:sz w:val="20"/>
              </w:rPr>
              <w:t xml:space="preserve">, </w:t>
            </w:r>
            <w:r w:rsidRPr="00300257">
              <w:rPr>
                <w:sz w:val="20"/>
              </w:rPr>
              <w:t xml:space="preserve">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invoices due to the Counter-Party that have been short-paid as a result of a Default or non-payment of invoices due to ERCOT by another Counter-Party.</w:t>
            </w:r>
          </w:p>
          <w:p w14:paraId="79351E58" w14:textId="556840AC" w:rsidR="00DF0271" w:rsidRPr="005078C5" w:rsidRDefault="00DF0271" w:rsidP="0031595F">
            <w:pPr>
              <w:pStyle w:val="TableBody"/>
              <w:tabs>
                <w:tab w:val="right" w:pos="9360"/>
              </w:tabs>
              <w:ind w:left="1962" w:hanging="1440"/>
            </w:pPr>
            <w:r w:rsidRPr="00D43459">
              <w:t>UDAA</w:t>
            </w:r>
            <w:r>
              <w:t xml:space="preserve"> </w:t>
            </w:r>
            <w:r>
              <w:rPr>
                <w:i/>
                <w:vertAlign w:val="subscript"/>
              </w:rPr>
              <w:t>t</w:t>
            </w:r>
            <w:r w:rsidRPr="00D43459">
              <w:t xml:space="preserve"> </w:t>
            </w:r>
            <w:r>
              <w:t>=</w:t>
            </w:r>
            <w:r>
              <w:tab/>
            </w:r>
            <w:r w:rsidRPr="00D43459">
              <w:rPr>
                <w:i/>
              </w:rPr>
              <w:t>Unbilled Day-Ahead Amounts</w:t>
            </w:r>
            <w:r>
              <w:rPr>
                <w:i/>
              </w:rPr>
              <w:t xml:space="preserve"> for all the QSEs represented by the Counter-Party </w:t>
            </w:r>
            <w:r w:rsidRPr="0085021C">
              <w:rPr>
                <w:i/>
              </w:rPr>
              <w:t>if none of the QSEs represented by the Counter-Party represent either Load or generation</w:t>
            </w:r>
            <w:r>
              <w:rPr>
                <w:i/>
              </w:rPr>
              <w:t xml:space="preserve"> </w:t>
            </w:r>
            <w:r w:rsidRPr="00D43459">
              <w:t xml:space="preserve">– </w:t>
            </w:r>
            <w:r w:rsidRPr="00AE7F00">
              <w:t>Sum of DAL</w:t>
            </w:r>
            <w:r>
              <w:t xml:space="preserve"> for all the QSEs represented by the Counter-Party </w:t>
            </w:r>
            <w:r w:rsidRPr="00AE7F00">
              <w:t xml:space="preserve">for all Operating Days for which DAM Statement is not </w:t>
            </w:r>
            <w:r w:rsidRPr="00D43459">
              <w:t>generated.</w:t>
            </w:r>
          </w:p>
          <w:p w14:paraId="05DA0E9B" w14:textId="77777777" w:rsidR="00DF0271" w:rsidRDefault="00DF0271" w:rsidP="0031595F">
            <w:pPr>
              <w:pStyle w:val="TableBody"/>
              <w:tabs>
                <w:tab w:val="right" w:pos="9360"/>
              </w:tabs>
              <w:ind w:left="1962" w:hanging="1440"/>
            </w:pPr>
            <w:r w:rsidRPr="005078C5">
              <w:t>UFA</w:t>
            </w:r>
            <w:r>
              <w:t xml:space="preserve"> </w:t>
            </w:r>
            <w:r>
              <w:rPr>
                <w:i/>
                <w:vertAlign w:val="subscript"/>
              </w:rPr>
              <w:t>t</w:t>
            </w:r>
            <w:r w:rsidRPr="005078C5">
              <w:t xml:space="preserve"> </w:t>
            </w:r>
            <w:r>
              <w:t>=</w:t>
            </w:r>
            <w:r>
              <w:tab/>
            </w:r>
            <w:r w:rsidRPr="00300257">
              <w:rPr>
                <w:i/>
              </w:rPr>
              <w:t>Unbilled Final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r w:rsidRPr="00300257">
              <w:rPr>
                <w:i/>
              </w:rPr>
              <w:t>ufd</w:t>
            </w:r>
            <w:r w:rsidRPr="00BE4766">
              <w:t xml:space="preserve"> multiplied by the sum of the net amount due </w:t>
            </w:r>
            <w:r>
              <w:t xml:space="preserve">to or </w:t>
            </w:r>
            <w:r w:rsidRPr="00BE4766">
              <w:t xml:space="preserve">from ERCOT </w:t>
            </w:r>
            <w:r>
              <w:t xml:space="preserve">for all QSEs represented </w:t>
            </w:r>
            <w:r w:rsidRPr="00BE4766">
              <w:t>by the Counter-</w:t>
            </w:r>
            <w:r w:rsidRPr="00BE4766">
              <w:lastRenderedPageBreak/>
              <w:t xml:space="preserve">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196F14DF" w14:textId="5FA4B36B" w:rsidR="00DF0271" w:rsidRPr="0012579B" w:rsidRDefault="00DF0271" w:rsidP="0031595F">
            <w:pPr>
              <w:pStyle w:val="TableBody"/>
              <w:tabs>
                <w:tab w:val="right" w:pos="9360"/>
              </w:tabs>
              <w:ind w:left="1962" w:hanging="1440"/>
              <w:rPr>
                <w:i/>
                <w:iCs w:val="0"/>
              </w:rPr>
            </w:pPr>
            <w:r w:rsidRPr="00F37A27">
              <w:t>UTA</w:t>
            </w:r>
            <w:r>
              <w:t xml:space="preserve"> </w:t>
            </w:r>
            <w:r>
              <w:rPr>
                <w:i/>
                <w:vertAlign w:val="subscript"/>
              </w:rPr>
              <w:t>t</w:t>
            </w:r>
            <w:r w:rsidRPr="00F37A27">
              <w:t xml:space="preserve"> </w:t>
            </w:r>
            <w:r>
              <w:t>=</w:t>
            </w:r>
            <w:r>
              <w:tab/>
            </w:r>
            <w:r w:rsidRPr="00300257">
              <w:rPr>
                <w:i/>
              </w:rPr>
              <w:t>Unbilled True-Up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r w:rsidRPr="00300257">
              <w:rPr>
                <w:i/>
              </w:rPr>
              <w:t>u</w:t>
            </w:r>
            <w:r>
              <w:rPr>
                <w:i/>
              </w:rPr>
              <w:t>t</w:t>
            </w:r>
            <w:r w:rsidRPr="00300257">
              <w:rPr>
                <w:i/>
              </w:rPr>
              <w:t>d</w:t>
            </w:r>
            <w:r w:rsidRPr="00BE4766">
              <w:t xml:space="preserve"> multiplied by the sum of the net amount due </w:t>
            </w:r>
            <w:r>
              <w:t xml:space="preserve">to or </w:t>
            </w:r>
            <w:r w:rsidRPr="00BE4766">
              <w:t>from</w:t>
            </w:r>
            <w:r>
              <w:t xml:space="preserve"> </w:t>
            </w:r>
            <w:r w:rsidRPr="00BE4766">
              <w:t xml:space="preserve">ERCOT by the Counter-Party </w:t>
            </w:r>
            <w:r w:rsidRPr="009648F5">
              <w:t>for all the QSEs represented by the Counter-Party</w:t>
            </w:r>
            <w:r>
              <w:t xml:space="preserve"> for Operating Days for which</w:t>
            </w:r>
            <w:r w:rsidRPr="00BE4766">
              <w:t xml:space="preserve"> </w:t>
            </w:r>
            <w:r>
              <w:t>RTM</w:t>
            </w:r>
            <w:r w:rsidRPr="00BE4766">
              <w:t xml:space="preserve"> </w:t>
            </w:r>
            <w:r>
              <w:t>True-</w:t>
            </w:r>
            <w:r w:rsidR="002C3748">
              <w:t>U</w:t>
            </w:r>
            <w:r>
              <w:t>p</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True-</w:t>
            </w:r>
            <w:r w:rsidR="002C3748">
              <w:t>U</w:t>
            </w:r>
            <w:r>
              <w:t>p</w:t>
            </w:r>
            <w:r w:rsidRPr="00BE4766">
              <w:t xml:space="preserve"> Settlement Statements </w:t>
            </w:r>
            <w:r>
              <w:t xml:space="preserve">were </w:t>
            </w:r>
            <w:r w:rsidRPr="00BE4766">
              <w:t xml:space="preserve">generated for the Counter-Party in the </w:t>
            </w:r>
            <w:r>
              <w:t>21</w:t>
            </w:r>
            <w:r w:rsidRPr="00BE4766">
              <w:t xml:space="preserve"> most recent c</w:t>
            </w:r>
            <w:r>
              <w:t>alendar days</w:t>
            </w:r>
            <w:r w:rsidRPr="00F37A27">
              <w:t xml:space="preserve">.  </w:t>
            </w:r>
          </w:p>
        </w:tc>
      </w:tr>
      <w:tr w:rsidR="00DF0271" w:rsidRPr="003D0DC1" w14:paraId="5ECCD1E0" w14:textId="77777777" w:rsidTr="0031595F">
        <w:trPr>
          <w:trHeight w:val="350"/>
        </w:trPr>
        <w:tc>
          <w:tcPr>
            <w:tcW w:w="1503" w:type="dxa"/>
          </w:tcPr>
          <w:p w14:paraId="3A7739C3" w14:textId="77777777" w:rsidR="00DF0271" w:rsidRPr="004F71C8" w:rsidRDefault="00DF0271" w:rsidP="0031595F">
            <w:pPr>
              <w:pStyle w:val="TableBody"/>
              <w:tabs>
                <w:tab w:val="right" w:pos="9360"/>
              </w:tabs>
            </w:pPr>
            <w:r w:rsidRPr="00BE4766">
              <w:lastRenderedPageBreak/>
              <w:t>OUT</w:t>
            </w:r>
            <w:r>
              <w:t xml:space="preserve"> </w:t>
            </w:r>
            <w:r w:rsidRPr="00545E0B">
              <w:rPr>
                <w:i/>
                <w:vertAlign w:val="subscript"/>
              </w:rPr>
              <w:t>a</w:t>
            </w:r>
          </w:p>
        </w:tc>
        <w:tc>
          <w:tcPr>
            <w:tcW w:w="886" w:type="dxa"/>
          </w:tcPr>
          <w:p w14:paraId="0AEFC4C3" w14:textId="77777777" w:rsidR="00DF0271" w:rsidRPr="004F71C8" w:rsidRDefault="00DF0271" w:rsidP="0031595F">
            <w:pPr>
              <w:pStyle w:val="TableBody"/>
              <w:tabs>
                <w:tab w:val="right" w:pos="9360"/>
              </w:tabs>
            </w:pPr>
            <w:r w:rsidRPr="00BE4766">
              <w:t>$</w:t>
            </w:r>
          </w:p>
        </w:tc>
        <w:tc>
          <w:tcPr>
            <w:tcW w:w="6701" w:type="dxa"/>
          </w:tcPr>
          <w:p w14:paraId="2B5C14EE" w14:textId="77777777" w:rsidR="00DF0271" w:rsidRDefault="00DF0271" w:rsidP="0031595F">
            <w:pPr>
              <w:pStyle w:val="TableBody"/>
              <w:tabs>
                <w:tab w:val="right" w:pos="9360"/>
              </w:tabs>
            </w:pPr>
            <w:r w:rsidRPr="00BE4766">
              <w:rPr>
                <w:i/>
              </w:rPr>
              <w:t>Outstanding Unpaid Transactions</w:t>
            </w:r>
            <w:r>
              <w:rPr>
                <w:i/>
              </w:rPr>
              <w:t xml:space="preserve"> for all CRR Account Holders represented by the Counter-Party</w:t>
            </w:r>
            <w:r w:rsidRPr="00BE4766">
              <w:t xml:space="preserve">—Outstanding, unpaid transactions of </w:t>
            </w:r>
            <w:r>
              <w:t xml:space="preserve">all the CRR Account Holders represented by </w:t>
            </w:r>
            <w:r w:rsidRPr="00BE4766">
              <w:t>the Counter-Party, which include outstanding Invoices to the Counter-Party</w:t>
            </w:r>
            <w:r>
              <w:t>.</w:t>
            </w:r>
            <w:r w:rsidRPr="00BE4766">
              <w:t xml:space="preserve"> </w:t>
            </w:r>
            <w:r>
              <w:t xml:space="preserve"> </w:t>
            </w:r>
            <w:r w:rsidRPr="00BE4766">
              <w:t>Invoices will not be considered outstanding for purposes of this calculation the Business Day after that Invoice payment is received.</w:t>
            </w:r>
            <w:r w:rsidRPr="00C21ED2">
              <w:t xml:space="preserve"> </w:t>
            </w:r>
          </w:p>
          <w:p w14:paraId="069BA8C2" w14:textId="77777777" w:rsidR="00DF0271" w:rsidRDefault="00DF0271" w:rsidP="0031595F">
            <w:pPr>
              <w:pStyle w:val="TableBody"/>
              <w:tabs>
                <w:tab w:val="right" w:pos="9360"/>
              </w:tabs>
            </w:pPr>
          </w:p>
          <w:p w14:paraId="1CA5DA18" w14:textId="77777777" w:rsidR="00DF0271" w:rsidRPr="00C21ED2" w:rsidRDefault="00DF0271" w:rsidP="0031595F">
            <w:pPr>
              <w:pStyle w:val="TableBody"/>
              <w:tabs>
                <w:tab w:val="right" w:pos="9360"/>
              </w:tabs>
              <w:ind w:left="522"/>
            </w:pPr>
            <w:r w:rsidRPr="00C21ED2">
              <w:t>OUT</w:t>
            </w:r>
            <w:r>
              <w:t xml:space="preserve"> </w:t>
            </w:r>
            <w:r w:rsidRPr="00545E0B">
              <w:rPr>
                <w:i/>
                <w:vertAlign w:val="subscript"/>
              </w:rPr>
              <w:t>a</w:t>
            </w:r>
            <w:r w:rsidRPr="00C21ED2">
              <w:t xml:space="preserve"> = OIA</w:t>
            </w:r>
            <w:r>
              <w:t xml:space="preserve"> </w:t>
            </w:r>
            <w:r w:rsidRPr="00545E0B">
              <w:rPr>
                <w:i/>
                <w:vertAlign w:val="subscript"/>
              </w:rPr>
              <w:t>a</w:t>
            </w:r>
            <w:r w:rsidRPr="00C21ED2">
              <w:t xml:space="preserve"> + UDAA</w:t>
            </w:r>
            <w:r>
              <w:t xml:space="preserve"> </w:t>
            </w:r>
            <w:r w:rsidRPr="00545E0B">
              <w:rPr>
                <w:i/>
                <w:vertAlign w:val="subscript"/>
              </w:rPr>
              <w:t>a</w:t>
            </w:r>
            <w:r w:rsidRPr="00C21ED2">
              <w:t xml:space="preserve"> </w:t>
            </w:r>
          </w:p>
          <w:p w14:paraId="21AC865D" w14:textId="77777777" w:rsidR="00DF0271" w:rsidRDefault="00DF0271" w:rsidP="0031595F">
            <w:pPr>
              <w:pStyle w:val="TableBody"/>
              <w:tabs>
                <w:tab w:val="right" w:pos="9360"/>
              </w:tabs>
            </w:pPr>
          </w:p>
          <w:p w14:paraId="72AB67BD" w14:textId="77777777" w:rsidR="00DF0271" w:rsidRPr="00C21ED2" w:rsidRDefault="00DF0271" w:rsidP="0031595F">
            <w:pPr>
              <w:pStyle w:val="TableBody"/>
              <w:tabs>
                <w:tab w:val="right" w:pos="9360"/>
              </w:tabs>
            </w:pPr>
            <w:r>
              <w:t>Where:</w:t>
            </w:r>
          </w:p>
          <w:p w14:paraId="34B7A237" w14:textId="77777777" w:rsidR="00DF0271" w:rsidRDefault="00DF0271" w:rsidP="0031595F">
            <w:pPr>
              <w:rPr>
                <w:sz w:val="20"/>
              </w:rPr>
            </w:pPr>
          </w:p>
          <w:p w14:paraId="03D6E8D5" w14:textId="77777777" w:rsidR="00DF0271" w:rsidRPr="00300257" w:rsidRDefault="00DF0271" w:rsidP="0031595F">
            <w:pPr>
              <w:spacing w:after="60"/>
              <w:ind w:left="1958" w:hanging="1526"/>
              <w:rPr>
                <w:sz w:val="20"/>
              </w:rPr>
            </w:pPr>
            <w:r w:rsidRPr="00300257">
              <w:rPr>
                <w:sz w:val="20"/>
              </w:rPr>
              <w:t>OIA</w:t>
            </w:r>
            <w:r>
              <w:t xml:space="preserve"> </w:t>
            </w:r>
            <w:r w:rsidRPr="00545E0B">
              <w:rPr>
                <w:i/>
                <w:vertAlign w:val="subscript"/>
              </w:rPr>
              <w:t>a</w:t>
            </w:r>
            <w:r w:rsidRPr="00300257">
              <w:rPr>
                <w:sz w:val="20"/>
              </w:rPr>
              <w:t xml:space="preserve"> </w:t>
            </w:r>
            <w:r>
              <w:rPr>
                <w:sz w:val="20"/>
              </w:rPr>
              <w:t>=</w:t>
            </w:r>
            <w:r>
              <w:rPr>
                <w:sz w:val="20"/>
              </w:rPr>
              <w:tab/>
            </w:r>
            <w:r w:rsidRPr="00300257">
              <w:rPr>
                <w:i/>
                <w:sz w:val="20"/>
              </w:rPr>
              <w:t>Outstanding Invoice Amounts</w:t>
            </w:r>
            <w:r>
              <w:rPr>
                <w:i/>
                <w:sz w:val="20"/>
              </w:rPr>
              <w:t xml:space="preserve"> for all the CRR Account Holders represented by the Counter-Party</w:t>
            </w:r>
            <w:r>
              <w:rPr>
                <w:sz w:val="20"/>
              </w:rPr>
              <w:t xml:space="preserve"> </w:t>
            </w:r>
            <w:r w:rsidRPr="00300257">
              <w:rPr>
                <w:sz w:val="20"/>
              </w:rPr>
              <w:t xml:space="preserve">– Sum of any outstanding Real-Time and Day-Ahead unpaid </w:t>
            </w:r>
            <w:r>
              <w:rPr>
                <w:sz w:val="20"/>
              </w:rPr>
              <w:t>I</w:t>
            </w:r>
            <w:r w:rsidRPr="00300257">
              <w:rPr>
                <w:sz w:val="20"/>
              </w:rPr>
              <w:t xml:space="preserve">nvoices issued to the Counter-Party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w:t>
            </w:r>
            <w:r>
              <w:rPr>
                <w:sz w:val="20"/>
              </w:rPr>
              <w:t xml:space="preserve">  Also included are the amounts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66AEE67A" w14:textId="0EE6DD63" w:rsidR="00DF0271" w:rsidRPr="004F71C8" w:rsidRDefault="00DF0271" w:rsidP="0031595F">
            <w:pPr>
              <w:pStyle w:val="TableBody"/>
              <w:tabs>
                <w:tab w:val="right" w:pos="9360"/>
              </w:tabs>
              <w:ind w:left="1962" w:hanging="1530"/>
              <w:rPr>
                <w:i/>
                <w:iCs w:val="0"/>
              </w:rPr>
            </w:pPr>
            <w:r w:rsidRPr="00D43459">
              <w:t>UDAA</w:t>
            </w:r>
            <w:r>
              <w:t xml:space="preserve"> </w:t>
            </w:r>
            <w:r w:rsidRPr="00545E0B">
              <w:rPr>
                <w:i/>
                <w:vertAlign w:val="subscript"/>
              </w:rPr>
              <w:t>a</w:t>
            </w:r>
            <w:r w:rsidRPr="00D43459">
              <w:t xml:space="preserve"> </w:t>
            </w:r>
            <w:r>
              <w:t>=</w:t>
            </w:r>
            <w:r>
              <w:tab/>
            </w:r>
            <w:r w:rsidRPr="00D43459">
              <w:rPr>
                <w:i/>
              </w:rPr>
              <w:t>Unbilled Day-Ahead Amounts</w:t>
            </w:r>
            <w:r>
              <w:rPr>
                <w:i/>
              </w:rPr>
              <w:t xml:space="preserve"> for all the CRR Account Holders represented by the Counter-Party </w:t>
            </w:r>
            <w:r w:rsidRPr="00D43459">
              <w:t xml:space="preserve">– </w:t>
            </w:r>
            <w:r w:rsidRPr="005B1A72">
              <w:t>Sum of DAL</w:t>
            </w:r>
            <w:r>
              <w:t xml:space="preserve"> of all the CRR Account Holders represented by the Counter-Party </w:t>
            </w:r>
            <w:r w:rsidRPr="005B1A72">
              <w:t xml:space="preserve">for all Operating Days for which DAM Statement is not </w:t>
            </w:r>
            <w:r w:rsidRPr="00D43459">
              <w:t>generated.</w:t>
            </w:r>
          </w:p>
        </w:tc>
      </w:tr>
      <w:tr w:rsidR="00DF0271" w:rsidRPr="007F29AF" w14:paraId="78AE1329"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29C6C5E" w14:textId="77777777" w:rsidR="00DF0271" w:rsidRPr="00BE4766" w:rsidRDefault="00DF0271" w:rsidP="0031595F">
            <w:pPr>
              <w:pStyle w:val="TableBody"/>
              <w:tabs>
                <w:tab w:val="right" w:pos="9360"/>
              </w:tabs>
            </w:pPr>
            <w:r>
              <w:t>ILE</w:t>
            </w:r>
            <w:r w:rsidRPr="00B3490C">
              <w:rPr>
                <w:b/>
                <w:vertAlign w:val="subscript"/>
              </w:rPr>
              <w:t xml:space="preserve"> </w:t>
            </w:r>
            <w:r w:rsidRPr="00D36347">
              <w:rPr>
                <w:b/>
                <w:i/>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75F644DC" w14:textId="77777777" w:rsidR="00DF0271" w:rsidRPr="00BE4766" w:rsidRDefault="00DF0271" w:rsidP="0031595F">
            <w:pPr>
              <w:pStyle w:val="TableBody"/>
              <w:tabs>
                <w:tab w:val="right" w:pos="9360"/>
              </w:tabs>
            </w:pPr>
            <w:r>
              <w:t>$</w:t>
            </w:r>
          </w:p>
        </w:tc>
        <w:tc>
          <w:tcPr>
            <w:tcW w:w="6701" w:type="dxa"/>
            <w:tcBorders>
              <w:top w:val="single" w:sz="4" w:space="0" w:color="auto"/>
              <w:left w:val="single" w:sz="4" w:space="0" w:color="auto"/>
              <w:bottom w:val="single" w:sz="4" w:space="0" w:color="auto"/>
              <w:right w:val="single" w:sz="4" w:space="0" w:color="auto"/>
            </w:tcBorders>
          </w:tcPr>
          <w:p w14:paraId="03BCAFBA" w14:textId="49C7E6AC" w:rsidR="00DF0271" w:rsidRPr="00BE4766" w:rsidRDefault="00DF0271" w:rsidP="0031595F">
            <w:pPr>
              <w:pStyle w:val="TableBody"/>
              <w:rPr>
                <w:i/>
              </w:rPr>
            </w:pPr>
            <w:r>
              <w:rPr>
                <w:i/>
              </w:rPr>
              <w:t>Incremental Load Exposure</w:t>
            </w:r>
            <w:r w:rsidR="00DE5100" w:rsidRPr="00BE4766">
              <w:t>—</w:t>
            </w:r>
            <w: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Pr>
                <w:i/>
              </w:rPr>
              <w:t>pro rata</w:t>
            </w:r>
            <w:r>
              <w:t xml:space="preserve"> share of the defaulting Counter-Party’s RTLE, based on the total estimated Electric Service Identifiers (ESI IDs) to be transitioned.  ERCOT will communicate any such adjustment to the Authorized Representative of each Counter-Party who is a POLR within 24 </w:t>
            </w:r>
            <w:r>
              <w:lastRenderedPageBreak/>
              <w:t xml:space="preserve">hours of the initiation of a Mass Transition.  The ILE adjustment will remain in place no more than the number of days necessary to effect a Mass Transition for the defaulting Counter-Party, after which time the incremental exposure will be fully reflected in the Counter-Party’s unadjusted TPE.  </w:t>
            </w:r>
          </w:p>
        </w:tc>
      </w:tr>
      <w:tr w:rsidR="00DF0271" w:rsidRPr="007F29AF" w14:paraId="75890549"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9220C9F" w14:textId="77777777" w:rsidR="00DF0271" w:rsidRPr="00BE4766" w:rsidRDefault="00DF0271" w:rsidP="0031595F">
            <w:pPr>
              <w:pStyle w:val="TableBody"/>
              <w:tabs>
                <w:tab w:val="right" w:pos="9360"/>
              </w:tabs>
              <w:rPr>
                <w:noProof/>
              </w:rPr>
            </w:pPr>
            <w:r w:rsidRPr="00BE4766">
              <w:lastRenderedPageBreak/>
              <w:t>DALE</w:t>
            </w:r>
          </w:p>
        </w:tc>
        <w:tc>
          <w:tcPr>
            <w:tcW w:w="886" w:type="dxa"/>
            <w:tcBorders>
              <w:top w:val="single" w:sz="4" w:space="0" w:color="auto"/>
              <w:left w:val="single" w:sz="4" w:space="0" w:color="auto"/>
              <w:bottom w:val="single" w:sz="4" w:space="0" w:color="auto"/>
              <w:right w:val="single" w:sz="4" w:space="0" w:color="auto"/>
            </w:tcBorders>
          </w:tcPr>
          <w:p w14:paraId="3A4B0C00" w14:textId="77777777" w:rsidR="00DF0271" w:rsidRPr="00BE4766" w:rsidRDefault="00DF0271" w:rsidP="0031595F">
            <w:pPr>
              <w:pStyle w:val="TableBody"/>
              <w:tabs>
                <w:tab w:val="right" w:pos="9360"/>
              </w:tabs>
              <w:rPr>
                <w:noProof/>
              </w:rPr>
            </w:pPr>
            <w:r w:rsidRPr="00BE4766">
              <w:t>$</w:t>
            </w:r>
          </w:p>
        </w:tc>
        <w:tc>
          <w:tcPr>
            <w:tcW w:w="6701" w:type="dxa"/>
            <w:tcBorders>
              <w:top w:val="single" w:sz="4" w:space="0" w:color="auto"/>
              <w:left w:val="single" w:sz="4" w:space="0" w:color="auto"/>
              <w:bottom w:val="single" w:sz="4" w:space="0" w:color="auto"/>
              <w:right w:val="single" w:sz="4" w:space="0" w:color="auto"/>
            </w:tcBorders>
          </w:tcPr>
          <w:p w14:paraId="6C18267A" w14:textId="77777777" w:rsidR="00DF0271" w:rsidRPr="00C42795" w:rsidRDefault="00DF0271" w:rsidP="0031595F">
            <w:pPr>
              <w:pStyle w:val="TableBody"/>
            </w:pPr>
            <w:r w:rsidRPr="00BE4766">
              <w:rPr>
                <w:i/>
              </w:rPr>
              <w:t>Average Daily Day</w:t>
            </w:r>
            <w:r>
              <w:rPr>
                <w:i/>
              </w:rPr>
              <w:t>-</w:t>
            </w:r>
            <w:r w:rsidRPr="00BE4766">
              <w:rPr>
                <w:i/>
              </w:rPr>
              <w:t>Ahead Liability Extrapolated</w:t>
            </w:r>
            <w:r w:rsidRPr="00BE4766">
              <w:t>—M1</w:t>
            </w:r>
            <w:r>
              <w:t xml:space="preserve"> </w:t>
            </w:r>
            <w:r w:rsidRPr="00BE4766">
              <w:t>multiplied by the sum of the net amount</w:t>
            </w:r>
            <w:r>
              <w:t>,</w:t>
            </w:r>
            <w:r w:rsidRPr="00BE4766">
              <w:t xml:space="preserve"> </w:t>
            </w:r>
            <w:r>
              <w:t>with zero substituted for missing values,</w:t>
            </w:r>
            <w:r w:rsidRPr="00BE4766">
              <w:t xml:space="preserve"> due to or from ERCOT by the Counter-Party </w:t>
            </w:r>
            <w:r>
              <w:t>in the seven most recent Operating Days for which</w:t>
            </w:r>
            <w:r w:rsidRPr="00BE4766">
              <w:t xml:space="preserve"> DAM Settlement Statements</w:t>
            </w:r>
            <w:r>
              <w:t xml:space="preserve"> are produced for Counter-Parties according to the ERCOT Settlement Calendar</w:t>
            </w:r>
            <w:r w:rsidRPr="00BE4766">
              <w:t xml:space="preserve"> divided by seven.</w:t>
            </w:r>
          </w:p>
        </w:tc>
      </w:tr>
      <w:tr w:rsidR="00DF0271" w:rsidRPr="007F29AF" w14:paraId="07A1E107"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49CC22C" w14:textId="77777777" w:rsidR="00DF0271" w:rsidRPr="00BE4766" w:rsidRDefault="00DF0271" w:rsidP="0031595F">
            <w:pPr>
              <w:pStyle w:val="TableBody"/>
              <w:tabs>
                <w:tab w:val="right" w:pos="9360"/>
              </w:tabs>
            </w:pPr>
            <w:r>
              <w:t>M1</w:t>
            </w:r>
          </w:p>
        </w:tc>
        <w:tc>
          <w:tcPr>
            <w:tcW w:w="886" w:type="dxa"/>
            <w:tcBorders>
              <w:top w:val="single" w:sz="4" w:space="0" w:color="auto"/>
              <w:left w:val="single" w:sz="4" w:space="0" w:color="auto"/>
              <w:bottom w:val="single" w:sz="4" w:space="0" w:color="auto"/>
              <w:right w:val="single" w:sz="4" w:space="0" w:color="auto"/>
            </w:tcBorders>
          </w:tcPr>
          <w:p w14:paraId="2CD1E72E" w14:textId="77777777" w:rsidR="00DF0271" w:rsidRPr="00BE4766" w:rsidRDefault="00DF0271" w:rsidP="0031595F">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124CB7A1" w14:textId="77777777" w:rsidR="005C04D0" w:rsidRDefault="005C04D0" w:rsidP="005C04D0">
            <w:pPr>
              <w:pStyle w:val="TableBody"/>
              <w:ind w:left="23"/>
            </w:pPr>
            <w:r>
              <w:t xml:space="preserve">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Counter-Parties.  The M1b component is applicable only to Counter-Parties </w:t>
            </w:r>
            <w:r w:rsidRPr="00A0266F">
              <w:t>representing any QSE associated with a L</w:t>
            </w:r>
            <w:r w:rsidRPr="004F253C">
              <w:t>SE</w:t>
            </w:r>
            <w:r w:rsidRPr="00A0266F">
              <w:t>.</w:t>
            </w:r>
          </w:p>
          <w:p w14:paraId="242D4470" w14:textId="77777777" w:rsidR="005C04D0" w:rsidRDefault="005C04D0" w:rsidP="005C04D0">
            <w:pPr>
              <w:pStyle w:val="TableBody"/>
              <w:ind w:left="1823" w:hanging="1440"/>
            </w:pPr>
          </w:p>
          <w:p w14:paraId="77A74D92" w14:textId="77777777" w:rsidR="005C04D0" w:rsidRDefault="005C04D0" w:rsidP="005C04D0">
            <w:pPr>
              <w:pStyle w:val="TableBody"/>
              <w:ind w:left="1823" w:hanging="1440"/>
            </w:pPr>
            <w:r>
              <w:t xml:space="preserve">M1a </w:t>
            </w:r>
            <w:r w:rsidRPr="000769A3">
              <w:t>=</w:t>
            </w:r>
            <w:r>
              <w:t xml:space="preserve">    </w:t>
            </w:r>
            <w:r>
              <w:tab/>
              <w:t>Time period required for any termination from an Operating Day</w:t>
            </w:r>
            <w:r w:rsidRPr="00DD32A5">
              <w:t>.</w:t>
            </w:r>
            <w:r>
              <w:t xml:space="preserve">  </w:t>
            </w:r>
          </w:p>
          <w:p w14:paraId="6857CA2B" w14:textId="77777777" w:rsidR="005C04D0" w:rsidRDefault="005C04D0" w:rsidP="005C04D0">
            <w:pPr>
              <w:pStyle w:val="TableBody"/>
              <w:ind w:left="1823" w:hanging="1440"/>
            </w:pPr>
            <w:r>
              <w:tab/>
              <w:t>M1a is comprised of a fixed value (</w:t>
            </w:r>
            <w:r w:rsidRPr="005F054B">
              <w:rPr>
                <w:i/>
              </w:rPr>
              <w:t>M1d</w:t>
            </w:r>
            <w:r>
              <w:t xml:space="preserve">), representing days from issuance of a collateral call to termination, and a calendar day-specific variable value.  For any Operating Day, M1a is equal to the total number of forward calendar days encompassed by starting on the Operating Day, including </w:t>
            </w:r>
            <w:r w:rsidRPr="005F054B">
              <w:rPr>
                <w:i/>
              </w:rPr>
              <w:t>M1d</w:t>
            </w:r>
            <w:r>
              <w:t xml:space="preserve"> Bank Business Days forward, and adding any ERCOT holidays that are also Bank Business Days.</w:t>
            </w:r>
          </w:p>
          <w:p w14:paraId="0AF3BA0D" w14:textId="77777777" w:rsidR="005C04D0" w:rsidRDefault="005C04D0" w:rsidP="005C04D0">
            <w:pPr>
              <w:pStyle w:val="TableBody"/>
              <w:spacing w:before="120"/>
              <w:ind w:left="1823" w:hanging="1440"/>
            </w:pPr>
            <w:r>
              <w:t>M1b =</w:t>
            </w:r>
            <w:r>
              <w:tab/>
              <w:t>Weighted average transition days = Min(B</w:t>
            </w:r>
            <w:r w:rsidRPr="00ED17A2">
              <w:t>,</w:t>
            </w:r>
            <w:r w:rsidRPr="0045269D">
              <w:t xml:space="preserve"> (2 + Max(1, (u+1)/2))*(</w:t>
            </w:r>
            <w:r>
              <w:t xml:space="preserve">1-DF)), </w:t>
            </w:r>
            <w:r w:rsidRPr="00A0266F">
              <w:t>rounded up to whole days</w:t>
            </w:r>
            <w:r>
              <w:t xml:space="preserve"> </w:t>
            </w:r>
          </w:p>
          <w:p w14:paraId="433543D0" w14:textId="77777777" w:rsidR="005C04D0" w:rsidRDefault="005C04D0" w:rsidP="005C04D0">
            <w:pPr>
              <w:pStyle w:val="TableBody"/>
              <w:ind w:left="1823" w:hanging="1440"/>
            </w:pPr>
            <w:r>
              <w:t xml:space="preserve">Where: </w:t>
            </w:r>
            <w:r>
              <w:tab/>
            </w:r>
          </w:p>
          <w:p w14:paraId="6D775A27" w14:textId="77777777" w:rsidR="005C04D0" w:rsidRDefault="005C04D0" w:rsidP="005C04D0">
            <w:pPr>
              <w:pStyle w:val="TableBody"/>
              <w:ind w:left="1823" w:hanging="1440"/>
            </w:pPr>
            <w:r>
              <w:t xml:space="preserve">u = </w:t>
            </w:r>
            <w:r>
              <w:tab/>
              <w:t xml:space="preserve">(ESIn/r) Unscaled number of days to transition.  </w:t>
            </w:r>
          </w:p>
          <w:p w14:paraId="16CA70F9" w14:textId="77777777" w:rsidR="005C04D0" w:rsidRDefault="005C04D0" w:rsidP="005C04D0">
            <w:pPr>
              <w:pStyle w:val="TableBody"/>
              <w:ind w:left="1823" w:hanging="1440"/>
            </w:pPr>
            <w:r>
              <w:t>B =</w:t>
            </w:r>
            <w:r>
              <w:tab/>
            </w:r>
            <w:r w:rsidRPr="009648F5">
              <w:t>Benchmark value</w:t>
            </w:r>
            <w:r w:rsidRPr="00275EFD">
              <w:t>.</w:t>
            </w:r>
            <w:r>
              <w:t xml:space="preserve">  Used to establish a maximum M1 value</w:t>
            </w:r>
            <w:r w:rsidRPr="00DD32A5">
              <w:t>.</w:t>
            </w:r>
          </w:p>
          <w:p w14:paraId="6F5CBC06" w14:textId="77777777" w:rsidR="005C04D0" w:rsidRDefault="005C04D0" w:rsidP="005C04D0">
            <w:pPr>
              <w:pStyle w:val="TableBody"/>
              <w:ind w:left="1823" w:hanging="1440"/>
            </w:pPr>
            <w:r>
              <w:t>ESIn =</w:t>
            </w:r>
            <w:r>
              <w:tab/>
              <w:t>Number of ESI IDs associated with an individual Counter-Party.  This value will be updated no less often than annually by ERCOT and updated values communicated to individual Counter-Parties.  Counter-Parties entering the market will provide an estimated number of ESI IDs for use during their first six months of market activity.  Subsequent to this time, the value for that Counter-Party shall be updated by ERCOT concurrently with other Counter-Parties with QSEs representing an LSE.</w:t>
            </w:r>
          </w:p>
          <w:p w14:paraId="53A61B87" w14:textId="77777777" w:rsidR="005C04D0" w:rsidRDefault="005C04D0" w:rsidP="005C04D0">
            <w:pPr>
              <w:pStyle w:val="TableBody"/>
              <w:ind w:left="1823" w:hanging="1440"/>
            </w:pPr>
            <w:r>
              <w:t>r =</w:t>
            </w:r>
            <w:r>
              <w:tab/>
              <w:t>Assumed ESI ID daily transition rate.</w:t>
            </w:r>
          </w:p>
          <w:p w14:paraId="3183DE5F" w14:textId="77777777" w:rsidR="005C04D0" w:rsidRDefault="005C04D0" w:rsidP="005C04D0">
            <w:pPr>
              <w:pStyle w:val="TableBody"/>
              <w:ind w:left="1823" w:hanging="1440"/>
            </w:pPr>
            <w:r w:rsidRPr="00736A49">
              <w:t>DF =</w:t>
            </w:r>
            <w:r w:rsidRPr="00736A49">
              <w:tab/>
              <w:t>Discount Factor applied to M1b if the Counter-Party meets other creditworthiness standards that may be developed and approved by TAC and the ERCOT Board.</w:t>
            </w:r>
          </w:p>
          <w:p w14:paraId="6EF3521C" w14:textId="77FFEB7F" w:rsidR="00DF0271" w:rsidRPr="00BE4766" w:rsidRDefault="00DF0271" w:rsidP="0031595F">
            <w:pPr>
              <w:pStyle w:val="TableBody"/>
              <w:ind w:left="1829" w:hanging="1440"/>
              <w:rPr>
                <w:i/>
              </w:rPr>
            </w:pPr>
          </w:p>
        </w:tc>
      </w:tr>
      <w:tr w:rsidR="00DF0271" w:rsidRPr="007F29AF" w14:paraId="576387CB"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8428FE6" w14:textId="77777777" w:rsidR="00DF0271" w:rsidRPr="00BE4766" w:rsidRDefault="00DF0271" w:rsidP="0031595F">
            <w:pPr>
              <w:pStyle w:val="TableBody"/>
              <w:tabs>
                <w:tab w:val="right" w:pos="9360"/>
              </w:tabs>
            </w:pPr>
            <w:r>
              <w:t>M2</w:t>
            </w:r>
          </w:p>
        </w:tc>
        <w:tc>
          <w:tcPr>
            <w:tcW w:w="886" w:type="dxa"/>
            <w:tcBorders>
              <w:top w:val="single" w:sz="4" w:space="0" w:color="auto"/>
              <w:left w:val="single" w:sz="4" w:space="0" w:color="auto"/>
              <w:bottom w:val="single" w:sz="4" w:space="0" w:color="auto"/>
              <w:right w:val="single" w:sz="4" w:space="0" w:color="auto"/>
            </w:tcBorders>
          </w:tcPr>
          <w:p w14:paraId="5C9759E6" w14:textId="77777777" w:rsidR="00DF0271" w:rsidRPr="00BE4766" w:rsidRDefault="00DF0271" w:rsidP="0031595F">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3560A33F" w14:textId="77777777" w:rsidR="00DF0271" w:rsidRPr="00BE4766" w:rsidRDefault="00DF0271" w:rsidP="0031595F">
            <w:pPr>
              <w:pStyle w:val="TableBody"/>
              <w:rPr>
                <w:i/>
              </w:rPr>
            </w:pPr>
            <w:r w:rsidRPr="00BE4766">
              <w:t>Multiplier for URTA.</w:t>
            </w:r>
          </w:p>
        </w:tc>
      </w:tr>
      <w:tr w:rsidR="00DF0271" w:rsidRPr="007F29AF" w14:paraId="1EE73271"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05D63C5" w14:textId="77777777" w:rsidR="00DF0271" w:rsidRDefault="00DF0271" w:rsidP="0031595F">
            <w:pPr>
              <w:pStyle w:val="TableBody"/>
              <w:tabs>
                <w:tab w:val="right" w:pos="9360"/>
              </w:tabs>
            </w:pPr>
            <w:r>
              <w:lastRenderedPageBreak/>
              <w:t>RFAF</w:t>
            </w:r>
          </w:p>
        </w:tc>
        <w:tc>
          <w:tcPr>
            <w:tcW w:w="886" w:type="dxa"/>
            <w:tcBorders>
              <w:top w:val="single" w:sz="4" w:space="0" w:color="auto"/>
              <w:left w:val="single" w:sz="4" w:space="0" w:color="auto"/>
              <w:bottom w:val="single" w:sz="4" w:space="0" w:color="auto"/>
              <w:right w:val="single" w:sz="4" w:space="0" w:color="auto"/>
            </w:tcBorders>
          </w:tcPr>
          <w:p w14:paraId="39C93B0F" w14:textId="77777777" w:rsidR="00DF0271" w:rsidRPr="00BE4766" w:rsidRDefault="00DF0271" w:rsidP="0031595F">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77EB74A7" w14:textId="77777777" w:rsidR="00DF0271" w:rsidRPr="00BE4766" w:rsidRDefault="00DF0271" w:rsidP="0031595F">
            <w:pPr>
              <w:pStyle w:val="TableBody"/>
            </w:pPr>
            <w:r>
              <w:rPr>
                <w:i/>
              </w:rPr>
              <w:t>Real-Time Forward Adjustment Factor</w:t>
            </w:r>
            <w:r w:rsidRPr="00A549C5">
              <w:t>—</w:t>
            </w:r>
            <w:r w:rsidRPr="00CE545D">
              <w:t xml:space="preserve">The </w:t>
            </w:r>
            <w:r>
              <w:t xml:space="preserve">adjustment factor for RTM-related forward exposure as </w:t>
            </w:r>
            <w:r w:rsidRPr="00CE545D">
              <w:t xml:space="preserve">defined in </w:t>
            </w:r>
            <w:r w:rsidRPr="00967C28">
              <w:t xml:space="preserve">Section </w:t>
            </w:r>
            <w:r w:rsidRPr="00934A67">
              <w:t>16.11.4.3.3, Forward Adjustment Factors</w:t>
            </w:r>
            <w:r w:rsidRPr="00967C28">
              <w:t>.</w:t>
            </w:r>
          </w:p>
        </w:tc>
      </w:tr>
      <w:tr w:rsidR="00DF0271" w:rsidRPr="007F29AF" w14:paraId="2E230007"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686D1A0" w14:textId="77777777" w:rsidR="00DF0271" w:rsidRDefault="00DF0271" w:rsidP="0031595F">
            <w:pPr>
              <w:pStyle w:val="TableBody"/>
              <w:tabs>
                <w:tab w:val="right" w:pos="9360"/>
              </w:tabs>
            </w:pPr>
            <w:r>
              <w:t>DFAF</w:t>
            </w:r>
          </w:p>
        </w:tc>
        <w:tc>
          <w:tcPr>
            <w:tcW w:w="886" w:type="dxa"/>
            <w:tcBorders>
              <w:top w:val="single" w:sz="4" w:space="0" w:color="auto"/>
              <w:left w:val="single" w:sz="4" w:space="0" w:color="auto"/>
              <w:bottom w:val="single" w:sz="4" w:space="0" w:color="auto"/>
              <w:right w:val="single" w:sz="4" w:space="0" w:color="auto"/>
            </w:tcBorders>
          </w:tcPr>
          <w:p w14:paraId="1D249FEC" w14:textId="77777777" w:rsidR="00DF0271" w:rsidRPr="00BE4766" w:rsidRDefault="00DF0271" w:rsidP="0031595F">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2117EE70" w14:textId="77777777" w:rsidR="00DF0271" w:rsidRPr="00BE4766" w:rsidRDefault="00DF0271" w:rsidP="0031595F">
            <w:pPr>
              <w:pStyle w:val="TableBody"/>
            </w:pPr>
            <w:r>
              <w:rPr>
                <w:i/>
              </w:rPr>
              <w:t>Day-Ahead Forward Adjustment Factor</w:t>
            </w:r>
            <w:r w:rsidRPr="00A549C5">
              <w:t>—</w:t>
            </w:r>
            <w:r w:rsidRPr="00CE545D">
              <w:t xml:space="preserve">The </w:t>
            </w:r>
            <w:r>
              <w:t xml:space="preserve">adjustment factor for DAM-related forward exposure as </w:t>
            </w:r>
            <w:r w:rsidRPr="00CE545D">
              <w:t xml:space="preserve">defined in Section </w:t>
            </w:r>
            <w:r w:rsidRPr="006E7FC0">
              <w:t>16.11.4.3.3</w:t>
            </w:r>
            <w:r w:rsidRPr="00CE545D">
              <w:t>.</w:t>
            </w:r>
          </w:p>
        </w:tc>
      </w:tr>
      <w:tr w:rsidR="00DF0271" w:rsidRPr="007F29AF" w14:paraId="6EC68C40"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FC4CF02" w14:textId="77777777" w:rsidR="00DF0271" w:rsidRDefault="00DF0271" w:rsidP="0031595F">
            <w:pPr>
              <w:pStyle w:val="TableBody"/>
              <w:tabs>
                <w:tab w:val="right" w:pos="9360"/>
              </w:tabs>
            </w:pPr>
            <w:r w:rsidRPr="00934A67">
              <w:rPr>
                <w:i/>
              </w:rPr>
              <w:t>lrq</w:t>
            </w:r>
          </w:p>
        </w:tc>
        <w:tc>
          <w:tcPr>
            <w:tcW w:w="886" w:type="dxa"/>
            <w:tcBorders>
              <w:top w:val="single" w:sz="4" w:space="0" w:color="auto"/>
              <w:left w:val="single" w:sz="4" w:space="0" w:color="auto"/>
              <w:bottom w:val="single" w:sz="4" w:space="0" w:color="auto"/>
              <w:right w:val="single" w:sz="4" w:space="0" w:color="auto"/>
            </w:tcBorders>
          </w:tcPr>
          <w:p w14:paraId="0C4637A0" w14:textId="77777777" w:rsidR="00DF0271" w:rsidRPr="00BE4766" w:rsidRDefault="00DF0271" w:rsidP="0031595F">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7CD0BBEE" w14:textId="77777777" w:rsidR="00DF0271" w:rsidRPr="00BE4766" w:rsidRDefault="00DF0271" w:rsidP="0031595F">
            <w:pPr>
              <w:pStyle w:val="TableBody"/>
            </w:pPr>
            <w:r w:rsidRPr="00DF6B12">
              <w:t>Look-back period for R</w:t>
            </w:r>
            <w:r>
              <w:t>TM</w:t>
            </w:r>
            <w:r w:rsidRPr="00DF6B12">
              <w:t xml:space="preserve"> </w:t>
            </w:r>
            <w:r>
              <w:t>to find the maximum of RTLE or URTA</w:t>
            </w:r>
            <w:r w:rsidRPr="00DF6B12">
              <w:t xml:space="preserve"> for </w:t>
            </w:r>
            <w:r w:rsidRPr="00934A67">
              <w:t xml:space="preserve">all QSEs represented by the Counter-Party if </w:t>
            </w:r>
            <w:r>
              <w:t>any</w:t>
            </w:r>
            <w:r w:rsidRPr="00934A67">
              <w:t xml:space="preserve"> of the QSEs represented by the Counter-Party represent either Load or generation</w:t>
            </w:r>
            <w:r w:rsidRPr="008A7DE2">
              <w:t>.</w:t>
            </w:r>
          </w:p>
        </w:tc>
      </w:tr>
      <w:tr w:rsidR="00DF0271" w:rsidRPr="007F29AF" w14:paraId="3E5AFB54"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1FF5794" w14:textId="77777777" w:rsidR="00DF0271" w:rsidRDefault="00DF0271" w:rsidP="0031595F">
            <w:pPr>
              <w:pStyle w:val="TableBody"/>
              <w:tabs>
                <w:tab w:val="right" w:pos="9360"/>
              </w:tabs>
            </w:pPr>
            <w:r w:rsidRPr="00934A67">
              <w:rPr>
                <w:i/>
              </w:rPr>
              <w:t>lrt</w:t>
            </w:r>
          </w:p>
        </w:tc>
        <w:tc>
          <w:tcPr>
            <w:tcW w:w="886" w:type="dxa"/>
            <w:tcBorders>
              <w:top w:val="single" w:sz="4" w:space="0" w:color="auto"/>
              <w:left w:val="single" w:sz="4" w:space="0" w:color="auto"/>
              <w:bottom w:val="single" w:sz="4" w:space="0" w:color="auto"/>
              <w:right w:val="single" w:sz="4" w:space="0" w:color="auto"/>
            </w:tcBorders>
          </w:tcPr>
          <w:p w14:paraId="4BCFAAFF" w14:textId="77777777" w:rsidR="00DF0271" w:rsidRPr="00BE4766" w:rsidRDefault="00DF0271" w:rsidP="0031595F">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78DFD77E" w14:textId="77777777" w:rsidR="00DF0271" w:rsidRPr="00BE4766" w:rsidRDefault="00DF0271" w:rsidP="0031595F">
            <w:pPr>
              <w:pStyle w:val="TableBody"/>
            </w:pPr>
            <w:r w:rsidRPr="00DF6B12">
              <w:t>Look-back period for R</w:t>
            </w:r>
            <w:r>
              <w:t>TM</w:t>
            </w:r>
            <w:r w:rsidRPr="00DF6B12">
              <w:t xml:space="preserve"> </w:t>
            </w:r>
            <w:r>
              <w:t>to find the maximum of RTLE or URTA</w:t>
            </w:r>
            <w:r w:rsidRPr="00DF6B12">
              <w:t xml:space="preserve"> for all QSEs represented by the Counter-Party if none of the QSEs represented by the Counter-Party represent either Load or generation</w:t>
            </w:r>
            <w:r w:rsidRPr="00A549C5">
              <w:t>.</w:t>
            </w:r>
          </w:p>
        </w:tc>
      </w:tr>
    </w:tbl>
    <w:p w14:paraId="4368976A" w14:textId="77777777" w:rsidR="00DF0271" w:rsidRDefault="00DF0271" w:rsidP="00DF0271">
      <w:pPr>
        <w:pStyle w:val="Instructions"/>
        <w:spacing w:after="0"/>
        <w:rPr>
          <w:b w:val="0"/>
          <w:i w:val="0"/>
          <w:iCs/>
        </w:rPr>
      </w:pPr>
    </w:p>
    <w:p w14:paraId="1E858571" w14:textId="77777777" w:rsidR="00DF0271" w:rsidRDefault="00DF0271" w:rsidP="00DF0271">
      <w:pPr>
        <w:pStyle w:val="Instructions"/>
        <w:spacing w:after="0"/>
        <w:rPr>
          <w:b w:val="0"/>
          <w:i w:val="0"/>
          <w:iCs/>
        </w:rPr>
      </w:pPr>
      <w:r>
        <w:rPr>
          <w:b w:val="0"/>
          <w:i w:val="0"/>
          <w:iCs/>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DF0271" w:rsidRPr="00BE4766" w14:paraId="0AC09C2C" w14:textId="77777777" w:rsidTr="00504E97">
        <w:trPr>
          <w:trHeight w:val="351"/>
          <w:tblHeader/>
        </w:trPr>
        <w:tc>
          <w:tcPr>
            <w:tcW w:w="2153" w:type="dxa"/>
          </w:tcPr>
          <w:p w14:paraId="035D01EB" w14:textId="77777777" w:rsidR="00DF0271" w:rsidRPr="00BE4766" w:rsidRDefault="00DF0271" w:rsidP="0031595F">
            <w:pPr>
              <w:pStyle w:val="TableHead"/>
            </w:pPr>
            <w:r>
              <w:t>Parameter</w:t>
            </w:r>
          </w:p>
        </w:tc>
        <w:tc>
          <w:tcPr>
            <w:tcW w:w="2300" w:type="dxa"/>
          </w:tcPr>
          <w:p w14:paraId="221F3AE3" w14:textId="77777777" w:rsidR="00DF0271" w:rsidRPr="00BE4766" w:rsidRDefault="00DF0271" w:rsidP="0031595F">
            <w:pPr>
              <w:pStyle w:val="TableHead"/>
            </w:pPr>
            <w:r w:rsidRPr="00BE4766">
              <w:t>Unit</w:t>
            </w:r>
          </w:p>
        </w:tc>
        <w:tc>
          <w:tcPr>
            <w:tcW w:w="4637" w:type="dxa"/>
          </w:tcPr>
          <w:p w14:paraId="2322D7E1" w14:textId="77777777" w:rsidR="00DF0271" w:rsidRPr="00BE4766" w:rsidRDefault="00DF0271" w:rsidP="0031595F">
            <w:pPr>
              <w:pStyle w:val="TableHead"/>
            </w:pPr>
            <w:r>
              <w:t>Current Value*</w:t>
            </w:r>
          </w:p>
        </w:tc>
      </w:tr>
      <w:tr w:rsidR="00DF0271" w:rsidRPr="00BE4766" w14:paraId="7DF881B6" w14:textId="77777777" w:rsidTr="00504E97">
        <w:trPr>
          <w:trHeight w:val="519"/>
        </w:trPr>
        <w:tc>
          <w:tcPr>
            <w:tcW w:w="2153" w:type="dxa"/>
          </w:tcPr>
          <w:p w14:paraId="1A33F7C3" w14:textId="77777777" w:rsidR="00DF0271" w:rsidRDefault="00DF0271" w:rsidP="0031595F">
            <w:pPr>
              <w:pStyle w:val="TableBody"/>
              <w:rPr>
                <w:i/>
              </w:rPr>
            </w:pPr>
            <w:r>
              <w:rPr>
                <w:i/>
              </w:rPr>
              <w:t>rtlcu</w:t>
            </w:r>
          </w:p>
        </w:tc>
        <w:tc>
          <w:tcPr>
            <w:tcW w:w="2300" w:type="dxa"/>
          </w:tcPr>
          <w:p w14:paraId="56B4BB05" w14:textId="77777777" w:rsidR="00DF0271" w:rsidRDefault="00DF0271" w:rsidP="0031595F">
            <w:pPr>
              <w:pStyle w:val="TableBody"/>
            </w:pPr>
            <w:r>
              <w:t>Percentage</w:t>
            </w:r>
          </w:p>
        </w:tc>
        <w:tc>
          <w:tcPr>
            <w:tcW w:w="4637" w:type="dxa"/>
          </w:tcPr>
          <w:p w14:paraId="6E779E15" w14:textId="77777777" w:rsidR="00DF0271" w:rsidRPr="00083512" w:rsidRDefault="00DF0271" w:rsidP="0031595F">
            <w:pPr>
              <w:pStyle w:val="TableBody"/>
            </w:pPr>
            <w:r w:rsidRPr="00083512">
              <w:t>110%</w:t>
            </w:r>
          </w:p>
        </w:tc>
      </w:tr>
      <w:tr w:rsidR="00DF0271" w:rsidRPr="00BE4766" w14:paraId="451601AB" w14:textId="77777777" w:rsidTr="00504E97">
        <w:trPr>
          <w:trHeight w:val="519"/>
        </w:trPr>
        <w:tc>
          <w:tcPr>
            <w:tcW w:w="2153" w:type="dxa"/>
          </w:tcPr>
          <w:p w14:paraId="41952D83" w14:textId="77777777" w:rsidR="00DF0271" w:rsidRDefault="00DF0271" w:rsidP="0031595F">
            <w:pPr>
              <w:pStyle w:val="TableBody"/>
              <w:rPr>
                <w:i/>
              </w:rPr>
            </w:pPr>
            <w:r>
              <w:rPr>
                <w:i/>
              </w:rPr>
              <w:t>rtlcd</w:t>
            </w:r>
          </w:p>
        </w:tc>
        <w:tc>
          <w:tcPr>
            <w:tcW w:w="2300" w:type="dxa"/>
          </w:tcPr>
          <w:p w14:paraId="12FFC0F3" w14:textId="77777777" w:rsidR="00DF0271" w:rsidRDefault="00DF0271" w:rsidP="0031595F">
            <w:pPr>
              <w:pStyle w:val="TableBody"/>
            </w:pPr>
            <w:r>
              <w:t>Percentage</w:t>
            </w:r>
          </w:p>
        </w:tc>
        <w:tc>
          <w:tcPr>
            <w:tcW w:w="4637" w:type="dxa"/>
          </w:tcPr>
          <w:p w14:paraId="7899F341" w14:textId="77777777" w:rsidR="00DF0271" w:rsidRPr="00083512" w:rsidRDefault="00DF0271" w:rsidP="0031595F">
            <w:pPr>
              <w:pStyle w:val="TableBody"/>
            </w:pPr>
            <w:r w:rsidRPr="00083512">
              <w:t xml:space="preserve">90% </w:t>
            </w:r>
          </w:p>
        </w:tc>
      </w:tr>
      <w:tr w:rsidR="00DF0271" w:rsidRPr="00BE4766" w14:paraId="6AC74F1B" w14:textId="77777777" w:rsidTr="00504E97">
        <w:trPr>
          <w:trHeight w:val="519"/>
        </w:trPr>
        <w:tc>
          <w:tcPr>
            <w:tcW w:w="2153" w:type="dxa"/>
          </w:tcPr>
          <w:p w14:paraId="784ADD1A" w14:textId="77777777" w:rsidR="00DF0271" w:rsidRDefault="00DF0271" w:rsidP="0031595F">
            <w:pPr>
              <w:pStyle w:val="TableBody"/>
              <w:rPr>
                <w:i/>
              </w:rPr>
            </w:pPr>
            <w:r>
              <w:rPr>
                <w:i/>
              </w:rPr>
              <w:t>rtlfp</w:t>
            </w:r>
          </w:p>
        </w:tc>
        <w:tc>
          <w:tcPr>
            <w:tcW w:w="2300" w:type="dxa"/>
          </w:tcPr>
          <w:p w14:paraId="6B11226F" w14:textId="77777777" w:rsidR="00DF0271" w:rsidRDefault="00DF0271" w:rsidP="0031595F">
            <w:pPr>
              <w:pStyle w:val="TableBody"/>
            </w:pPr>
            <w:r>
              <w:t>Percentage</w:t>
            </w:r>
          </w:p>
        </w:tc>
        <w:tc>
          <w:tcPr>
            <w:tcW w:w="4637" w:type="dxa"/>
          </w:tcPr>
          <w:p w14:paraId="0B62DD0F" w14:textId="77777777" w:rsidR="00DF0271" w:rsidRPr="00083512" w:rsidRDefault="00DF0271" w:rsidP="0031595F">
            <w:pPr>
              <w:pStyle w:val="TableBody"/>
            </w:pPr>
            <w:r w:rsidRPr="00083512">
              <w:t>150%</w:t>
            </w:r>
            <w:r>
              <w:t xml:space="preserve"> </w:t>
            </w:r>
          </w:p>
        </w:tc>
      </w:tr>
      <w:tr w:rsidR="00DF0271" w:rsidRPr="00BE4766" w14:paraId="1F9FA84E" w14:textId="77777777" w:rsidTr="00504E97">
        <w:trPr>
          <w:trHeight w:val="519"/>
        </w:trPr>
        <w:tc>
          <w:tcPr>
            <w:tcW w:w="2153" w:type="dxa"/>
          </w:tcPr>
          <w:p w14:paraId="7B32A3A9" w14:textId="77777777" w:rsidR="00DF0271" w:rsidRPr="00F45C95" w:rsidRDefault="00DF0271" w:rsidP="0031595F">
            <w:pPr>
              <w:pStyle w:val="TableBody"/>
              <w:rPr>
                <w:i/>
              </w:rPr>
            </w:pPr>
            <w:r>
              <w:rPr>
                <w:i/>
              </w:rPr>
              <w:t>ufd</w:t>
            </w:r>
          </w:p>
        </w:tc>
        <w:tc>
          <w:tcPr>
            <w:tcW w:w="2300" w:type="dxa"/>
          </w:tcPr>
          <w:p w14:paraId="60BD771D" w14:textId="77777777" w:rsidR="00DF0271" w:rsidRDefault="00DF0271" w:rsidP="0031595F">
            <w:pPr>
              <w:pStyle w:val="TableBody"/>
            </w:pPr>
            <w:r>
              <w:t>Days</w:t>
            </w:r>
          </w:p>
        </w:tc>
        <w:tc>
          <w:tcPr>
            <w:tcW w:w="4637" w:type="dxa"/>
          </w:tcPr>
          <w:p w14:paraId="5F8F82F4" w14:textId="77777777" w:rsidR="00DF0271" w:rsidRDefault="00DF0271" w:rsidP="0031595F">
            <w:pPr>
              <w:pStyle w:val="TableBody"/>
            </w:pPr>
            <w:r>
              <w:t>55</w:t>
            </w:r>
          </w:p>
        </w:tc>
      </w:tr>
      <w:tr w:rsidR="00DF0271" w:rsidRPr="00BE4766" w14:paraId="53C1FBEF" w14:textId="77777777" w:rsidTr="00504E97">
        <w:trPr>
          <w:trHeight w:val="519"/>
        </w:trPr>
        <w:tc>
          <w:tcPr>
            <w:tcW w:w="2153" w:type="dxa"/>
          </w:tcPr>
          <w:p w14:paraId="4B086DC2" w14:textId="77777777" w:rsidR="00DF0271" w:rsidRPr="00F45C95" w:rsidRDefault="00DF0271" w:rsidP="0031595F">
            <w:pPr>
              <w:pStyle w:val="TableBody"/>
              <w:rPr>
                <w:i/>
              </w:rPr>
            </w:pPr>
            <w:r>
              <w:rPr>
                <w:i/>
              </w:rPr>
              <w:t>utd</w:t>
            </w:r>
          </w:p>
        </w:tc>
        <w:tc>
          <w:tcPr>
            <w:tcW w:w="2300" w:type="dxa"/>
          </w:tcPr>
          <w:p w14:paraId="1D6798E0" w14:textId="77777777" w:rsidR="00DF0271" w:rsidRDefault="00DF0271" w:rsidP="0031595F">
            <w:pPr>
              <w:pStyle w:val="TableBody"/>
            </w:pPr>
            <w:r>
              <w:t>Days</w:t>
            </w:r>
          </w:p>
        </w:tc>
        <w:tc>
          <w:tcPr>
            <w:tcW w:w="4637" w:type="dxa"/>
          </w:tcPr>
          <w:p w14:paraId="2A608458" w14:textId="77777777" w:rsidR="00DF0271" w:rsidRPr="005C0927" w:rsidRDefault="00DF0271" w:rsidP="0031595F">
            <w:pPr>
              <w:pStyle w:val="TableBody"/>
            </w:pPr>
            <w:r>
              <w:t>180</w:t>
            </w:r>
          </w:p>
        </w:tc>
      </w:tr>
      <w:tr w:rsidR="00DF0271" w:rsidRPr="00BE4766" w14:paraId="727DC58B" w14:textId="77777777" w:rsidTr="00504E97">
        <w:trPr>
          <w:trHeight w:val="519"/>
        </w:trPr>
        <w:tc>
          <w:tcPr>
            <w:tcW w:w="2153" w:type="dxa"/>
          </w:tcPr>
          <w:p w14:paraId="53EAE31A" w14:textId="76680EA3" w:rsidR="00DF0271" w:rsidRPr="00E41A69" w:rsidRDefault="00DF0271" w:rsidP="0031595F">
            <w:pPr>
              <w:pStyle w:val="TableBody"/>
              <w:rPr>
                <w:i/>
              </w:rPr>
            </w:pPr>
            <w:r w:rsidRPr="00E41A69">
              <w:rPr>
                <w:i/>
              </w:rPr>
              <w:t>M1</w:t>
            </w:r>
            <w:r w:rsidR="00575DA9">
              <w:rPr>
                <w:i/>
              </w:rPr>
              <w:t>d</w:t>
            </w:r>
          </w:p>
        </w:tc>
        <w:tc>
          <w:tcPr>
            <w:tcW w:w="2300" w:type="dxa"/>
          </w:tcPr>
          <w:p w14:paraId="75175022" w14:textId="77777777" w:rsidR="00DF0271" w:rsidRDefault="00DF0271" w:rsidP="0031595F">
            <w:pPr>
              <w:pStyle w:val="TableBody"/>
            </w:pPr>
            <w:r>
              <w:t>Days</w:t>
            </w:r>
          </w:p>
        </w:tc>
        <w:tc>
          <w:tcPr>
            <w:tcW w:w="4637" w:type="dxa"/>
          </w:tcPr>
          <w:p w14:paraId="1A6A1394" w14:textId="3EC6E101" w:rsidR="00DF0271" w:rsidRDefault="008E39D6" w:rsidP="0031595F">
            <w:pPr>
              <w:pStyle w:val="TableBody"/>
            </w:pPr>
            <w:r>
              <w:t>8</w:t>
            </w:r>
          </w:p>
        </w:tc>
      </w:tr>
      <w:tr w:rsidR="00DF0271" w:rsidRPr="00BE4766" w14:paraId="4B63D1F6" w14:textId="77777777" w:rsidTr="00504E97">
        <w:trPr>
          <w:trHeight w:val="519"/>
        </w:trPr>
        <w:tc>
          <w:tcPr>
            <w:tcW w:w="2153" w:type="dxa"/>
          </w:tcPr>
          <w:p w14:paraId="1EEADDD9" w14:textId="77777777" w:rsidR="00DF0271" w:rsidRDefault="00DF0271" w:rsidP="0031595F">
            <w:pPr>
              <w:pStyle w:val="TableBody"/>
              <w:rPr>
                <w:i/>
              </w:rPr>
            </w:pPr>
            <w:r>
              <w:rPr>
                <w:i/>
              </w:rPr>
              <w:t>B</w:t>
            </w:r>
          </w:p>
        </w:tc>
        <w:tc>
          <w:tcPr>
            <w:tcW w:w="2300" w:type="dxa"/>
          </w:tcPr>
          <w:p w14:paraId="334D7F36" w14:textId="77777777" w:rsidR="00DF0271" w:rsidRDefault="00DF0271" w:rsidP="0031595F">
            <w:pPr>
              <w:pStyle w:val="TableBody"/>
            </w:pPr>
            <w:r>
              <w:t>Days</w:t>
            </w:r>
          </w:p>
        </w:tc>
        <w:tc>
          <w:tcPr>
            <w:tcW w:w="4637" w:type="dxa"/>
          </w:tcPr>
          <w:p w14:paraId="3F1608FE" w14:textId="77777777" w:rsidR="00DF0271" w:rsidRPr="00D11FB5" w:rsidRDefault="00DF0271" w:rsidP="0031595F">
            <w:pPr>
              <w:pStyle w:val="TableBody"/>
            </w:pPr>
            <w:r w:rsidRPr="00D11FB5">
              <w:t>8</w:t>
            </w:r>
          </w:p>
        </w:tc>
      </w:tr>
      <w:tr w:rsidR="00DF0271" w:rsidRPr="00BE4766" w14:paraId="533AD4A2" w14:textId="77777777" w:rsidTr="00504E97">
        <w:trPr>
          <w:trHeight w:val="519"/>
        </w:trPr>
        <w:tc>
          <w:tcPr>
            <w:tcW w:w="2153" w:type="dxa"/>
          </w:tcPr>
          <w:p w14:paraId="4F7AB477" w14:textId="77777777" w:rsidR="00DF0271" w:rsidRDefault="00DF0271" w:rsidP="0031595F">
            <w:pPr>
              <w:pStyle w:val="TableBody"/>
              <w:rPr>
                <w:i/>
              </w:rPr>
            </w:pPr>
            <w:r>
              <w:rPr>
                <w:i/>
              </w:rPr>
              <w:t>r</w:t>
            </w:r>
          </w:p>
        </w:tc>
        <w:tc>
          <w:tcPr>
            <w:tcW w:w="2300" w:type="dxa"/>
          </w:tcPr>
          <w:p w14:paraId="316A1ADD" w14:textId="77777777" w:rsidR="00DF0271" w:rsidRDefault="00DF0271" w:rsidP="0031595F">
            <w:pPr>
              <w:pStyle w:val="TableBody"/>
            </w:pPr>
            <w:r>
              <w:t>none</w:t>
            </w:r>
          </w:p>
        </w:tc>
        <w:tc>
          <w:tcPr>
            <w:tcW w:w="4637" w:type="dxa"/>
          </w:tcPr>
          <w:p w14:paraId="4E955DC3" w14:textId="77777777" w:rsidR="00DF0271" w:rsidRPr="00D11FB5" w:rsidRDefault="00DF0271" w:rsidP="0031595F">
            <w:pPr>
              <w:pStyle w:val="TableBody"/>
            </w:pPr>
            <w:r>
              <w:t>100,000 per day</w:t>
            </w:r>
          </w:p>
        </w:tc>
      </w:tr>
      <w:tr w:rsidR="00DF0271" w:rsidRPr="00BE4766" w14:paraId="6F759537" w14:textId="77777777" w:rsidTr="00504E97">
        <w:trPr>
          <w:trHeight w:val="519"/>
        </w:trPr>
        <w:tc>
          <w:tcPr>
            <w:tcW w:w="2153" w:type="dxa"/>
          </w:tcPr>
          <w:p w14:paraId="12FC400B" w14:textId="77777777" w:rsidR="00DF0271" w:rsidRDefault="00DF0271" w:rsidP="0031595F">
            <w:pPr>
              <w:pStyle w:val="TableBody"/>
              <w:rPr>
                <w:i/>
              </w:rPr>
            </w:pPr>
            <w:r>
              <w:rPr>
                <w:i/>
              </w:rPr>
              <w:t>DF</w:t>
            </w:r>
          </w:p>
        </w:tc>
        <w:tc>
          <w:tcPr>
            <w:tcW w:w="2300" w:type="dxa"/>
          </w:tcPr>
          <w:p w14:paraId="72319CC4" w14:textId="77777777" w:rsidR="00DF0271" w:rsidRDefault="00DF0271" w:rsidP="0031595F">
            <w:pPr>
              <w:pStyle w:val="TableBody"/>
            </w:pPr>
            <w:r>
              <w:t>Percentage</w:t>
            </w:r>
          </w:p>
        </w:tc>
        <w:tc>
          <w:tcPr>
            <w:tcW w:w="4637" w:type="dxa"/>
          </w:tcPr>
          <w:p w14:paraId="745802F0" w14:textId="77777777" w:rsidR="00DF0271" w:rsidRDefault="00DF0271" w:rsidP="0031595F">
            <w:pPr>
              <w:pStyle w:val="TableBody"/>
            </w:pPr>
            <w:r>
              <w:t>0</w:t>
            </w:r>
          </w:p>
        </w:tc>
      </w:tr>
      <w:tr w:rsidR="00DF0271" w:rsidRPr="00BE4766" w14:paraId="6D9FC4B0" w14:textId="77777777" w:rsidTr="00504E97">
        <w:trPr>
          <w:trHeight w:val="519"/>
        </w:trPr>
        <w:tc>
          <w:tcPr>
            <w:tcW w:w="2153" w:type="dxa"/>
          </w:tcPr>
          <w:p w14:paraId="0CEA4BB4" w14:textId="77777777" w:rsidR="00DF0271" w:rsidRDefault="00DF0271" w:rsidP="0031595F">
            <w:pPr>
              <w:pStyle w:val="TableBody"/>
              <w:rPr>
                <w:i/>
              </w:rPr>
            </w:pPr>
            <w:r>
              <w:rPr>
                <w:i/>
              </w:rPr>
              <w:t>M2</w:t>
            </w:r>
          </w:p>
        </w:tc>
        <w:tc>
          <w:tcPr>
            <w:tcW w:w="2300" w:type="dxa"/>
          </w:tcPr>
          <w:p w14:paraId="13670173" w14:textId="77777777" w:rsidR="00DF0271" w:rsidRDefault="00DF0271" w:rsidP="0031595F">
            <w:pPr>
              <w:pStyle w:val="TableBody"/>
            </w:pPr>
            <w:r>
              <w:t>Days</w:t>
            </w:r>
          </w:p>
        </w:tc>
        <w:tc>
          <w:tcPr>
            <w:tcW w:w="4637" w:type="dxa"/>
          </w:tcPr>
          <w:p w14:paraId="71AF5012" w14:textId="77777777" w:rsidR="00DF0271" w:rsidRPr="00545E0B" w:rsidRDefault="00DF0271" w:rsidP="0031595F">
            <w:pPr>
              <w:pStyle w:val="TableBody"/>
            </w:pPr>
            <w:r w:rsidRPr="00545E0B">
              <w:t>9</w:t>
            </w:r>
          </w:p>
        </w:tc>
      </w:tr>
      <w:tr w:rsidR="00DF0271" w:rsidRPr="00BE4766" w14:paraId="0BC55781" w14:textId="77777777" w:rsidTr="00504E97">
        <w:trPr>
          <w:trHeight w:val="519"/>
        </w:trPr>
        <w:tc>
          <w:tcPr>
            <w:tcW w:w="2153" w:type="dxa"/>
          </w:tcPr>
          <w:p w14:paraId="25498169" w14:textId="77777777" w:rsidR="00DF0271" w:rsidRDefault="00DF0271" w:rsidP="0031595F">
            <w:pPr>
              <w:pStyle w:val="TableBody"/>
              <w:rPr>
                <w:i/>
              </w:rPr>
            </w:pPr>
            <w:r>
              <w:rPr>
                <w:i/>
              </w:rPr>
              <w:t>lrq</w:t>
            </w:r>
          </w:p>
        </w:tc>
        <w:tc>
          <w:tcPr>
            <w:tcW w:w="2300" w:type="dxa"/>
          </w:tcPr>
          <w:p w14:paraId="0FF65B29" w14:textId="77777777" w:rsidR="00DF0271" w:rsidRDefault="00DF0271" w:rsidP="0031595F">
            <w:pPr>
              <w:pStyle w:val="TableBody"/>
            </w:pPr>
            <w:r>
              <w:t>Days</w:t>
            </w:r>
          </w:p>
        </w:tc>
        <w:tc>
          <w:tcPr>
            <w:tcW w:w="4637" w:type="dxa"/>
          </w:tcPr>
          <w:p w14:paraId="7913E857" w14:textId="77777777" w:rsidR="00DF0271" w:rsidRPr="00545E0B" w:rsidRDefault="00DF0271" w:rsidP="0031595F">
            <w:pPr>
              <w:pStyle w:val="TableBody"/>
            </w:pPr>
            <w:r w:rsidRPr="007822E6">
              <w:t>40</w:t>
            </w:r>
          </w:p>
        </w:tc>
      </w:tr>
      <w:tr w:rsidR="00DF0271" w:rsidRPr="00BE4766" w14:paraId="24C2A1F1" w14:textId="77777777" w:rsidTr="00504E97">
        <w:trPr>
          <w:trHeight w:val="519"/>
        </w:trPr>
        <w:tc>
          <w:tcPr>
            <w:tcW w:w="2153" w:type="dxa"/>
          </w:tcPr>
          <w:p w14:paraId="2CBABA1E" w14:textId="77777777" w:rsidR="00DF0271" w:rsidRDefault="00DF0271" w:rsidP="0031595F">
            <w:pPr>
              <w:pStyle w:val="TableBody"/>
              <w:rPr>
                <w:i/>
              </w:rPr>
            </w:pPr>
            <w:r>
              <w:rPr>
                <w:i/>
              </w:rPr>
              <w:t>lrt</w:t>
            </w:r>
          </w:p>
        </w:tc>
        <w:tc>
          <w:tcPr>
            <w:tcW w:w="2300" w:type="dxa"/>
          </w:tcPr>
          <w:p w14:paraId="1282EAF7" w14:textId="77777777" w:rsidR="00DF0271" w:rsidRDefault="00DF0271" w:rsidP="0031595F">
            <w:pPr>
              <w:pStyle w:val="TableBody"/>
            </w:pPr>
            <w:r>
              <w:t>Days</w:t>
            </w:r>
          </w:p>
        </w:tc>
        <w:tc>
          <w:tcPr>
            <w:tcW w:w="4637" w:type="dxa"/>
          </w:tcPr>
          <w:p w14:paraId="437CC5F2" w14:textId="77777777" w:rsidR="00DF0271" w:rsidRPr="00545E0B" w:rsidRDefault="00DF0271" w:rsidP="0031595F">
            <w:pPr>
              <w:pStyle w:val="TableBody"/>
            </w:pPr>
            <w:r w:rsidRPr="007822E6">
              <w:t>20</w:t>
            </w:r>
          </w:p>
        </w:tc>
      </w:tr>
      <w:tr w:rsidR="00DF0271" w:rsidRPr="00BE4766" w14:paraId="6BAA841A" w14:textId="77777777" w:rsidTr="00504E97">
        <w:trPr>
          <w:trHeight w:val="519"/>
        </w:trPr>
        <w:tc>
          <w:tcPr>
            <w:tcW w:w="9090" w:type="dxa"/>
            <w:gridSpan w:val="3"/>
          </w:tcPr>
          <w:p w14:paraId="59CB69E6" w14:textId="77777777" w:rsidR="00DF0271" w:rsidRDefault="00DF0271" w:rsidP="0031595F">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079ADAB3" w14:textId="77777777" w:rsidR="00613851" w:rsidRPr="00613851" w:rsidRDefault="00613851" w:rsidP="009648F5">
      <w:pPr>
        <w:widowControl w:val="0"/>
        <w:tabs>
          <w:tab w:val="left" w:pos="1620"/>
        </w:tabs>
        <w:spacing w:before="480" w:after="240"/>
        <w:outlineLvl w:val="4"/>
        <w:rPr>
          <w:b/>
          <w:bCs/>
          <w:i/>
          <w:szCs w:val="26"/>
        </w:rPr>
      </w:pPr>
      <w:bookmarkStart w:id="495" w:name="_Toc419200621"/>
      <w:bookmarkStart w:id="496" w:name="_Toc405814007"/>
      <w:bookmarkStart w:id="497" w:name="_Toc309731025"/>
      <w:bookmarkStart w:id="498" w:name="_Toc175159166"/>
      <w:bookmarkStart w:id="499" w:name="_Toc390438969"/>
      <w:bookmarkStart w:id="500" w:name="_Toc405897667"/>
      <w:bookmarkStart w:id="501" w:name="_Toc415055771"/>
      <w:bookmarkStart w:id="502" w:name="_Toc415055897"/>
      <w:bookmarkStart w:id="503" w:name="_Toc415055996"/>
      <w:bookmarkStart w:id="504" w:name="_Toc415056097"/>
      <w:r w:rsidRPr="00613851">
        <w:rPr>
          <w:b/>
          <w:bCs/>
          <w:i/>
          <w:iCs/>
          <w:szCs w:val="26"/>
        </w:rPr>
        <w:t>16.11.4.3.1</w:t>
      </w:r>
      <w:r w:rsidRPr="00613851">
        <w:rPr>
          <w:b/>
          <w:bCs/>
          <w:i/>
          <w:iCs/>
          <w:szCs w:val="26"/>
        </w:rPr>
        <w:tab/>
        <w:t>Day-Ahead Liability Estimate</w:t>
      </w:r>
      <w:bookmarkEnd w:id="495"/>
      <w:bookmarkEnd w:id="496"/>
      <w:bookmarkEnd w:id="497"/>
      <w:bookmarkEnd w:id="498"/>
    </w:p>
    <w:p w14:paraId="5AC4C53D" w14:textId="77777777" w:rsidR="00613851" w:rsidRPr="00613851" w:rsidRDefault="00613851" w:rsidP="009648F5">
      <w:pPr>
        <w:widowControl w:val="0"/>
        <w:spacing w:after="240"/>
        <w:ind w:left="720" w:hanging="720"/>
        <w:rPr>
          <w:iCs/>
        </w:rPr>
      </w:pPr>
      <w:r w:rsidRPr="00613851">
        <w:rPr>
          <w:iCs/>
        </w:rPr>
        <w:t>(1)</w:t>
      </w:r>
      <w:r w:rsidRPr="00613851">
        <w:rPr>
          <w:iCs/>
        </w:rPr>
        <w:tab/>
        <w:t xml:space="preserve">ERCOT shall estimate Day-Ahead Liability (DAL) for an Operating Day as the sum of </w:t>
      </w:r>
      <w:r w:rsidRPr="00613851">
        <w:rPr>
          <w:iCs/>
        </w:rPr>
        <w:lastRenderedPageBreak/>
        <w:t>estimates for the following DAM Settlement charges and payments:</w:t>
      </w:r>
    </w:p>
    <w:p w14:paraId="49CFA88D" w14:textId="77777777" w:rsidR="00613851" w:rsidRPr="00613851" w:rsidRDefault="00613851" w:rsidP="009648F5">
      <w:pPr>
        <w:widowControl w:val="0"/>
        <w:spacing w:after="240"/>
        <w:ind w:left="1440" w:hanging="720"/>
        <w:rPr>
          <w:iCs/>
        </w:rPr>
      </w:pPr>
      <w:r w:rsidRPr="00613851">
        <w:rPr>
          <w:iCs/>
        </w:rPr>
        <w:t>(a)</w:t>
      </w:r>
      <w:r w:rsidRPr="00613851">
        <w:rPr>
          <w:iCs/>
        </w:rPr>
        <w:tab/>
        <w:t>Section 4.6.2.1, Day-Ahead Energy Payment;</w:t>
      </w:r>
    </w:p>
    <w:p w14:paraId="3E81F892" w14:textId="77777777" w:rsidR="00613851" w:rsidRPr="00613851" w:rsidRDefault="00613851" w:rsidP="009648F5">
      <w:pPr>
        <w:widowControl w:val="0"/>
        <w:spacing w:after="240"/>
        <w:ind w:left="1440" w:hanging="720"/>
        <w:rPr>
          <w:iCs/>
        </w:rPr>
      </w:pPr>
      <w:r w:rsidRPr="00613851">
        <w:rPr>
          <w:iCs/>
        </w:rPr>
        <w:t>(b)</w:t>
      </w:r>
      <w:r w:rsidRPr="00613851">
        <w:rPr>
          <w:iCs/>
        </w:rPr>
        <w:tab/>
        <w:t>Section 4.6.2.2, Day-Ahead Energy Charge;</w:t>
      </w:r>
    </w:p>
    <w:p w14:paraId="1B29E098" w14:textId="77777777" w:rsidR="00613851" w:rsidRPr="00613851" w:rsidRDefault="00613851" w:rsidP="009648F5">
      <w:pPr>
        <w:widowControl w:val="0"/>
        <w:spacing w:after="240"/>
        <w:ind w:left="1440" w:hanging="720"/>
        <w:rPr>
          <w:iCs/>
        </w:rPr>
      </w:pPr>
      <w:r w:rsidRPr="00613851">
        <w:rPr>
          <w:iCs/>
        </w:rPr>
        <w:t>(c)</w:t>
      </w:r>
      <w:r w:rsidRPr="00613851">
        <w:rPr>
          <w:iCs/>
        </w:rPr>
        <w:tab/>
        <w:t>Section 4.6.3, Settlement for PTP Obligations Bought in DAM;</w:t>
      </w:r>
    </w:p>
    <w:p w14:paraId="3099DBBF" w14:textId="77777777" w:rsidR="00613851" w:rsidRPr="00613851" w:rsidRDefault="00613851" w:rsidP="009648F5">
      <w:pPr>
        <w:widowControl w:val="0"/>
        <w:spacing w:after="240"/>
        <w:ind w:left="1440" w:hanging="720"/>
        <w:rPr>
          <w:iCs/>
        </w:rPr>
      </w:pPr>
      <w:r w:rsidRPr="00613851">
        <w:rPr>
          <w:iCs/>
        </w:rPr>
        <w:t>(d)</w:t>
      </w:r>
      <w:r w:rsidRPr="00613851">
        <w:rPr>
          <w:iCs/>
        </w:rPr>
        <w:tab/>
        <w:t>Section 4.6.4.1.1, Regulation Up Service Payment;</w:t>
      </w:r>
    </w:p>
    <w:p w14:paraId="198FEE87" w14:textId="77777777" w:rsidR="00613851" w:rsidRPr="00613851" w:rsidRDefault="00613851" w:rsidP="009648F5">
      <w:pPr>
        <w:widowControl w:val="0"/>
        <w:spacing w:after="240"/>
        <w:ind w:left="1440" w:hanging="720"/>
        <w:rPr>
          <w:iCs/>
        </w:rPr>
      </w:pPr>
      <w:r w:rsidRPr="00613851">
        <w:rPr>
          <w:iCs/>
        </w:rPr>
        <w:t>(e)</w:t>
      </w:r>
      <w:r w:rsidRPr="00613851">
        <w:rPr>
          <w:iCs/>
        </w:rPr>
        <w:tab/>
        <w:t>Section 4.6.4.1.2, Regulation Down Service Payment;</w:t>
      </w:r>
    </w:p>
    <w:p w14:paraId="41BE771A" w14:textId="77777777" w:rsidR="00613851" w:rsidRPr="00613851" w:rsidRDefault="00613851" w:rsidP="009648F5">
      <w:pPr>
        <w:widowControl w:val="0"/>
        <w:spacing w:after="240"/>
        <w:ind w:left="1440" w:hanging="720"/>
        <w:rPr>
          <w:iCs/>
        </w:rPr>
      </w:pPr>
      <w:r w:rsidRPr="00613851">
        <w:rPr>
          <w:iCs/>
        </w:rPr>
        <w:t>(f)</w:t>
      </w:r>
      <w:r w:rsidRPr="00613851">
        <w:rPr>
          <w:iCs/>
        </w:rPr>
        <w:tab/>
        <w:t>Section 4.6.4.1.3, Responsive Reserve Service Payment;</w:t>
      </w:r>
    </w:p>
    <w:p w14:paraId="42EBF3EA" w14:textId="0A6C277D" w:rsidR="00613851" w:rsidRDefault="00613851" w:rsidP="009648F5">
      <w:pPr>
        <w:widowControl w:val="0"/>
        <w:spacing w:after="240"/>
        <w:ind w:left="1440" w:hanging="720"/>
        <w:rPr>
          <w:iCs/>
        </w:rPr>
      </w:pPr>
      <w:r w:rsidRPr="00613851">
        <w:rPr>
          <w:iCs/>
        </w:rPr>
        <w:t>(g)</w:t>
      </w:r>
      <w:r w:rsidRPr="00613851">
        <w:rPr>
          <w:iCs/>
        </w:rPr>
        <w:tab/>
        <w:t>Section 4.6.4.1.4, Non-Spinning Reserve Service Payment;</w:t>
      </w:r>
    </w:p>
    <w:p w14:paraId="72339D08" w14:textId="53C0766F" w:rsidR="00AB1DA0" w:rsidRPr="00613851" w:rsidRDefault="00AB1DA0" w:rsidP="009648F5">
      <w:pPr>
        <w:widowControl w:val="0"/>
        <w:spacing w:after="240"/>
        <w:ind w:left="1440" w:hanging="720"/>
        <w:rPr>
          <w:iCs/>
        </w:rPr>
      </w:pPr>
      <w:r>
        <w:rPr>
          <w:iCs/>
        </w:rPr>
        <w:t>(h)</w:t>
      </w:r>
      <w:r>
        <w:rPr>
          <w:iCs/>
        </w:rPr>
        <w:tab/>
        <w:t xml:space="preserve">Section </w:t>
      </w:r>
      <w:r w:rsidRPr="00667DCA">
        <w:rPr>
          <w:iCs/>
        </w:rPr>
        <w:t>4.6.4.1.5</w:t>
      </w:r>
      <w:r>
        <w:rPr>
          <w:iCs/>
        </w:rPr>
        <w:t>,</w:t>
      </w:r>
      <w:r w:rsidRPr="00667DCA">
        <w:rPr>
          <w:iCs/>
        </w:rPr>
        <w:t xml:space="preserve"> ERCOT Contingency Reserve Service Payment</w:t>
      </w:r>
      <w:r>
        <w:rPr>
          <w:iCs/>
        </w:rPr>
        <w:t>;</w:t>
      </w:r>
    </w:p>
    <w:p w14:paraId="70F93F2E" w14:textId="02419A43" w:rsidR="00613851" w:rsidRPr="00613851" w:rsidRDefault="00613851" w:rsidP="00CC5258">
      <w:pPr>
        <w:widowControl w:val="0"/>
        <w:spacing w:after="240"/>
        <w:ind w:left="1440" w:hanging="720"/>
        <w:rPr>
          <w:iCs/>
        </w:rPr>
      </w:pPr>
      <w:r w:rsidRPr="00613851">
        <w:rPr>
          <w:iCs/>
        </w:rPr>
        <w:t>(</w:t>
      </w:r>
      <w:r w:rsidR="00AB1DA0">
        <w:rPr>
          <w:iCs/>
        </w:rPr>
        <w:t>i</w:t>
      </w:r>
      <w:r w:rsidRPr="00613851">
        <w:rPr>
          <w:iCs/>
        </w:rPr>
        <w:t>)</w:t>
      </w:r>
      <w:r w:rsidRPr="00613851">
        <w:rPr>
          <w:iCs/>
        </w:rPr>
        <w:tab/>
        <w:t>Section 4.6.4.2.1, Regulation Up Service Charge;</w:t>
      </w:r>
    </w:p>
    <w:p w14:paraId="24F9CC7C" w14:textId="1C309F09" w:rsidR="00613851" w:rsidRPr="00613851" w:rsidRDefault="00613851" w:rsidP="009648F5">
      <w:pPr>
        <w:widowControl w:val="0"/>
        <w:spacing w:after="240"/>
        <w:ind w:left="1440" w:hanging="720"/>
        <w:rPr>
          <w:iCs/>
        </w:rPr>
      </w:pPr>
      <w:r w:rsidRPr="00613851">
        <w:rPr>
          <w:iCs/>
        </w:rPr>
        <w:t>(</w:t>
      </w:r>
      <w:r w:rsidR="00AB1DA0">
        <w:rPr>
          <w:iCs/>
        </w:rPr>
        <w:t>j</w:t>
      </w:r>
      <w:r w:rsidRPr="00613851">
        <w:rPr>
          <w:iCs/>
        </w:rPr>
        <w:t>)</w:t>
      </w:r>
      <w:r w:rsidRPr="00613851">
        <w:rPr>
          <w:iCs/>
        </w:rPr>
        <w:tab/>
        <w:t>Section 4.6.4.2.2, Regulation Down Service Charge;</w:t>
      </w:r>
    </w:p>
    <w:p w14:paraId="1E2685CB" w14:textId="70C46ADE" w:rsidR="00613851" w:rsidRPr="00613851" w:rsidRDefault="00613851" w:rsidP="009648F5">
      <w:pPr>
        <w:widowControl w:val="0"/>
        <w:spacing w:after="240"/>
        <w:ind w:left="1440" w:hanging="720"/>
        <w:rPr>
          <w:iCs/>
        </w:rPr>
      </w:pPr>
      <w:r w:rsidRPr="00613851">
        <w:rPr>
          <w:iCs/>
        </w:rPr>
        <w:t>(</w:t>
      </w:r>
      <w:r w:rsidR="00AB1DA0">
        <w:rPr>
          <w:iCs/>
        </w:rPr>
        <w:t>k</w:t>
      </w:r>
      <w:r w:rsidRPr="00613851">
        <w:rPr>
          <w:iCs/>
        </w:rPr>
        <w:t>)</w:t>
      </w:r>
      <w:r w:rsidRPr="00613851">
        <w:rPr>
          <w:iCs/>
        </w:rPr>
        <w:tab/>
        <w:t>Section 4.6.4.2.3, Responsive Reserve Service Charge;</w:t>
      </w:r>
    </w:p>
    <w:p w14:paraId="46E780EE" w14:textId="139C08C6" w:rsidR="00613851" w:rsidRDefault="00613851" w:rsidP="009648F5">
      <w:pPr>
        <w:widowControl w:val="0"/>
        <w:spacing w:after="240"/>
        <w:ind w:left="1440" w:hanging="720"/>
        <w:rPr>
          <w:iCs/>
        </w:rPr>
      </w:pPr>
      <w:r w:rsidRPr="00613851">
        <w:rPr>
          <w:iCs/>
        </w:rPr>
        <w:t>(</w:t>
      </w:r>
      <w:r w:rsidR="00AB1DA0">
        <w:rPr>
          <w:iCs/>
        </w:rPr>
        <w:t>l</w:t>
      </w:r>
      <w:r w:rsidRPr="00613851">
        <w:rPr>
          <w:iCs/>
        </w:rPr>
        <w:t>)</w:t>
      </w:r>
      <w:r w:rsidRPr="00613851">
        <w:rPr>
          <w:iCs/>
        </w:rPr>
        <w:tab/>
        <w:t>Section 4.6.4.2.4, Non-Spinning Reserve Service Charge;</w:t>
      </w:r>
    </w:p>
    <w:p w14:paraId="28DE05E8" w14:textId="21618D39" w:rsidR="00AB1DA0" w:rsidRPr="00613851" w:rsidRDefault="00AB1DA0" w:rsidP="009648F5">
      <w:pPr>
        <w:widowControl w:val="0"/>
        <w:spacing w:after="240"/>
        <w:ind w:left="1440" w:hanging="720"/>
        <w:rPr>
          <w:iCs/>
        </w:rPr>
      </w:pPr>
      <w:r>
        <w:rPr>
          <w:iCs/>
        </w:rPr>
        <w:t>(m)</w:t>
      </w:r>
      <w:r>
        <w:rPr>
          <w:iCs/>
        </w:rPr>
        <w:tab/>
        <w:t xml:space="preserve">Section </w:t>
      </w:r>
      <w:r w:rsidRPr="00477614">
        <w:rPr>
          <w:iCs/>
        </w:rPr>
        <w:t>4.6.4.2.5</w:t>
      </w:r>
      <w:r>
        <w:rPr>
          <w:iCs/>
        </w:rPr>
        <w:t>,</w:t>
      </w:r>
      <w:r w:rsidRPr="00477614">
        <w:rPr>
          <w:iCs/>
        </w:rPr>
        <w:t xml:space="preserve"> ERCOT Contingency Reserve Service Charge</w:t>
      </w:r>
      <w:r>
        <w:rPr>
          <w:iCs/>
        </w:rPr>
        <w:t>;</w:t>
      </w:r>
    </w:p>
    <w:p w14:paraId="3A4A0F8A" w14:textId="6CC91DB9" w:rsidR="00613851" w:rsidRPr="00613851" w:rsidRDefault="00613851" w:rsidP="00CC5258">
      <w:pPr>
        <w:widowControl w:val="0"/>
        <w:spacing w:after="240"/>
        <w:ind w:left="1440" w:hanging="720"/>
        <w:rPr>
          <w:iCs/>
        </w:rPr>
      </w:pPr>
      <w:r w:rsidRPr="00613851">
        <w:rPr>
          <w:iCs/>
        </w:rPr>
        <w:t>(</w:t>
      </w:r>
      <w:r w:rsidR="00AB1DA0">
        <w:rPr>
          <w:iCs/>
        </w:rPr>
        <w:t>n</w:t>
      </w:r>
      <w:r w:rsidRPr="00613851">
        <w:rPr>
          <w:iCs/>
        </w:rPr>
        <w:t>)</w:t>
      </w:r>
      <w:r w:rsidRPr="00613851">
        <w:rPr>
          <w:iCs/>
        </w:rPr>
        <w:tab/>
        <w:t>Section 7.9.1.1, Payments and Charges for PTP Obligations Settled in DAM;</w:t>
      </w:r>
    </w:p>
    <w:p w14:paraId="4642FC3F" w14:textId="13F638B1" w:rsidR="00613851" w:rsidRPr="00613851" w:rsidRDefault="00613851" w:rsidP="009648F5">
      <w:pPr>
        <w:widowControl w:val="0"/>
        <w:spacing w:after="240"/>
        <w:ind w:left="1440" w:hanging="720"/>
        <w:rPr>
          <w:iCs/>
        </w:rPr>
      </w:pPr>
      <w:r w:rsidRPr="00613851">
        <w:rPr>
          <w:iCs/>
        </w:rPr>
        <w:t>(</w:t>
      </w:r>
      <w:r w:rsidR="00AB1DA0">
        <w:rPr>
          <w:iCs/>
        </w:rPr>
        <w:t>o</w:t>
      </w:r>
      <w:r w:rsidRPr="00613851">
        <w:rPr>
          <w:iCs/>
        </w:rPr>
        <w:t>)</w:t>
      </w:r>
      <w:r w:rsidRPr="00613851">
        <w:rPr>
          <w:iCs/>
        </w:rPr>
        <w:tab/>
        <w:t>Section 7.9.1.2, Payments for PTP Options Settled in DAM;</w:t>
      </w:r>
    </w:p>
    <w:p w14:paraId="12D3D1EF" w14:textId="00A6E397" w:rsidR="00613851" w:rsidRPr="00613851" w:rsidRDefault="00613851" w:rsidP="009648F5">
      <w:pPr>
        <w:widowControl w:val="0"/>
        <w:spacing w:after="240"/>
        <w:ind w:left="1440" w:hanging="720"/>
        <w:rPr>
          <w:iCs/>
        </w:rPr>
      </w:pPr>
      <w:r w:rsidRPr="00613851">
        <w:rPr>
          <w:iCs/>
        </w:rPr>
        <w:t>(</w:t>
      </w:r>
      <w:r w:rsidR="00AB1DA0">
        <w:rPr>
          <w:iCs/>
        </w:rPr>
        <w:t>p</w:t>
      </w:r>
      <w:r w:rsidRPr="00613851">
        <w:rPr>
          <w:iCs/>
        </w:rPr>
        <w:t>)</w:t>
      </w:r>
      <w:r w:rsidRPr="00613851">
        <w:rPr>
          <w:iCs/>
        </w:rPr>
        <w:tab/>
        <w:t>Section 7.9.1.5, Payments and Charges for PTP Obligations with Refund Settled in DAM; and</w:t>
      </w:r>
    </w:p>
    <w:p w14:paraId="63297784" w14:textId="0C54A527" w:rsidR="00613851" w:rsidRPr="00613851" w:rsidRDefault="00613851" w:rsidP="009648F5">
      <w:pPr>
        <w:widowControl w:val="0"/>
        <w:spacing w:after="240"/>
        <w:ind w:left="1440" w:hanging="720"/>
        <w:rPr>
          <w:iCs/>
        </w:rPr>
      </w:pPr>
      <w:r w:rsidRPr="00613851">
        <w:rPr>
          <w:iCs/>
        </w:rPr>
        <w:t>(</w:t>
      </w:r>
      <w:r w:rsidR="00AB1DA0">
        <w:rPr>
          <w:iCs/>
        </w:rPr>
        <w:t>q</w:t>
      </w:r>
      <w:r w:rsidRPr="00613851">
        <w:rPr>
          <w:iCs/>
        </w:rPr>
        <w:t>)</w:t>
      </w:r>
      <w:r w:rsidRPr="00613851">
        <w:rPr>
          <w:iCs/>
        </w:rPr>
        <w:tab/>
        <w:t>Section 7.9.1.6, Payments for PTP Options with Refund Settled in DAM.</w:t>
      </w:r>
    </w:p>
    <w:p w14:paraId="48DAFDE9" w14:textId="77777777" w:rsidR="00613851" w:rsidRPr="00613851" w:rsidRDefault="00613851" w:rsidP="00613851">
      <w:pPr>
        <w:keepNext/>
        <w:tabs>
          <w:tab w:val="left" w:pos="1620"/>
        </w:tabs>
        <w:spacing w:before="240" w:after="240"/>
        <w:ind w:left="1627" w:hanging="1627"/>
        <w:outlineLvl w:val="4"/>
        <w:rPr>
          <w:b/>
          <w:bCs/>
          <w:i/>
          <w:iCs/>
          <w:szCs w:val="26"/>
        </w:rPr>
      </w:pPr>
      <w:bookmarkStart w:id="505" w:name="_Toc175159167"/>
      <w:r w:rsidRPr="00613851">
        <w:rPr>
          <w:b/>
          <w:bCs/>
          <w:i/>
          <w:iCs/>
          <w:szCs w:val="26"/>
        </w:rPr>
        <w:t>16.11.4.3.2</w:t>
      </w:r>
      <w:r w:rsidRPr="00613851">
        <w:rPr>
          <w:b/>
          <w:bCs/>
          <w:i/>
          <w:iCs/>
          <w:szCs w:val="26"/>
        </w:rPr>
        <w:tab/>
        <w:t>Real-Time Liability Estimate</w:t>
      </w:r>
      <w:bookmarkEnd w:id="505"/>
    </w:p>
    <w:p w14:paraId="144BB042" w14:textId="77777777" w:rsidR="00613851" w:rsidRPr="00613851" w:rsidRDefault="00613851" w:rsidP="00613851">
      <w:pPr>
        <w:keepNext/>
        <w:spacing w:after="240"/>
        <w:ind w:left="720" w:hanging="720"/>
        <w:rPr>
          <w:iCs/>
        </w:rPr>
      </w:pPr>
      <w:r w:rsidRPr="00613851">
        <w:rPr>
          <w:iCs/>
        </w:rPr>
        <w:t>(1)</w:t>
      </w:r>
      <w:r w:rsidRPr="00613851">
        <w:rPr>
          <w:iCs/>
        </w:rPr>
        <w:tab/>
        <w:t>ERCOT shall estimate RTL for an Operating Day as the sum of estimates for the following RTM Settlement charges and payments:</w:t>
      </w:r>
    </w:p>
    <w:p w14:paraId="36B59AEF" w14:textId="77777777" w:rsidR="00613851" w:rsidRPr="00613851" w:rsidRDefault="00613851" w:rsidP="00613851">
      <w:pPr>
        <w:spacing w:after="240"/>
        <w:ind w:left="1440" w:hanging="720"/>
      </w:pPr>
      <w:r w:rsidRPr="00613851">
        <w:t>(a)</w:t>
      </w:r>
      <w:r w:rsidRPr="00613851">
        <w:tab/>
        <w:t xml:space="preserve">Section 6.6.3.1, Real-Time Energy Imbalance Payment or Charge at a Resource Node, using Real-Time Metered Generation (RTMG) as generation estimate; </w:t>
      </w:r>
    </w:p>
    <w:p w14:paraId="70059D2F" w14:textId="27747CDF" w:rsidR="00613851" w:rsidRPr="00613851" w:rsidRDefault="00613851" w:rsidP="00613851">
      <w:pPr>
        <w:spacing w:after="240"/>
        <w:ind w:left="1440" w:hanging="720"/>
      </w:pPr>
      <w:r w:rsidRPr="00613851">
        <w:t>(b)</w:t>
      </w:r>
      <w:r w:rsidRPr="00613851">
        <w:tab/>
        <w:t>Section 6.6.3.2, Real-Time Energy Imbalance Payment or Charge at a Load Zone, using 14</w:t>
      </w:r>
      <w:r w:rsidR="00C279DC">
        <w:t>-</w:t>
      </w:r>
      <w:r w:rsidRPr="00613851">
        <w:t>day or seven</w:t>
      </w:r>
      <w:r w:rsidR="00C279DC">
        <w:t>-</w:t>
      </w:r>
      <w:r w:rsidRPr="00613851">
        <w:t>day</w:t>
      </w:r>
      <w:r w:rsidR="00C279DC">
        <w:t>-</w:t>
      </w:r>
      <w:r w:rsidRPr="00613851">
        <w:t>old LRS for Load estimate;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B35DA1" w14:paraId="17E52C37" w14:textId="77777777" w:rsidTr="004033D4">
        <w:tc>
          <w:tcPr>
            <w:tcW w:w="9332" w:type="dxa"/>
            <w:shd w:val="pct12" w:color="auto" w:fill="auto"/>
          </w:tcPr>
          <w:p w14:paraId="226C1687" w14:textId="77777777" w:rsidR="00B35DA1" w:rsidRPr="0002450E" w:rsidRDefault="00B35DA1" w:rsidP="00B7359F">
            <w:pPr>
              <w:pStyle w:val="Instructions"/>
              <w:spacing w:before="120"/>
              <w:rPr>
                <w:iCs/>
              </w:rPr>
            </w:pPr>
            <w:r>
              <w:rPr>
                <w:iCs/>
              </w:rPr>
              <w:lastRenderedPageBreak/>
              <w:t>[NPRR829</w:t>
            </w:r>
            <w:r w:rsidRPr="0002450E">
              <w:rPr>
                <w:iCs/>
              </w:rPr>
              <w:t xml:space="preserve">:  Replace </w:t>
            </w:r>
            <w:r>
              <w:rPr>
                <w:iCs/>
              </w:rPr>
              <w:t>item (b)</w:t>
            </w:r>
            <w:r w:rsidRPr="0002450E">
              <w:rPr>
                <w:iCs/>
              </w:rPr>
              <w:t xml:space="preserve"> above with the following upon system implementation:] </w:t>
            </w:r>
          </w:p>
          <w:p w14:paraId="27A8F5A9" w14:textId="6D78A656" w:rsidR="00B35DA1" w:rsidRPr="00B35DA1" w:rsidRDefault="00B35DA1" w:rsidP="00B91B01">
            <w:pPr>
              <w:spacing w:after="240"/>
              <w:ind w:left="1440" w:hanging="720"/>
            </w:pPr>
            <w:r w:rsidRPr="00613851">
              <w:t>(b)</w:t>
            </w:r>
            <w:r w:rsidRPr="00613851">
              <w:tab/>
              <w:t>Section 6.6.3.2, Real-Time Energy Imbalance Payment or Charge at a Load Zone, using 14</w:t>
            </w:r>
            <w:r w:rsidR="00C279DC">
              <w:t>-</w:t>
            </w:r>
            <w:r w:rsidRPr="00613851">
              <w:t>day or seven</w:t>
            </w:r>
            <w:r w:rsidR="00C279DC">
              <w:t>-</w:t>
            </w:r>
            <w:r w:rsidRPr="00613851">
              <w:t>day</w:t>
            </w:r>
            <w:r w:rsidR="00C279DC">
              <w:t>-</w:t>
            </w:r>
            <w:r w:rsidRPr="00613851">
              <w:t>old LRS for Load estimate</w:t>
            </w:r>
            <w:r>
              <w:t xml:space="preserve"> and Real-Time telemetry of net generation as the generation estimate</w:t>
            </w:r>
            <w:r w:rsidRPr="00613851">
              <w:t>;</w:t>
            </w:r>
          </w:p>
        </w:tc>
      </w:tr>
    </w:tbl>
    <w:p w14:paraId="4DDDE8F6" w14:textId="77777777" w:rsidR="00613851" w:rsidRPr="00613851" w:rsidRDefault="00613851" w:rsidP="00AC0942">
      <w:pPr>
        <w:spacing w:before="240" w:after="240"/>
        <w:ind w:left="1440" w:hanging="720"/>
      </w:pPr>
      <w:r w:rsidRPr="00613851">
        <w:t>(c)</w:t>
      </w:r>
      <w:r w:rsidRPr="00613851">
        <w:tab/>
        <w:t>Section 6.6.3.3, Real-Time Energy Imbalance Payment or Charge at a Hub;</w:t>
      </w:r>
    </w:p>
    <w:p w14:paraId="553EFAEF" w14:textId="77777777" w:rsidR="00613851" w:rsidRPr="00613851" w:rsidRDefault="00613851" w:rsidP="00613851">
      <w:pPr>
        <w:spacing w:after="240"/>
        <w:ind w:left="1440" w:hanging="720"/>
      </w:pPr>
      <w:r w:rsidRPr="00613851">
        <w:t>(d)</w:t>
      </w:r>
      <w:r w:rsidRPr="00613851">
        <w:tab/>
        <w:t>Section 6.6.3.4, Real-Time Energy Payment for DC Tie Import;</w:t>
      </w:r>
    </w:p>
    <w:p w14:paraId="5A608B9F" w14:textId="46A223A7" w:rsidR="00BA4149" w:rsidRPr="00613851" w:rsidRDefault="00BA4149" w:rsidP="00463FB0">
      <w:pPr>
        <w:spacing w:after="240"/>
        <w:ind w:left="1440" w:hanging="720"/>
      </w:pPr>
      <w:r w:rsidRPr="00B75A10">
        <w:t>(</w:t>
      </w:r>
      <w:r w:rsidR="00D9164C">
        <w:t>e</w:t>
      </w:r>
      <w:r w:rsidRPr="00B75A10">
        <w:t>)</w:t>
      </w:r>
      <w:r w:rsidRPr="00B75A10">
        <w:tab/>
        <w:t>Section 6.6.3.</w:t>
      </w:r>
      <w:r w:rsidR="00D9164C">
        <w:t>8</w:t>
      </w:r>
      <w:r w:rsidRPr="00B75A10">
        <w:t xml:space="preserve">, Real-Time Payment or Charge for Energy from </w:t>
      </w:r>
      <w:r w:rsidRPr="007A41CB">
        <w:t>a Settlement Only Distribution Generator (SODG) or a Settlement Only Transmission Generator (SOTG)</w:t>
      </w:r>
      <w:r>
        <w:t>,</w:t>
      </w:r>
      <w:r w:rsidRPr="00FF47C6">
        <w:t xml:space="preserve"> using the Real-Time telemetry</w:t>
      </w:r>
      <w:r>
        <w:t>, if provided,</w:t>
      </w:r>
      <w:r w:rsidRPr="00FF47C6">
        <w:t xml:space="preserve"> of net generation as the outflow estimate and the Real-Time Price for each SODG or SOTG site</w:t>
      </w:r>
      <w:r w:rsidRPr="00B75A10">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1A7AB9" w14:paraId="10C107F0" w14:textId="77777777" w:rsidTr="004033D4">
        <w:tc>
          <w:tcPr>
            <w:tcW w:w="9332" w:type="dxa"/>
            <w:shd w:val="pct12" w:color="auto" w:fill="auto"/>
          </w:tcPr>
          <w:p w14:paraId="2A927AB9" w14:textId="553E8DD7" w:rsidR="001A7AB9" w:rsidRPr="0002450E" w:rsidRDefault="001A7AB9" w:rsidP="00767EC3">
            <w:pPr>
              <w:pStyle w:val="Instructions"/>
              <w:spacing w:before="120"/>
              <w:rPr>
                <w:iCs/>
              </w:rPr>
            </w:pPr>
            <w:r>
              <w:rPr>
                <w:iCs/>
              </w:rPr>
              <w:t>[</w:t>
            </w:r>
            <w:r w:rsidR="00DF27BC">
              <w:rPr>
                <w:iCs/>
              </w:rPr>
              <w:t>NPRR995</w:t>
            </w:r>
            <w:r w:rsidR="006B2E4D">
              <w:rPr>
                <w:iCs/>
              </w:rPr>
              <w:t xml:space="preserve"> and NPRR1077</w:t>
            </w:r>
            <w:r w:rsidRPr="0002450E">
              <w:rPr>
                <w:iCs/>
              </w:rPr>
              <w:t xml:space="preserve">:  </w:t>
            </w:r>
            <w:r w:rsidR="00BA4149">
              <w:rPr>
                <w:iCs/>
              </w:rPr>
              <w:t>Replace</w:t>
            </w:r>
            <w:r>
              <w:rPr>
                <w:iCs/>
              </w:rPr>
              <w:t xml:space="preserve"> </w:t>
            </w:r>
            <w:r w:rsidR="00DF27BC">
              <w:rPr>
                <w:iCs/>
              </w:rPr>
              <w:t xml:space="preserve">applicable portions of </w:t>
            </w:r>
            <w:r>
              <w:rPr>
                <w:iCs/>
              </w:rPr>
              <w:t>item (</w:t>
            </w:r>
            <w:r w:rsidR="00D9164C">
              <w:rPr>
                <w:iCs/>
              </w:rPr>
              <w:t>e</w:t>
            </w:r>
            <w:r>
              <w:rPr>
                <w:iCs/>
              </w:rPr>
              <w:t xml:space="preserve">) </w:t>
            </w:r>
            <w:r w:rsidR="00BA4149">
              <w:rPr>
                <w:iCs/>
              </w:rPr>
              <w:t>above with the following</w:t>
            </w:r>
            <w:r w:rsidRPr="0002450E">
              <w:rPr>
                <w:iCs/>
              </w:rPr>
              <w:t xml:space="preserve"> upon system implementation:] </w:t>
            </w:r>
          </w:p>
          <w:p w14:paraId="507AC414" w14:textId="7C57200C" w:rsidR="001A7AB9" w:rsidRPr="00B35DA1" w:rsidRDefault="001A7AB9" w:rsidP="001A7AB9">
            <w:pPr>
              <w:spacing w:after="240"/>
              <w:ind w:left="1440" w:hanging="720"/>
            </w:pPr>
            <w:r w:rsidRPr="00B75A10">
              <w:t>(</w:t>
            </w:r>
            <w:r w:rsidR="00D9164C">
              <w:t>e</w:t>
            </w:r>
            <w:r w:rsidRPr="00B75A10">
              <w:t>)</w:t>
            </w:r>
            <w:r w:rsidRPr="00B75A10">
              <w:tab/>
              <w:t>Section 6.6.3.</w:t>
            </w:r>
            <w:r w:rsidR="00D9164C">
              <w:t>8</w:t>
            </w:r>
            <w:r w:rsidRPr="00B75A10">
              <w:t xml:space="preserve">, Real-Time Payment or Charge for Energy from </w:t>
            </w:r>
            <w:r w:rsidRPr="007A41CB">
              <w:t>a Settlement Only Distribution Generator (SODG)</w:t>
            </w:r>
            <w:r w:rsidR="00DF27BC">
              <w:t>,</w:t>
            </w:r>
            <w:r w:rsidRPr="007A41CB">
              <w:t xml:space="preserve"> Settlement Only Transmission Generator (SOTG)</w:t>
            </w:r>
            <w:r w:rsidR="00DF27BC" w:rsidRPr="004F0937">
              <w:t>, Settlement Only Distribution Energy Storage</w:t>
            </w:r>
            <w:r w:rsidR="00DF27BC">
              <w:t xml:space="preserve"> System</w:t>
            </w:r>
            <w:r w:rsidR="00DF27BC" w:rsidRPr="004F0937">
              <w:t xml:space="preserve"> (SODES</w:t>
            </w:r>
            <w:r w:rsidR="00DF27BC">
              <w:t>S</w:t>
            </w:r>
            <w:r w:rsidR="00DF27BC" w:rsidRPr="004F0937">
              <w:t>), or Settlement Only Transmission Energy Storage</w:t>
            </w:r>
            <w:r w:rsidR="00DF27BC">
              <w:t xml:space="preserve"> System</w:t>
            </w:r>
            <w:r w:rsidR="00DF27BC" w:rsidRPr="004F0937">
              <w:t xml:space="preserve"> (SOTES</w:t>
            </w:r>
            <w:r w:rsidR="00DF27BC">
              <w:t>S</w:t>
            </w:r>
            <w:r w:rsidR="00DF27BC" w:rsidRPr="004F0937">
              <w:t>)</w:t>
            </w:r>
            <w:r>
              <w:t>,</w:t>
            </w:r>
            <w:r w:rsidRPr="00FF47C6">
              <w:t xml:space="preserve"> using the Real-Time telemetry of net generation as the outflow estimate and the Real-Time Price for each SODG</w:t>
            </w:r>
            <w:r w:rsidR="00DF27BC">
              <w:t>,</w:t>
            </w:r>
            <w:r w:rsidRPr="00FF47C6">
              <w:t xml:space="preserve"> SOTG</w:t>
            </w:r>
            <w:r w:rsidR="00DF27BC" w:rsidRPr="004F0937">
              <w:t>, SODES</w:t>
            </w:r>
            <w:r w:rsidR="00DF27BC">
              <w:t>S</w:t>
            </w:r>
            <w:r w:rsidR="00DF27BC" w:rsidRPr="004F0937">
              <w:t xml:space="preserve">, or </w:t>
            </w:r>
            <w:r w:rsidR="00DF27BC" w:rsidRPr="00694393">
              <w:t>SOTES</w:t>
            </w:r>
            <w:r w:rsidR="00DF27BC">
              <w:t>S</w:t>
            </w:r>
            <w:r w:rsidRPr="00FF47C6">
              <w:t xml:space="preserve"> site</w:t>
            </w:r>
            <w:r w:rsidRPr="00B75A10">
              <w:t>;</w:t>
            </w:r>
          </w:p>
        </w:tc>
      </w:tr>
    </w:tbl>
    <w:p w14:paraId="585A3F67" w14:textId="357556FC" w:rsidR="00613851" w:rsidRPr="00613851" w:rsidRDefault="00613851" w:rsidP="003E021A">
      <w:pPr>
        <w:spacing w:before="240" w:after="240"/>
        <w:ind w:left="1440" w:hanging="720"/>
      </w:pPr>
      <w:r w:rsidRPr="00613851">
        <w:t>(</w:t>
      </w:r>
      <w:r w:rsidR="00D9164C">
        <w:t>f</w:t>
      </w:r>
      <w:r w:rsidRPr="00613851">
        <w:t>)</w:t>
      </w:r>
      <w:r w:rsidRPr="00613851">
        <w:tab/>
        <w:t>Section 6.6.4, Real-Time Congestion Payment or Charge for Self-Schedules;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033D4" w14:paraId="66A49C17" w14:textId="77777777" w:rsidTr="005A32AC">
        <w:tc>
          <w:tcPr>
            <w:tcW w:w="9332" w:type="dxa"/>
            <w:shd w:val="pct12" w:color="auto" w:fill="auto"/>
          </w:tcPr>
          <w:p w14:paraId="4F0034F9" w14:textId="4068D94C" w:rsidR="004033D4" w:rsidRPr="0002450E" w:rsidRDefault="004033D4" w:rsidP="005A32AC">
            <w:pPr>
              <w:pStyle w:val="Instructions"/>
              <w:spacing w:before="120"/>
              <w:rPr>
                <w:iCs/>
              </w:rPr>
            </w:pPr>
            <w:bookmarkStart w:id="506" w:name="_Toc397670191"/>
            <w:bookmarkStart w:id="507" w:name="_Toc405805793"/>
            <w:bookmarkStart w:id="508" w:name="_Toc422205968"/>
            <w:r>
              <w:rPr>
                <w:iCs/>
              </w:rPr>
              <w:t>[NPRR1013</w:t>
            </w:r>
            <w:r w:rsidRPr="0002450E">
              <w:rPr>
                <w:iCs/>
              </w:rPr>
              <w:t xml:space="preserve">:  </w:t>
            </w:r>
            <w:r>
              <w:rPr>
                <w:iCs/>
              </w:rPr>
              <w:t>Insert items (</w:t>
            </w:r>
            <w:r w:rsidR="00D9164C">
              <w:rPr>
                <w:iCs/>
              </w:rPr>
              <w:t>g</w:t>
            </w:r>
            <w:r>
              <w:rPr>
                <w:iCs/>
              </w:rPr>
              <w:t>)-(</w:t>
            </w:r>
            <w:r w:rsidR="00D9164C">
              <w:rPr>
                <w:iCs/>
              </w:rPr>
              <w:t>k</w:t>
            </w:r>
            <w:r>
              <w:rPr>
                <w:iCs/>
              </w:rPr>
              <w:t>) below</w:t>
            </w:r>
            <w:r w:rsidRPr="0002450E">
              <w:rPr>
                <w:iCs/>
              </w:rPr>
              <w:t xml:space="preserve"> upon system implementation</w:t>
            </w:r>
            <w:r>
              <w:rPr>
                <w:iCs/>
              </w:rPr>
              <w:t xml:space="preserve"> of the Real-Time Co-Optimization (RTC) project and renumber accordingly</w:t>
            </w:r>
            <w:r w:rsidRPr="0002450E">
              <w:rPr>
                <w:iCs/>
              </w:rPr>
              <w:t xml:space="preserve">:] </w:t>
            </w:r>
          </w:p>
          <w:p w14:paraId="61C41706" w14:textId="11650A0F" w:rsidR="004033D4" w:rsidRDefault="004033D4" w:rsidP="004033D4">
            <w:pPr>
              <w:spacing w:after="240"/>
              <w:ind w:left="1440" w:hanging="720"/>
            </w:pPr>
            <w:r>
              <w:t>(</w:t>
            </w:r>
            <w:r w:rsidR="00D9164C">
              <w:t>g</w:t>
            </w:r>
            <w:r>
              <w:t>)</w:t>
            </w:r>
            <w:r>
              <w:tab/>
              <w:t xml:space="preserve">Section 6.7.5.1, Regulation Up Payments and Charges; </w:t>
            </w:r>
          </w:p>
          <w:p w14:paraId="3AB428CE" w14:textId="6C3FA5EE" w:rsidR="004033D4" w:rsidRDefault="004033D4" w:rsidP="004033D4">
            <w:pPr>
              <w:spacing w:after="240"/>
              <w:ind w:left="1440" w:hanging="720"/>
            </w:pPr>
            <w:r>
              <w:t>(</w:t>
            </w:r>
            <w:r w:rsidR="00D9164C">
              <w:t>h</w:t>
            </w:r>
            <w:r>
              <w:t>)</w:t>
            </w:r>
            <w:r>
              <w:tab/>
              <w:t xml:space="preserve">Section 6.7.5.2, Regulation Down Payments and Charges; </w:t>
            </w:r>
          </w:p>
          <w:p w14:paraId="2C8E48B2" w14:textId="60CD9C69" w:rsidR="004033D4" w:rsidRDefault="004033D4" w:rsidP="004033D4">
            <w:pPr>
              <w:spacing w:after="240"/>
              <w:ind w:left="1440" w:hanging="720"/>
            </w:pPr>
            <w:r>
              <w:t>(</w:t>
            </w:r>
            <w:r w:rsidR="00D9164C">
              <w:t>i</w:t>
            </w:r>
            <w:r>
              <w:t>)</w:t>
            </w:r>
            <w:r>
              <w:tab/>
              <w:t xml:space="preserve">Section 6.7.5.3, Responsive Reserve Payments and Charges; </w:t>
            </w:r>
          </w:p>
          <w:p w14:paraId="698790AE" w14:textId="4AF65936" w:rsidR="004033D4" w:rsidRDefault="004033D4" w:rsidP="004033D4">
            <w:pPr>
              <w:spacing w:after="240"/>
              <w:ind w:left="1440" w:hanging="720"/>
            </w:pPr>
            <w:r>
              <w:t>(</w:t>
            </w:r>
            <w:r w:rsidR="00D9164C">
              <w:t>j</w:t>
            </w:r>
            <w:r>
              <w:t>)</w:t>
            </w:r>
            <w:r>
              <w:tab/>
              <w:t>Section 6.7.5.4, Non-Spinning Reserve Payments and Charges; and</w:t>
            </w:r>
          </w:p>
          <w:p w14:paraId="55FD048E" w14:textId="67C94A20" w:rsidR="004033D4" w:rsidRPr="00B35DA1" w:rsidRDefault="004033D4" w:rsidP="004033D4">
            <w:pPr>
              <w:spacing w:after="240"/>
              <w:ind w:left="1440" w:hanging="720"/>
            </w:pPr>
            <w:r>
              <w:t>(</w:t>
            </w:r>
            <w:r w:rsidR="00D9164C">
              <w:t>k</w:t>
            </w:r>
            <w:r>
              <w:t>)</w:t>
            </w:r>
            <w:r>
              <w:tab/>
              <w:t>Section 6.7.5.5, ERCOT Contingency Reserve Service Payments and Charges.</w:t>
            </w:r>
          </w:p>
        </w:tc>
      </w:tr>
    </w:tbl>
    <w:p w14:paraId="193F3B9F" w14:textId="302DA1D7" w:rsidR="00613851" w:rsidRDefault="00613851" w:rsidP="0028136E">
      <w:pPr>
        <w:spacing w:before="240" w:after="240"/>
        <w:ind w:left="1440" w:hanging="720"/>
      </w:pPr>
      <w:r w:rsidRPr="00613851">
        <w:t>(</w:t>
      </w:r>
      <w:r w:rsidR="00D9164C">
        <w:t>g</w:t>
      </w:r>
      <w:r w:rsidRPr="00613851">
        <w:t>)</w:t>
      </w:r>
      <w:r w:rsidRPr="00613851">
        <w:tab/>
        <w:t>Section 7.9.2.1,</w:t>
      </w:r>
      <w:bookmarkEnd w:id="506"/>
      <w:bookmarkEnd w:id="507"/>
      <w:bookmarkEnd w:id="508"/>
      <w:r w:rsidRPr="00613851">
        <w:t xml:space="preserve"> Payments and Charges for PTP Obligations Settled in Real-Time.</w:t>
      </w:r>
    </w:p>
    <w:p w14:paraId="29DEF723" w14:textId="77777777" w:rsidR="009453A8" w:rsidRDefault="009453A8" w:rsidP="009453A8">
      <w:pPr>
        <w:keepNext/>
        <w:tabs>
          <w:tab w:val="left" w:pos="1620"/>
        </w:tabs>
        <w:spacing w:before="240" w:after="240"/>
        <w:outlineLvl w:val="4"/>
        <w:rPr>
          <w:b/>
          <w:bCs/>
          <w:i/>
          <w:iCs/>
          <w:szCs w:val="26"/>
        </w:rPr>
      </w:pPr>
      <w:bookmarkStart w:id="509" w:name="_Toc175159168"/>
      <w:r w:rsidRPr="00613851">
        <w:rPr>
          <w:b/>
          <w:bCs/>
          <w:i/>
          <w:iCs/>
          <w:szCs w:val="26"/>
        </w:rPr>
        <w:lastRenderedPageBreak/>
        <w:t>16.11.4.3.</w:t>
      </w:r>
      <w:r>
        <w:rPr>
          <w:b/>
          <w:bCs/>
          <w:i/>
          <w:iCs/>
          <w:szCs w:val="26"/>
        </w:rPr>
        <w:t>3</w:t>
      </w:r>
      <w:r w:rsidRPr="00613851">
        <w:rPr>
          <w:b/>
          <w:bCs/>
          <w:i/>
          <w:iCs/>
          <w:szCs w:val="26"/>
        </w:rPr>
        <w:tab/>
      </w:r>
      <w:r>
        <w:rPr>
          <w:b/>
          <w:bCs/>
          <w:i/>
          <w:iCs/>
          <w:szCs w:val="26"/>
        </w:rPr>
        <w:t>Forward Adjustment Factors</w:t>
      </w:r>
      <w:bookmarkEnd w:id="509"/>
    </w:p>
    <w:p w14:paraId="69BBD247" w14:textId="77777777" w:rsidR="009453A8" w:rsidRDefault="009453A8" w:rsidP="009453A8">
      <w:pPr>
        <w:keepNext/>
        <w:spacing w:after="240"/>
        <w:ind w:left="720" w:hanging="720"/>
        <w:rPr>
          <w:iCs/>
        </w:rPr>
      </w:pPr>
      <w:r>
        <w:rPr>
          <w:iCs/>
        </w:rPr>
        <w:t>(1)</w:t>
      </w:r>
      <w:r>
        <w:rPr>
          <w:iCs/>
        </w:rPr>
        <w:tab/>
        <w:t>Forward adjustment factors are used to adjust TPEA based on electricity futures prices.</w:t>
      </w:r>
    </w:p>
    <w:p w14:paraId="657EE274" w14:textId="77777777" w:rsidR="009453A8" w:rsidRDefault="009453A8" w:rsidP="009453A8">
      <w:pPr>
        <w:keepNext/>
        <w:spacing w:after="240"/>
        <w:ind w:left="1440" w:hanging="720"/>
        <w:rPr>
          <w:iCs/>
        </w:rPr>
      </w:pPr>
      <w:r>
        <w:rPr>
          <w:iCs/>
        </w:rPr>
        <w:t>(a)</w:t>
      </w:r>
      <w:r>
        <w:rPr>
          <w:iCs/>
        </w:rPr>
        <w:tab/>
        <w:t xml:space="preserve">Futures Weekly Average Price (FWAP): </w:t>
      </w:r>
    </w:p>
    <w:p w14:paraId="4FC27539" w14:textId="10BAC73C" w:rsidR="009453A8" w:rsidRPr="004143EA" w:rsidRDefault="009453A8" w:rsidP="009453A8">
      <w:pPr>
        <w:spacing w:after="240"/>
      </w:pPr>
      <w:r>
        <w:rPr>
          <w:iCs/>
        </w:rPr>
        <w:tab/>
      </w:r>
      <w:r>
        <w:rPr>
          <w:iCs/>
        </w:rPr>
        <w:tab/>
        <w:t>FWAP</w:t>
      </w:r>
      <w:r w:rsidRPr="006B56FB">
        <w:rPr>
          <w:i/>
          <w:iCs/>
          <w:vertAlign w:val="subscript"/>
        </w:rPr>
        <w:t>w</w:t>
      </w:r>
      <w:r>
        <w:rPr>
          <w:iCs/>
        </w:rPr>
        <w:t xml:space="preserve"> = (1/</w:t>
      </w:r>
      <w:r w:rsidRPr="00934A67">
        <w:rPr>
          <w:i/>
          <w:iCs/>
        </w:rPr>
        <w:t>nfwh</w:t>
      </w:r>
      <w:r>
        <w:rPr>
          <w:iCs/>
        </w:rPr>
        <w:t xml:space="preserve">) * </w:t>
      </w:r>
      <w:r w:rsidRPr="005D40CD">
        <w:rPr>
          <w:iCs/>
        </w:rPr>
        <w:fldChar w:fldCharType="begin"/>
      </w:r>
      <w:r w:rsidRPr="005D40CD">
        <w:rPr>
          <w:iCs/>
        </w:rPr>
        <w:instrText xml:space="preserve"> QUOTE </w:instrText>
      </w:r>
      <m:oMath>
        <m:nary>
          <m:naryPr>
            <m:chr m:val="∑"/>
            <m:limLoc m:val="undOvr"/>
            <m:ctrlPr>
              <w:rPr>
                <w:rFonts w:ascii="Cambria Math" w:hAnsi="Cambria Math"/>
                <w:i/>
                <w:iCs/>
              </w:rPr>
            </m:ctrlPr>
          </m:naryPr>
          <m:sub>
            <m:r>
              <m:rPr>
                <m:sty m:val="p"/>
              </m:rPr>
              <w:rPr>
                <w:rFonts w:ascii="Cambria Math" w:hAnsi="Cambria Math"/>
              </w:rPr>
              <m:t>fwh=1</m:t>
            </m:r>
          </m:sub>
          <m:sup>
            <m:r>
              <m:rPr>
                <m:sty m:val="p"/>
              </m:rPr>
              <w:rPr>
                <w:rFonts w:ascii="Cambria Math" w:hAnsi="Cambria Math"/>
              </w:rPr>
              <m:t>nfwh</m:t>
            </m:r>
          </m:sup>
          <m:e/>
        </m:nary>
      </m:oMath>
      <w:r w:rsidRPr="005D40CD">
        <w:rPr>
          <w:iCs/>
        </w:rPr>
        <w:instrText xml:space="preserve"> </w:instrText>
      </w:r>
      <w:r w:rsidRPr="005D40CD">
        <w:rPr>
          <w:iCs/>
        </w:rPr>
        <w:fldChar w:fldCharType="end"/>
      </w:r>
      <m:oMath>
        <m:nary>
          <m:naryPr>
            <m:chr m:val="∑"/>
            <m:limLoc m:val="undOvr"/>
            <m:ctrlPr>
              <w:rPr>
                <w:rFonts w:ascii="Cambria Math" w:hAnsi="Cambria Math"/>
                <w:i/>
                <w:iCs/>
              </w:rPr>
            </m:ctrlPr>
          </m:naryPr>
          <m:sub>
            <m:r>
              <w:rPr>
                <w:rFonts w:ascii="Cambria Math" w:hAnsi="Cambria Math"/>
              </w:rPr>
              <m:t>fwh=</m:t>
            </m:r>
            <m:r>
              <w:rPr>
                <w:rFonts w:ascii="Cambria Math" w:hAnsi="Cambria Math"/>
              </w:rPr>
              <m:t>1</m:t>
            </m:r>
          </m:sub>
          <m:sup>
            <m:r>
              <w:rPr>
                <w:rFonts w:ascii="Cambria Math" w:hAnsi="Cambria Math"/>
              </w:rPr>
              <m:t>nfwh</m:t>
            </m:r>
          </m:sup>
          <m:e>
            <m:r>
              <m:rPr>
                <m:sty m:val="p"/>
              </m:rPr>
              <w:rPr>
                <w:rFonts w:ascii="Cambria Math" w:hAnsi="Cambria Math"/>
              </w:rPr>
              <m:t>[</m:t>
            </m:r>
          </m:e>
        </m:nary>
      </m:oMath>
      <w:r w:rsidRPr="005035F1">
        <w:rPr>
          <w:iCs/>
        </w:rPr>
        <w:t xml:space="preserve">FHP </w:t>
      </w:r>
      <w:r w:rsidRPr="005035F1">
        <w:rPr>
          <w:i/>
          <w:iCs/>
          <w:vertAlign w:val="subscript"/>
        </w:rPr>
        <w:t>fwh, rhub</w:t>
      </w:r>
      <w:r>
        <w:rPr>
          <w:iCs/>
        </w:rPr>
        <w:t>]</w:t>
      </w:r>
    </w:p>
    <w:p w14:paraId="7217F9EC" w14:textId="77777777" w:rsidR="009453A8" w:rsidRDefault="009453A8" w:rsidP="009453A8">
      <w:pPr>
        <w:keepNext/>
        <w:spacing w:after="240"/>
        <w:ind w:left="1440" w:hanging="720"/>
        <w:rPr>
          <w:iCs/>
        </w:rPr>
      </w:pPr>
      <w:r>
        <w:rPr>
          <w:iCs/>
        </w:rPr>
        <w:t>(b)</w:t>
      </w:r>
      <w:r>
        <w:rPr>
          <w:iCs/>
        </w:rPr>
        <w:tab/>
        <w:t xml:space="preserve">Projected Real-Time Forward Average Price (PRFAP): </w:t>
      </w:r>
    </w:p>
    <w:p w14:paraId="1CDBDA5B" w14:textId="6879FEF8" w:rsidR="009453A8" w:rsidRPr="006B56FB" w:rsidRDefault="009453A8" w:rsidP="009453A8">
      <w:pPr>
        <w:spacing w:after="240"/>
        <w:rPr>
          <w:iCs/>
        </w:rPr>
      </w:pPr>
      <w:r>
        <w:rPr>
          <w:iCs/>
        </w:rPr>
        <w:tab/>
      </w:r>
      <w:r>
        <w:rPr>
          <w:iCs/>
        </w:rPr>
        <w:tab/>
        <w:t>PRFAP =</w:t>
      </w:r>
      <w:r>
        <w:rPr>
          <w:position w:val="-6"/>
        </w:rPr>
        <w:t xml:space="preserve"> </w:t>
      </w:r>
      <m:oMath>
        <m:nary>
          <m:naryPr>
            <m:chr m:val="∑"/>
            <m:limLoc m:val="undOvr"/>
            <m:ctrlPr>
              <w:rPr>
                <w:rFonts w:ascii="Cambria Math" w:hAnsi="Cambria Math"/>
                <w:i/>
                <w:iCs/>
              </w:rPr>
            </m:ctrlPr>
          </m:naryPr>
          <m:sub>
            <m:r>
              <w:rPr>
                <w:rFonts w:ascii="Cambria Math" w:hAnsi="Cambria Math"/>
              </w:rPr>
              <m:t>w=1</m:t>
            </m:r>
          </m:sub>
          <m:sup>
            <m:r>
              <w:rPr>
                <w:rFonts w:ascii="Cambria Math" w:hAnsi="Cambria Math"/>
              </w:rPr>
              <m:t>3</m:t>
            </m:r>
          </m:sup>
          <m:e>
            <m:r>
              <m:rPr>
                <m:sty m:val="p"/>
              </m:rPr>
              <w:rPr>
                <w:rFonts w:ascii="Cambria Math" w:hAnsi="Cambria Math"/>
              </w:rPr>
              <m:t>[</m:t>
            </m:r>
          </m:e>
        </m:nary>
      </m:oMath>
      <w:r w:rsidRPr="005035F1">
        <w:rPr>
          <w:i/>
          <w:iCs/>
        </w:rPr>
        <w:t xml:space="preserve">RWF </w:t>
      </w:r>
      <w:r w:rsidRPr="005035F1">
        <w:rPr>
          <w:i/>
          <w:iCs/>
          <w:vertAlign w:val="subscript"/>
        </w:rPr>
        <w:t>w</w:t>
      </w:r>
      <w:r w:rsidRPr="005035F1">
        <w:rPr>
          <w:iCs/>
        </w:rPr>
        <w:t xml:space="preserve"> * FWAP </w:t>
      </w:r>
      <w:r w:rsidRPr="005035F1">
        <w:rPr>
          <w:i/>
          <w:iCs/>
          <w:vertAlign w:val="subscript"/>
        </w:rPr>
        <w:t>w</w:t>
      </w:r>
      <w:r w:rsidRPr="005035F1">
        <w:rPr>
          <w:iCs/>
        </w:rPr>
        <w:t>]</w:t>
      </w:r>
    </w:p>
    <w:p w14:paraId="3954A635" w14:textId="77777777" w:rsidR="009453A8" w:rsidRDefault="009453A8" w:rsidP="009453A8">
      <w:pPr>
        <w:keepNext/>
        <w:spacing w:after="240"/>
        <w:ind w:left="1440" w:hanging="720"/>
        <w:rPr>
          <w:iCs/>
        </w:rPr>
      </w:pPr>
      <w:r>
        <w:rPr>
          <w:iCs/>
        </w:rPr>
        <w:t>(c)</w:t>
      </w:r>
      <w:r>
        <w:rPr>
          <w:iCs/>
        </w:rPr>
        <w:tab/>
        <w:t xml:space="preserve">Projected Day-Ahead Forward Average Price (PDFAP): </w:t>
      </w:r>
    </w:p>
    <w:p w14:paraId="7F790E3A" w14:textId="7DE520C3" w:rsidR="009453A8" w:rsidRDefault="009453A8" w:rsidP="009453A8">
      <w:pPr>
        <w:keepNext/>
        <w:spacing w:after="240"/>
        <w:ind w:left="1440"/>
        <w:rPr>
          <w:iCs/>
        </w:rPr>
      </w:pPr>
      <w:r>
        <w:rPr>
          <w:iCs/>
        </w:rPr>
        <w:t>PDFAP =</w:t>
      </w:r>
      <w:r>
        <w:rPr>
          <w:position w:val="-6"/>
        </w:rPr>
        <w:t xml:space="preserve"> </w:t>
      </w:r>
      <m:oMath>
        <m:nary>
          <m:naryPr>
            <m:chr m:val="∑"/>
            <m:limLoc m:val="undOvr"/>
            <m:ctrlPr>
              <w:rPr>
                <w:rFonts w:ascii="Cambria Math" w:hAnsi="Cambria Math"/>
                <w:i/>
                <w:iCs/>
              </w:rPr>
            </m:ctrlPr>
          </m:naryPr>
          <m:sub>
            <m:r>
              <w:rPr>
                <w:rFonts w:ascii="Cambria Math" w:hAnsi="Cambria Math"/>
              </w:rPr>
              <m:t>w=1</m:t>
            </m:r>
          </m:sub>
          <m:sup>
            <m:r>
              <w:rPr>
                <w:rFonts w:ascii="Cambria Math" w:hAnsi="Cambria Math"/>
              </w:rPr>
              <m:t>3</m:t>
            </m:r>
          </m:sup>
          <m:e>
            <m:r>
              <m:rPr>
                <m:sty m:val="p"/>
              </m:rPr>
              <w:rPr>
                <w:rFonts w:ascii="Cambria Math" w:hAnsi="Cambria Math"/>
              </w:rPr>
              <m:t>[</m:t>
            </m:r>
          </m:e>
        </m:nary>
      </m:oMath>
      <w:r w:rsidRPr="006B56FB">
        <w:rPr>
          <w:i/>
          <w:iCs/>
        </w:rPr>
        <w:t>D</w:t>
      </w:r>
      <w:r w:rsidRPr="005035F1">
        <w:rPr>
          <w:i/>
          <w:iCs/>
        </w:rPr>
        <w:t xml:space="preserve">WF </w:t>
      </w:r>
      <w:r w:rsidRPr="005035F1">
        <w:rPr>
          <w:i/>
          <w:iCs/>
          <w:vertAlign w:val="subscript"/>
        </w:rPr>
        <w:t>w</w:t>
      </w:r>
      <w:r w:rsidRPr="005035F1">
        <w:rPr>
          <w:iCs/>
        </w:rPr>
        <w:t xml:space="preserve"> * FWAP </w:t>
      </w:r>
      <w:r w:rsidRPr="005035F1">
        <w:rPr>
          <w:i/>
          <w:iCs/>
          <w:vertAlign w:val="subscript"/>
        </w:rPr>
        <w:t>w</w:t>
      </w:r>
      <w:r w:rsidRPr="005035F1">
        <w:rPr>
          <w:iCs/>
        </w:rPr>
        <w:t>]</w:t>
      </w:r>
    </w:p>
    <w:p w14:paraId="6223B224" w14:textId="77777777" w:rsidR="009453A8" w:rsidRDefault="009453A8" w:rsidP="009453A8">
      <w:pPr>
        <w:keepNext/>
        <w:spacing w:after="240"/>
        <w:ind w:left="1440" w:hanging="720"/>
        <w:rPr>
          <w:iCs/>
        </w:rPr>
      </w:pPr>
      <w:r>
        <w:rPr>
          <w:iCs/>
        </w:rPr>
        <w:t>(d)</w:t>
      </w:r>
      <w:r>
        <w:rPr>
          <w:iCs/>
        </w:rPr>
        <w:tab/>
        <w:t xml:space="preserve">Historic Real-Time Settled Average Price (HRSAP): </w:t>
      </w:r>
    </w:p>
    <w:p w14:paraId="0E75FEA6" w14:textId="04B2A5DC" w:rsidR="009453A8" w:rsidRPr="005035F1" w:rsidRDefault="009453A8" w:rsidP="009453A8">
      <w:pPr>
        <w:spacing w:after="240"/>
        <w:rPr>
          <w:i/>
          <w:iCs/>
          <w:vertAlign w:val="subscript"/>
        </w:rPr>
      </w:pPr>
      <w:r>
        <w:rPr>
          <w:iCs/>
        </w:rPr>
        <w:tab/>
      </w:r>
      <w:r>
        <w:rPr>
          <w:iCs/>
        </w:rPr>
        <w:tab/>
        <w:t>HRSAP = (1/</w:t>
      </w:r>
      <w:r w:rsidRPr="00934A67">
        <w:rPr>
          <w:i/>
          <w:iCs/>
        </w:rPr>
        <w:t>nhr</w:t>
      </w:r>
      <w:r w:rsidRPr="007D0D4F">
        <w:rPr>
          <w:i/>
          <w:iCs/>
        </w:rPr>
        <w:t>h</w:t>
      </w:r>
      <w:r>
        <w:rPr>
          <w:iCs/>
        </w:rPr>
        <w:t xml:space="preserve">) * </w:t>
      </w:r>
      <m:oMath>
        <m:nary>
          <m:naryPr>
            <m:chr m:val="∑"/>
            <m:limLoc m:val="undOvr"/>
            <m:ctrlPr>
              <w:rPr>
                <w:rFonts w:ascii="Cambria Math" w:hAnsi="Cambria Math"/>
                <w:i/>
                <w:iCs/>
              </w:rPr>
            </m:ctrlPr>
          </m:naryPr>
          <m:sub>
            <m:r>
              <w:rPr>
                <w:rFonts w:ascii="Cambria Math" w:hAnsi="Cambria Math"/>
              </w:rPr>
              <m:t>hrh=</m:t>
            </m:r>
            <m:r>
              <w:rPr>
                <w:rFonts w:ascii="Cambria Math" w:hAnsi="Cambria Math"/>
              </w:rPr>
              <m:t>1</m:t>
            </m:r>
          </m:sub>
          <m:sup>
            <m:r>
              <w:rPr>
                <w:rFonts w:ascii="Cambria Math" w:hAnsi="Cambria Math"/>
              </w:rPr>
              <m:t>nhrh</m:t>
            </m:r>
          </m:sup>
          <m:e>
            <m:nary>
              <m:naryPr>
                <m:chr m:val="∑"/>
                <m:limLoc m:val="undOvr"/>
                <m:ctrlPr>
                  <w:rPr>
                    <w:rFonts w:ascii="Cambria Math" w:hAnsi="Cambria Math"/>
                    <w:i/>
                    <w:iCs/>
                  </w:rPr>
                </m:ctrlPr>
              </m:naryPr>
              <m:sub>
                <m:r>
                  <w:rPr>
                    <w:rFonts w:ascii="Cambria Math" w:hAnsi="Cambria Math"/>
                  </w:rPr>
                  <m:t>i=1</m:t>
                </m:r>
              </m:sub>
              <m:sup>
                <m:r>
                  <w:rPr>
                    <w:rFonts w:ascii="Cambria Math" w:hAnsi="Cambria Math"/>
                  </w:rPr>
                  <m:t>4</m:t>
                </m:r>
              </m:sup>
              <m:e>
                <m:r>
                  <m:rPr>
                    <m:sty m:val="p"/>
                  </m:rPr>
                  <w:rPr>
                    <w:rFonts w:ascii="Cambria Math" w:hAnsi="Cambria Math"/>
                  </w:rPr>
                  <m:t>[</m:t>
                </m:r>
              </m:e>
            </m:nary>
          </m:e>
        </m:nary>
      </m:oMath>
      <w:r w:rsidRPr="005035F1">
        <w:rPr>
          <w:iCs/>
        </w:rPr>
        <w:t>RTSPP</w:t>
      </w:r>
      <w:r w:rsidRPr="005035F1">
        <w:rPr>
          <w:i/>
          <w:iCs/>
        </w:rPr>
        <w:t xml:space="preserve"> </w:t>
      </w:r>
      <w:r w:rsidRPr="005035F1">
        <w:rPr>
          <w:i/>
          <w:iCs/>
          <w:vertAlign w:val="subscript"/>
        </w:rPr>
        <w:t xml:space="preserve">hrh, </w:t>
      </w:r>
      <w:r>
        <w:rPr>
          <w:i/>
          <w:iCs/>
          <w:vertAlign w:val="subscript"/>
        </w:rPr>
        <w:t>i</w:t>
      </w:r>
      <w:r w:rsidRPr="005035F1">
        <w:rPr>
          <w:i/>
          <w:iCs/>
          <w:vertAlign w:val="subscript"/>
        </w:rPr>
        <w:t>, rhub</w:t>
      </w:r>
      <w:r w:rsidRPr="005035F1">
        <w:rPr>
          <w:iCs/>
        </w:rPr>
        <w:t>]/4</w:t>
      </w:r>
    </w:p>
    <w:p w14:paraId="5FB6EB89" w14:textId="77777777" w:rsidR="009453A8" w:rsidRDefault="009453A8" w:rsidP="009453A8">
      <w:pPr>
        <w:keepNext/>
        <w:spacing w:after="240"/>
        <w:ind w:left="1440" w:hanging="720"/>
        <w:rPr>
          <w:iCs/>
        </w:rPr>
      </w:pPr>
      <w:r>
        <w:rPr>
          <w:iCs/>
        </w:rPr>
        <w:t>(e)</w:t>
      </w:r>
      <w:r>
        <w:rPr>
          <w:iCs/>
        </w:rPr>
        <w:tab/>
        <w:t xml:space="preserve">Historic Day-Ahead Settled Average Price (HDSAP): </w:t>
      </w:r>
    </w:p>
    <w:p w14:paraId="0776E0AE" w14:textId="25DBD953" w:rsidR="009453A8" w:rsidRPr="005035F1" w:rsidRDefault="009453A8" w:rsidP="009453A8">
      <w:pPr>
        <w:spacing w:after="240"/>
        <w:rPr>
          <w:i/>
          <w:iCs/>
          <w:vertAlign w:val="subscript"/>
        </w:rPr>
      </w:pPr>
      <w:r>
        <w:rPr>
          <w:iCs/>
        </w:rPr>
        <w:tab/>
      </w:r>
      <w:r>
        <w:rPr>
          <w:iCs/>
        </w:rPr>
        <w:tab/>
        <w:t>HDSAP = (1/</w:t>
      </w:r>
      <w:r w:rsidRPr="007D0D4F">
        <w:rPr>
          <w:i/>
          <w:iCs/>
        </w:rPr>
        <w:t>nh</w:t>
      </w:r>
      <w:r>
        <w:rPr>
          <w:i/>
          <w:iCs/>
        </w:rPr>
        <w:t>d</w:t>
      </w:r>
      <w:r w:rsidRPr="007D0D4F">
        <w:rPr>
          <w:i/>
          <w:iCs/>
        </w:rPr>
        <w:t>h</w:t>
      </w:r>
      <w:r>
        <w:rPr>
          <w:iCs/>
        </w:rPr>
        <w:t xml:space="preserve">) * </w:t>
      </w:r>
      <m:oMath>
        <m:nary>
          <m:naryPr>
            <m:chr m:val="∑"/>
            <m:limLoc m:val="undOvr"/>
            <m:ctrlPr>
              <w:rPr>
                <w:rFonts w:ascii="Cambria Math" w:hAnsi="Cambria Math"/>
                <w:i/>
                <w:iCs/>
              </w:rPr>
            </m:ctrlPr>
          </m:naryPr>
          <m:sub>
            <m:r>
              <w:rPr>
                <w:rFonts w:ascii="Cambria Math" w:hAnsi="Cambria Math"/>
              </w:rPr>
              <m:t>hdh=</m:t>
            </m:r>
            <m:r>
              <w:rPr>
                <w:rFonts w:ascii="Cambria Math" w:hAnsi="Cambria Math"/>
              </w:rPr>
              <m:t>1</m:t>
            </m:r>
          </m:sub>
          <m:sup>
            <m:r>
              <w:rPr>
                <w:rFonts w:ascii="Cambria Math" w:hAnsi="Cambria Math"/>
              </w:rPr>
              <m:t>nhdh</m:t>
            </m:r>
          </m:sup>
          <m:e>
            <m:r>
              <m:rPr>
                <m:sty m:val="p"/>
              </m:rPr>
              <w:rPr>
                <w:rFonts w:ascii="Cambria Math" w:hAnsi="Cambria Math"/>
              </w:rPr>
              <m:t>[</m:t>
            </m:r>
          </m:e>
        </m:nary>
      </m:oMath>
      <w:r w:rsidRPr="005035F1">
        <w:rPr>
          <w:iCs/>
        </w:rPr>
        <w:t>DASPP</w:t>
      </w:r>
      <w:r w:rsidRPr="005035F1">
        <w:rPr>
          <w:i/>
          <w:iCs/>
        </w:rPr>
        <w:t xml:space="preserve"> </w:t>
      </w:r>
      <w:r w:rsidRPr="005035F1">
        <w:rPr>
          <w:i/>
          <w:iCs/>
          <w:vertAlign w:val="subscript"/>
        </w:rPr>
        <w:t>hdh, rhub</w:t>
      </w:r>
      <w:r w:rsidRPr="005035F1">
        <w:rPr>
          <w:iCs/>
        </w:rPr>
        <w:t>]</w:t>
      </w:r>
    </w:p>
    <w:p w14:paraId="76963AFD" w14:textId="77777777" w:rsidR="009453A8" w:rsidRDefault="009453A8" w:rsidP="009453A8">
      <w:pPr>
        <w:keepNext/>
        <w:spacing w:after="240"/>
        <w:ind w:left="1440" w:hanging="720"/>
        <w:rPr>
          <w:iCs/>
        </w:rPr>
      </w:pPr>
      <w:r>
        <w:rPr>
          <w:iCs/>
        </w:rPr>
        <w:t>(f)</w:t>
      </w:r>
      <w:r>
        <w:rPr>
          <w:iCs/>
        </w:rPr>
        <w:tab/>
      </w:r>
      <w:r w:rsidRPr="00CB1534">
        <w:rPr>
          <w:iCs/>
        </w:rPr>
        <w:t xml:space="preserve">Real-Time Forward Adjustment Factor (RFAF): </w:t>
      </w:r>
    </w:p>
    <w:p w14:paraId="7C61FC8F" w14:textId="77777777" w:rsidR="009453A8" w:rsidRDefault="009453A8" w:rsidP="009453A8">
      <w:pPr>
        <w:keepNext/>
        <w:spacing w:after="240"/>
        <w:ind w:left="1440" w:hanging="720"/>
        <w:rPr>
          <w:iCs/>
        </w:rPr>
      </w:pPr>
      <w:r>
        <w:rPr>
          <w:iCs/>
        </w:rPr>
        <w:tab/>
      </w:r>
      <w:r w:rsidRPr="00CB1534">
        <w:rPr>
          <w:iCs/>
        </w:rPr>
        <w:t>RFAF = P</w:t>
      </w:r>
      <w:r>
        <w:rPr>
          <w:iCs/>
        </w:rPr>
        <w:t>R</w:t>
      </w:r>
      <w:r w:rsidRPr="00CB1534">
        <w:rPr>
          <w:iCs/>
        </w:rPr>
        <w:t>FAP/HRSAP</w:t>
      </w:r>
    </w:p>
    <w:p w14:paraId="5622F581" w14:textId="77777777" w:rsidR="009453A8" w:rsidRDefault="009453A8" w:rsidP="009453A8">
      <w:pPr>
        <w:keepNext/>
        <w:spacing w:after="240"/>
        <w:ind w:left="1440" w:hanging="720"/>
        <w:rPr>
          <w:iCs/>
        </w:rPr>
      </w:pPr>
      <w:r>
        <w:rPr>
          <w:iCs/>
        </w:rPr>
        <w:t>(g)</w:t>
      </w:r>
      <w:r>
        <w:rPr>
          <w:iCs/>
        </w:rPr>
        <w:tab/>
        <w:t>Day-Ahead Forward Adjustment Factor (DFAF):</w:t>
      </w:r>
    </w:p>
    <w:p w14:paraId="163143F0" w14:textId="77777777" w:rsidR="009453A8" w:rsidRDefault="009453A8" w:rsidP="009453A8">
      <w:pPr>
        <w:keepNext/>
        <w:spacing w:after="240"/>
        <w:ind w:left="1440" w:hanging="720"/>
      </w:pPr>
      <w:r>
        <w:rPr>
          <w:iCs/>
        </w:rPr>
        <w:tab/>
        <w:t xml:space="preserve">DFAF = PDFAP/HDSAP </w:t>
      </w:r>
    </w:p>
    <w:p w14:paraId="7B07FB24" w14:textId="77777777" w:rsidR="009453A8" w:rsidRDefault="009453A8" w:rsidP="009453A8">
      <w: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9453A8" w14:paraId="72692938" w14:textId="77777777" w:rsidTr="005551AD">
        <w:tc>
          <w:tcPr>
            <w:tcW w:w="1264" w:type="dxa"/>
          </w:tcPr>
          <w:p w14:paraId="7C3A93AD" w14:textId="77777777" w:rsidR="009453A8" w:rsidRDefault="009453A8" w:rsidP="005551AD">
            <w:pPr>
              <w:pStyle w:val="TableHead"/>
            </w:pPr>
            <w:r>
              <w:t>Variable</w:t>
            </w:r>
          </w:p>
        </w:tc>
        <w:tc>
          <w:tcPr>
            <w:tcW w:w="899" w:type="dxa"/>
          </w:tcPr>
          <w:p w14:paraId="6E4060EF" w14:textId="77777777" w:rsidR="009453A8" w:rsidRDefault="009453A8" w:rsidP="005551AD">
            <w:pPr>
              <w:pStyle w:val="TableHead"/>
            </w:pPr>
            <w:r>
              <w:t>Unit</w:t>
            </w:r>
          </w:p>
        </w:tc>
        <w:tc>
          <w:tcPr>
            <w:tcW w:w="7107" w:type="dxa"/>
          </w:tcPr>
          <w:p w14:paraId="36D3B23A" w14:textId="77777777" w:rsidR="009453A8" w:rsidRDefault="009453A8" w:rsidP="005551AD">
            <w:pPr>
              <w:pStyle w:val="TableHead"/>
            </w:pPr>
            <w:r>
              <w:t>Description</w:t>
            </w:r>
          </w:p>
        </w:tc>
      </w:tr>
      <w:tr w:rsidR="009453A8" w14:paraId="18ABD624" w14:textId="77777777" w:rsidTr="005551AD">
        <w:tc>
          <w:tcPr>
            <w:tcW w:w="1264" w:type="dxa"/>
          </w:tcPr>
          <w:p w14:paraId="475F347E" w14:textId="77777777" w:rsidR="009453A8" w:rsidRDefault="009453A8" w:rsidP="005551AD">
            <w:pPr>
              <w:pStyle w:val="TableBody"/>
            </w:pPr>
            <w:r>
              <w:t>PRFAP</w:t>
            </w:r>
          </w:p>
        </w:tc>
        <w:tc>
          <w:tcPr>
            <w:tcW w:w="899" w:type="dxa"/>
          </w:tcPr>
          <w:p w14:paraId="2A6D9606" w14:textId="77777777" w:rsidR="009453A8" w:rsidRDefault="009453A8" w:rsidP="005551AD">
            <w:pPr>
              <w:pStyle w:val="TableBody"/>
              <w:rPr>
                <w:i/>
              </w:rPr>
            </w:pPr>
            <w:r>
              <w:t>$/MWh</w:t>
            </w:r>
          </w:p>
        </w:tc>
        <w:tc>
          <w:tcPr>
            <w:tcW w:w="7107" w:type="dxa"/>
          </w:tcPr>
          <w:p w14:paraId="49212C43" w14:textId="77777777" w:rsidR="009453A8" w:rsidRDefault="009453A8" w:rsidP="005551AD">
            <w:pPr>
              <w:pStyle w:val="TableBody"/>
            </w:pPr>
            <w:r>
              <w:rPr>
                <w:i/>
              </w:rPr>
              <w:t>Projected Real-Time Forward Average Price</w:t>
            </w:r>
            <w:r>
              <w:sym w:font="Symbol" w:char="F0BE"/>
            </w:r>
            <w:r>
              <w:t>The average RTM price per MWh projected forward based on futures market prices.</w:t>
            </w:r>
          </w:p>
        </w:tc>
      </w:tr>
      <w:tr w:rsidR="009453A8" w14:paraId="60681ACE" w14:textId="77777777" w:rsidTr="005551AD">
        <w:tc>
          <w:tcPr>
            <w:tcW w:w="1264" w:type="dxa"/>
          </w:tcPr>
          <w:p w14:paraId="1342E7B7" w14:textId="77777777" w:rsidR="009453A8" w:rsidRDefault="009453A8" w:rsidP="005551AD">
            <w:pPr>
              <w:pStyle w:val="TableBody"/>
            </w:pPr>
            <w:r>
              <w:t>PDFAP</w:t>
            </w:r>
          </w:p>
        </w:tc>
        <w:tc>
          <w:tcPr>
            <w:tcW w:w="899" w:type="dxa"/>
          </w:tcPr>
          <w:p w14:paraId="08C019A5" w14:textId="77777777" w:rsidR="009453A8" w:rsidRDefault="009453A8" w:rsidP="005551AD">
            <w:pPr>
              <w:pStyle w:val="TableBody"/>
            </w:pPr>
            <w:r>
              <w:t>$/MWh</w:t>
            </w:r>
          </w:p>
        </w:tc>
        <w:tc>
          <w:tcPr>
            <w:tcW w:w="7107" w:type="dxa"/>
          </w:tcPr>
          <w:p w14:paraId="4CA49154" w14:textId="77777777" w:rsidR="009453A8" w:rsidRDefault="009453A8" w:rsidP="005551AD">
            <w:pPr>
              <w:pStyle w:val="TableBody"/>
              <w:rPr>
                <w:i/>
              </w:rPr>
            </w:pPr>
            <w:r>
              <w:rPr>
                <w:i/>
              </w:rPr>
              <w:t>Projected Day-Ahead Forward Average Price</w:t>
            </w:r>
            <w:r>
              <w:sym w:font="Symbol" w:char="F0BE"/>
            </w:r>
            <w:r>
              <w:t>The average DAM price per MWh projected forward based on futures market prices.</w:t>
            </w:r>
          </w:p>
        </w:tc>
      </w:tr>
      <w:tr w:rsidR="009453A8" w14:paraId="38A74898" w14:textId="77777777" w:rsidTr="005551AD">
        <w:tc>
          <w:tcPr>
            <w:tcW w:w="1264" w:type="dxa"/>
          </w:tcPr>
          <w:p w14:paraId="14D94221" w14:textId="77777777" w:rsidR="009453A8" w:rsidRDefault="009453A8" w:rsidP="005551AD">
            <w:pPr>
              <w:pStyle w:val="TableBody"/>
            </w:pPr>
            <w:r>
              <w:rPr>
                <w:i/>
              </w:rPr>
              <w:t>w</w:t>
            </w:r>
          </w:p>
        </w:tc>
        <w:tc>
          <w:tcPr>
            <w:tcW w:w="899" w:type="dxa"/>
          </w:tcPr>
          <w:p w14:paraId="6DCAB80A" w14:textId="77777777" w:rsidR="009453A8" w:rsidRDefault="009453A8" w:rsidP="005551AD">
            <w:pPr>
              <w:pStyle w:val="TableBody"/>
            </w:pPr>
            <w:r>
              <w:t>None</w:t>
            </w:r>
          </w:p>
        </w:tc>
        <w:tc>
          <w:tcPr>
            <w:tcW w:w="7107" w:type="dxa"/>
          </w:tcPr>
          <w:p w14:paraId="15033F7D" w14:textId="6EB2B123" w:rsidR="009453A8" w:rsidRPr="006B56FB" w:rsidRDefault="009453A8" w:rsidP="00A9389C">
            <w:pPr>
              <w:pStyle w:val="TableBody"/>
            </w:pPr>
            <w:r w:rsidRPr="006B56FB">
              <w:t>One of the three consecutive</w:t>
            </w:r>
            <w:r>
              <w:t xml:space="preserve"> </w:t>
            </w:r>
            <w:r w:rsidRPr="006B56FB">
              <w:t xml:space="preserve">forward weeks </w:t>
            </w:r>
            <w:r w:rsidR="00A9389C">
              <w:t>beginning with</w:t>
            </w:r>
            <w:r w:rsidRPr="006B56FB">
              <w:t xml:space="preserve"> the current Operating Day.</w:t>
            </w:r>
          </w:p>
        </w:tc>
      </w:tr>
      <w:tr w:rsidR="009453A8" w14:paraId="72D82C44" w14:textId="77777777" w:rsidTr="005551AD">
        <w:tc>
          <w:tcPr>
            <w:tcW w:w="1264" w:type="dxa"/>
          </w:tcPr>
          <w:p w14:paraId="0498D32D" w14:textId="77777777" w:rsidR="009453A8" w:rsidRPr="0021233C" w:rsidRDefault="009453A8" w:rsidP="005551AD">
            <w:pPr>
              <w:pStyle w:val="TableBody"/>
            </w:pPr>
            <w:r w:rsidRPr="006B56FB">
              <w:rPr>
                <w:i/>
              </w:rPr>
              <w:t>RWF</w:t>
            </w:r>
            <w:r w:rsidRPr="00240B9F">
              <w:rPr>
                <w:i/>
                <w:vertAlign w:val="subscript"/>
              </w:rPr>
              <w:t>w</w:t>
            </w:r>
          </w:p>
        </w:tc>
        <w:tc>
          <w:tcPr>
            <w:tcW w:w="899" w:type="dxa"/>
          </w:tcPr>
          <w:p w14:paraId="75EA24A9" w14:textId="77777777" w:rsidR="009453A8" w:rsidRDefault="009453A8" w:rsidP="005551AD">
            <w:pPr>
              <w:pStyle w:val="TableBody"/>
            </w:pPr>
            <w:r>
              <w:t>None</w:t>
            </w:r>
          </w:p>
        </w:tc>
        <w:tc>
          <w:tcPr>
            <w:tcW w:w="7107" w:type="dxa"/>
          </w:tcPr>
          <w:p w14:paraId="328D53E4" w14:textId="77777777" w:rsidR="009453A8" w:rsidRDefault="009453A8" w:rsidP="005551AD">
            <w:pPr>
              <w:pStyle w:val="TableBody"/>
              <w:rPr>
                <w:i/>
              </w:rPr>
            </w:pPr>
            <w:r>
              <w:rPr>
                <w:i/>
              </w:rPr>
              <w:t xml:space="preserve">Real-Time Weight Factor for forward week w </w:t>
            </w:r>
            <w:r>
              <w:rPr>
                <w:iCs w:val="0"/>
              </w:rPr>
              <w:t xml:space="preserve">such that </w:t>
            </w:r>
            <w:r w:rsidRPr="0086681B">
              <w:rPr>
                <w:rFonts w:ascii="Cambria Math" w:hAnsi="Cambria Math"/>
              </w:rPr>
              <w:br/>
            </w:r>
            <m:oMath>
              <m:nary>
                <m:naryPr>
                  <m:chr m:val="∑"/>
                  <m:limLoc m:val="undOvr"/>
                  <m:ctrlPr>
                    <w:rPr>
                      <w:rFonts w:ascii="Cambria Math" w:hAnsi="Cambria Math"/>
                      <w:i/>
                    </w:rPr>
                  </m:ctrlPr>
                </m:naryPr>
                <m:sub>
                  <m:r>
                    <w:rPr>
                      <w:rFonts w:ascii="Cambria Math" w:hAnsi="Cambria Math"/>
                    </w:rPr>
                    <m:t>w=1</m:t>
                  </m:r>
                </m:sub>
                <m:sup>
                  <m:r>
                    <w:rPr>
                      <w:rFonts w:ascii="Cambria Math" w:hAnsi="Cambria Math"/>
                    </w:rPr>
                    <m:t>3</m:t>
                  </m:r>
                </m:sup>
                <m:e>
                  <m:r>
                    <w:rPr>
                      <w:rFonts w:ascii="Cambria Math" w:hAnsi="Cambria Math"/>
                    </w:rPr>
                    <m:t>RW</m:t>
                  </m:r>
                  <m:sSub>
                    <m:sSubPr>
                      <m:ctrlPr>
                        <w:rPr>
                          <w:rFonts w:ascii="Cambria Math" w:eastAsia="Calibri" w:hAnsi="Cambria Math"/>
                          <w:i/>
                        </w:rPr>
                      </m:ctrlPr>
                    </m:sSubPr>
                    <m:e>
                      <m:r>
                        <w:rPr>
                          <w:rFonts w:ascii="Cambria Math" w:hAnsi="Cambria Math"/>
                        </w:rPr>
                        <m:t>F</m:t>
                      </m:r>
                    </m:e>
                    <m:sub>
                      <m:r>
                        <w:rPr>
                          <w:rFonts w:ascii="Cambria Math" w:hAnsi="Cambria Math"/>
                        </w:rPr>
                        <m:t>w</m:t>
                      </m:r>
                    </m:sub>
                  </m:sSub>
                  <m:r>
                    <w:rPr>
                      <w:rFonts w:ascii="Cambria Math" w:hAnsi="Cambria Math"/>
                    </w:rPr>
                    <m:t>=1</m:t>
                  </m:r>
                </m:e>
              </m:nary>
            </m:oMath>
            <w:r w:rsidRPr="00B77CA9">
              <w:fldChar w:fldCharType="begin"/>
            </w:r>
            <w:r w:rsidRPr="00B77CA9">
              <w:instrText xml:space="preserve"> QUOTE </w:instrText>
            </w:r>
            <m:oMath>
              <m:nary>
                <m:naryPr>
                  <m:chr m:val="∑"/>
                  <m:limLoc m:val="undOvr"/>
                  <m:ctrlPr>
                    <w:rPr>
                      <w:rFonts w:ascii="Cambria Math" w:hAnsi="Cambria Math"/>
                      <w:i/>
                    </w:rPr>
                  </m:ctrlPr>
                </m:naryPr>
                <m:sub>
                  <m:r>
                    <m:rPr>
                      <m:sty m:val="p"/>
                    </m:rPr>
                    <w:rPr>
                      <w:rFonts w:ascii="Cambria Math" w:hAnsi="Cambria Math"/>
                    </w:rPr>
                    <m:t>w=1</m:t>
                  </m:r>
                </m:sub>
                <m:sup>
                  <m:r>
                    <m:rPr>
                      <m:sty m:val="p"/>
                    </m:rPr>
                    <w:rPr>
                      <w:rFonts w:ascii="Cambria Math" w:hAnsi="Cambria Math"/>
                    </w:rPr>
                    <m:t>3</m:t>
                  </m:r>
                </m:sup>
                <m:e>
                  <m:r>
                    <m:rPr>
                      <m:sty m:val="p"/>
                    </m:rPr>
                    <w:rPr>
                      <w:rFonts w:ascii="Cambria Math" w:hAnsi="Cambria Math"/>
                    </w:rPr>
                    <m:t>w</m:t>
                  </m:r>
                </m:e>
              </m:nary>
              <m:r>
                <m:rPr>
                  <m:sty m:val="p"/>
                </m:rPr>
                <w:rPr>
                  <w:rFonts w:ascii="Cambria Math" w:hAnsi="Cambria Math"/>
                </w:rPr>
                <m:t>=1</m:t>
              </m:r>
            </m:oMath>
            <w:r w:rsidRPr="00B77CA9">
              <w:instrText xml:space="preserve"> </w:instrText>
            </w:r>
            <w:r w:rsidRPr="00B77CA9">
              <w:fldChar w:fldCharType="end"/>
            </w:r>
          </w:p>
        </w:tc>
      </w:tr>
      <w:tr w:rsidR="009453A8" w14:paraId="40D55130" w14:textId="77777777" w:rsidTr="005551AD">
        <w:tc>
          <w:tcPr>
            <w:tcW w:w="1264" w:type="dxa"/>
          </w:tcPr>
          <w:p w14:paraId="6A270FC2" w14:textId="77777777" w:rsidR="009453A8" w:rsidRDefault="009453A8" w:rsidP="005551AD">
            <w:pPr>
              <w:pStyle w:val="TableBody"/>
              <w:rPr>
                <w:i/>
              </w:rPr>
            </w:pPr>
            <w:r w:rsidRPr="006B56FB">
              <w:rPr>
                <w:i/>
              </w:rPr>
              <w:t>DWF</w:t>
            </w:r>
            <w:r w:rsidRPr="00240B9F">
              <w:rPr>
                <w:i/>
                <w:vertAlign w:val="subscript"/>
              </w:rPr>
              <w:t>w</w:t>
            </w:r>
          </w:p>
        </w:tc>
        <w:tc>
          <w:tcPr>
            <w:tcW w:w="899" w:type="dxa"/>
          </w:tcPr>
          <w:p w14:paraId="77946468" w14:textId="77777777" w:rsidR="009453A8" w:rsidRDefault="009453A8" w:rsidP="005551AD">
            <w:pPr>
              <w:pStyle w:val="TableBody"/>
            </w:pPr>
            <w:r>
              <w:t>None</w:t>
            </w:r>
          </w:p>
        </w:tc>
        <w:tc>
          <w:tcPr>
            <w:tcW w:w="7107" w:type="dxa"/>
          </w:tcPr>
          <w:p w14:paraId="71F8661D" w14:textId="77777777" w:rsidR="00EC3B71" w:rsidRDefault="009453A8" w:rsidP="00EC3B71">
            <w:pPr>
              <w:pStyle w:val="TableBody"/>
              <w:rPr>
                <w:iCs w:val="0"/>
              </w:rPr>
            </w:pPr>
            <w:r>
              <w:rPr>
                <w:i/>
              </w:rPr>
              <w:t xml:space="preserve">Day-Ahead Weight Factor for forward week w </w:t>
            </w:r>
            <w:r>
              <w:rPr>
                <w:iCs w:val="0"/>
              </w:rPr>
              <w:t>such that</w:t>
            </w:r>
          </w:p>
          <w:p w14:paraId="12DCEF4E" w14:textId="64C804E3" w:rsidR="009453A8" w:rsidRPr="00EC3B71" w:rsidRDefault="009453A8" w:rsidP="00EC3B71">
            <w:pPr>
              <w:pStyle w:val="TableBody"/>
              <w:rPr>
                <w:i/>
              </w:rPr>
            </w:pPr>
            <w:r>
              <w:rPr>
                <w:iCs w:val="0"/>
              </w:rPr>
              <w:t xml:space="preserve"> </w:t>
            </w:r>
            <m:oMath>
              <m:nary>
                <m:naryPr>
                  <m:chr m:val="∑"/>
                  <m:limLoc m:val="undOvr"/>
                  <m:ctrlPr>
                    <w:rPr>
                      <w:rFonts w:ascii="Cambria Math" w:hAnsi="Cambria Math"/>
                      <w:i/>
                    </w:rPr>
                  </m:ctrlPr>
                </m:naryPr>
                <m:sub>
                  <m:r>
                    <w:rPr>
                      <w:rFonts w:ascii="Cambria Math" w:hAnsi="Cambria Math"/>
                    </w:rPr>
                    <m:t>w=1</m:t>
                  </m:r>
                </m:sub>
                <m:sup>
                  <m:r>
                    <w:rPr>
                      <w:rFonts w:ascii="Cambria Math" w:hAnsi="Cambria Math"/>
                    </w:rPr>
                    <m:t>3</m:t>
                  </m:r>
                </m:sup>
                <m:e>
                  <m:r>
                    <w:rPr>
                      <w:rFonts w:ascii="Cambria Math" w:hAnsi="Cambria Math"/>
                    </w:rPr>
                    <m:t>DW</m:t>
                  </m:r>
                  <m:sSub>
                    <m:sSubPr>
                      <m:ctrlPr>
                        <w:rPr>
                          <w:rFonts w:ascii="Cambria Math" w:eastAsia="Calibri" w:hAnsi="Cambria Math"/>
                          <w:i/>
                        </w:rPr>
                      </m:ctrlPr>
                    </m:sSubPr>
                    <m:e>
                      <m:r>
                        <w:rPr>
                          <w:rFonts w:ascii="Cambria Math" w:hAnsi="Cambria Math"/>
                        </w:rPr>
                        <m:t>F</m:t>
                      </m:r>
                    </m:e>
                    <m:sub>
                      <m:r>
                        <w:rPr>
                          <w:rFonts w:ascii="Cambria Math" w:hAnsi="Cambria Math"/>
                        </w:rPr>
                        <m:t>w</m:t>
                      </m:r>
                    </m:sub>
                  </m:sSub>
                  <m:r>
                    <w:rPr>
                      <w:rFonts w:ascii="Cambria Math" w:hAnsi="Cambria Math"/>
                    </w:rPr>
                    <m:t>=1</m:t>
                  </m:r>
                </m:e>
              </m:nary>
            </m:oMath>
          </w:p>
        </w:tc>
      </w:tr>
      <w:tr w:rsidR="009453A8" w14:paraId="369BE066" w14:textId="77777777" w:rsidTr="005551AD">
        <w:tc>
          <w:tcPr>
            <w:tcW w:w="1264" w:type="dxa"/>
          </w:tcPr>
          <w:p w14:paraId="52986DB6" w14:textId="77777777" w:rsidR="009453A8" w:rsidRPr="00A82C3C" w:rsidRDefault="009453A8" w:rsidP="005551AD">
            <w:pPr>
              <w:pStyle w:val="TableBody"/>
              <w:rPr>
                <w:i/>
              </w:rPr>
            </w:pPr>
            <w:r>
              <w:rPr>
                <w:i/>
              </w:rPr>
              <w:t>fwh</w:t>
            </w:r>
          </w:p>
        </w:tc>
        <w:tc>
          <w:tcPr>
            <w:tcW w:w="899" w:type="dxa"/>
          </w:tcPr>
          <w:p w14:paraId="3CB5BFB3" w14:textId="77777777" w:rsidR="009453A8" w:rsidRDefault="009453A8" w:rsidP="005551AD">
            <w:pPr>
              <w:pStyle w:val="TableBody"/>
            </w:pPr>
            <w:r>
              <w:t>None</w:t>
            </w:r>
          </w:p>
        </w:tc>
        <w:tc>
          <w:tcPr>
            <w:tcW w:w="7107" w:type="dxa"/>
          </w:tcPr>
          <w:p w14:paraId="2388150A" w14:textId="77777777" w:rsidR="009453A8" w:rsidRDefault="009453A8" w:rsidP="005551AD">
            <w:pPr>
              <w:pStyle w:val="TableBody"/>
              <w:rPr>
                <w:i/>
              </w:rPr>
            </w:pPr>
            <w:r>
              <w:rPr>
                <w:i/>
              </w:rPr>
              <w:t>Forward Week Hour</w:t>
            </w:r>
            <w:r>
              <w:sym w:font="Symbol" w:char="F0BE"/>
            </w:r>
            <w:r w:rsidRPr="00240B9F">
              <w:t xml:space="preserve">An </w:t>
            </w:r>
            <w:r>
              <w:t>Operating H</w:t>
            </w:r>
            <w:r w:rsidRPr="00240B9F">
              <w:t xml:space="preserve">our from a </w:t>
            </w:r>
            <w:r>
              <w:t>f</w:t>
            </w:r>
            <w:r w:rsidRPr="00240B9F">
              <w:t>orward</w:t>
            </w:r>
            <w:r>
              <w:t xml:space="preserve"> w</w:t>
            </w:r>
            <w:r w:rsidRPr="00240B9F">
              <w:t xml:space="preserve">eek </w:t>
            </w:r>
            <w:r w:rsidRPr="00240B9F">
              <w:rPr>
                <w:i/>
              </w:rPr>
              <w:t>w</w:t>
            </w:r>
            <w:r w:rsidRPr="00240B9F">
              <w:t>.</w:t>
            </w:r>
          </w:p>
        </w:tc>
      </w:tr>
      <w:tr w:rsidR="009453A8" w14:paraId="586DB612" w14:textId="77777777" w:rsidTr="005551AD">
        <w:tc>
          <w:tcPr>
            <w:tcW w:w="1264" w:type="dxa"/>
          </w:tcPr>
          <w:p w14:paraId="14FC72A3" w14:textId="77777777" w:rsidR="009453A8" w:rsidRDefault="009453A8" w:rsidP="005551AD">
            <w:pPr>
              <w:pStyle w:val="TableBody"/>
              <w:rPr>
                <w:i/>
              </w:rPr>
            </w:pPr>
            <w:r>
              <w:rPr>
                <w:i/>
              </w:rPr>
              <w:t>nfwh</w:t>
            </w:r>
          </w:p>
        </w:tc>
        <w:tc>
          <w:tcPr>
            <w:tcW w:w="899" w:type="dxa"/>
          </w:tcPr>
          <w:p w14:paraId="33C698EE" w14:textId="77777777" w:rsidR="009453A8" w:rsidRDefault="009453A8" w:rsidP="005551AD">
            <w:pPr>
              <w:pStyle w:val="TableBody"/>
            </w:pPr>
            <w:r>
              <w:t>None</w:t>
            </w:r>
          </w:p>
        </w:tc>
        <w:tc>
          <w:tcPr>
            <w:tcW w:w="7107" w:type="dxa"/>
          </w:tcPr>
          <w:p w14:paraId="64E5A166" w14:textId="77777777" w:rsidR="009453A8" w:rsidRPr="00240B9F" w:rsidRDefault="009453A8" w:rsidP="005551AD">
            <w:pPr>
              <w:pStyle w:val="TableBody"/>
            </w:pPr>
            <w:r>
              <w:rPr>
                <w:i/>
              </w:rPr>
              <w:t>Number of Forward Week Hours</w:t>
            </w:r>
            <w:r>
              <w:sym w:font="Symbol" w:char="F0BE"/>
            </w:r>
            <w:r>
              <w:t>Total number of hours in a forward week.</w:t>
            </w:r>
          </w:p>
        </w:tc>
      </w:tr>
      <w:tr w:rsidR="009453A8" w14:paraId="7E4200E0" w14:textId="77777777" w:rsidTr="005551AD">
        <w:tc>
          <w:tcPr>
            <w:tcW w:w="1264" w:type="dxa"/>
          </w:tcPr>
          <w:p w14:paraId="03EEBF96" w14:textId="77777777" w:rsidR="009453A8" w:rsidRDefault="009453A8" w:rsidP="005551AD">
            <w:pPr>
              <w:pStyle w:val="TableBody"/>
              <w:rPr>
                <w:i/>
              </w:rPr>
            </w:pPr>
            <w:r>
              <w:rPr>
                <w:i/>
              </w:rPr>
              <w:lastRenderedPageBreak/>
              <w:t>r</w:t>
            </w:r>
            <w:r w:rsidRPr="006E7FC0">
              <w:rPr>
                <w:i/>
              </w:rPr>
              <w:t>hub</w:t>
            </w:r>
          </w:p>
        </w:tc>
        <w:tc>
          <w:tcPr>
            <w:tcW w:w="899" w:type="dxa"/>
          </w:tcPr>
          <w:p w14:paraId="7938984F" w14:textId="77777777" w:rsidR="009453A8" w:rsidRDefault="009453A8" w:rsidP="005551AD">
            <w:pPr>
              <w:pStyle w:val="TableBody"/>
            </w:pPr>
            <w:r>
              <w:t>None</w:t>
            </w:r>
          </w:p>
        </w:tc>
        <w:tc>
          <w:tcPr>
            <w:tcW w:w="7107" w:type="dxa"/>
          </w:tcPr>
          <w:p w14:paraId="0B37FF18" w14:textId="77777777" w:rsidR="009453A8" w:rsidRDefault="009453A8" w:rsidP="005551AD">
            <w:pPr>
              <w:pStyle w:val="TableBody"/>
              <w:rPr>
                <w:i/>
              </w:rPr>
            </w:pPr>
            <w:r>
              <w:rPr>
                <w:i/>
              </w:rPr>
              <w:t>Reference Hub</w:t>
            </w:r>
            <w:r w:rsidRPr="00193B05">
              <w:sym w:font="Symbol" w:char="F0BE"/>
            </w:r>
            <w:r>
              <w:t>The electrical Hub used as a reference for futures mark-to-market prices</w:t>
            </w:r>
            <w:r w:rsidRPr="00193B05">
              <w:t>.</w:t>
            </w:r>
          </w:p>
        </w:tc>
      </w:tr>
      <w:tr w:rsidR="009453A8" w14:paraId="63791361" w14:textId="77777777" w:rsidTr="005551AD">
        <w:tc>
          <w:tcPr>
            <w:tcW w:w="1264" w:type="dxa"/>
          </w:tcPr>
          <w:p w14:paraId="45288451" w14:textId="77777777" w:rsidR="009453A8" w:rsidRPr="00271210" w:rsidRDefault="009453A8" w:rsidP="005551AD">
            <w:pPr>
              <w:pStyle w:val="TableBody"/>
            </w:pPr>
            <w:r>
              <w:t>FWAP</w:t>
            </w:r>
            <w:r w:rsidRPr="00240B9F">
              <w:rPr>
                <w:i/>
                <w:vertAlign w:val="subscript"/>
              </w:rPr>
              <w:t>w</w:t>
            </w:r>
          </w:p>
        </w:tc>
        <w:tc>
          <w:tcPr>
            <w:tcW w:w="899" w:type="dxa"/>
          </w:tcPr>
          <w:p w14:paraId="3E68E37A" w14:textId="77777777" w:rsidR="009453A8" w:rsidRDefault="009453A8" w:rsidP="005551AD">
            <w:pPr>
              <w:pStyle w:val="TableBody"/>
            </w:pPr>
            <w:r>
              <w:t>$/MWh</w:t>
            </w:r>
          </w:p>
        </w:tc>
        <w:tc>
          <w:tcPr>
            <w:tcW w:w="7107" w:type="dxa"/>
          </w:tcPr>
          <w:p w14:paraId="58EBA72B" w14:textId="77777777" w:rsidR="009453A8" w:rsidRDefault="009453A8" w:rsidP="005551AD">
            <w:pPr>
              <w:pStyle w:val="TableBody"/>
            </w:pPr>
            <w:r>
              <w:rPr>
                <w:i/>
              </w:rPr>
              <w:t>Futures Weekly Average Price for week w</w:t>
            </w:r>
            <w:r>
              <w:sym w:font="Symbol" w:char="F0BE"/>
            </w:r>
            <w:r>
              <w:t xml:space="preserve">The average futures price for the hours of the forward week </w:t>
            </w:r>
            <w:r w:rsidRPr="00240B9F">
              <w:rPr>
                <w:i/>
              </w:rPr>
              <w:t>w</w:t>
            </w:r>
            <w:r>
              <w:t>.</w:t>
            </w:r>
          </w:p>
        </w:tc>
      </w:tr>
      <w:tr w:rsidR="009453A8" w14:paraId="6DBBAA35" w14:textId="77777777" w:rsidTr="005551AD">
        <w:tc>
          <w:tcPr>
            <w:tcW w:w="1264" w:type="dxa"/>
          </w:tcPr>
          <w:p w14:paraId="36E96C9F" w14:textId="77777777" w:rsidR="009453A8" w:rsidRDefault="009453A8" w:rsidP="005551AD">
            <w:pPr>
              <w:pStyle w:val="TableBody"/>
            </w:pPr>
            <w:r>
              <w:t>FHP</w:t>
            </w:r>
            <w:r w:rsidRPr="00CE4C14">
              <w:rPr>
                <w:vertAlign w:val="subscript"/>
              </w:rPr>
              <w:t xml:space="preserve"> </w:t>
            </w:r>
            <w:r w:rsidRPr="00240B9F">
              <w:rPr>
                <w:i/>
                <w:vertAlign w:val="subscript"/>
              </w:rPr>
              <w:t>fwh</w:t>
            </w:r>
            <w:r>
              <w:rPr>
                <w:i/>
                <w:vertAlign w:val="subscript"/>
              </w:rPr>
              <w:t>, rhub</w:t>
            </w:r>
          </w:p>
        </w:tc>
        <w:tc>
          <w:tcPr>
            <w:tcW w:w="899" w:type="dxa"/>
          </w:tcPr>
          <w:p w14:paraId="33F8D752" w14:textId="77777777" w:rsidR="009453A8" w:rsidRDefault="009453A8" w:rsidP="005551AD">
            <w:pPr>
              <w:pStyle w:val="TableBody"/>
            </w:pPr>
            <w:r w:rsidRPr="00CE4C14">
              <w:t>$/MWh</w:t>
            </w:r>
          </w:p>
        </w:tc>
        <w:tc>
          <w:tcPr>
            <w:tcW w:w="7107" w:type="dxa"/>
          </w:tcPr>
          <w:p w14:paraId="6C692A2C" w14:textId="77777777" w:rsidR="009453A8" w:rsidRDefault="009453A8" w:rsidP="005551AD">
            <w:pPr>
              <w:pStyle w:val="TableBody"/>
            </w:pPr>
            <w:r>
              <w:rPr>
                <w:i/>
              </w:rPr>
              <w:t>Futures Hourly Price of the Reference Hub rhub for Forward Week Hour fwh</w:t>
            </w:r>
            <w:r w:rsidRPr="00CE4C14">
              <w:sym w:font="Symbol" w:char="F0BE"/>
            </w:r>
            <w:r w:rsidRPr="00CE4C14">
              <w:t>The</w:t>
            </w:r>
            <w:r>
              <w:t xml:space="preserve"> most recent mark-to-market price available for an electricity futures product that is applicable to the forward week hour </w:t>
            </w:r>
            <w:r w:rsidRPr="00D54463">
              <w:rPr>
                <w:i/>
              </w:rPr>
              <w:t>fwh</w:t>
            </w:r>
            <w:r>
              <w:t xml:space="preserve"> for the reference Hub </w:t>
            </w:r>
            <w:r w:rsidRPr="00D54463">
              <w:rPr>
                <w:i/>
              </w:rPr>
              <w:t>rhub</w:t>
            </w:r>
            <w:r>
              <w:t>.</w:t>
            </w:r>
          </w:p>
          <w:p w14:paraId="1983BB78" w14:textId="77777777" w:rsidR="009453A8" w:rsidRPr="00D54463" w:rsidRDefault="009453A8" w:rsidP="00C42CCF">
            <w:pPr>
              <w:pStyle w:val="TableBody"/>
            </w:pPr>
            <w:r>
              <w:t>ERCOT will disclose to the market the source of its selected electricity futures product(s) used for FHP.  In the event that an ERCOT-selected electricity futures product(s) becomes unavailable or unsuitable for the intended purpose, ERCOT will select a substitute electricity futures product(s).  ERCOT shall set the value of RFAF to 1 and DFAF to 1, and provide Notice of this change as soon as practi</w:t>
            </w:r>
            <w:r w:rsidR="00C42CCF">
              <w:t>ca</w:t>
            </w:r>
            <w:r>
              <w:t>ble, until such time as a substitute electricity futures product(s) is selected and implemented by ERCOT.  ERCOT will notify Market Participants of any change in the electricity futures product(s) at least 60 days prior to the beginning of their use.  In the event that 60 days’ Notice cannot be given, ERCOT will notify Market Participants as soon as practicable prior to use.</w:t>
            </w:r>
          </w:p>
        </w:tc>
      </w:tr>
      <w:tr w:rsidR="009453A8" w14:paraId="6021E32B" w14:textId="77777777" w:rsidTr="005551AD">
        <w:tc>
          <w:tcPr>
            <w:tcW w:w="1264" w:type="dxa"/>
          </w:tcPr>
          <w:p w14:paraId="537D9542" w14:textId="77777777" w:rsidR="009453A8" w:rsidRPr="00D54463" w:rsidRDefault="009453A8" w:rsidP="005551AD">
            <w:pPr>
              <w:pStyle w:val="TableBody"/>
              <w:rPr>
                <w:i/>
              </w:rPr>
            </w:pPr>
            <w:r w:rsidRPr="003E3244">
              <w:rPr>
                <w:i/>
              </w:rPr>
              <w:t>hr</w:t>
            </w:r>
            <w:r w:rsidRPr="00D54463">
              <w:rPr>
                <w:i/>
              </w:rPr>
              <w:t>h</w:t>
            </w:r>
          </w:p>
        </w:tc>
        <w:tc>
          <w:tcPr>
            <w:tcW w:w="899" w:type="dxa"/>
          </w:tcPr>
          <w:p w14:paraId="13D3F54C" w14:textId="77777777" w:rsidR="009453A8" w:rsidRPr="00193B05" w:rsidRDefault="009453A8" w:rsidP="005551AD">
            <w:pPr>
              <w:pStyle w:val="TableBody"/>
            </w:pPr>
            <w:r>
              <w:t>None</w:t>
            </w:r>
          </w:p>
        </w:tc>
        <w:tc>
          <w:tcPr>
            <w:tcW w:w="7107" w:type="dxa"/>
          </w:tcPr>
          <w:p w14:paraId="457622CD" w14:textId="77777777" w:rsidR="009453A8" w:rsidRPr="00193B05" w:rsidRDefault="009453A8" w:rsidP="005551AD">
            <w:pPr>
              <w:pStyle w:val="TableBody"/>
              <w:rPr>
                <w:i/>
              </w:rPr>
            </w:pPr>
            <w:r>
              <w:rPr>
                <w:i/>
              </w:rPr>
              <w:t>Historic Real-Time Hour</w:t>
            </w:r>
            <w:r w:rsidRPr="00193B05">
              <w:sym w:font="Symbol" w:char="F0BE"/>
            </w:r>
            <w:r>
              <w:t>An Operating Hour that is settled and used in the most recent RTLE calculation.</w:t>
            </w:r>
          </w:p>
        </w:tc>
      </w:tr>
      <w:tr w:rsidR="009453A8" w14:paraId="4B73C8FE" w14:textId="77777777" w:rsidTr="005551AD">
        <w:tc>
          <w:tcPr>
            <w:tcW w:w="1264" w:type="dxa"/>
          </w:tcPr>
          <w:p w14:paraId="0F14DA84" w14:textId="77777777" w:rsidR="009453A8" w:rsidRPr="00D54463" w:rsidRDefault="009453A8" w:rsidP="005551AD">
            <w:pPr>
              <w:pStyle w:val="TableBody"/>
              <w:rPr>
                <w:i/>
              </w:rPr>
            </w:pPr>
            <w:r>
              <w:rPr>
                <w:i/>
              </w:rPr>
              <w:t>nhrh</w:t>
            </w:r>
          </w:p>
        </w:tc>
        <w:tc>
          <w:tcPr>
            <w:tcW w:w="899" w:type="dxa"/>
          </w:tcPr>
          <w:p w14:paraId="2E0FB107" w14:textId="77777777" w:rsidR="009453A8" w:rsidRPr="00193B05" w:rsidRDefault="009453A8" w:rsidP="005551AD">
            <w:pPr>
              <w:pStyle w:val="TableBody"/>
            </w:pPr>
            <w:r>
              <w:t>None</w:t>
            </w:r>
          </w:p>
        </w:tc>
        <w:tc>
          <w:tcPr>
            <w:tcW w:w="7107" w:type="dxa"/>
          </w:tcPr>
          <w:p w14:paraId="2B07206D" w14:textId="77777777" w:rsidR="009453A8" w:rsidRPr="00193B05" w:rsidRDefault="009453A8" w:rsidP="005551AD">
            <w:pPr>
              <w:pStyle w:val="TableBody"/>
              <w:rPr>
                <w:i/>
              </w:rPr>
            </w:pPr>
            <w:r>
              <w:rPr>
                <w:i/>
              </w:rPr>
              <w:t>Number of Historic Real-Time Hours</w:t>
            </w:r>
            <w:r>
              <w:sym w:font="Symbol" w:char="F0BE"/>
            </w:r>
            <w:r>
              <w:t>Total number of historic Real-Time hours that are settled and used in the most recent RTLE calculation.</w:t>
            </w:r>
          </w:p>
        </w:tc>
      </w:tr>
      <w:tr w:rsidR="009453A8" w14:paraId="3E4E5F8D" w14:textId="77777777" w:rsidTr="005551AD">
        <w:tc>
          <w:tcPr>
            <w:tcW w:w="1264" w:type="dxa"/>
          </w:tcPr>
          <w:p w14:paraId="33F2987C" w14:textId="77777777" w:rsidR="009453A8" w:rsidRDefault="009453A8" w:rsidP="005551AD">
            <w:pPr>
              <w:pStyle w:val="TableBody"/>
              <w:rPr>
                <w:i/>
              </w:rPr>
            </w:pPr>
            <w:r>
              <w:rPr>
                <w:i/>
              </w:rPr>
              <w:t>i</w:t>
            </w:r>
          </w:p>
        </w:tc>
        <w:tc>
          <w:tcPr>
            <w:tcW w:w="899" w:type="dxa"/>
          </w:tcPr>
          <w:p w14:paraId="7CD08936" w14:textId="77777777" w:rsidR="009453A8" w:rsidRDefault="009453A8" w:rsidP="005551AD">
            <w:pPr>
              <w:pStyle w:val="TableBody"/>
            </w:pPr>
            <w:r>
              <w:t>None</w:t>
            </w:r>
          </w:p>
        </w:tc>
        <w:tc>
          <w:tcPr>
            <w:tcW w:w="7107" w:type="dxa"/>
          </w:tcPr>
          <w:p w14:paraId="672CD759" w14:textId="77777777" w:rsidR="009453A8" w:rsidRPr="00D54463" w:rsidRDefault="009453A8" w:rsidP="005551AD">
            <w:pPr>
              <w:pStyle w:val="TableBody"/>
            </w:pPr>
            <w:r>
              <w:rPr>
                <w:i/>
              </w:rPr>
              <w:t>Settlement Interval</w:t>
            </w:r>
            <w:r>
              <w:sym w:font="Symbol" w:char="F0BE"/>
            </w:r>
            <w:r>
              <w:t>A 15-minute interval that is part of an Operating Hour.</w:t>
            </w:r>
          </w:p>
        </w:tc>
      </w:tr>
      <w:tr w:rsidR="009453A8" w14:paraId="24E335FD" w14:textId="77777777" w:rsidTr="005551AD">
        <w:tc>
          <w:tcPr>
            <w:tcW w:w="1264" w:type="dxa"/>
          </w:tcPr>
          <w:p w14:paraId="5FB4857A" w14:textId="77777777" w:rsidR="009453A8" w:rsidRDefault="009453A8" w:rsidP="005551AD">
            <w:pPr>
              <w:pStyle w:val="TableBody"/>
              <w:rPr>
                <w:i/>
              </w:rPr>
            </w:pPr>
            <w:r>
              <w:t>RTSPP</w:t>
            </w:r>
            <w:r w:rsidRPr="00D54463">
              <w:rPr>
                <w:i/>
                <w:vertAlign w:val="subscript"/>
              </w:rPr>
              <w:t xml:space="preserve">hrh, i, rhub </w:t>
            </w:r>
          </w:p>
        </w:tc>
        <w:tc>
          <w:tcPr>
            <w:tcW w:w="899" w:type="dxa"/>
          </w:tcPr>
          <w:p w14:paraId="2B7190AF" w14:textId="77777777" w:rsidR="009453A8" w:rsidRDefault="009453A8" w:rsidP="005551AD">
            <w:pPr>
              <w:pStyle w:val="TableBody"/>
            </w:pPr>
            <w:r>
              <w:t>$/MWh</w:t>
            </w:r>
          </w:p>
        </w:tc>
        <w:tc>
          <w:tcPr>
            <w:tcW w:w="7107" w:type="dxa"/>
          </w:tcPr>
          <w:p w14:paraId="3EC84A9D" w14:textId="77777777" w:rsidR="009453A8" w:rsidRPr="006B56FB" w:rsidRDefault="009453A8" w:rsidP="005551AD">
            <w:pPr>
              <w:pStyle w:val="TableBody"/>
            </w:pPr>
            <w:r w:rsidRPr="006B56FB">
              <w:t xml:space="preserve">Real-Time Settlement Point Price for </w:t>
            </w:r>
            <w:r w:rsidRPr="009648F5">
              <w:rPr>
                <w:i/>
              </w:rPr>
              <w:t>i</w:t>
            </w:r>
            <w:r w:rsidRPr="006B56FB">
              <w:rPr>
                <w:vertAlign w:val="superscript"/>
              </w:rPr>
              <w:t>th</w:t>
            </w:r>
            <w:r w:rsidRPr="006B56FB">
              <w:t xml:space="preserve"> interval that is part of Operating Hour </w:t>
            </w:r>
            <w:r w:rsidRPr="009648F5">
              <w:rPr>
                <w:i/>
              </w:rPr>
              <w:t>hrh</w:t>
            </w:r>
            <w:r w:rsidRPr="006B56FB">
              <w:t xml:space="preserve"> for the Settlement Point </w:t>
            </w:r>
            <w:r w:rsidRPr="009648F5">
              <w:rPr>
                <w:i/>
              </w:rPr>
              <w:t>rhub</w:t>
            </w:r>
            <w:r w:rsidRPr="006B56FB">
              <w:t>.</w:t>
            </w:r>
          </w:p>
        </w:tc>
      </w:tr>
      <w:tr w:rsidR="009453A8" w14:paraId="05B5541C" w14:textId="77777777" w:rsidTr="005551AD">
        <w:tc>
          <w:tcPr>
            <w:tcW w:w="1264" w:type="dxa"/>
          </w:tcPr>
          <w:p w14:paraId="3B9AF34B" w14:textId="77777777" w:rsidR="009453A8" w:rsidRDefault="009453A8" w:rsidP="005551AD">
            <w:pPr>
              <w:pStyle w:val="TableBody"/>
            </w:pPr>
            <w:r>
              <w:t>HRSAP</w:t>
            </w:r>
          </w:p>
        </w:tc>
        <w:tc>
          <w:tcPr>
            <w:tcW w:w="899" w:type="dxa"/>
          </w:tcPr>
          <w:p w14:paraId="4274498E" w14:textId="77777777" w:rsidR="009453A8" w:rsidRDefault="009453A8" w:rsidP="005551AD">
            <w:pPr>
              <w:pStyle w:val="TableBody"/>
            </w:pPr>
            <w:r>
              <w:t>$/MWh</w:t>
            </w:r>
          </w:p>
        </w:tc>
        <w:tc>
          <w:tcPr>
            <w:tcW w:w="7107" w:type="dxa"/>
          </w:tcPr>
          <w:p w14:paraId="0236A71A" w14:textId="77777777" w:rsidR="009453A8" w:rsidRDefault="009453A8" w:rsidP="005551AD">
            <w:pPr>
              <w:pStyle w:val="TableBody"/>
              <w:rPr>
                <w:i/>
              </w:rPr>
            </w:pPr>
            <w:r>
              <w:rPr>
                <w:i/>
              </w:rPr>
              <w:t>Historic Real-Time Settled Average Price</w:t>
            </w:r>
            <w:r>
              <w:sym w:font="Symbol" w:char="F0BE"/>
            </w:r>
            <w:r w:rsidRPr="006E7FC0">
              <w:t>The</w:t>
            </w:r>
            <w:r>
              <w:rPr>
                <w:i/>
              </w:rPr>
              <w:t xml:space="preserve"> </w:t>
            </w:r>
            <w:r w:rsidRPr="006E7FC0">
              <w:t>a</w:t>
            </w:r>
            <w:r>
              <w:t>verage historic Real-Time settled price</w:t>
            </w:r>
            <w:r w:rsidRPr="006E7FC0">
              <w:t>.</w:t>
            </w:r>
          </w:p>
        </w:tc>
      </w:tr>
      <w:tr w:rsidR="009453A8" w14:paraId="1382F94B" w14:textId="77777777" w:rsidTr="005551AD">
        <w:tc>
          <w:tcPr>
            <w:tcW w:w="1264" w:type="dxa"/>
          </w:tcPr>
          <w:p w14:paraId="18686A7A" w14:textId="77777777" w:rsidR="009453A8" w:rsidRDefault="009453A8" w:rsidP="005551AD">
            <w:pPr>
              <w:pStyle w:val="TableBody"/>
            </w:pPr>
            <w:r>
              <w:t>HDSAP</w:t>
            </w:r>
          </w:p>
        </w:tc>
        <w:tc>
          <w:tcPr>
            <w:tcW w:w="899" w:type="dxa"/>
          </w:tcPr>
          <w:p w14:paraId="78C98C8B" w14:textId="77777777" w:rsidR="009453A8" w:rsidRDefault="009453A8" w:rsidP="005551AD">
            <w:pPr>
              <w:pStyle w:val="TableBody"/>
            </w:pPr>
            <w:r>
              <w:t>$/MWh</w:t>
            </w:r>
          </w:p>
        </w:tc>
        <w:tc>
          <w:tcPr>
            <w:tcW w:w="7107" w:type="dxa"/>
          </w:tcPr>
          <w:p w14:paraId="6721B754" w14:textId="77777777" w:rsidR="009453A8" w:rsidRDefault="009453A8" w:rsidP="005551AD">
            <w:pPr>
              <w:pStyle w:val="TableBody"/>
              <w:rPr>
                <w:i/>
              </w:rPr>
            </w:pPr>
            <w:r>
              <w:rPr>
                <w:i/>
              </w:rPr>
              <w:t>Historic Day-Ahead Settled Average Price</w:t>
            </w:r>
            <w:r>
              <w:sym w:font="Symbol" w:char="F0BE"/>
            </w:r>
            <w:r w:rsidRPr="006B56FB">
              <w:t>The average historic Day-Ahead settled price.</w:t>
            </w:r>
          </w:p>
        </w:tc>
      </w:tr>
      <w:tr w:rsidR="009453A8" w14:paraId="2CA48BA0" w14:textId="77777777" w:rsidTr="005551AD">
        <w:tc>
          <w:tcPr>
            <w:tcW w:w="1264" w:type="dxa"/>
          </w:tcPr>
          <w:p w14:paraId="22A27BAE" w14:textId="77777777" w:rsidR="009453A8" w:rsidRDefault="009453A8" w:rsidP="005551AD">
            <w:pPr>
              <w:pStyle w:val="TableBody"/>
            </w:pPr>
            <w:r w:rsidRPr="003E3244">
              <w:rPr>
                <w:i/>
              </w:rPr>
              <w:t>h</w:t>
            </w:r>
            <w:r>
              <w:rPr>
                <w:i/>
              </w:rPr>
              <w:t>d</w:t>
            </w:r>
            <w:r w:rsidRPr="006E7FC0">
              <w:rPr>
                <w:i/>
              </w:rPr>
              <w:t>h</w:t>
            </w:r>
          </w:p>
        </w:tc>
        <w:tc>
          <w:tcPr>
            <w:tcW w:w="899" w:type="dxa"/>
          </w:tcPr>
          <w:p w14:paraId="4E6F75FC" w14:textId="77777777" w:rsidR="009453A8" w:rsidRDefault="009453A8" w:rsidP="005551AD">
            <w:pPr>
              <w:pStyle w:val="TableBody"/>
            </w:pPr>
            <w:r>
              <w:t>None</w:t>
            </w:r>
          </w:p>
        </w:tc>
        <w:tc>
          <w:tcPr>
            <w:tcW w:w="7107" w:type="dxa"/>
          </w:tcPr>
          <w:p w14:paraId="250E3218" w14:textId="77777777" w:rsidR="009453A8" w:rsidRDefault="009453A8" w:rsidP="005551AD">
            <w:pPr>
              <w:pStyle w:val="TableBody"/>
              <w:rPr>
                <w:i/>
              </w:rPr>
            </w:pPr>
            <w:r>
              <w:rPr>
                <w:i/>
              </w:rPr>
              <w:t>Historic Day-Ahead Hour</w:t>
            </w:r>
            <w:r w:rsidRPr="00193B05">
              <w:sym w:font="Symbol" w:char="F0BE"/>
            </w:r>
            <w:r>
              <w:t>An Operating Hour that is settled and used in the most recent DALE calculation.</w:t>
            </w:r>
          </w:p>
        </w:tc>
      </w:tr>
      <w:tr w:rsidR="009453A8" w14:paraId="3517870D" w14:textId="77777777" w:rsidTr="005551AD">
        <w:tc>
          <w:tcPr>
            <w:tcW w:w="1264" w:type="dxa"/>
          </w:tcPr>
          <w:p w14:paraId="3F8D48D9" w14:textId="77777777" w:rsidR="009453A8" w:rsidRDefault="009453A8" w:rsidP="005551AD">
            <w:pPr>
              <w:pStyle w:val="TableBody"/>
            </w:pPr>
            <w:r>
              <w:rPr>
                <w:i/>
              </w:rPr>
              <w:t>nhdh</w:t>
            </w:r>
          </w:p>
        </w:tc>
        <w:tc>
          <w:tcPr>
            <w:tcW w:w="899" w:type="dxa"/>
          </w:tcPr>
          <w:p w14:paraId="2A3090DD" w14:textId="77777777" w:rsidR="009453A8" w:rsidRDefault="009453A8" w:rsidP="005551AD">
            <w:pPr>
              <w:pStyle w:val="TableBody"/>
            </w:pPr>
            <w:r>
              <w:t>None</w:t>
            </w:r>
          </w:p>
        </w:tc>
        <w:tc>
          <w:tcPr>
            <w:tcW w:w="7107" w:type="dxa"/>
          </w:tcPr>
          <w:p w14:paraId="24323492" w14:textId="77777777" w:rsidR="009453A8" w:rsidRDefault="009453A8" w:rsidP="005551AD">
            <w:pPr>
              <w:pStyle w:val="TableBody"/>
              <w:rPr>
                <w:i/>
              </w:rPr>
            </w:pPr>
            <w:r>
              <w:rPr>
                <w:i/>
              </w:rPr>
              <w:t>Number of Historic Day-Ahead Hours</w:t>
            </w:r>
            <w:r>
              <w:sym w:font="Symbol" w:char="F0BE"/>
            </w:r>
            <w:r w:rsidRPr="006B56FB">
              <w:t>Total number of historic day-ahead hours that are settled and used in the most recent DALE calculation.</w:t>
            </w:r>
          </w:p>
        </w:tc>
      </w:tr>
      <w:tr w:rsidR="009453A8" w14:paraId="225E040D" w14:textId="77777777" w:rsidTr="005551AD">
        <w:tc>
          <w:tcPr>
            <w:tcW w:w="1264" w:type="dxa"/>
          </w:tcPr>
          <w:p w14:paraId="62A4D889" w14:textId="77777777" w:rsidR="009453A8" w:rsidRDefault="009453A8" w:rsidP="005551AD">
            <w:pPr>
              <w:pStyle w:val="TableBody"/>
              <w:rPr>
                <w:i/>
              </w:rPr>
            </w:pPr>
            <w:r>
              <w:t>DASPP</w:t>
            </w:r>
            <w:r w:rsidRPr="006E7FC0">
              <w:rPr>
                <w:i/>
                <w:vertAlign w:val="subscript"/>
              </w:rPr>
              <w:t xml:space="preserve">hrh, rhub </w:t>
            </w:r>
          </w:p>
        </w:tc>
        <w:tc>
          <w:tcPr>
            <w:tcW w:w="899" w:type="dxa"/>
          </w:tcPr>
          <w:p w14:paraId="6913DF4D" w14:textId="77777777" w:rsidR="009453A8" w:rsidRDefault="009453A8" w:rsidP="005551AD">
            <w:pPr>
              <w:pStyle w:val="TableBody"/>
            </w:pPr>
            <w:r>
              <w:t>$/MWh</w:t>
            </w:r>
          </w:p>
        </w:tc>
        <w:tc>
          <w:tcPr>
            <w:tcW w:w="7107" w:type="dxa"/>
          </w:tcPr>
          <w:p w14:paraId="3A6A7D84" w14:textId="77777777" w:rsidR="009453A8" w:rsidRPr="006B56FB" w:rsidRDefault="009453A8" w:rsidP="005551AD">
            <w:pPr>
              <w:pStyle w:val="TableBody"/>
            </w:pPr>
            <w:r w:rsidRPr="006B56FB">
              <w:t xml:space="preserve">Day-Ahead Settlement Point Price for Operating Hour </w:t>
            </w:r>
            <w:r w:rsidRPr="009648F5">
              <w:rPr>
                <w:i/>
              </w:rPr>
              <w:t>hdh</w:t>
            </w:r>
            <w:r w:rsidRPr="006B56FB">
              <w:t xml:space="preserve"> for the Settlement Point </w:t>
            </w:r>
            <w:r w:rsidRPr="009648F5">
              <w:rPr>
                <w:i/>
              </w:rPr>
              <w:t>rhub</w:t>
            </w:r>
            <w:r w:rsidRPr="006B56FB">
              <w:t>.</w:t>
            </w:r>
          </w:p>
        </w:tc>
      </w:tr>
      <w:tr w:rsidR="009453A8" w14:paraId="77C7145E" w14:textId="77777777" w:rsidTr="005551AD">
        <w:tc>
          <w:tcPr>
            <w:tcW w:w="1264" w:type="dxa"/>
          </w:tcPr>
          <w:p w14:paraId="0BCE2B10" w14:textId="77777777" w:rsidR="009453A8" w:rsidRDefault="009453A8" w:rsidP="005551AD">
            <w:pPr>
              <w:pStyle w:val="TableBody"/>
            </w:pPr>
            <w:r>
              <w:t>RFAF</w:t>
            </w:r>
          </w:p>
        </w:tc>
        <w:tc>
          <w:tcPr>
            <w:tcW w:w="899" w:type="dxa"/>
          </w:tcPr>
          <w:p w14:paraId="7F56AB19" w14:textId="77777777" w:rsidR="009453A8" w:rsidRDefault="009453A8" w:rsidP="005551AD">
            <w:pPr>
              <w:pStyle w:val="TableBody"/>
            </w:pPr>
            <w:r>
              <w:t>None</w:t>
            </w:r>
          </w:p>
        </w:tc>
        <w:tc>
          <w:tcPr>
            <w:tcW w:w="7107" w:type="dxa"/>
          </w:tcPr>
          <w:p w14:paraId="3AEED751" w14:textId="77777777" w:rsidR="009453A8" w:rsidRDefault="009453A8" w:rsidP="005551AD">
            <w:pPr>
              <w:pStyle w:val="TableBody"/>
              <w:rPr>
                <w:i/>
              </w:rPr>
            </w:pPr>
            <w:r w:rsidRPr="00CE4C14">
              <w:rPr>
                <w:i/>
              </w:rPr>
              <w:t>R</w:t>
            </w:r>
            <w:r>
              <w:rPr>
                <w:i/>
              </w:rPr>
              <w:t>eal-Time Forward Adjustment Factor.</w:t>
            </w:r>
          </w:p>
        </w:tc>
      </w:tr>
      <w:tr w:rsidR="009453A8" w14:paraId="13038ECF" w14:textId="77777777" w:rsidTr="005551AD">
        <w:tc>
          <w:tcPr>
            <w:tcW w:w="1264" w:type="dxa"/>
          </w:tcPr>
          <w:p w14:paraId="2B65411A" w14:textId="77777777" w:rsidR="009453A8" w:rsidRDefault="009453A8" w:rsidP="005551AD">
            <w:pPr>
              <w:pStyle w:val="TableBody"/>
            </w:pPr>
            <w:r>
              <w:t>DFAF</w:t>
            </w:r>
          </w:p>
        </w:tc>
        <w:tc>
          <w:tcPr>
            <w:tcW w:w="899" w:type="dxa"/>
          </w:tcPr>
          <w:p w14:paraId="667F4C19" w14:textId="77777777" w:rsidR="009453A8" w:rsidRDefault="009453A8" w:rsidP="005551AD">
            <w:pPr>
              <w:pStyle w:val="TableBody"/>
            </w:pPr>
            <w:r>
              <w:t>None</w:t>
            </w:r>
          </w:p>
        </w:tc>
        <w:tc>
          <w:tcPr>
            <w:tcW w:w="7107" w:type="dxa"/>
          </w:tcPr>
          <w:p w14:paraId="3C974A20" w14:textId="77777777" w:rsidR="009453A8" w:rsidRPr="00CE4C14" w:rsidRDefault="009453A8" w:rsidP="005551AD">
            <w:pPr>
              <w:pStyle w:val="TableBody"/>
              <w:rPr>
                <w:i/>
              </w:rPr>
            </w:pPr>
            <w:r>
              <w:rPr>
                <w:i/>
              </w:rPr>
              <w:t>Day-Ahead Forward Adjustment Factor.</w:t>
            </w:r>
          </w:p>
        </w:tc>
      </w:tr>
    </w:tbl>
    <w:p w14:paraId="0A8A653B" w14:textId="7F6AE5C5" w:rsidR="009453A8" w:rsidRDefault="009453A8" w:rsidP="009453A8">
      <w:pPr>
        <w:pStyle w:val="BodyText"/>
        <w:spacing w:before="240" w:after="0"/>
      </w:pPr>
      <w:r>
        <w:t>The above parameters are defined as follows</w:t>
      </w:r>
      <w:r w:rsidR="002F03A7">
        <w:t>:</w:t>
      </w:r>
      <w:r>
        <w:t xml:space="preserve">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5940"/>
      </w:tblGrid>
      <w:tr w:rsidR="009453A8" w:rsidRPr="00BE4766" w14:paraId="10291ED3" w14:textId="77777777" w:rsidTr="005551AD">
        <w:trPr>
          <w:trHeight w:val="351"/>
          <w:tblHeader/>
        </w:trPr>
        <w:tc>
          <w:tcPr>
            <w:tcW w:w="1448" w:type="dxa"/>
          </w:tcPr>
          <w:p w14:paraId="7A5A4D97" w14:textId="77777777" w:rsidR="009453A8" w:rsidRPr="00BE4766" w:rsidRDefault="009453A8" w:rsidP="005551AD">
            <w:pPr>
              <w:pStyle w:val="TableHead"/>
            </w:pPr>
            <w:r>
              <w:t>Parameter</w:t>
            </w:r>
          </w:p>
        </w:tc>
        <w:tc>
          <w:tcPr>
            <w:tcW w:w="1702" w:type="dxa"/>
          </w:tcPr>
          <w:p w14:paraId="755F8CCB" w14:textId="77777777" w:rsidR="009453A8" w:rsidRPr="00BE4766" w:rsidRDefault="009453A8" w:rsidP="005551AD">
            <w:pPr>
              <w:pStyle w:val="TableHead"/>
            </w:pPr>
            <w:r w:rsidRPr="00BE4766">
              <w:t>Unit</w:t>
            </w:r>
          </w:p>
        </w:tc>
        <w:tc>
          <w:tcPr>
            <w:tcW w:w="5940" w:type="dxa"/>
          </w:tcPr>
          <w:p w14:paraId="6DA93A29" w14:textId="77777777" w:rsidR="009453A8" w:rsidRPr="00BE4766" w:rsidRDefault="009453A8" w:rsidP="005551AD">
            <w:pPr>
              <w:pStyle w:val="TableHead"/>
            </w:pPr>
            <w:r>
              <w:t>Current Value*</w:t>
            </w:r>
          </w:p>
        </w:tc>
      </w:tr>
      <w:tr w:rsidR="009453A8" w:rsidRPr="00BE4766" w14:paraId="4E8115D5" w14:textId="77777777" w:rsidTr="005551AD">
        <w:trPr>
          <w:trHeight w:val="242"/>
        </w:trPr>
        <w:tc>
          <w:tcPr>
            <w:tcW w:w="1448" w:type="dxa"/>
          </w:tcPr>
          <w:p w14:paraId="149035BC" w14:textId="77777777" w:rsidR="009453A8" w:rsidRPr="008F4340" w:rsidRDefault="009453A8" w:rsidP="005551AD">
            <w:pPr>
              <w:pStyle w:val="TableBody"/>
              <w:rPr>
                <w:i/>
              </w:rPr>
            </w:pPr>
            <w:r>
              <w:rPr>
                <w:i/>
                <w:lang w:val="fr-FR"/>
              </w:rPr>
              <w:t>rhub</w:t>
            </w:r>
          </w:p>
        </w:tc>
        <w:tc>
          <w:tcPr>
            <w:tcW w:w="1702" w:type="dxa"/>
          </w:tcPr>
          <w:p w14:paraId="7B6A1FCC" w14:textId="77777777" w:rsidR="009453A8" w:rsidRDefault="009453A8" w:rsidP="005551AD">
            <w:pPr>
              <w:pStyle w:val="TableBody"/>
            </w:pPr>
            <w:r>
              <w:t>None</w:t>
            </w:r>
          </w:p>
        </w:tc>
        <w:tc>
          <w:tcPr>
            <w:tcW w:w="5940" w:type="dxa"/>
          </w:tcPr>
          <w:p w14:paraId="3152BF49" w14:textId="77777777" w:rsidR="009453A8" w:rsidRDefault="009453A8" w:rsidP="005551AD">
            <w:pPr>
              <w:pStyle w:val="TableBody"/>
            </w:pPr>
            <w:r>
              <w:t>ERCOT North Hub</w:t>
            </w:r>
          </w:p>
        </w:tc>
      </w:tr>
      <w:tr w:rsidR="009453A8" w:rsidRPr="00BE4766" w14:paraId="094230F2" w14:textId="77777777" w:rsidTr="005551AD">
        <w:trPr>
          <w:trHeight w:val="242"/>
        </w:trPr>
        <w:tc>
          <w:tcPr>
            <w:tcW w:w="1448" w:type="dxa"/>
          </w:tcPr>
          <w:p w14:paraId="492F5CB4" w14:textId="77777777" w:rsidR="009453A8" w:rsidRDefault="009453A8" w:rsidP="005551AD">
            <w:pPr>
              <w:pStyle w:val="TableBody"/>
              <w:rPr>
                <w:i/>
                <w:lang w:val="fr-FR"/>
              </w:rPr>
            </w:pPr>
            <w:r w:rsidRPr="006B56FB">
              <w:rPr>
                <w:i/>
              </w:rPr>
              <w:t>RWF</w:t>
            </w:r>
            <w:r>
              <w:rPr>
                <w:i/>
                <w:vertAlign w:val="subscript"/>
              </w:rPr>
              <w:t>1</w:t>
            </w:r>
          </w:p>
        </w:tc>
        <w:tc>
          <w:tcPr>
            <w:tcW w:w="1702" w:type="dxa"/>
          </w:tcPr>
          <w:p w14:paraId="39043471" w14:textId="77777777" w:rsidR="009453A8" w:rsidRDefault="009453A8" w:rsidP="005551AD">
            <w:pPr>
              <w:pStyle w:val="TableBody"/>
            </w:pPr>
            <w:r>
              <w:t>None</w:t>
            </w:r>
          </w:p>
        </w:tc>
        <w:tc>
          <w:tcPr>
            <w:tcW w:w="5940" w:type="dxa"/>
          </w:tcPr>
          <w:p w14:paraId="715C9EBA" w14:textId="77777777" w:rsidR="009453A8" w:rsidRDefault="009453A8" w:rsidP="005551AD">
            <w:pPr>
              <w:pStyle w:val="TableBody"/>
            </w:pPr>
            <w:r>
              <w:t>1/3</w:t>
            </w:r>
          </w:p>
        </w:tc>
      </w:tr>
      <w:tr w:rsidR="009453A8" w:rsidRPr="00BE4766" w14:paraId="55E45EF8" w14:textId="77777777" w:rsidTr="005551AD">
        <w:trPr>
          <w:trHeight w:val="242"/>
        </w:trPr>
        <w:tc>
          <w:tcPr>
            <w:tcW w:w="1448" w:type="dxa"/>
          </w:tcPr>
          <w:p w14:paraId="4B5C72A1" w14:textId="77777777" w:rsidR="009453A8" w:rsidRPr="00DE5E37" w:rsidRDefault="009453A8" w:rsidP="005551AD">
            <w:pPr>
              <w:pStyle w:val="TableBody"/>
              <w:rPr>
                <w:i/>
              </w:rPr>
            </w:pPr>
            <w:r w:rsidRPr="00824AAE">
              <w:rPr>
                <w:i/>
              </w:rPr>
              <w:t>RWF</w:t>
            </w:r>
            <w:r>
              <w:rPr>
                <w:i/>
                <w:vertAlign w:val="subscript"/>
              </w:rPr>
              <w:t>2</w:t>
            </w:r>
          </w:p>
        </w:tc>
        <w:tc>
          <w:tcPr>
            <w:tcW w:w="1702" w:type="dxa"/>
          </w:tcPr>
          <w:p w14:paraId="34A6659A" w14:textId="77777777" w:rsidR="009453A8" w:rsidRDefault="009453A8" w:rsidP="005551AD">
            <w:pPr>
              <w:pStyle w:val="TableBody"/>
            </w:pPr>
            <w:r>
              <w:t>None</w:t>
            </w:r>
          </w:p>
        </w:tc>
        <w:tc>
          <w:tcPr>
            <w:tcW w:w="5940" w:type="dxa"/>
          </w:tcPr>
          <w:p w14:paraId="6E9499FD" w14:textId="77777777" w:rsidR="009453A8" w:rsidRDefault="009453A8" w:rsidP="005551AD">
            <w:pPr>
              <w:pStyle w:val="TableBody"/>
            </w:pPr>
            <w:r>
              <w:t>1/3</w:t>
            </w:r>
          </w:p>
        </w:tc>
      </w:tr>
      <w:tr w:rsidR="009453A8" w:rsidRPr="00BE4766" w14:paraId="4434777B" w14:textId="77777777" w:rsidTr="005551AD">
        <w:trPr>
          <w:trHeight w:val="242"/>
        </w:trPr>
        <w:tc>
          <w:tcPr>
            <w:tcW w:w="1448" w:type="dxa"/>
          </w:tcPr>
          <w:p w14:paraId="351C24D7" w14:textId="77777777" w:rsidR="009453A8" w:rsidRPr="00DE5E37" w:rsidRDefault="009453A8" w:rsidP="005551AD">
            <w:pPr>
              <w:pStyle w:val="TableBody"/>
              <w:rPr>
                <w:i/>
              </w:rPr>
            </w:pPr>
            <w:r w:rsidRPr="00824AAE">
              <w:rPr>
                <w:i/>
              </w:rPr>
              <w:t>RWF</w:t>
            </w:r>
            <w:r>
              <w:rPr>
                <w:i/>
                <w:vertAlign w:val="subscript"/>
              </w:rPr>
              <w:t>3</w:t>
            </w:r>
          </w:p>
        </w:tc>
        <w:tc>
          <w:tcPr>
            <w:tcW w:w="1702" w:type="dxa"/>
          </w:tcPr>
          <w:p w14:paraId="13BE104B" w14:textId="77777777" w:rsidR="009453A8" w:rsidRDefault="009453A8" w:rsidP="005551AD">
            <w:pPr>
              <w:pStyle w:val="TableBody"/>
            </w:pPr>
            <w:r>
              <w:t>None</w:t>
            </w:r>
          </w:p>
        </w:tc>
        <w:tc>
          <w:tcPr>
            <w:tcW w:w="5940" w:type="dxa"/>
          </w:tcPr>
          <w:p w14:paraId="7D83CBF5" w14:textId="77777777" w:rsidR="009453A8" w:rsidRDefault="009453A8" w:rsidP="005551AD">
            <w:pPr>
              <w:pStyle w:val="TableBody"/>
            </w:pPr>
            <w:r>
              <w:t>1/3</w:t>
            </w:r>
          </w:p>
        </w:tc>
      </w:tr>
      <w:tr w:rsidR="009453A8" w:rsidRPr="00BE4766" w14:paraId="3486703E" w14:textId="77777777" w:rsidTr="005551AD">
        <w:trPr>
          <w:trHeight w:val="242"/>
        </w:trPr>
        <w:tc>
          <w:tcPr>
            <w:tcW w:w="1448" w:type="dxa"/>
          </w:tcPr>
          <w:p w14:paraId="2BD87EBB" w14:textId="77777777" w:rsidR="009453A8" w:rsidRPr="00DE5E37" w:rsidRDefault="009453A8" w:rsidP="005551AD">
            <w:pPr>
              <w:pStyle w:val="TableBody"/>
              <w:rPr>
                <w:i/>
              </w:rPr>
            </w:pPr>
            <w:r>
              <w:rPr>
                <w:i/>
              </w:rPr>
              <w:t>D</w:t>
            </w:r>
            <w:r w:rsidRPr="00824AAE">
              <w:rPr>
                <w:i/>
              </w:rPr>
              <w:t>WF</w:t>
            </w:r>
            <w:r>
              <w:rPr>
                <w:i/>
                <w:vertAlign w:val="subscript"/>
              </w:rPr>
              <w:t>1</w:t>
            </w:r>
          </w:p>
        </w:tc>
        <w:tc>
          <w:tcPr>
            <w:tcW w:w="1702" w:type="dxa"/>
          </w:tcPr>
          <w:p w14:paraId="2B8285A1" w14:textId="77777777" w:rsidR="009453A8" w:rsidRDefault="009453A8" w:rsidP="005551AD">
            <w:pPr>
              <w:pStyle w:val="TableBody"/>
            </w:pPr>
            <w:r>
              <w:t>None</w:t>
            </w:r>
          </w:p>
        </w:tc>
        <w:tc>
          <w:tcPr>
            <w:tcW w:w="5940" w:type="dxa"/>
          </w:tcPr>
          <w:p w14:paraId="494D4615" w14:textId="77777777" w:rsidR="009453A8" w:rsidRDefault="009453A8" w:rsidP="005551AD">
            <w:pPr>
              <w:pStyle w:val="TableBody"/>
            </w:pPr>
            <w:r>
              <w:t>1/3</w:t>
            </w:r>
          </w:p>
        </w:tc>
      </w:tr>
      <w:tr w:rsidR="009453A8" w:rsidRPr="00BE4766" w14:paraId="385E1652" w14:textId="77777777" w:rsidTr="005551AD">
        <w:trPr>
          <w:trHeight w:val="242"/>
        </w:trPr>
        <w:tc>
          <w:tcPr>
            <w:tcW w:w="1448" w:type="dxa"/>
          </w:tcPr>
          <w:p w14:paraId="248CC17C" w14:textId="77777777" w:rsidR="009453A8" w:rsidRPr="00DE5E37" w:rsidRDefault="009453A8" w:rsidP="005551AD">
            <w:pPr>
              <w:pStyle w:val="TableBody"/>
              <w:rPr>
                <w:i/>
              </w:rPr>
            </w:pPr>
            <w:r>
              <w:rPr>
                <w:i/>
              </w:rPr>
              <w:t>D</w:t>
            </w:r>
            <w:r w:rsidRPr="00824AAE">
              <w:rPr>
                <w:i/>
              </w:rPr>
              <w:t>WF</w:t>
            </w:r>
            <w:r>
              <w:rPr>
                <w:i/>
                <w:vertAlign w:val="subscript"/>
              </w:rPr>
              <w:t>2</w:t>
            </w:r>
          </w:p>
        </w:tc>
        <w:tc>
          <w:tcPr>
            <w:tcW w:w="1702" w:type="dxa"/>
          </w:tcPr>
          <w:p w14:paraId="46E7660C" w14:textId="77777777" w:rsidR="009453A8" w:rsidRDefault="009453A8" w:rsidP="005551AD">
            <w:pPr>
              <w:pStyle w:val="TableBody"/>
            </w:pPr>
            <w:r>
              <w:t>None</w:t>
            </w:r>
          </w:p>
        </w:tc>
        <w:tc>
          <w:tcPr>
            <w:tcW w:w="5940" w:type="dxa"/>
          </w:tcPr>
          <w:p w14:paraId="3642B672" w14:textId="77777777" w:rsidR="009453A8" w:rsidRDefault="009453A8" w:rsidP="005551AD">
            <w:pPr>
              <w:pStyle w:val="TableBody"/>
            </w:pPr>
            <w:r>
              <w:t>1/3</w:t>
            </w:r>
          </w:p>
        </w:tc>
      </w:tr>
      <w:tr w:rsidR="009453A8" w:rsidRPr="00BE4766" w14:paraId="7F181369" w14:textId="77777777" w:rsidTr="005551AD">
        <w:trPr>
          <w:trHeight w:val="242"/>
        </w:trPr>
        <w:tc>
          <w:tcPr>
            <w:tcW w:w="1448" w:type="dxa"/>
          </w:tcPr>
          <w:p w14:paraId="0C8B18A4" w14:textId="77777777" w:rsidR="009453A8" w:rsidRPr="00DE5E37" w:rsidRDefault="009453A8" w:rsidP="005551AD">
            <w:pPr>
              <w:pStyle w:val="TableBody"/>
              <w:rPr>
                <w:i/>
              </w:rPr>
            </w:pPr>
            <w:r>
              <w:rPr>
                <w:i/>
              </w:rPr>
              <w:t>D</w:t>
            </w:r>
            <w:r w:rsidRPr="00824AAE">
              <w:rPr>
                <w:i/>
              </w:rPr>
              <w:t>WF</w:t>
            </w:r>
            <w:r>
              <w:rPr>
                <w:i/>
                <w:vertAlign w:val="subscript"/>
              </w:rPr>
              <w:t>3</w:t>
            </w:r>
          </w:p>
        </w:tc>
        <w:tc>
          <w:tcPr>
            <w:tcW w:w="1702" w:type="dxa"/>
          </w:tcPr>
          <w:p w14:paraId="4F3CFEAE" w14:textId="77777777" w:rsidR="009453A8" w:rsidRDefault="009453A8" w:rsidP="005551AD">
            <w:pPr>
              <w:pStyle w:val="TableBody"/>
            </w:pPr>
            <w:r>
              <w:t>None</w:t>
            </w:r>
          </w:p>
        </w:tc>
        <w:tc>
          <w:tcPr>
            <w:tcW w:w="5940" w:type="dxa"/>
          </w:tcPr>
          <w:p w14:paraId="72032E67" w14:textId="77777777" w:rsidR="009453A8" w:rsidRDefault="009453A8" w:rsidP="005551AD">
            <w:pPr>
              <w:pStyle w:val="TableBody"/>
            </w:pPr>
            <w:r>
              <w:t>1/3</w:t>
            </w:r>
          </w:p>
        </w:tc>
      </w:tr>
      <w:tr w:rsidR="009453A8" w:rsidRPr="00BE4766" w14:paraId="735AF65B" w14:textId="77777777" w:rsidTr="005551AD">
        <w:trPr>
          <w:trHeight w:val="519"/>
        </w:trPr>
        <w:tc>
          <w:tcPr>
            <w:tcW w:w="9090" w:type="dxa"/>
            <w:gridSpan w:val="3"/>
          </w:tcPr>
          <w:p w14:paraId="59AD95DC" w14:textId="77777777" w:rsidR="009453A8" w:rsidRDefault="009453A8" w:rsidP="005551AD">
            <w:pPr>
              <w:pStyle w:val="TableBody"/>
            </w:pPr>
            <w:r>
              <w:lastRenderedPageBreak/>
              <w:t xml:space="preserve">*  </w:t>
            </w:r>
            <w:r w:rsidRPr="00126667">
              <w:t xml:space="preserve">The </w:t>
            </w:r>
            <w:r>
              <w:t xml:space="preserve">current value for the </w:t>
            </w:r>
            <w:r w:rsidRPr="00126667">
              <w:t xml:space="preserve">parameters referenced in </w:t>
            </w:r>
            <w:r>
              <w:t xml:space="preserve">the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03A9EE4F" w14:textId="77777777" w:rsidR="00FC1C5F" w:rsidRDefault="00727E32" w:rsidP="009453A8">
      <w:pPr>
        <w:pStyle w:val="ListIntroduction"/>
        <w:tabs>
          <w:tab w:val="left" w:pos="1260"/>
        </w:tabs>
        <w:spacing w:before="480"/>
        <w:outlineLvl w:val="3"/>
      </w:pPr>
      <w:bookmarkStart w:id="510" w:name="_Toc175159169"/>
      <w:r w:rsidRPr="00EA38A1">
        <w:rPr>
          <w:b/>
          <w:iCs w:val="0"/>
        </w:rPr>
        <w:t>16</w:t>
      </w:r>
      <w:r w:rsidRPr="00D63F95">
        <w:rPr>
          <w:b/>
        </w:rPr>
        <w:t>.11.4.4</w:t>
      </w:r>
      <w:r w:rsidRPr="00D63F95">
        <w:rPr>
          <w:b/>
        </w:rPr>
        <w:tab/>
      </w:r>
      <w:r w:rsidR="00E12AFD" w:rsidRPr="00DD1960">
        <w:rPr>
          <w:b/>
          <w:i/>
        </w:rPr>
        <w:t>[RESERVED]</w:t>
      </w:r>
      <w:bookmarkEnd w:id="499"/>
      <w:bookmarkEnd w:id="500"/>
      <w:bookmarkEnd w:id="501"/>
      <w:bookmarkEnd w:id="502"/>
      <w:bookmarkEnd w:id="503"/>
      <w:bookmarkEnd w:id="504"/>
      <w:bookmarkEnd w:id="510"/>
    </w:p>
    <w:p w14:paraId="2927F9E2" w14:textId="77777777" w:rsidR="00A36A5A" w:rsidRPr="00341696" w:rsidRDefault="00A36A5A" w:rsidP="00A36A5A">
      <w:pPr>
        <w:keepNext/>
        <w:widowControl w:val="0"/>
        <w:tabs>
          <w:tab w:val="left" w:pos="1260"/>
        </w:tabs>
        <w:spacing w:before="240" w:after="240"/>
        <w:ind w:left="1267" w:hanging="1267"/>
        <w:outlineLvl w:val="3"/>
        <w:rPr>
          <w:b/>
          <w:bCs/>
          <w:snapToGrid w:val="0"/>
        </w:rPr>
      </w:pPr>
      <w:bookmarkStart w:id="511" w:name="_Toc390438970"/>
      <w:bookmarkStart w:id="512" w:name="_Toc405897668"/>
      <w:bookmarkStart w:id="513" w:name="_Toc415055772"/>
      <w:bookmarkStart w:id="514" w:name="_Toc415055898"/>
      <w:bookmarkStart w:id="515" w:name="_Toc415055997"/>
      <w:bookmarkStart w:id="516" w:name="_Toc415056098"/>
      <w:bookmarkStart w:id="517" w:name="_Toc175159170"/>
      <w:r w:rsidRPr="00341696">
        <w:rPr>
          <w:b/>
          <w:bCs/>
          <w:snapToGrid w:val="0"/>
        </w:rPr>
        <w:t>16.11.4.5</w:t>
      </w:r>
      <w:r w:rsidRPr="00341696">
        <w:rPr>
          <w:b/>
          <w:bCs/>
          <w:snapToGrid w:val="0"/>
        </w:rPr>
        <w:tab/>
        <w:t>Determination of the Counter-Party Future Credit Exposure</w:t>
      </w:r>
      <w:bookmarkEnd w:id="511"/>
      <w:bookmarkEnd w:id="512"/>
      <w:bookmarkEnd w:id="513"/>
      <w:bookmarkEnd w:id="514"/>
      <w:bookmarkEnd w:id="515"/>
      <w:bookmarkEnd w:id="516"/>
      <w:bookmarkEnd w:id="517"/>
    </w:p>
    <w:p w14:paraId="7DAA1AE1" w14:textId="77777777" w:rsidR="00A36A5A" w:rsidRDefault="00A36A5A" w:rsidP="00A36A5A">
      <w:pPr>
        <w:pStyle w:val="BodyText"/>
        <w:tabs>
          <w:tab w:val="left" w:pos="720"/>
        </w:tabs>
        <w:ind w:left="720" w:hanging="720"/>
      </w:pPr>
      <w:r w:rsidRPr="00341696">
        <w:rPr>
          <w:iCs w:val="0"/>
        </w:rPr>
        <w:t>(1)</w:t>
      </w:r>
      <w:r w:rsidRPr="00341696">
        <w:rPr>
          <w:iCs w:val="0"/>
        </w:rPr>
        <w:tab/>
        <w:t xml:space="preserve">ERCOT shall monitor and calculate the Counter-Party’s FCE for all </w:t>
      </w:r>
      <w:r w:rsidR="00613851">
        <w:rPr>
          <w:iCs w:val="0"/>
        </w:rPr>
        <w:t>the CRR Account Holders represented by</w:t>
      </w:r>
      <w:r w:rsidRPr="00341696">
        <w:rPr>
          <w:iCs w:val="0"/>
        </w:rPr>
        <w:t xml:space="preserve"> the Counter-Party as </w:t>
      </w:r>
      <w:r>
        <w:rPr>
          <w:iCs w:val="0"/>
        </w:rPr>
        <w:t>CRR O</w:t>
      </w:r>
      <w:r w:rsidRPr="00341696">
        <w:rPr>
          <w:iCs w:val="0"/>
        </w:rPr>
        <w:t>wner of record at ERCOT</w:t>
      </w:r>
      <w:r w:rsidRPr="00891D7E">
        <w:t>.</w:t>
      </w:r>
      <w:r>
        <w:t xml:space="preserve"> </w:t>
      </w:r>
    </w:p>
    <w:p w14:paraId="01D62A65" w14:textId="77777777" w:rsidR="00A36A5A" w:rsidRPr="002475CE" w:rsidRDefault="00A36A5A" w:rsidP="00A36A5A">
      <w:pPr>
        <w:pStyle w:val="Instructions"/>
        <w:spacing w:after="0"/>
        <w:ind w:left="720"/>
        <w:rPr>
          <w:i w:val="0"/>
        </w:rPr>
      </w:pPr>
      <w:r w:rsidRPr="002475CE">
        <w:rPr>
          <w:i w:val="0"/>
          <w:lang w:val="it-IT"/>
        </w:rPr>
        <w:t xml:space="preserve">FCE </w:t>
      </w:r>
      <w:r w:rsidR="00613851">
        <w:rPr>
          <w:rFonts w:ascii="Times New Roman Bold" w:hAnsi="Times New Roman Bold"/>
          <w:vertAlign w:val="subscript"/>
          <w:lang w:val="it-IT"/>
        </w:rPr>
        <w:t>a</w:t>
      </w:r>
      <w:r w:rsidRPr="002475CE">
        <w:rPr>
          <w:i w:val="0"/>
          <w:lang w:val="it-IT"/>
        </w:rPr>
        <w:t xml:space="preserve">  =  FCEOBL </w:t>
      </w:r>
      <w:r w:rsidR="00613851">
        <w:rPr>
          <w:rFonts w:ascii="Times New Roman Bold" w:hAnsi="Times New Roman Bold"/>
          <w:vertAlign w:val="subscript"/>
          <w:lang w:val="it-IT"/>
        </w:rPr>
        <w:t>a</w:t>
      </w:r>
      <w:r w:rsidRPr="002475CE">
        <w:rPr>
          <w:i w:val="0"/>
          <w:lang w:val="it-IT"/>
        </w:rPr>
        <w:t xml:space="preserve"> + FCEOPT </w:t>
      </w:r>
      <w:r w:rsidR="00613851">
        <w:rPr>
          <w:rFonts w:ascii="Times New Roman Bold" w:hAnsi="Times New Roman Bold"/>
          <w:vertAlign w:val="subscript"/>
          <w:lang w:val="it-IT"/>
        </w:rPr>
        <w:t>a</w:t>
      </w:r>
      <w:r w:rsidRPr="00D36347">
        <w:rPr>
          <w:rFonts w:ascii="Times New Roman Bold" w:hAnsi="Times New Roman Bold"/>
          <w:vertAlign w:val="subscript"/>
          <w:lang w:val="it-IT"/>
        </w:rPr>
        <w:t xml:space="preserve"> </w:t>
      </w:r>
    </w:p>
    <w:p w14:paraId="10251386" w14:textId="77777777" w:rsidR="00A36A5A" w:rsidRPr="00FA6425" w:rsidRDefault="00A36A5A" w:rsidP="00A36A5A">
      <w:pPr>
        <w:pStyle w:val="ListIntroduction"/>
        <w:spacing w:after="0"/>
        <w:rPr>
          <w:lang w:val="en-US" w:eastAsia="en-US"/>
        </w:rPr>
      </w:pPr>
    </w:p>
    <w:p w14:paraId="796AC34F" w14:textId="77777777" w:rsidR="00A36A5A" w:rsidRPr="00FA6425" w:rsidRDefault="00A36A5A" w:rsidP="00A36A5A">
      <w:pPr>
        <w:pStyle w:val="ListIntroduction"/>
        <w:spacing w:after="0"/>
        <w:rPr>
          <w:lang w:val="en-US" w:eastAsia="en-US"/>
        </w:rPr>
      </w:pPr>
      <w:r w:rsidRPr="00FA6425">
        <w:rPr>
          <w:lang w:val="en-US" w:eastAsia="en-US"/>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739"/>
        <w:gridCol w:w="6948"/>
      </w:tblGrid>
      <w:tr w:rsidR="00A36A5A" w14:paraId="2DF9B6A5" w14:textId="77777777" w:rsidTr="00077067">
        <w:trPr>
          <w:cantSplit/>
          <w:trHeight w:val="351"/>
          <w:tblHeader/>
        </w:trPr>
        <w:tc>
          <w:tcPr>
            <w:tcW w:w="0" w:type="auto"/>
          </w:tcPr>
          <w:p w14:paraId="0FD3B76C" w14:textId="77777777" w:rsidR="00A36A5A" w:rsidRDefault="00A36A5A" w:rsidP="00077067">
            <w:pPr>
              <w:pStyle w:val="TableHead"/>
            </w:pPr>
            <w:r>
              <w:t>Variable</w:t>
            </w:r>
          </w:p>
        </w:tc>
        <w:tc>
          <w:tcPr>
            <w:tcW w:w="739" w:type="dxa"/>
          </w:tcPr>
          <w:p w14:paraId="48305851" w14:textId="77777777" w:rsidR="00A36A5A" w:rsidRDefault="00A36A5A" w:rsidP="00077067">
            <w:pPr>
              <w:pStyle w:val="TableHead"/>
            </w:pPr>
            <w:r>
              <w:t>Unit</w:t>
            </w:r>
          </w:p>
        </w:tc>
        <w:tc>
          <w:tcPr>
            <w:tcW w:w="6948" w:type="dxa"/>
          </w:tcPr>
          <w:p w14:paraId="01B8EA1B" w14:textId="77777777" w:rsidR="00A36A5A" w:rsidRDefault="00A36A5A" w:rsidP="00077067">
            <w:pPr>
              <w:pStyle w:val="TableHead"/>
            </w:pPr>
            <w:r>
              <w:t>Description</w:t>
            </w:r>
          </w:p>
        </w:tc>
      </w:tr>
      <w:tr w:rsidR="00A36A5A" w14:paraId="5CD90055" w14:textId="77777777" w:rsidTr="00077067">
        <w:trPr>
          <w:trHeight w:val="260"/>
        </w:trPr>
        <w:tc>
          <w:tcPr>
            <w:tcW w:w="0" w:type="auto"/>
          </w:tcPr>
          <w:p w14:paraId="5FE0B18E" w14:textId="77777777" w:rsidR="00A36A5A" w:rsidRDefault="00A36A5A" w:rsidP="00613851">
            <w:pPr>
              <w:pStyle w:val="TableBody"/>
            </w:pPr>
            <w:r>
              <w:t xml:space="preserve">FCE </w:t>
            </w:r>
            <w:r w:rsidR="00613851">
              <w:rPr>
                <w:rFonts w:ascii="Times New Roman Bold" w:hAnsi="Times New Roman Bold"/>
                <w:i/>
                <w:vertAlign w:val="subscript"/>
              </w:rPr>
              <w:t>a</w:t>
            </w:r>
          </w:p>
        </w:tc>
        <w:tc>
          <w:tcPr>
            <w:tcW w:w="739" w:type="dxa"/>
          </w:tcPr>
          <w:p w14:paraId="4A088EB8" w14:textId="77777777" w:rsidR="00A36A5A" w:rsidRDefault="00A36A5A" w:rsidP="00077067">
            <w:pPr>
              <w:pStyle w:val="TableBody"/>
            </w:pPr>
            <w:r>
              <w:t>$</w:t>
            </w:r>
          </w:p>
        </w:tc>
        <w:tc>
          <w:tcPr>
            <w:tcW w:w="6948" w:type="dxa"/>
          </w:tcPr>
          <w:p w14:paraId="45580588" w14:textId="77777777" w:rsidR="00A36A5A" w:rsidRDefault="00A36A5A" w:rsidP="008C0679">
            <w:pPr>
              <w:pStyle w:val="TableBody"/>
            </w:pPr>
            <w:r w:rsidRPr="00B67540">
              <w:rPr>
                <w:i/>
              </w:rPr>
              <w:t>Future Credit Exposure</w:t>
            </w:r>
            <w:r>
              <w:t xml:space="preserve"> for all CRRs held by </w:t>
            </w:r>
            <w:r w:rsidR="008C0679" w:rsidRPr="00545E0B">
              <w:rPr>
                <w:i/>
              </w:rPr>
              <w:t>all CRR Account Holders</w:t>
            </w:r>
            <w:r w:rsidR="008C0679">
              <w:t xml:space="preserve"> represented by </w:t>
            </w:r>
            <w:r>
              <w:t>the Counter-Party.</w:t>
            </w:r>
          </w:p>
        </w:tc>
      </w:tr>
      <w:tr w:rsidR="00A36A5A" w14:paraId="32EEE376" w14:textId="77777777" w:rsidTr="00077067">
        <w:trPr>
          <w:trHeight w:val="611"/>
        </w:trPr>
        <w:tc>
          <w:tcPr>
            <w:tcW w:w="0" w:type="auto"/>
          </w:tcPr>
          <w:p w14:paraId="0BEE9320" w14:textId="77777777" w:rsidR="00A36A5A" w:rsidRDefault="00A36A5A" w:rsidP="00613851">
            <w:pPr>
              <w:pStyle w:val="TableBody"/>
            </w:pPr>
            <w:r>
              <w:t xml:space="preserve">FCEOBL </w:t>
            </w:r>
            <w:r w:rsidR="00613851">
              <w:rPr>
                <w:rFonts w:ascii="Times New Roman Bold" w:hAnsi="Times New Roman Bold"/>
                <w:i/>
                <w:vertAlign w:val="subscript"/>
              </w:rPr>
              <w:t>a</w:t>
            </w:r>
          </w:p>
        </w:tc>
        <w:tc>
          <w:tcPr>
            <w:tcW w:w="739" w:type="dxa"/>
          </w:tcPr>
          <w:p w14:paraId="5A8EE8B9" w14:textId="77777777" w:rsidR="00A36A5A" w:rsidRDefault="00A36A5A" w:rsidP="00077067">
            <w:pPr>
              <w:pStyle w:val="TableBody"/>
            </w:pPr>
            <w:r>
              <w:t>$</w:t>
            </w:r>
          </w:p>
        </w:tc>
        <w:tc>
          <w:tcPr>
            <w:tcW w:w="6948" w:type="dxa"/>
          </w:tcPr>
          <w:p w14:paraId="3782E097" w14:textId="77777777" w:rsidR="00A36A5A" w:rsidRPr="00B67540" w:rsidRDefault="00A36A5A" w:rsidP="008C0679">
            <w:pPr>
              <w:pStyle w:val="TableBody"/>
              <w:rPr>
                <w:iCs w:val="0"/>
              </w:rPr>
            </w:pPr>
            <w:r w:rsidRPr="00B67540">
              <w:rPr>
                <w:i/>
              </w:rPr>
              <w:t>Future Credit Exposure for PTP Obligations</w:t>
            </w:r>
            <w:r>
              <w:t xml:space="preserve"> for all PTP Obligations held by </w:t>
            </w:r>
            <w:r w:rsidR="008C0679">
              <w:t xml:space="preserve">all CRR Account Holders represented by </w:t>
            </w:r>
            <w:r>
              <w:t>the Counter-Party as CRR Owner</w:t>
            </w:r>
            <w:r w:rsidRPr="00B67540">
              <w:rPr>
                <w:i/>
              </w:rPr>
              <w:t xml:space="preserve"> </w:t>
            </w:r>
            <w:r>
              <w:t xml:space="preserve">of record at ERCOT, for all Operating Days in the current operating month, Prompt Month, and all Forward Months. </w:t>
            </w:r>
          </w:p>
        </w:tc>
      </w:tr>
      <w:tr w:rsidR="00A36A5A" w14:paraId="3614E631" w14:textId="77777777" w:rsidTr="00077067">
        <w:trPr>
          <w:trHeight w:val="530"/>
        </w:trPr>
        <w:tc>
          <w:tcPr>
            <w:tcW w:w="0" w:type="auto"/>
          </w:tcPr>
          <w:p w14:paraId="11990135" w14:textId="77777777" w:rsidR="00A36A5A" w:rsidRDefault="00A36A5A" w:rsidP="00613851">
            <w:pPr>
              <w:pStyle w:val="TableBody"/>
            </w:pPr>
            <w:r>
              <w:t xml:space="preserve">FCEOPT </w:t>
            </w:r>
            <w:r w:rsidR="00613851">
              <w:rPr>
                <w:rFonts w:ascii="Times New Roman Bold" w:hAnsi="Times New Roman Bold"/>
                <w:i/>
                <w:vertAlign w:val="subscript"/>
              </w:rPr>
              <w:t>a</w:t>
            </w:r>
          </w:p>
        </w:tc>
        <w:tc>
          <w:tcPr>
            <w:tcW w:w="739" w:type="dxa"/>
          </w:tcPr>
          <w:p w14:paraId="35D011D7" w14:textId="77777777" w:rsidR="00A36A5A" w:rsidRDefault="00A36A5A" w:rsidP="00077067">
            <w:pPr>
              <w:pStyle w:val="TableBody"/>
            </w:pPr>
            <w:r>
              <w:t>$</w:t>
            </w:r>
          </w:p>
        </w:tc>
        <w:tc>
          <w:tcPr>
            <w:tcW w:w="6948" w:type="dxa"/>
          </w:tcPr>
          <w:p w14:paraId="0A4938CE" w14:textId="77777777" w:rsidR="00A36A5A" w:rsidRDefault="00A36A5A" w:rsidP="008C0679">
            <w:pPr>
              <w:pStyle w:val="TableBody"/>
            </w:pPr>
            <w:r w:rsidRPr="00B67540">
              <w:rPr>
                <w:i/>
              </w:rPr>
              <w:t>Future Credit Exposure for PTP Options</w:t>
            </w:r>
            <w:r>
              <w:t xml:space="preserve"> for all PTP Options held by </w:t>
            </w:r>
            <w:r w:rsidR="008C0679">
              <w:t xml:space="preserve">all CRR Account Holders represented by </w:t>
            </w:r>
            <w:r>
              <w:t>the Counter-Party as CRR Owner</w:t>
            </w:r>
            <w:r w:rsidRPr="00B67540">
              <w:rPr>
                <w:i/>
              </w:rPr>
              <w:t xml:space="preserve"> </w:t>
            </w:r>
            <w:r>
              <w:t xml:space="preserve">of record at ERCOT, for all Operating Days remaining in the current operating month and Prompt Month. </w:t>
            </w:r>
          </w:p>
        </w:tc>
      </w:tr>
      <w:tr w:rsidR="00A36A5A" w14:paraId="371F84CB" w14:textId="77777777" w:rsidTr="00077067">
        <w:trPr>
          <w:trHeight w:val="350"/>
        </w:trPr>
        <w:tc>
          <w:tcPr>
            <w:tcW w:w="0" w:type="auto"/>
          </w:tcPr>
          <w:p w14:paraId="5ACFB7D9" w14:textId="77777777" w:rsidR="00A36A5A" w:rsidRPr="00D36347" w:rsidRDefault="00613851" w:rsidP="00077067">
            <w:pPr>
              <w:pStyle w:val="TableBody"/>
              <w:rPr>
                <w:i/>
              </w:rPr>
            </w:pPr>
            <w:r>
              <w:rPr>
                <w:i/>
              </w:rPr>
              <w:t>a</w:t>
            </w:r>
          </w:p>
        </w:tc>
        <w:tc>
          <w:tcPr>
            <w:tcW w:w="739" w:type="dxa"/>
          </w:tcPr>
          <w:p w14:paraId="6DCCD5B3" w14:textId="77777777" w:rsidR="00A36A5A" w:rsidRDefault="00A36A5A" w:rsidP="00077067">
            <w:pPr>
              <w:pStyle w:val="TableBody"/>
            </w:pPr>
            <w:r>
              <w:t>none</w:t>
            </w:r>
          </w:p>
        </w:tc>
        <w:tc>
          <w:tcPr>
            <w:tcW w:w="6948" w:type="dxa"/>
          </w:tcPr>
          <w:p w14:paraId="662F1402" w14:textId="77777777" w:rsidR="00A36A5A" w:rsidRDefault="00A36A5A" w:rsidP="008C0679">
            <w:pPr>
              <w:pStyle w:val="TableBody"/>
            </w:pPr>
            <w:r>
              <w:t>A</w:t>
            </w:r>
            <w:r w:rsidR="008C0679">
              <w:t>ll</w:t>
            </w:r>
            <w:r>
              <w:t xml:space="preserve"> CRR </w:t>
            </w:r>
            <w:r w:rsidR="008C0679">
              <w:t>Account Holders represented by the Counter-Party</w:t>
            </w:r>
            <w:r>
              <w:t>.</w:t>
            </w:r>
          </w:p>
        </w:tc>
      </w:tr>
    </w:tbl>
    <w:p w14:paraId="4F362115" w14:textId="77777777" w:rsidR="00A36A5A" w:rsidRPr="00341696" w:rsidRDefault="00A36A5A" w:rsidP="00A36A5A">
      <w:pPr>
        <w:tabs>
          <w:tab w:val="left" w:pos="720"/>
        </w:tabs>
        <w:spacing w:before="240" w:after="240"/>
        <w:ind w:left="720" w:hanging="720"/>
        <w:rPr>
          <w:b/>
          <w:bCs/>
          <w:iCs/>
        </w:rPr>
      </w:pPr>
      <w:r w:rsidRPr="00341696">
        <w:rPr>
          <w:iCs/>
        </w:rPr>
        <w:t>(2)</w:t>
      </w:r>
      <w:r w:rsidRPr="00341696">
        <w:rPr>
          <w:iCs/>
        </w:rPr>
        <w:tab/>
        <w:t xml:space="preserve">The Counter-Party’s FCE for PTP Obligations (FCEOBL) held by </w:t>
      </w:r>
      <w:r w:rsidR="008C0679">
        <w:t xml:space="preserve">all CRR Account Holders represented by </w:t>
      </w:r>
      <w:r w:rsidRPr="00341696">
        <w:rPr>
          <w:iCs/>
        </w:rPr>
        <w:t xml:space="preserve">the Counter-Party as </w:t>
      </w:r>
      <w:r>
        <w:rPr>
          <w:iCs/>
        </w:rPr>
        <w:t>CRR O</w:t>
      </w:r>
      <w:r w:rsidRPr="00341696">
        <w:rPr>
          <w:iCs/>
        </w:rPr>
        <w:t xml:space="preserve">wner of record at ERCOT </w:t>
      </w:r>
      <w:r>
        <w:rPr>
          <w:iCs/>
        </w:rPr>
        <w:t xml:space="preserve">are </w:t>
      </w:r>
      <w:r w:rsidRPr="00341696">
        <w:rPr>
          <w:iCs/>
        </w:rPr>
        <w:t>calculated as follows:</w:t>
      </w:r>
    </w:p>
    <w:p w14:paraId="6AA00B74" w14:textId="77777777" w:rsidR="00A36A5A" w:rsidRDefault="00A36A5A" w:rsidP="00A36A5A">
      <w:pPr>
        <w:tabs>
          <w:tab w:val="left" w:pos="1440"/>
          <w:tab w:val="left" w:pos="1800"/>
        </w:tabs>
        <w:spacing w:after="240"/>
        <w:ind w:left="720"/>
        <w:contextualSpacing/>
        <w:rPr>
          <w:b/>
        </w:rPr>
      </w:pPr>
      <w:r w:rsidRPr="00341696">
        <w:rPr>
          <w:b/>
          <w:iCs/>
        </w:rPr>
        <w:t xml:space="preserve">FCEOBL </w:t>
      </w:r>
      <w:r w:rsidR="008C0679">
        <w:rPr>
          <w:rFonts w:ascii="Times New Roman Bold" w:hAnsi="Times New Roman Bold"/>
          <w:i/>
          <w:iCs/>
          <w:vertAlign w:val="subscript"/>
        </w:rPr>
        <w:t>a</w:t>
      </w:r>
      <w:r w:rsidRPr="00972D5D">
        <w:rPr>
          <w:iCs/>
        </w:rPr>
        <w:t xml:space="preserve"> </w:t>
      </w:r>
      <w:r w:rsidRPr="00341696">
        <w:rPr>
          <w:iCs/>
        </w:rPr>
        <w:tab/>
      </w:r>
      <w:r w:rsidRPr="00341696">
        <w:rPr>
          <w:b/>
          <w:iCs/>
        </w:rPr>
        <w:t>=</w:t>
      </w:r>
      <w:r w:rsidRPr="00341696">
        <w:rPr>
          <w:b/>
          <w:iCs/>
        </w:rPr>
        <w:tab/>
      </w:r>
      <w:r>
        <w:t>∑</w:t>
      </w:r>
      <w:r w:rsidRPr="00D36347">
        <w:rPr>
          <w:i/>
          <w:vertAlign w:val="subscript"/>
        </w:rPr>
        <w:t>m</w:t>
      </w:r>
      <w:r w:rsidRPr="00CE5CAA">
        <w:rPr>
          <w:b/>
        </w:rPr>
        <w:t xml:space="preserve"> </w:t>
      </w:r>
      <w:r w:rsidRPr="00E551AB">
        <w:rPr>
          <w:b/>
        </w:rPr>
        <w:t>[(∑</w:t>
      </w:r>
      <w:r w:rsidRPr="00D36347">
        <w:rPr>
          <w:b/>
          <w:i/>
          <w:vertAlign w:val="subscript"/>
        </w:rPr>
        <w:t>h</w:t>
      </w:r>
      <w:r w:rsidRPr="00E551AB">
        <w:rPr>
          <w:b/>
          <w:vertAlign w:val="subscript"/>
        </w:rPr>
        <w:t xml:space="preserve"> </w:t>
      </w:r>
      <w:r w:rsidRPr="00E551AB">
        <w:rPr>
          <w:b/>
        </w:rPr>
        <w:t>∑</w:t>
      </w:r>
      <w:r w:rsidRPr="00D36347">
        <w:rPr>
          <w:b/>
          <w:i/>
          <w:vertAlign w:val="subscript"/>
        </w:rPr>
        <w:t>j, k</w:t>
      </w:r>
      <w:r w:rsidRPr="00E551AB">
        <w:rPr>
          <w:b/>
          <w:vertAlign w:val="subscript"/>
        </w:rPr>
        <w:t xml:space="preserve"> </w:t>
      </w:r>
      <w:r w:rsidRPr="00E551AB">
        <w:rPr>
          <w:b/>
        </w:rPr>
        <w:t>NAOBLMW</w:t>
      </w:r>
      <w:r>
        <w:rPr>
          <w:b/>
        </w:rPr>
        <w:t xml:space="preserve"> </w:t>
      </w:r>
      <w:r w:rsidRPr="00D36347">
        <w:rPr>
          <w:b/>
          <w:i/>
          <w:vertAlign w:val="subscript"/>
        </w:rPr>
        <w:t>m, h, (j, k)</w:t>
      </w:r>
      <w:r>
        <w:rPr>
          <w:b/>
        </w:rPr>
        <w:t>)</w:t>
      </w:r>
      <w:r w:rsidRPr="00E551AB">
        <w:rPr>
          <w:b/>
        </w:rPr>
        <w:t xml:space="preserve"> * (</w:t>
      </w:r>
      <w:r>
        <w:rPr>
          <w:b/>
        </w:rPr>
        <w:t>-M</w:t>
      </w:r>
      <w:r w:rsidRPr="00E551AB">
        <w:rPr>
          <w:b/>
        </w:rPr>
        <w:t>in</w:t>
      </w:r>
      <w:r w:rsidRPr="00AD1A26">
        <w:rPr>
          <w:b/>
        </w:rPr>
        <w:t>(0,</w:t>
      </w:r>
      <w:r w:rsidR="00D24ED8">
        <w:rPr>
          <w:b/>
        </w:rPr>
        <w:t xml:space="preserve"> </w:t>
      </w:r>
      <w:r>
        <w:rPr>
          <w:b/>
        </w:rPr>
        <w:t xml:space="preserve">PWA </w:t>
      </w:r>
      <w:r w:rsidRPr="00D36347">
        <w:rPr>
          <w:b/>
          <w:i/>
          <w:vertAlign w:val="subscript"/>
        </w:rPr>
        <w:t>ci100, m</w:t>
      </w:r>
      <w:r>
        <w:rPr>
          <w:b/>
        </w:rPr>
        <w:t>, PW</w:t>
      </w:r>
      <w:r w:rsidRPr="00E551AB">
        <w:rPr>
          <w:b/>
        </w:rPr>
        <w:t>ACP</w:t>
      </w:r>
      <w:r>
        <w:rPr>
          <w:b/>
        </w:rPr>
        <w:t xml:space="preserve"> </w:t>
      </w:r>
      <w:r w:rsidRPr="00D36347">
        <w:rPr>
          <w:b/>
          <w:i/>
          <w:vertAlign w:val="subscript"/>
        </w:rPr>
        <w:t>m</w:t>
      </w:r>
      <w:r w:rsidRPr="00E551AB">
        <w:rPr>
          <w:b/>
        </w:rPr>
        <w:t>)</w:t>
      </w:r>
      <w:r>
        <w:rPr>
          <w:b/>
        </w:rPr>
        <w:t>)</w:t>
      </w:r>
      <w:r w:rsidRPr="00E551AB">
        <w:rPr>
          <w:b/>
        </w:rPr>
        <w:t>]</w:t>
      </w:r>
    </w:p>
    <w:p w14:paraId="18E43F67" w14:textId="77777777" w:rsidR="0083787A" w:rsidRDefault="0083787A" w:rsidP="0083787A">
      <w:pPr>
        <w:tabs>
          <w:tab w:val="left" w:pos="1440"/>
          <w:tab w:val="left" w:pos="1800"/>
        </w:tabs>
        <w:spacing w:after="240"/>
        <w:ind w:left="720"/>
        <w:contextualSpacing/>
        <w:rPr>
          <w:b/>
        </w:rPr>
      </w:pPr>
    </w:p>
    <w:p w14:paraId="0761193B" w14:textId="77777777" w:rsidR="00A36A5A" w:rsidRDefault="0083787A" w:rsidP="008779D4">
      <w:pPr>
        <w:tabs>
          <w:tab w:val="left" w:pos="1440"/>
          <w:tab w:val="left" w:pos="1800"/>
        </w:tabs>
        <w:ind w:left="720"/>
        <w:contextualSpacing/>
        <w:rPr>
          <w:b/>
        </w:rPr>
      </w:pPr>
      <w:r w:rsidRPr="00920E6B">
        <w:rPr>
          <w:b/>
        </w:rPr>
        <w:t xml:space="preserve">PWACP </w:t>
      </w:r>
      <w:r w:rsidRPr="00D36347">
        <w:rPr>
          <w:b/>
          <w:i/>
          <w:vertAlign w:val="subscript"/>
        </w:rPr>
        <w:t>m</w:t>
      </w:r>
      <w:r w:rsidRPr="00920E6B">
        <w:rPr>
          <w:b/>
          <w:vertAlign w:val="subscript"/>
        </w:rPr>
        <w:t xml:space="preserve"> </w:t>
      </w:r>
      <w:r w:rsidRPr="00920E6B">
        <w:rPr>
          <w:b/>
          <w:vertAlign w:val="subscript"/>
        </w:rPr>
        <w:tab/>
      </w:r>
      <w:r w:rsidRPr="00920E6B">
        <w:rPr>
          <w:b/>
          <w:iCs/>
        </w:rPr>
        <w:t>=</w:t>
      </w:r>
      <w:r w:rsidRPr="00920E6B">
        <w:rPr>
          <w:b/>
          <w:vertAlign w:val="subscript"/>
        </w:rPr>
        <w:tab/>
      </w:r>
      <w:r w:rsidRPr="00920E6B">
        <w:rPr>
          <w:b/>
        </w:rPr>
        <w:t>∑</w:t>
      </w:r>
      <w:r w:rsidRPr="00D36347">
        <w:rPr>
          <w:b/>
          <w:i/>
          <w:vertAlign w:val="subscript"/>
        </w:rPr>
        <w:t>h</w:t>
      </w:r>
      <w:r w:rsidRPr="00920E6B">
        <w:rPr>
          <w:b/>
          <w:vertAlign w:val="subscript"/>
        </w:rPr>
        <w:t xml:space="preserve"> </w:t>
      </w:r>
      <w:r w:rsidRPr="00920E6B">
        <w:rPr>
          <w:b/>
        </w:rPr>
        <w:t>∑</w:t>
      </w:r>
      <w:r w:rsidRPr="00D36347">
        <w:rPr>
          <w:b/>
          <w:i/>
          <w:vertAlign w:val="subscript"/>
        </w:rPr>
        <w:t>j, k</w:t>
      </w:r>
      <w:r w:rsidRPr="00920E6B">
        <w:rPr>
          <w:b/>
          <w:vertAlign w:val="subscript"/>
        </w:rPr>
        <w:t xml:space="preserve"> </w:t>
      </w:r>
      <w:r w:rsidRPr="00920E6B">
        <w:rPr>
          <w:b/>
        </w:rPr>
        <w:t xml:space="preserve">[NAOBLMW </w:t>
      </w:r>
      <w:r w:rsidRPr="00D36347">
        <w:rPr>
          <w:b/>
          <w:i/>
          <w:vertAlign w:val="subscript"/>
        </w:rPr>
        <w:t>m, h, (j, k)</w:t>
      </w:r>
      <w:r w:rsidRPr="00920E6B">
        <w:rPr>
          <w:b/>
          <w:vertAlign w:val="subscript"/>
        </w:rPr>
        <w:t xml:space="preserve"> </w:t>
      </w:r>
      <w:r w:rsidRPr="00920E6B">
        <w:rPr>
          <w:b/>
        </w:rPr>
        <w:t>* EACP</w:t>
      </w:r>
      <w:r w:rsidRPr="00920E6B">
        <w:rPr>
          <w:b/>
          <w:sz w:val="20"/>
          <w:vertAlign w:val="subscript"/>
        </w:rPr>
        <w:t xml:space="preserve"> </w:t>
      </w:r>
      <w:r w:rsidRPr="00D36347">
        <w:rPr>
          <w:b/>
          <w:i/>
          <w:vertAlign w:val="subscript"/>
        </w:rPr>
        <w:t>m, h, (j, k)</w:t>
      </w:r>
      <w:r w:rsidRPr="00920E6B">
        <w:rPr>
          <w:b/>
        </w:rPr>
        <w:t>] / ∑</w:t>
      </w:r>
      <w:r w:rsidRPr="00D36347">
        <w:rPr>
          <w:b/>
          <w:i/>
          <w:vertAlign w:val="subscript"/>
        </w:rPr>
        <w:t>h</w:t>
      </w:r>
      <w:r w:rsidRPr="00920E6B">
        <w:rPr>
          <w:b/>
          <w:vertAlign w:val="subscript"/>
        </w:rPr>
        <w:t xml:space="preserve"> </w:t>
      </w:r>
      <w:r w:rsidRPr="00920E6B">
        <w:rPr>
          <w:b/>
        </w:rPr>
        <w:t>∑</w:t>
      </w:r>
      <w:r w:rsidRPr="00D36347">
        <w:rPr>
          <w:b/>
          <w:i/>
          <w:vertAlign w:val="subscript"/>
        </w:rPr>
        <w:t>j, k</w:t>
      </w:r>
      <w:r w:rsidRPr="00920E6B">
        <w:rPr>
          <w:b/>
          <w:vertAlign w:val="subscript"/>
        </w:rPr>
        <w:t xml:space="preserve"> </w:t>
      </w:r>
      <w:r w:rsidRPr="00920E6B">
        <w:rPr>
          <w:b/>
        </w:rPr>
        <w:t xml:space="preserve">[NAOBLMW </w:t>
      </w:r>
      <w:r w:rsidRPr="00D36347">
        <w:rPr>
          <w:b/>
          <w:i/>
          <w:vertAlign w:val="subscript"/>
        </w:rPr>
        <w:t>m, h, (j, k)</w:t>
      </w:r>
      <w:r w:rsidRPr="00920E6B">
        <w:rPr>
          <w:b/>
        </w:rPr>
        <w:t>]</w:t>
      </w:r>
    </w:p>
    <w:p w14:paraId="33119280" w14:textId="77777777" w:rsidR="008779D4" w:rsidRPr="00341696" w:rsidRDefault="008779D4" w:rsidP="008779D4">
      <w:pPr>
        <w:tabs>
          <w:tab w:val="left" w:pos="1440"/>
          <w:tab w:val="left" w:pos="1800"/>
        </w:tabs>
        <w:ind w:left="720"/>
        <w:contextualSpacing/>
        <w:rPr>
          <w:b/>
          <w:iCs/>
        </w:rPr>
      </w:pPr>
    </w:p>
    <w:p w14:paraId="442DF677" w14:textId="77777777" w:rsidR="00A36A5A" w:rsidRPr="00341696" w:rsidRDefault="00A36A5A" w:rsidP="008779D4">
      <w:pPr>
        <w:keepNext/>
        <w:rPr>
          <w:iCs/>
        </w:rPr>
      </w:pPr>
      <w:r w:rsidRPr="00341696">
        <w:rPr>
          <w:iCs/>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7"/>
        <w:gridCol w:w="739"/>
        <w:gridCol w:w="6574"/>
      </w:tblGrid>
      <w:tr w:rsidR="00A36A5A" w:rsidRPr="00341696" w14:paraId="4FF95375" w14:textId="77777777" w:rsidTr="00E00BA1">
        <w:trPr>
          <w:cantSplit/>
          <w:trHeight w:val="351"/>
          <w:tblHeader/>
        </w:trPr>
        <w:tc>
          <w:tcPr>
            <w:tcW w:w="2069" w:type="dxa"/>
          </w:tcPr>
          <w:p w14:paraId="32551563" w14:textId="77777777" w:rsidR="00A36A5A" w:rsidRPr="00341696" w:rsidRDefault="00A36A5A" w:rsidP="00077067">
            <w:pPr>
              <w:spacing w:after="120"/>
              <w:rPr>
                <w:b/>
                <w:iCs/>
                <w:sz w:val="20"/>
              </w:rPr>
            </w:pPr>
            <w:r w:rsidRPr="00341696">
              <w:rPr>
                <w:b/>
                <w:iCs/>
                <w:sz w:val="20"/>
              </w:rPr>
              <w:t>Variable</w:t>
            </w:r>
          </w:p>
        </w:tc>
        <w:tc>
          <w:tcPr>
            <w:tcW w:w="739" w:type="dxa"/>
          </w:tcPr>
          <w:p w14:paraId="05224EDC" w14:textId="77777777" w:rsidR="00A36A5A" w:rsidRPr="00341696" w:rsidRDefault="00A36A5A" w:rsidP="00077067">
            <w:pPr>
              <w:spacing w:after="120"/>
              <w:rPr>
                <w:b/>
                <w:iCs/>
                <w:sz w:val="20"/>
              </w:rPr>
            </w:pPr>
            <w:r w:rsidRPr="00341696">
              <w:rPr>
                <w:b/>
                <w:iCs/>
                <w:sz w:val="20"/>
              </w:rPr>
              <w:t>Unit</w:t>
            </w:r>
          </w:p>
        </w:tc>
        <w:tc>
          <w:tcPr>
            <w:tcW w:w="6768" w:type="dxa"/>
          </w:tcPr>
          <w:p w14:paraId="103803E0" w14:textId="77777777" w:rsidR="00A36A5A" w:rsidRPr="00341696" w:rsidRDefault="00A36A5A" w:rsidP="00077067">
            <w:pPr>
              <w:spacing w:after="120"/>
              <w:rPr>
                <w:b/>
                <w:iCs/>
                <w:sz w:val="20"/>
              </w:rPr>
            </w:pPr>
            <w:r w:rsidRPr="00341696">
              <w:rPr>
                <w:b/>
                <w:iCs/>
                <w:sz w:val="20"/>
              </w:rPr>
              <w:t>Description</w:t>
            </w:r>
          </w:p>
        </w:tc>
      </w:tr>
      <w:tr w:rsidR="00A36A5A" w:rsidRPr="00341696" w14:paraId="30BEC859" w14:textId="77777777" w:rsidTr="00E00BA1">
        <w:trPr>
          <w:cantSplit/>
          <w:trHeight w:val="519"/>
        </w:trPr>
        <w:tc>
          <w:tcPr>
            <w:tcW w:w="2069" w:type="dxa"/>
          </w:tcPr>
          <w:p w14:paraId="2B039A5A" w14:textId="77777777" w:rsidR="00A36A5A" w:rsidRPr="00341696" w:rsidRDefault="00A36A5A" w:rsidP="008C0679">
            <w:pPr>
              <w:spacing w:after="60"/>
              <w:rPr>
                <w:iCs/>
                <w:sz w:val="20"/>
              </w:rPr>
            </w:pPr>
            <w:r w:rsidRPr="00341696">
              <w:rPr>
                <w:iCs/>
                <w:sz w:val="20"/>
              </w:rPr>
              <w:t xml:space="preserve">FCEOBL </w:t>
            </w:r>
            <w:r w:rsidR="008C0679">
              <w:rPr>
                <w:i/>
                <w:iCs/>
                <w:sz w:val="20"/>
                <w:vertAlign w:val="subscript"/>
              </w:rPr>
              <w:t>a</w:t>
            </w:r>
          </w:p>
        </w:tc>
        <w:tc>
          <w:tcPr>
            <w:tcW w:w="739" w:type="dxa"/>
          </w:tcPr>
          <w:p w14:paraId="44454949" w14:textId="77777777" w:rsidR="00A36A5A" w:rsidRPr="00341696" w:rsidRDefault="00A36A5A" w:rsidP="00077067">
            <w:pPr>
              <w:spacing w:after="60"/>
              <w:rPr>
                <w:iCs/>
                <w:sz w:val="20"/>
              </w:rPr>
            </w:pPr>
            <w:r w:rsidRPr="00341696">
              <w:rPr>
                <w:iCs/>
                <w:sz w:val="20"/>
              </w:rPr>
              <w:t>$</w:t>
            </w:r>
          </w:p>
        </w:tc>
        <w:tc>
          <w:tcPr>
            <w:tcW w:w="6768" w:type="dxa"/>
          </w:tcPr>
          <w:p w14:paraId="31194026" w14:textId="77777777" w:rsidR="00A36A5A" w:rsidRPr="00341696" w:rsidRDefault="00A36A5A" w:rsidP="008C0679">
            <w:pPr>
              <w:spacing w:after="60"/>
              <w:rPr>
                <w:iCs/>
                <w:sz w:val="20"/>
              </w:rPr>
            </w:pPr>
            <w:r w:rsidRPr="00341696">
              <w:rPr>
                <w:i/>
                <w:iCs/>
                <w:sz w:val="20"/>
              </w:rPr>
              <w:t>Future Credit Exposure for PTP Obligations</w:t>
            </w:r>
            <w:r w:rsidRPr="00341696">
              <w:rPr>
                <w:iCs/>
                <w:sz w:val="20"/>
              </w:rPr>
              <w:t xml:space="preserve"> for all PTP Obligations held by </w:t>
            </w:r>
            <w:r w:rsidR="008C0679" w:rsidRPr="00545E0B">
              <w:rPr>
                <w:sz w:val="20"/>
              </w:rPr>
              <w:t>all CRR Account Holders represented by</w:t>
            </w:r>
            <w:r w:rsidR="008C0679">
              <w:t xml:space="preserve"> </w:t>
            </w:r>
            <w:r w:rsidRPr="00341696">
              <w:rPr>
                <w:iCs/>
                <w:sz w:val="20"/>
              </w:rPr>
              <w:t xml:space="preserve">the Counter-Party as </w:t>
            </w:r>
            <w:r>
              <w:rPr>
                <w:iCs/>
                <w:sz w:val="20"/>
              </w:rPr>
              <w:t>CRR O</w:t>
            </w:r>
            <w:r w:rsidRPr="00341696">
              <w:rPr>
                <w:iCs/>
                <w:sz w:val="20"/>
              </w:rPr>
              <w:t>wner</w:t>
            </w:r>
            <w:r w:rsidRPr="00341696">
              <w:rPr>
                <w:i/>
                <w:iCs/>
                <w:sz w:val="20"/>
              </w:rPr>
              <w:t xml:space="preserve"> </w:t>
            </w:r>
            <w:r w:rsidRPr="00341696">
              <w:rPr>
                <w:iCs/>
                <w:sz w:val="20"/>
              </w:rPr>
              <w:t xml:space="preserve">of record at ERCOT for all Operating Days </w:t>
            </w:r>
            <w:r>
              <w:rPr>
                <w:iCs/>
                <w:sz w:val="20"/>
              </w:rPr>
              <w:t>in the current operating month, Prompt Month, and all Forward Months</w:t>
            </w:r>
            <w:r w:rsidRPr="00341696">
              <w:rPr>
                <w:iCs/>
                <w:sz w:val="20"/>
              </w:rPr>
              <w:t>.</w:t>
            </w:r>
          </w:p>
        </w:tc>
      </w:tr>
      <w:tr w:rsidR="00A36A5A" w:rsidRPr="00341696" w14:paraId="4B82EF2B" w14:textId="77777777" w:rsidTr="00E00BA1">
        <w:tblPrEx>
          <w:tblLook w:val="01E0" w:firstRow="1" w:lastRow="1" w:firstColumn="1" w:lastColumn="1" w:noHBand="0" w:noVBand="0"/>
        </w:tblPrEx>
        <w:trPr>
          <w:cantSplit/>
          <w:trHeight w:val="350"/>
        </w:trPr>
        <w:tc>
          <w:tcPr>
            <w:tcW w:w="2069" w:type="dxa"/>
          </w:tcPr>
          <w:p w14:paraId="2218D04E" w14:textId="77777777" w:rsidR="00A36A5A" w:rsidRPr="00341696" w:rsidRDefault="00A36A5A" w:rsidP="008C0679">
            <w:pPr>
              <w:spacing w:after="60"/>
              <w:rPr>
                <w:iCs/>
                <w:sz w:val="20"/>
              </w:rPr>
            </w:pPr>
            <w:r w:rsidRPr="000433EB">
              <w:rPr>
                <w:sz w:val="20"/>
              </w:rPr>
              <w:lastRenderedPageBreak/>
              <w:t>NAOBLMW</w:t>
            </w:r>
            <w:r w:rsidRPr="000433EB">
              <w:rPr>
                <w:sz w:val="20"/>
                <w:vertAlign w:val="subscript"/>
              </w:rPr>
              <w:t xml:space="preserve"> </w:t>
            </w:r>
            <w:r w:rsidRPr="00D36347">
              <w:rPr>
                <w:i/>
                <w:sz w:val="20"/>
                <w:vertAlign w:val="subscript"/>
              </w:rPr>
              <w:t>m, h, (j, k)</w:t>
            </w:r>
          </w:p>
        </w:tc>
        <w:tc>
          <w:tcPr>
            <w:tcW w:w="739" w:type="dxa"/>
          </w:tcPr>
          <w:p w14:paraId="2CFC0F3D" w14:textId="77777777" w:rsidR="00A36A5A" w:rsidRPr="00341696" w:rsidRDefault="00A36A5A" w:rsidP="00077067">
            <w:pPr>
              <w:spacing w:after="60"/>
              <w:rPr>
                <w:iCs/>
                <w:sz w:val="20"/>
              </w:rPr>
            </w:pPr>
            <w:r w:rsidRPr="000433EB">
              <w:rPr>
                <w:sz w:val="20"/>
              </w:rPr>
              <w:t>MW</w:t>
            </w:r>
          </w:p>
        </w:tc>
        <w:tc>
          <w:tcPr>
            <w:tcW w:w="6768" w:type="dxa"/>
          </w:tcPr>
          <w:p w14:paraId="5CE154E6" w14:textId="77777777" w:rsidR="00A36A5A" w:rsidRPr="00341696" w:rsidRDefault="00A36A5A" w:rsidP="008C0679">
            <w:pPr>
              <w:spacing w:after="60"/>
              <w:rPr>
                <w:iCs/>
                <w:sz w:val="20"/>
              </w:rPr>
            </w:pPr>
            <w:r w:rsidRPr="000433EB">
              <w:rPr>
                <w:i/>
                <w:sz w:val="20"/>
              </w:rPr>
              <w:t>Net Awarded PTP Obligations</w:t>
            </w:r>
            <w:r w:rsidRPr="008C1469">
              <w:rPr>
                <w:iCs/>
                <w:sz w:val="20"/>
              </w:rPr>
              <w:sym w:font="Symbol" w:char="F0BE"/>
            </w:r>
            <w:r>
              <w:rPr>
                <w:sz w:val="20"/>
              </w:rPr>
              <w:t xml:space="preserve">Net awarded PTP Obligations </w:t>
            </w:r>
            <w:r w:rsidRPr="000433EB">
              <w:rPr>
                <w:sz w:val="20"/>
              </w:rPr>
              <w:t xml:space="preserve">with the source </w:t>
            </w:r>
            <w:r w:rsidRPr="000433EB">
              <w:rPr>
                <w:i/>
                <w:sz w:val="20"/>
              </w:rPr>
              <w:t>j</w:t>
            </w:r>
            <w:r w:rsidRPr="000433EB">
              <w:rPr>
                <w:sz w:val="20"/>
              </w:rPr>
              <w:t xml:space="preserve"> and sink </w:t>
            </w:r>
            <w:r w:rsidRPr="000433EB">
              <w:rPr>
                <w:i/>
                <w:sz w:val="20"/>
              </w:rPr>
              <w:t>k</w:t>
            </w:r>
            <w:r w:rsidRPr="000433EB">
              <w:rPr>
                <w:sz w:val="20"/>
              </w:rPr>
              <w:t xml:space="preserve"> for the hour </w:t>
            </w:r>
            <w:r w:rsidRPr="000433EB">
              <w:rPr>
                <w:i/>
                <w:sz w:val="20"/>
              </w:rPr>
              <w:t>h</w:t>
            </w:r>
            <w:r w:rsidRPr="000433EB">
              <w:rPr>
                <w:sz w:val="20"/>
              </w:rPr>
              <w:t xml:space="preserve"> and month </w:t>
            </w:r>
            <w:r w:rsidRPr="000433EB">
              <w:rPr>
                <w:i/>
                <w:sz w:val="20"/>
              </w:rPr>
              <w:t>m</w:t>
            </w:r>
            <w:r w:rsidRPr="000433EB">
              <w:rPr>
                <w:sz w:val="20"/>
              </w:rPr>
              <w:t xml:space="preserve"> owned by </w:t>
            </w:r>
            <w:r w:rsidR="008C0679" w:rsidRPr="00545E0B">
              <w:rPr>
                <w:sz w:val="20"/>
              </w:rPr>
              <w:t>all CRR Account Holders represented by</w:t>
            </w:r>
            <w:r w:rsidR="008C0679">
              <w:t xml:space="preserve"> </w:t>
            </w:r>
            <w:r w:rsidRPr="000433EB">
              <w:rPr>
                <w:sz w:val="20"/>
              </w:rPr>
              <w:t xml:space="preserve">the </w:t>
            </w:r>
            <w:r>
              <w:rPr>
                <w:sz w:val="20"/>
              </w:rPr>
              <w:t xml:space="preserve">Counter-Party as </w:t>
            </w:r>
            <w:r w:rsidRPr="000433EB">
              <w:rPr>
                <w:sz w:val="20"/>
              </w:rPr>
              <w:t xml:space="preserve">CRR Owner </w:t>
            </w:r>
            <w:r>
              <w:rPr>
                <w:sz w:val="20"/>
              </w:rPr>
              <w:t>of record at ERCOT for all Operating Days in the current operating month, Prompt Month, and F</w:t>
            </w:r>
            <w:r w:rsidRPr="000433EB">
              <w:rPr>
                <w:sz w:val="20"/>
              </w:rPr>
              <w:t xml:space="preserve">orward </w:t>
            </w:r>
            <w:r>
              <w:rPr>
                <w:sz w:val="20"/>
              </w:rPr>
              <w:t>M</w:t>
            </w:r>
            <w:r w:rsidRPr="000433EB">
              <w:rPr>
                <w:sz w:val="20"/>
              </w:rPr>
              <w:t>onths</w:t>
            </w:r>
            <w:r>
              <w:rPr>
                <w:sz w:val="20"/>
              </w:rPr>
              <w:t>.</w:t>
            </w:r>
          </w:p>
        </w:tc>
      </w:tr>
      <w:tr w:rsidR="00A36A5A" w:rsidRPr="00341696" w14:paraId="29446FF6" w14:textId="77777777" w:rsidTr="00E00BA1">
        <w:tblPrEx>
          <w:tblLook w:val="01E0" w:firstRow="1" w:lastRow="1" w:firstColumn="1" w:lastColumn="1" w:noHBand="0" w:noVBand="0"/>
        </w:tblPrEx>
        <w:trPr>
          <w:cantSplit/>
          <w:trHeight w:val="350"/>
        </w:trPr>
        <w:tc>
          <w:tcPr>
            <w:tcW w:w="2069" w:type="dxa"/>
          </w:tcPr>
          <w:p w14:paraId="791E28DF" w14:textId="77777777" w:rsidR="00A36A5A" w:rsidRPr="00341696" w:rsidRDefault="00A36A5A" w:rsidP="008C0679">
            <w:pPr>
              <w:spacing w:after="60"/>
              <w:rPr>
                <w:iCs/>
                <w:sz w:val="20"/>
              </w:rPr>
            </w:pPr>
            <w:r w:rsidRPr="000433EB">
              <w:rPr>
                <w:sz w:val="20"/>
              </w:rPr>
              <w:t>PWA</w:t>
            </w:r>
            <w:r w:rsidRPr="000433EB">
              <w:rPr>
                <w:sz w:val="20"/>
                <w:vertAlign w:val="subscript"/>
              </w:rPr>
              <w:t xml:space="preserve"> </w:t>
            </w:r>
            <w:r w:rsidRPr="00D36347">
              <w:rPr>
                <w:i/>
                <w:sz w:val="20"/>
                <w:vertAlign w:val="subscript"/>
              </w:rPr>
              <w:t>ci100, m</w:t>
            </w:r>
          </w:p>
        </w:tc>
        <w:tc>
          <w:tcPr>
            <w:tcW w:w="739" w:type="dxa"/>
          </w:tcPr>
          <w:p w14:paraId="1512F491" w14:textId="77777777" w:rsidR="00A36A5A" w:rsidRPr="00341696" w:rsidRDefault="00A36A5A" w:rsidP="00077067">
            <w:pPr>
              <w:spacing w:after="60"/>
              <w:rPr>
                <w:iCs/>
                <w:sz w:val="20"/>
              </w:rPr>
            </w:pPr>
            <w:r w:rsidRPr="000433EB">
              <w:rPr>
                <w:sz w:val="20"/>
              </w:rPr>
              <w:t>$/MW per hour</w:t>
            </w:r>
          </w:p>
        </w:tc>
        <w:tc>
          <w:tcPr>
            <w:tcW w:w="6768" w:type="dxa"/>
          </w:tcPr>
          <w:p w14:paraId="133D1467" w14:textId="77777777" w:rsidR="00A36A5A" w:rsidRPr="00341696" w:rsidRDefault="00A36A5A" w:rsidP="008C0679">
            <w:pPr>
              <w:spacing w:after="60"/>
              <w:rPr>
                <w:iCs/>
                <w:sz w:val="20"/>
              </w:rPr>
            </w:pPr>
            <w:r w:rsidRPr="000433EB">
              <w:rPr>
                <w:i/>
                <w:iCs/>
                <w:sz w:val="20"/>
              </w:rPr>
              <w:t>Portfolio Weighted Adder</w:t>
            </w:r>
            <w:r w:rsidRPr="008C1469">
              <w:rPr>
                <w:iCs/>
                <w:sz w:val="20"/>
              </w:rPr>
              <w:sym w:font="Symbol" w:char="F0BE"/>
            </w:r>
            <w:r>
              <w:rPr>
                <w:iCs/>
                <w:sz w:val="20"/>
              </w:rPr>
              <w:t xml:space="preserve">The portfolio weighted adder </w:t>
            </w:r>
            <w:r w:rsidRPr="000433EB">
              <w:rPr>
                <w:sz w:val="20"/>
              </w:rPr>
              <w:t>calculated as the 100</w:t>
            </w:r>
            <w:r w:rsidRPr="000433EB">
              <w:rPr>
                <w:sz w:val="20"/>
                <w:vertAlign w:val="superscript"/>
              </w:rPr>
              <w:t>th</w:t>
            </w:r>
            <w:r w:rsidRPr="000433EB">
              <w:rPr>
                <w:sz w:val="20"/>
              </w:rPr>
              <w:t xml:space="preserve"> percentile of a volume weighted average rolling consecutive DAM settled price for </w:t>
            </w:r>
            <w:r w:rsidR="008C0679" w:rsidRPr="00CF238E">
              <w:rPr>
                <w:sz w:val="20"/>
              </w:rPr>
              <w:t>all CRR Account Holders represented by</w:t>
            </w:r>
            <w:r w:rsidR="008C0679">
              <w:t xml:space="preserve"> </w:t>
            </w:r>
            <w:r w:rsidR="008C0679">
              <w:rPr>
                <w:sz w:val="20"/>
              </w:rPr>
              <w:t>the</w:t>
            </w:r>
            <w:r w:rsidRPr="000433EB">
              <w:rPr>
                <w:sz w:val="20"/>
              </w:rPr>
              <w:t xml:space="preserve"> </w:t>
            </w:r>
            <w:r>
              <w:rPr>
                <w:sz w:val="20"/>
              </w:rPr>
              <w:t xml:space="preserve">Counter-Party as </w:t>
            </w:r>
            <w:r w:rsidRPr="000433EB">
              <w:rPr>
                <w:sz w:val="20"/>
              </w:rPr>
              <w:t xml:space="preserve">CRR Owner </w:t>
            </w:r>
            <w:r>
              <w:rPr>
                <w:sz w:val="20"/>
              </w:rPr>
              <w:t xml:space="preserve">of record at ERCOT </w:t>
            </w:r>
            <w:r w:rsidRPr="000433EB">
              <w:rPr>
                <w:sz w:val="20"/>
              </w:rPr>
              <w:t>based on volumes owned for the month</w:t>
            </w:r>
            <w:r w:rsidRPr="000433EB">
              <w:rPr>
                <w:i/>
                <w:sz w:val="20"/>
              </w:rPr>
              <w:t xml:space="preserve"> m</w:t>
            </w:r>
            <w:r w:rsidRPr="000433EB">
              <w:rPr>
                <w:sz w:val="20"/>
              </w:rPr>
              <w:t>, over a period that represents a month for each product type (18</w:t>
            </w:r>
            <w:r>
              <w:rPr>
                <w:sz w:val="20"/>
              </w:rPr>
              <w:t xml:space="preserve"> </w:t>
            </w:r>
            <w:r w:rsidRPr="000433EB">
              <w:rPr>
                <w:sz w:val="20"/>
              </w:rPr>
              <w:t>days for 5*16, 8 days for 2*16, 28 days for 7*8</w:t>
            </w:r>
            <w:r>
              <w:rPr>
                <w:sz w:val="20"/>
              </w:rPr>
              <w:t xml:space="preserve">).  The look-back period for DAM settled prices shall be the lesser of January 1, 2011 to the current time, and the current time minus three years.  </w:t>
            </w:r>
            <w:r w:rsidRPr="00AA4725">
              <w:rPr>
                <w:bCs/>
                <w:iCs/>
                <w:sz w:val="20"/>
              </w:rPr>
              <w:t xml:space="preserve">If historical </w:t>
            </w:r>
            <w:r w:rsidR="00D24ED8">
              <w:rPr>
                <w:bCs/>
                <w:iCs/>
                <w:sz w:val="20"/>
              </w:rPr>
              <w:t>Day-Ahead Settlement Point Prices (</w:t>
            </w:r>
            <w:r>
              <w:rPr>
                <w:bCs/>
                <w:iCs/>
                <w:sz w:val="20"/>
              </w:rPr>
              <w:t>DASPP</w:t>
            </w:r>
            <w:r w:rsidRPr="00AA4725">
              <w:rPr>
                <w:bCs/>
                <w:iCs/>
                <w:sz w:val="20"/>
              </w:rPr>
              <w:t>s</w:t>
            </w:r>
            <w:r w:rsidR="00D24ED8">
              <w:rPr>
                <w:bCs/>
                <w:iCs/>
                <w:sz w:val="20"/>
              </w:rPr>
              <w:t>)</w:t>
            </w:r>
            <w:r w:rsidRPr="00AA4725">
              <w:rPr>
                <w:bCs/>
                <w:iCs/>
                <w:sz w:val="20"/>
              </w:rPr>
              <w:t xml:space="preserve"> are not available for a Settlement Point for one or more Operating Days, ERCOT will designate a proxy Settlement Point for this purpose, and the </w:t>
            </w:r>
            <w:r>
              <w:rPr>
                <w:bCs/>
                <w:iCs/>
                <w:sz w:val="20"/>
              </w:rPr>
              <w:t>DASPP</w:t>
            </w:r>
            <w:r w:rsidRPr="00AA4725">
              <w:rPr>
                <w:bCs/>
                <w:iCs/>
                <w:sz w:val="20"/>
              </w:rPr>
              <w:t>s of the proxy Settlement Point of corresponding Operating Days are used</w:t>
            </w:r>
            <w:r>
              <w:rPr>
                <w:bCs/>
                <w:iCs/>
                <w:sz w:val="20"/>
              </w:rPr>
              <w:t>.</w:t>
            </w:r>
            <w:r>
              <w:rPr>
                <w:sz w:val="20"/>
              </w:rPr>
              <w:t xml:space="preserve"> </w:t>
            </w:r>
            <w:r w:rsidRPr="000433EB">
              <w:rPr>
                <w:sz w:val="20"/>
              </w:rPr>
              <w:t xml:space="preserve"> </w:t>
            </w:r>
          </w:p>
        </w:tc>
      </w:tr>
      <w:tr w:rsidR="00A36A5A" w:rsidRPr="00341696" w14:paraId="3FB83E4E" w14:textId="77777777" w:rsidTr="00E00BA1">
        <w:tblPrEx>
          <w:tblLook w:val="01E0" w:firstRow="1" w:lastRow="1" w:firstColumn="1" w:lastColumn="1" w:noHBand="0" w:noVBand="0"/>
        </w:tblPrEx>
        <w:trPr>
          <w:cantSplit/>
          <w:trHeight w:val="350"/>
        </w:trPr>
        <w:tc>
          <w:tcPr>
            <w:tcW w:w="2069" w:type="dxa"/>
          </w:tcPr>
          <w:p w14:paraId="41880137" w14:textId="77777777" w:rsidR="00A36A5A" w:rsidRPr="00341696" w:rsidRDefault="00A36A5A" w:rsidP="008C0679">
            <w:pPr>
              <w:spacing w:after="60"/>
              <w:rPr>
                <w:iCs/>
                <w:sz w:val="20"/>
              </w:rPr>
            </w:pPr>
            <w:r w:rsidRPr="000433EB">
              <w:rPr>
                <w:sz w:val="20"/>
              </w:rPr>
              <w:t xml:space="preserve">PWACP </w:t>
            </w:r>
            <w:r w:rsidRPr="00D36347">
              <w:rPr>
                <w:i/>
                <w:sz w:val="20"/>
                <w:vertAlign w:val="subscript"/>
              </w:rPr>
              <w:t>m</w:t>
            </w:r>
          </w:p>
        </w:tc>
        <w:tc>
          <w:tcPr>
            <w:tcW w:w="739" w:type="dxa"/>
          </w:tcPr>
          <w:p w14:paraId="19A37473" w14:textId="77777777" w:rsidR="00A36A5A" w:rsidRPr="00341696" w:rsidRDefault="00A36A5A" w:rsidP="00077067">
            <w:pPr>
              <w:spacing w:after="60"/>
              <w:rPr>
                <w:iCs/>
                <w:sz w:val="20"/>
              </w:rPr>
            </w:pPr>
            <w:r w:rsidRPr="000433EB">
              <w:rPr>
                <w:sz w:val="20"/>
              </w:rPr>
              <w:t>$/MW per hour</w:t>
            </w:r>
          </w:p>
        </w:tc>
        <w:tc>
          <w:tcPr>
            <w:tcW w:w="6768" w:type="dxa"/>
          </w:tcPr>
          <w:p w14:paraId="2EB70E9C" w14:textId="77777777" w:rsidR="00A36A5A" w:rsidRPr="00341696" w:rsidRDefault="00A36A5A" w:rsidP="008C0679">
            <w:pPr>
              <w:spacing w:after="60"/>
              <w:rPr>
                <w:iCs/>
                <w:sz w:val="20"/>
              </w:rPr>
            </w:pPr>
            <w:r w:rsidRPr="000433EB">
              <w:rPr>
                <w:i/>
                <w:sz w:val="20"/>
              </w:rPr>
              <w:t>Portfolio Weighted Auction Clearing Price</w:t>
            </w:r>
            <w:r w:rsidRPr="008C1469">
              <w:rPr>
                <w:iCs/>
                <w:sz w:val="20"/>
              </w:rPr>
              <w:sym w:font="Symbol" w:char="F0BE"/>
            </w:r>
            <w:r>
              <w:rPr>
                <w:sz w:val="20"/>
              </w:rPr>
              <w:t xml:space="preserve">The portfolio weighted auction clearing price </w:t>
            </w:r>
            <w:r w:rsidRPr="000433EB">
              <w:rPr>
                <w:sz w:val="20"/>
              </w:rPr>
              <w:t xml:space="preserve">calculated as the volume weighted auction clearing price for </w:t>
            </w:r>
            <w:r w:rsidR="008C0679" w:rsidRPr="00CF238E">
              <w:rPr>
                <w:sz w:val="20"/>
              </w:rPr>
              <w:t>all CRR Account Holders represented by</w:t>
            </w:r>
            <w:r w:rsidR="008C0679">
              <w:rPr>
                <w:sz w:val="20"/>
              </w:rPr>
              <w:t xml:space="preserve"> </w:t>
            </w:r>
            <w:r w:rsidR="008C0679" w:rsidRPr="00545E0B">
              <w:rPr>
                <w:sz w:val="20"/>
              </w:rPr>
              <w:t>the</w:t>
            </w:r>
            <w:r w:rsidRPr="000433EB">
              <w:rPr>
                <w:sz w:val="20"/>
              </w:rPr>
              <w:t xml:space="preserve"> </w:t>
            </w:r>
            <w:r>
              <w:rPr>
                <w:sz w:val="20"/>
              </w:rPr>
              <w:t>Counter-Party as CRR Owner</w:t>
            </w:r>
            <w:r w:rsidRPr="000433EB">
              <w:rPr>
                <w:sz w:val="20"/>
              </w:rPr>
              <w:t xml:space="preserve"> </w:t>
            </w:r>
            <w:r>
              <w:rPr>
                <w:sz w:val="20"/>
              </w:rPr>
              <w:t xml:space="preserve">of record at ERCOT </w:t>
            </w:r>
            <w:r w:rsidRPr="000433EB">
              <w:rPr>
                <w:sz w:val="20"/>
              </w:rPr>
              <w:t xml:space="preserve">based on the most recent </w:t>
            </w:r>
            <w:r>
              <w:rPr>
                <w:sz w:val="20"/>
              </w:rPr>
              <w:t>a</w:t>
            </w:r>
            <w:r w:rsidRPr="000433EB">
              <w:rPr>
                <w:sz w:val="20"/>
              </w:rPr>
              <w:t xml:space="preserve">uction </w:t>
            </w:r>
            <w:r>
              <w:rPr>
                <w:sz w:val="20"/>
              </w:rPr>
              <w:t>c</w:t>
            </w:r>
            <w:r w:rsidRPr="000433EB">
              <w:rPr>
                <w:sz w:val="20"/>
              </w:rPr>
              <w:t>learing price for the month</w:t>
            </w:r>
            <w:r w:rsidRPr="000433EB">
              <w:rPr>
                <w:i/>
                <w:sz w:val="20"/>
              </w:rPr>
              <w:t xml:space="preserve"> m </w:t>
            </w:r>
            <w:r w:rsidRPr="000433EB">
              <w:rPr>
                <w:sz w:val="20"/>
              </w:rPr>
              <w:t>and volumes owned for the month</w:t>
            </w:r>
            <w:r w:rsidRPr="000433EB">
              <w:rPr>
                <w:i/>
                <w:sz w:val="20"/>
              </w:rPr>
              <w:t xml:space="preserve"> m</w:t>
            </w:r>
            <w:r>
              <w:rPr>
                <w:i/>
                <w:sz w:val="20"/>
              </w:rPr>
              <w:t>.</w:t>
            </w:r>
            <w:r w:rsidRPr="000433EB">
              <w:rPr>
                <w:sz w:val="20"/>
              </w:rPr>
              <w:t xml:space="preserve"> </w:t>
            </w:r>
          </w:p>
        </w:tc>
      </w:tr>
      <w:tr w:rsidR="0083787A" w:rsidRPr="00341696" w14:paraId="3F468DAE" w14:textId="77777777" w:rsidTr="00E00BA1">
        <w:tblPrEx>
          <w:tblLook w:val="01E0" w:firstRow="1" w:lastRow="1" w:firstColumn="1" w:lastColumn="1" w:noHBand="0" w:noVBand="0"/>
        </w:tblPrEx>
        <w:trPr>
          <w:cantSplit/>
          <w:trHeight w:val="350"/>
        </w:trPr>
        <w:tc>
          <w:tcPr>
            <w:tcW w:w="2069" w:type="dxa"/>
          </w:tcPr>
          <w:p w14:paraId="1A3B02B1" w14:textId="77777777" w:rsidR="0083787A" w:rsidRPr="00341696" w:rsidRDefault="0083787A" w:rsidP="00077067">
            <w:pPr>
              <w:spacing w:after="60"/>
              <w:rPr>
                <w:iCs/>
                <w:sz w:val="20"/>
              </w:rPr>
            </w:pPr>
            <w:r w:rsidRPr="00920E6B">
              <w:rPr>
                <w:sz w:val="20"/>
              </w:rPr>
              <w:t>EACP</w:t>
            </w:r>
            <w:r w:rsidRPr="00920E6B">
              <w:rPr>
                <w:sz w:val="20"/>
                <w:vertAlign w:val="subscript"/>
              </w:rPr>
              <w:t xml:space="preserve"> </w:t>
            </w:r>
            <w:r w:rsidRPr="00D36347">
              <w:rPr>
                <w:i/>
                <w:sz w:val="20"/>
                <w:vertAlign w:val="subscript"/>
              </w:rPr>
              <w:t>m, h, (j, k)</w:t>
            </w:r>
          </w:p>
        </w:tc>
        <w:tc>
          <w:tcPr>
            <w:tcW w:w="739" w:type="dxa"/>
          </w:tcPr>
          <w:p w14:paraId="64E2F74C" w14:textId="77777777" w:rsidR="0083787A" w:rsidRPr="00341696" w:rsidRDefault="0083787A" w:rsidP="00077067">
            <w:pPr>
              <w:spacing w:after="60"/>
              <w:rPr>
                <w:iCs/>
                <w:sz w:val="20"/>
              </w:rPr>
            </w:pPr>
            <w:r w:rsidRPr="00920E6B">
              <w:rPr>
                <w:sz w:val="20"/>
              </w:rPr>
              <w:t>$/MW per hour</w:t>
            </w:r>
          </w:p>
        </w:tc>
        <w:tc>
          <w:tcPr>
            <w:tcW w:w="6768" w:type="dxa"/>
          </w:tcPr>
          <w:p w14:paraId="723604E2" w14:textId="77777777" w:rsidR="0083787A" w:rsidRPr="00920E6B" w:rsidRDefault="0083787A" w:rsidP="0083787A">
            <w:pPr>
              <w:pStyle w:val="List"/>
              <w:spacing w:after="60"/>
              <w:ind w:left="0" w:firstLine="0"/>
              <w:rPr>
                <w:sz w:val="20"/>
              </w:rPr>
            </w:pPr>
            <w:r w:rsidRPr="00920E6B">
              <w:rPr>
                <w:i/>
                <w:sz w:val="20"/>
              </w:rPr>
              <w:t>Effective Auction Clearing Price</w:t>
            </w:r>
            <w:r w:rsidRPr="00920E6B">
              <w:rPr>
                <w:iCs/>
                <w:sz w:val="20"/>
              </w:rPr>
              <w:t>—</w:t>
            </w:r>
            <w:r>
              <w:rPr>
                <w:iCs/>
                <w:sz w:val="20"/>
              </w:rPr>
              <w:t xml:space="preserve"> </w:t>
            </w:r>
            <w:r w:rsidRPr="00920E6B">
              <w:rPr>
                <w:sz w:val="20"/>
              </w:rPr>
              <w:t xml:space="preserve">The auction clearing price with the source </w:t>
            </w:r>
            <w:r w:rsidRPr="00920E6B">
              <w:rPr>
                <w:i/>
                <w:sz w:val="20"/>
              </w:rPr>
              <w:t>j</w:t>
            </w:r>
            <w:r w:rsidRPr="00920E6B">
              <w:rPr>
                <w:sz w:val="20"/>
              </w:rPr>
              <w:t xml:space="preserve"> and sink </w:t>
            </w:r>
            <w:r w:rsidRPr="00920E6B">
              <w:rPr>
                <w:i/>
                <w:sz w:val="20"/>
              </w:rPr>
              <w:t>k</w:t>
            </w:r>
            <w:r w:rsidRPr="00920E6B">
              <w:rPr>
                <w:sz w:val="20"/>
              </w:rPr>
              <w:t xml:space="preserve"> for the hour</w:t>
            </w:r>
            <w:r w:rsidRPr="00920E6B">
              <w:rPr>
                <w:i/>
                <w:sz w:val="20"/>
              </w:rPr>
              <w:t xml:space="preserve"> h, </w:t>
            </w:r>
            <w:r w:rsidRPr="00920E6B">
              <w:rPr>
                <w:sz w:val="20"/>
              </w:rPr>
              <w:t>and month</w:t>
            </w:r>
            <w:r w:rsidRPr="00920E6B">
              <w:rPr>
                <w:i/>
                <w:sz w:val="20"/>
              </w:rPr>
              <w:t xml:space="preserve"> m</w:t>
            </w:r>
            <w:r w:rsidRPr="00920E6B">
              <w:rPr>
                <w:sz w:val="20"/>
              </w:rPr>
              <w:t xml:space="preserve">. </w:t>
            </w:r>
          </w:p>
          <w:p w14:paraId="1D664FFC" w14:textId="77777777" w:rsidR="0083787A" w:rsidRPr="00920E6B" w:rsidRDefault="0083787A" w:rsidP="0083787A">
            <w:pPr>
              <w:pStyle w:val="List"/>
              <w:spacing w:after="60"/>
              <w:ind w:left="0" w:firstLine="0"/>
              <w:rPr>
                <w:sz w:val="20"/>
              </w:rPr>
            </w:pPr>
            <w:r w:rsidRPr="00920E6B">
              <w:rPr>
                <w:sz w:val="20"/>
              </w:rPr>
              <w:t xml:space="preserve">For each CRR PTP Obligation, this value is equal to the </w:t>
            </w:r>
            <w:r w:rsidR="008779D4">
              <w:rPr>
                <w:sz w:val="20"/>
              </w:rPr>
              <w:t>a</w:t>
            </w:r>
            <w:r w:rsidRPr="00920E6B">
              <w:rPr>
                <w:sz w:val="20"/>
              </w:rPr>
              <w:t xml:space="preserve">uction </w:t>
            </w:r>
            <w:r w:rsidR="008779D4">
              <w:rPr>
                <w:sz w:val="20"/>
              </w:rPr>
              <w:t>c</w:t>
            </w:r>
            <w:r w:rsidRPr="00920E6B">
              <w:rPr>
                <w:sz w:val="20"/>
              </w:rPr>
              <w:t xml:space="preserve">learing </w:t>
            </w:r>
            <w:r w:rsidR="008779D4">
              <w:rPr>
                <w:sz w:val="20"/>
              </w:rPr>
              <w:t>p</w:t>
            </w:r>
            <w:r w:rsidRPr="00920E6B">
              <w:rPr>
                <w:sz w:val="20"/>
              </w:rPr>
              <w:t xml:space="preserve">rice of an awarded CRR selected as follows: </w:t>
            </w:r>
          </w:p>
          <w:p w14:paraId="79173004" w14:textId="77777777" w:rsidR="0083787A" w:rsidRPr="0083787A" w:rsidRDefault="0083787A" w:rsidP="0083787A">
            <w:pPr>
              <w:spacing w:after="60"/>
              <w:ind w:left="792" w:hanging="360"/>
              <w:rPr>
                <w:sz w:val="20"/>
              </w:rPr>
            </w:pPr>
            <w:r w:rsidRPr="0083787A">
              <w:rPr>
                <w:sz w:val="20"/>
              </w:rPr>
              <w:t>(a)</w:t>
            </w:r>
            <w:r w:rsidRPr="0083787A">
              <w:rPr>
                <w:sz w:val="20"/>
              </w:rPr>
              <w:tab/>
              <w:t xml:space="preserve">Awarded CRRs with the source </w:t>
            </w:r>
            <w:r w:rsidRPr="0083787A">
              <w:rPr>
                <w:i/>
                <w:sz w:val="20"/>
              </w:rPr>
              <w:t>j</w:t>
            </w:r>
            <w:r w:rsidRPr="0083787A">
              <w:rPr>
                <w:sz w:val="20"/>
              </w:rPr>
              <w:t xml:space="preserve"> and sink </w:t>
            </w:r>
            <w:r w:rsidRPr="0083787A">
              <w:rPr>
                <w:i/>
                <w:sz w:val="20"/>
              </w:rPr>
              <w:t>k</w:t>
            </w:r>
            <w:r w:rsidRPr="0083787A">
              <w:rPr>
                <w:sz w:val="20"/>
              </w:rPr>
              <w:t xml:space="preserve"> containing hour </w:t>
            </w:r>
            <w:r w:rsidRPr="0083787A">
              <w:rPr>
                <w:i/>
                <w:sz w:val="20"/>
              </w:rPr>
              <w:t>h</w:t>
            </w:r>
            <w:r w:rsidRPr="0083787A">
              <w:rPr>
                <w:sz w:val="20"/>
              </w:rPr>
              <w:t xml:space="preserve"> and operating month </w:t>
            </w:r>
            <w:r w:rsidRPr="0083787A">
              <w:rPr>
                <w:i/>
                <w:sz w:val="20"/>
              </w:rPr>
              <w:t xml:space="preserve">m </w:t>
            </w:r>
            <w:r w:rsidRPr="0083787A">
              <w:rPr>
                <w:sz w:val="20"/>
              </w:rPr>
              <w:t>are selected from the set of unexpired awarded PTP Obligations.  If no awarded CRRs are found the EACP value is zero.</w:t>
            </w:r>
          </w:p>
          <w:p w14:paraId="0999EF82" w14:textId="77777777" w:rsidR="0083787A" w:rsidRPr="0083787A" w:rsidRDefault="0083787A" w:rsidP="0083787A">
            <w:pPr>
              <w:spacing w:after="60"/>
              <w:ind w:left="792" w:hanging="360"/>
              <w:rPr>
                <w:sz w:val="20"/>
              </w:rPr>
            </w:pPr>
            <w:r w:rsidRPr="0083787A">
              <w:rPr>
                <w:sz w:val="20"/>
              </w:rPr>
              <w:t>(b)</w:t>
            </w:r>
            <w:r w:rsidRPr="0083787A">
              <w:rPr>
                <w:sz w:val="20"/>
              </w:rPr>
              <w:tab/>
              <w:t>If (a) results in more than one awarded CRR, awarded CRRs with the most recent award date are selected.</w:t>
            </w:r>
          </w:p>
          <w:p w14:paraId="718610FC" w14:textId="77777777" w:rsidR="0083787A" w:rsidRPr="00341696" w:rsidRDefault="0083787A" w:rsidP="008779D4">
            <w:pPr>
              <w:spacing w:after="60"/>
              <w:ind w:left="792" w:hanging="360"/>
              <w:rPr>
                <w:iCs/>
                <w:sz w:val="20"/>
              </w:rPr>
            </w:pPr>
            <w:r w:rsidRPr="0083787A">
              <w:rPr>
                <w:sz w:val="20"/>
              </w:rPr>
              <w:t>(c)</w:t>
            </w:r>
            <w:r w:rsidRPr="0083787A">
              <w:rPr>
                <w:sz w:val="20"/>
              </w:rPr>
              <w:tab/>
              <w:t xml:space="preserve">If (b) results in more than one awarded CRR, then the awarded CRR with the lowest </w:t>
            </w:r>
            <w:r w:rsidR="008779D4">
              <w:rPr>
                <w:sz w:val="20"/>
              </w:rPr>
              <w:t>a</w:t>
            </w:r>
            <w:r w:rsidRPr="0083787A">
              <w:rPr>
                <w:sz w:val="20"/>
              </w:rPr>
              <w:t xml:space="preserve">uction </w:t>
            </w:r>
            <w:r w:rsidR="008779D4">
              <w:rPr>
                <w:sz w:val="20"/>
              </w:rPr>
              <w:t>c</w:t>
            </w:r>
            <w:r w:rsidRPr="0083787A">
              <w:rPr>
                <w:sz w:val="20"/>
              </w:rPr>
              <w:t xml:space="preserve">learing </w:t>
            </w:r>
            <w:r w:rsidR="008779D4">
              <w:rPr>
                <w:sz w:val="20"/>
              </w:rPr>
              <w:t>p</w:t>
            </w:r>
            <w:r w:rsidRPr="0083787A">
              <w:rPr>
                <w:sz w:val="20"/>
              </w:rPr>
              <w:t>rice</w:t>
            </w:r>
            <w:r w:rsidRPr="007A2782">
              <w:rPr>
                <w:sz w:val="20"/>
              </w:rPr>
              <w:t xml:space="preserve"> </w:t>
            </w:r>
            <w:r w:rsidRPr="008E3E19">
              <w:rPr>
                <w:sz w:val="20"/>
              </w:rPr>
              <w:t>is selected.</w:t>
            </w:r>
          </w:p>
        </w:tc>
      </w:tr>
      <w:tr w:rsidR="00A36A5A" w:rsidRPr="00341696" w14:paraId="7419A9F6" w14:textId="77777777" w:rsidTr="00E00BA1">
        <w:tblPrEx>
          <w:tblLook w:val="01E0" w:firstRow="1" w:lastRow="1" w:firstColumn="1" w:lastColumn="1" w:noHBand="0" w:noVBand="0"/>
        </w:tblPrEx>
        <w:trPr>
          <w:cantSplit/>
          <w:trHeight w:val="350"/>
        </w:trPr>
        <w:tc>
          <w:tcPr>
            <w:tcW w:w="2069" w:type="dxa"/>
          </w:tcPr>
          <w:p w14:paraId="10B6290D" w14:textId="77777777" w:rsidR="00A36A5A" w:rsidRPr="00D36347" w:rsidRDefault="00A36A5A" w:rsidP="00077067">
            <w:pPr>
              <w:spacing w:after="60"/>
              <w:rPr>
                <w:i/>
                <w:iCs/>
                <w:sz w:val="20"/>
              </w:rPr>
            </w:pPr>
            <w:r w:rsidRPr="00D36347">
              <w:rPr>
                <w:i/>
                <w:iCs/>
                <w:sz w:val="20"/>
              </w:rPr>
              <w:t>j</w:t>
            </w:r>
          </w:p>
        </w:tc>
        <w:tc>
          <w:tcPr>
            <w:tcW w:w="739" w:type="dxa"/>
          </w:tcPr>
          <w:p w14:paraId="37518D39" w14:textId="77777777" w:rsidR="00A36A5A" w:rsidRPr="00341696" w:rsidRDefault="00A36A5A" w:rsidP="00077067">
            <w:pPr>
              <w:spacing w:after="60"/>
              <w:rPr>
                <w:iCs/>
                <w:sz w:val="20"/>
              </w:rPr>
            </w:pPr>
            <w:r w:rsidRPr="00341696">
              <w:rPr>
                <w:iCs/>
                <w:sz w:val="20"/>
              </w:rPr>
              <w:t>none</w:t>
            </w:r>
          </w:p>
        </w:tc>
        <w:tc>
          <w:tcPr>
            <w:tcW w:w="6768" w:type="dxa"/>
          </w:tcPr>
          <w:p w14:paraId="4EA391B5" w14:textId="77777777" w:rsidR="00A36A5A" w:rsidRPr="00341696" w:rsidRDefault="00A36A5A" w:rsidP="00077067">
            <w:pPr>
              <w:spacing w:after="60"/>
              <w:rPr>
                <w:iCs/>
                <w:sz w:val="20"/>
              </w:rPr>
            </w:pPr>
            <w:r w:rsidRPr="00341696">
              <w:rPr>
                <w:iCs/>
                <w:sz w:val="20"/>
              </w:rPr>
              <w:t>A source Settlement Point</w:t>
            </w:r>
            <w:r>
              <w:rPr>
                <w:iCs/>
                <w:sz w:val="20"/>
              </w:rPr>
              <w:t>.</w:t>
            </w:r>
          </w:p>
        </w:tc>
      </w:tr>
      <w:tr w:rsidR="00A36A5A" w:rsidRPr="00341696" w14:paraId="32D8BE4A" w14:textId="77777777" w:rsidTr="00E00BA1">
        <w:tblPrEx>
          <w:tblLook w:val="01E0" w:firstRow="1" w:lastRow="1" w:firstColumn="1" w:lastColumn="1" w:noHBand="0" w:noVBand="0"/>
        </w:tblPrEx>
        <w:trPr>
          <w:cantSplit/>
          <w:trHeight w:val="350"/>
        </w:trPr>
        <w:tc>
          <w:tcPr>
            <w:tcW w:w="2069" w:type="dxa"/>
          </w:tcPr>
          <w:p w14:paraId="179A4113" w14:textId="77777777" w:rsidR="00A36A5A" w:rsidRPr="00D36347" w:rsidRDefault="00A36A5A" w:rsidP="00077067">
            <w:pPr>
              <w:spacing w:after="60"/>
              <w:rPr>
                <w:i/>
                <w:iCs/>
                <w:sz w:val="20"/>
              </w:rPr>
            </w:pPr>
            <w:r w:rsidRPr="00D36347">
              <w:rPr>
                <w:i/>
                <w:iCs/>
                <w:sz w:val="20"/>
              </w:rPr>
              <w:t>k</w:t>
            </w:r>
          </w:p>
        </w:tc>
        <w:tc>
          <w:tcPr>
            <w:tcW w:w="739" w:type="dxa"/>
          </w:tcPr>
          <w:p w14:paraId="13BF2F60" w14:textId="77777777" w:rsidR="00A36A5A" w:rsidRPr="00341696" w:rsidRDefault="00A36A5A" w:rsidP="00077067">
            <w:pPr>
              <w:spacing w:after="60"/>
              <w:rPr>
                <w:iCs/>
                <w:sz w:val="20"/>
              </w:rPr>
            </w:pPr>
            <w:r w:rsidRPr="00341696">
              <w:rPr>
                <w:iCs/>
                <w:sz w:val="20"/>
              </w:rPr>
              <w:t>none</w:t>
            </w:r>
          </w:p>
        </w:tc>
        <w:tc>
          <w:tcPr>
            <w:tcW w:w="6768" w:type="dxa"/>
          </w:tcPr>
          <w:p w14:paraId="28893591" w14:textId="77777777" w:rsidR="00A36A5A" w:rsidRPr="00341696" w:rsidRDefault="00A36A5A" w:rsidP="00077067">
            <w:pPr>
              <w:spacing w:after="60"/>
              <w:rPr>
                <w:iCs/>
                <w:sz w:val="20"/>
              </w:rPr>
            </w:pPr>
            <w:r w:rsidRPr="00341696">
              <w:rPr>
                <w:iCs/>
                <w:sz w:val="20"/>
              </w:rPr>
              <w:t>A sink Settlement Point</w:t>
            </w:r>
            <w:r>
              <w:rPr>
                <w:iCs/>
                <w:sz w:val="20"/>
              </w:rPr>
              <w:t>.</w:t>
            </w:r>
          </w:p>
        </w:tc>
      </w:tr>
      <w:tr w:rsidR="00A36A5A" w:rsidRPr="00341696" w14:paraId="2CFDEF14" w14:textId="77777777" w:rsidTr="00E00BA1">
        <w:tblPrEx>
          <w:tblLook w:val="01E0" w:firstRow="1" w:lastRow="1" w:firstColumn="1" w:lastColumn="1" w:noHBand="0" w:noVBand="0"/>
        </w:tblPrEx>
        <w:trPr>
          <w:cantSplit/>
          <w:trHeight w:val="350"/>
        </w:trPr>
        <w:tc>
          <w:tcPr>
            <w:tcW w:w="2069" w:type="dxa"/>
          </w:tcPr>
          <w:p w14:paraId="4008E2B7" w14:textId="77777777" w:rsidR="00A36A5A" w:rsidRPr="00D36347" w:rsidRDefault="00A36A5A" w:rsidP="00077067">
            <w:pPr>
              <w:spacing w:after="60"/>
              <w:rPr>
                <w:i/>
                <w:iCs/>
                <w:sz w:val="20"/>
              </w:rPr>
            </w:pPr>
            <w:r w:rsidRPr="00D36347">
              <w:rPr>
                <w:i/>
                <w:iCs/>
                <w:sz w:val="20"/>
              </w:rPr>
              <w:t>m</w:t>
            </w:r>
          </w:p>
        </w:tc>
        <w:tc>
          <w:tcPr>
            <w:tcW w:w="739" w:type="dxa"/>
          </w:tcPr>
          <w:p w14:paraId="2FEE6B69" w14:textId="77777777" w:rsidR="00A36A5A" w:rsidRPr="00341696" w:rsidRDefault="00A36A5A" w:rsidP="00077067">
            <w:pPr>
              <w:spacing w:after="60"/>
              <w:rPr>
                <w:iCs/>
                <w:sz w:val="20"/>
              </w:rPr>
            </w:pPr>
            <w:r>
              <w:rPr>
                <w:iCs/>
                <w:sz w:val="20"/>
              </w:rPr>
              <w:t>none</w:t>
            </w:r>
          </w:p>
        </w:tc>
        <w:tc>
          <w:tcPr>
            <w:tcW w:w="6768" w:type="dxa"/>
          </w:tcPr>
          <w:p w14:paraId="689B6852" w14:textId="77777777" w:rsidR="00A36A5A" w:rsidRPr="00341696" w:rsidRDefault="00A36A5A" w:rsidP="00077067">
            <w:pPr>
              <w:spacing w:after="60"/>
              <w:rPr>
                <w:iCs/>
                <w:sz w:val="20"/>
              </w:rPr>
            </w:pPr>
            <w:r>
              <w:rPr>
                <w:iCs/>
                <w:sz w:val="20"/>
              </w:rPr>
              <w:t>An operating month.</w:t>
            </w:r>
          </w:p>
        </w:tc>
      </w:tr>
      <w:tr w:rsidR="00A36A5A" w:rsidRPr="00341696" w14:paraId="12F6271E" w14:textId="77777777" w:rsidTr="00E00BA1">
        <w:tblPrEx>
          <w:tblLook w:val="01E0" w:firstRow="1" w:lastRow="1" w:firstColumn="1" w:lastColumn="1" w:noHBand="0" w:noVBand="0"/>
        </w:tblPrEx>
        <w:trPr>
          <w:cantSplit/>
          <w:trHeight w:val="350"/>
        </w:trPr>
        <w:tc>
          <w:tcPr>
            <w:tcW w:w="2069" w:type="dxa"/>
          </w:tcPr>
          <w:p w14:paraId="24C98B37" w14:textId="77777777" w:rsidR="00A36A5A" w:rsidRPr="00D36347" w:rsidRDefault="00A36A5A" w:rsidP="00077067">
            <w:pPr>
              <w:spacing w:after="60"/>
              <w:rPr>
                <w:i/>
                <w:iCs/>
                <w:sz w:val="20"/>
              </w:rPr>
            </w:pPr>
            <w:r w:rsidRPr="00D36347">
              <w:rPr>
                <w:i/>
                <w:iCs/>
                <w:sz w:val="20"/>
              </w:rPr>
              <w:t>h</w:t>
            </w:r>
          </w:p>
        </w:tc>
        <w:tc>
          <w:tcPr>
            <w:tcW w:w="739" w:type="dxa"/>
          </w:tcPr>
          <w:p w14:paraId="62EE7241" w14:textId="77777777" w:rsidR="00A36A5A" w:rsidRPr="00341696" w:rsidRDefault="00A36A5A" w:rsidP="00077067">
            <w:pPr>
              <w:spacing w:after="60"/>
              <w:rPr>
                <w:iCs/>
                <w:sz w:val="20"/>
              </w:rPr>
            </w:pPr>
            <w:r w:rsidRPr="00341696">
              <w:rPr>
                <w:iCs/>
                <w:sz w:val="20"/>
              </w:rPr>
              <w:t>none</w:t>
            </w:r>
          </w:p>
        </w:tc>
        <w:tc>
          <w:tcPr>
            <w:tcW w:w="6768" w:type="dxa"/>
          </w:tcPr>
          <w:p w14:paraId="70A20712" w14:textId="77777777" w:rsidR="00A36A5A" w:rsidRPr="00341696" w:rsidRDefault="00A36A5A" w:rsidP="008C0679">
            <w:pPr>
              <w:spacing w:after="60"/>
              <w:rPr>
                <w:iCs/>
                <w:sz w:val="20"/>
              </w:rPr>
            </w:pPr>
            <w:r w:rsidRPr="00341696">
              <w:rPr>
                <w:iCs/>
                <w:sz w:val="20"/>
              </w:rPr>
              <w:t>An Operating Hour</w:t>
            </w:r>
            <w:r>
              <w:rPr>
                <w:iCs/>
                <w:sz w:val="20"/>
              </w:rPr>
              <w:t>.</w:t>
            </w:r>
          </w:p>
        </w:tc>
      </w:tr>
      <w:tr w:rsidR="00A36A5A" w:rsidRPr="00341696" w14:paraId="46826795" w14:textId="77777777" w:rsidTr="00E00BA1">
        <w:tblPrEx>
          <w:tblLook w:val="01E0" w:firstRow="1" w:lastRow="1" w:firstColumn="1" w:lastColumn="1" w:noHBand="0" w:noVBand="0"/>
        </w:tblPrEx>
        <w:trPr>
          <w:cantSplit/>
          <w:trHeight w:val="350"/>
        </w:trPr>
        <w:tc>
          <w:tcPr>
            <w:tcW w:w="2069" w:type="dxa"/>
          </w:tcPr>
          <w:p w14:paraId="08475AD5" w14:textId="77777777" w:rsidR="00A36A5A" w:rsidRPr="00D36347" w:rsidRDefault="008C0679" w:rsidP="00077067">
            <w:pPr>
              <w:spacing w:after="60"/>
              <w:rPr>
                <w:i/>
                <w:iCs/>
                <w:sz w:val="20"/>
              </w:rPr>
            </w:pPr>
            <w:r>
              <w:rPr>
                <w:i/>
                <w:iCs/>
                <w:sz w:val="20"/>
              </w:rPr>
              <w:t>a</w:t>
            </w:r>
          </w:p>
        </w:tc>
        <w:tc>
          <w:tcPr>
            <w:tcW w:w="739" w:type="dxa"/>
          </w:tcPr>
          <w:p w14:paraId="347441F2" w14:textId="77777777" w:rsidR="00A36A5A" w:rsidRPr="00341696" w:rsidRDefault="00A36A5A" w:rsidP="00077067">
            <w:pPr>
              <w:spacing w:after="60"/>
              <w:rPr>
                <w:iCs/>
                <w:sz w:val="20"/>
              </w:rPr>
            </w:pPr>
            <w:r w:rsidRPr="00341696">
              <w:rPr>
                <w:iCs/>
                <w:sz w:val="20"/>
              </w:rPr>
              <w:t>none</w:t>
            </w:r>
          </w:p>
        </w:tc>
        <w:tc>
          <w:tcPr>
            <w:tcW w:w="6768" w:type="dxa"/>
          </w:tcPr>
          <w:p w14:paraId="6B12ACF7" w14:textId="77777777" w:rsidR="00A36A5A" w:rsidRPr="00341696" w:rsidRDefault="00A36A5A" w:rsidP="008C0679">
            <w:pPr>
              <w:spacing w:after="60"/>
              <w:rPr>
                <w:iCs/>
                <w:sz w:val="20"/>
              </w:rPr>
            </w:pPr>
            <w:r w:rsidRPr="00341696">
              <w:rPr>
                <w:iCs/>
                <w:sz w:val="20"/>
              </w:rPr>
              <w:t>A</w:t>
            </w:r>
            <w:r w:rsidR="008C0679">
              <w:rPr>
                <w:iCs/>
                <w:sz w:val="20"/>
              </w:rPr>
              <w:t>ll</w:t>
            </w:r>
            <w:r w:rsidRPr="00341696">
              <w:rPr>
                <w:iCs/>
                <w:sz w:val="20"/>
              </w:rPr>
              <w:t xml:space="preserve"> </w:t>
            </w:r>
            <w:r>
              <w:rPr>
                <w:iCs/>
                <w:sz w:val="20"/>
              </w:rPr>
              <w:t xml:space="preserve">CRR </w:t>
            </w:r>
            <w:r w:rsidR="008C0679">
              <w:rPr>
                <w:iCs/>
                <w:sz w:val="20"/>
              </w:rPr>
              <w:t>Account Holders represented by the Counter-Party</w:t>
            </w:r>
            <w:r>
              <w:rPr>
                <w:iCs/>
                <w:sz w:val="20"/>
              </w:rPr>
              <w:t>.</w:t>
            </w:r>
          </w:p>
        </w:tc>
      </w:tr>
      <w:tr w:rsidR="00A36A5A" w:rsidRPr="00341696" w14:paraId="2C1F1F4D" w14:textId="77777777" w:rsidTr="00E00BA1">
        <w:tblPrEx>
          <w:tblLook w:val="01E0" w:firstRow="1" w:lastRow="1" w:firstColumn="1" w:lastColumn="1" w:noHBand="0" w:noVBand="0"/>
        </w:tblPrEx>
        <w:trPr>
          <w:cantSplit/>
          <w:trHeight w:val="350"/>
        </w:trPr>
        <w:tc>
          <w:tcPr>
            <w:tcW w:w="2069" w:type="dxa"/>
          </w:tcPr>
          <w:p w14:paraId="13CC8FAE" w14:textId="77777777" w:rsidR="00A36A5A" w:rsidRPr="00D36347" w:rsidRDefault="00A36A5A" w:rsidP="00077067">
            <w:pPr>
              <w:spacing w:after="60"/>
              <w:rPr>
                <w:i/>
                <w:iCs/>
                <w:sz w:val="20"/>
              </w:rPr>
            </w:pPr>
            <w:r w:rsidRPr="00D36347">
              <w:rPr>
                <w:i/>
                <w:iCs/>
                <w:sz w:val="20"/>
              </w:rPr>
              <w:t>ci100</w:t>
            </w:r>
          </w:p>
        </w:tc>
        <w:tc>
          <w:tcPr>
            <w:tcW w:w="739" w:type="dxa"/>
          </w:tcPr>
          <w:p w14:paraId="29B0C3CE" w14:textId="77777777" w:rsidR="00A36A5A" w:rsidRPr="00341696" w:rsidRDefault="00A36A5A" w:rsidP="00077067">
            <w:pPr>
              <w:spacing w:after="60"/>
              <w:rPr>
                <w:iCs/>
                <w:sz w:val="20"/>
              </w:rPr>
            </w:pPr>
            <w:r>
              <w:rPr>
                <w:iCs/>
                <w:sz w:val="20"/>
              </w:rPr>
              <w:t>none</w:t>
            </w:r>
          </w:p>
        </w:tc>
        <w:tc>
          <w:tcPr>
            <w:tcW w:w="6768" w:type="dxa"/>
          </w:tcPr>
          <w:p w14:paraId="7D547526" w14:textId="77777777" w:rsidR="00A36A5A" w:rsidRPr="00341696" w:rsidRDefault="00A36A5A" w:rsidP="00077067">
            <w:pPr>
              <w:spacing w:after="60"/>
              <w:rPr>
                <w:iCs/>
                <w:sz w:val="20"/>
              </w:rPr>
            </w:pPr>
            <w:r>
              <w:rPr>
                <w:iCs/>
                <w:sz w:val="20"/>
              </w:rPr>
              <w:t>100</w:t>
            </w:r>
            <w:r w:rsidRPr="00E85945">
              <w:rPr>
                <w:iCs/>
                <w:sz w:val="20"/>
                <w:vertAlign w:val="superscript"/>
              </w:rPr>
              <w:t>th</w:t>
            </w:r>
            <w:r>
              <w:rPr>
                <w:iCs/>
                <w:sz w:val="20"/>
              </w:rPr>
              <w:t xml:space="preserve"> percentile confidence interval.</w:t>
            </w:r>
          </w:p>
        </w:tc>
      </w:tr>
    </w:tbl>
    <w:p w14:paraId="4100A769" w14:textId="77777777" w:rsidR="00A36A5A" w:rsidRPr="00341696" w:rsidRDefault="00A36A5A" w:rsidP="00A36A5A">
      <w:pPr>
        <w:spacing w:before="240" w:after="240"/>
        <w:ind w:left="720" w:hanging="720"/>
        <w:rPr>
          <w:iCs/>
        </w:rPr>
      </w:pPr>
      <w:r w:rsidRPr="00341696">
        <w:rPr>
          <w:iCs/>
        </w:rPr>
        <w:t>(3)</w:t>
      </w:r>
      <w:r w:rsidRPr="00341696">
        <w:rPr>
          <w:iCs/>
        </w:rPr>
        <w:tab/>
        <w:t xml:space="preserve">The FCE for PTP Options (FCEOPT) held by </w:t>
      </w:r>
      <w:r w:rsidR="008C0679" w:rsidRPr="00545E0B">
        <w:rPr>
          <w:szCs w:val="24"/>
        </w:rPr>
        <w:t>all the CRR Account Holders represented by</w:t>
      </w:r>
      <w:r w:rsidR="008C0679">
        <w:t xml:space="preserve"> </w:t>
      </w:r>
      <w:r w:rsidRPr="00341696">
        <w:rPr>
          <w:iCs/>
        </w:rPr>
        <w:t xml:space="preserve">the Counter-Party as </w:t>
      </w:r>
      <w:r>
        <w:rPr>
          <w:iCs/>
        </w:rPr>
        <w:t>CRR O</w:t>
      </w:r>
      <w:r w:rsidRPr="00341696">
        <w:rPr>
          <w:iCs/>
        </w:rPr>
        <w:t xml:space="preserve">wner of record at </w:t>
      </w:r>
      <w:r>
        <w:rPr>
          <w:iCs/>
        </w:rPr>
        <w:t xml:space="preserve">ERCOT are </w:t>
      </w:r>
      <w:r w:rsidRPr="00341696">
        <w:rPr>
          <w:iCs/>
        </w:rPr>
        <w:t>calculated as follows</w:t>
      </w:r>
      <w:r>
        <w:rPr>
          <w:iCs/>
        </w:rPr>
        <w:t>:</w:t>
      </w:r>
    </w:p>
    <w:p w14:paraId="51234A33" w14:textId="77777777" w:rsidR="00A36A5A" w:rsidRDefault="00A36A5A" w:rsidP="00A36A5A">
      <w:pPr>
        <w:pStyle w:val="Instructions"/>
        <w:spacing w:after="0"/>
        <w:ind w:left="720"/>
        <w:rPr>
          <w:i w:val="0"/>
        </w:rPr>
      </w:pPr>
      <w:r w:rsidRPr="002475CE">
        <w:rPr>
          <w:i w:val="0"/>
          <w:iCs/>
        </w:rPr>
        <w:t>FCEOPT</w:t>
      </w:r>
      <w:r w:rsidRPr="005B6D42">
        <w:rPr>
          <w:iCs/>
        </w:rPr>
        <w:t xml:space="preserve"> </w:t>
      </w:r>
      <w:r w:rsidR="008C0679">
        <w:rPr>
          <w:rFonts w:ascii="Times New Roman Bold" w:hAnsi="Times New Roman Bold"/>
          <w:iCs/>
          <w:vertAlign w:val="subscript"/>
        </w:rPr>
        <w:t>a</w:t>
      </w:r>
      <w:r w:rsidRPr="002475CE">
        <w:rPr>
          <w:i w:val="0"/>
          <w:iCs/>
        </w:rPr>
        <w:t xml:space="preserve"> </w:t>
      </w:r>
      <w:r w:rsidRPr="002475CE">
        <w:rPr>
          <w:i w:val="0"/>
          <w:iCs/>
        </w:rPr>
        <w:tab/>
        <w:t>=</w:t>
      </w:r>
      <w:r w:rsidRPr="002475CE">
        <w:rPr>
          <w:i w:val="0"/>
          <w:iCs/>
        </w:rPr>
        <w:tab/>
      </w:r>
      <w:r>
        <w:rPr>
          <w:i w:val="0"/>
          <w:iCs/>
        </w:rPr>
        <w:t xml:space="preserve">- </w:t>
      </w:r>
      <w:r w:rsidRPr="000054E6">
        <w:rPr>
          <w:i w:val="0"/>
        </w:rPr>
        <w:t>∑</w:t>
      </w:r>
      <w:r w:rsidRPr="005B6D42">
        <w:rPr>
          <w:vertAlign w:val="subscript"/>
        </w:rPr>
        <w:t>m</w:t>
      </w:r>
      <w:r w:rsidRPr="000054E6">
        <w:rPr>
          <w:i w:val="0"/>
        </w:rPr>
        <w:t xml:space="preserve"> </w:t>
      </w:r>
      <w:r w:rsidRPr="00DC2980">
        <w:rPr>
          <w:i w:val="0"/>
        </w:rPr>
        <w:t>∑</w:t>
      </w:r>
      <w:r w:rsidRPr="005B6D42">
        <w:rPr>
          <w:vertAlign w:val="subscript"/>
        </w:rPr>
        <w:t>h</w:t>
      </w:r>
      <w:r w:rsidRPr="00DC2980">
        <w:rPr>
          <w:i w:val="0"/>
          <w:vertAlign w:val="subscript"/>
        </w:rPr>
        <w:t xml:space="preserve"> </w:t>
      </w:r>
      <w:r w:rsidRPr="00DC2980">
        <w:rPr>
          <w:i w:val="0"/>
        </w:rPr>
        <w:t>∑</w:t>
      </w:r>
      <w:r w:rsidRPr="005B6D42">
        <w:rPr>
          <w:vertAlign w:val="subscript"/>
        </w:rPr>
        <w:t>j, k</w:t>
      </w:r>
      <w:r w:rsidRPr="00DC2980">
        <w:rPr>
          <w:i w:val="0"/>
          <w:vertAlign w:val="subscript"/>
        </w:rPr>
        <w:t xml:space="preserve"> </w:t>
      </w:r>
      <w:r w:rsidRPr="00DC2980">
        <w:rPr>
          <w:i w:val="0"/>
        </w:rPr>
        <w:t>[(</w:t>
      </w:r>
      <w:r w:rsidRPr="000054E6">
        <w:rPr>
          <w:i w:val="0"/>
        </w:rPr>
        <w:t>NA</w:t>
      </w:r>
      <w:r w:rsidRPr="00DC2980">
        <w:rPr>
          <w:i w:val="0"/>
        </w:rPr>
        <w:t>O</w:t>
      </w:r>
      <w:r w:rsidRPr="000054E6">
        <w:rPr>
          <w:i w:val="0"/>
        </w:rPr>
        <w:t>PT</w:t>
      </w:r>
      <w:r w:rsidRPr="00DC2980">
        <w:rPr>
          <w:i w:val="0"/>
        </w:rPr>
        <w:t>MW</w:t>
      </w:r>
      <w:r w:rsidRPr="00DC2980">
        <w:rPr>
          <w:i w:val="0"/>
          <w:vertAlign w:val="subscript"/>
        </w:rPr>
        <w:t xml:space="preserve"> </w:t>
      </w:r>
      <w:r w:rsidRPr="005B6D42">
        <w:rPr>
          <w:vertAlign w:val="subscript"/>
        </w:rPr>
        <w:t>m, h, (j, k)</w:t>
      </w:r>
      <w:r w:rsidRPr="00DC2980">
        <w:rPr>
          <w:i w:val="0"/>
        </w:rPr>
        <w:t>)</w:t>
      </w:r>
      <w:r w:rsidRPr="000054E6">
        <w:rPr>
          <w:i w:val="0"/>
        </w:rPr>
        <w:t xml:space="preserve"> * Max(0,</w:t>
      </w:r>
      <w:r w:rsidR="005220DB">
        <w:rPr>
          <w:i w:val="0"/>
        </w:rPr>
        <w:t xml:space="preserve"> </w:t>
      </w:r>
      <w:r w:rsidRPr="000054E6">
        <w:rPr>
          <w:i w:val="0"/>
        </w:rPr>
        <w:t xml:space="preserve">A </w:t>
      </w:r>
      <w:r w:rsidRPr="005B6D42">
        <w:rPr>
          <w:vertAlign w:val="subscript"/>
        </w:rPr>
        <w:t>ci99, ctou, (j, k)</w:t>
      </w:r>
      <w:r w:rsidRPr="000054E6">
        <w:rPr>
          <w:i w:val="0"/>
        </w:rPr>
        <w:t>)]</w:t>
      </w:r>
    </w:p>
    <w:p w14:paraId="51E26550" w14:textId="77777777" w:rsidR="00A36A5A" w:rsidRDefault="00A36A5A" w:rsidP="00A36A5A">
      <w:pPr>
        <w:keepNext/>
        <w:rPr>
          <w:iCs/>
        </w:rPr>
      </w:pPr>
    </w:p>
    <w:p w14:paraId="75557F48" w14:textId="77777777" w:rsidR="00A36A5A" w:rsidRPr="00341696" w:rsidRDefault="00A36A5A" w:rsidP="00DD5BE9">
      <w:pPr>
        <w:keepNext/>
        <w:rPr>
          <w:iCs/>
        </w:rPr>
      </w:pPr>
      <w:r w:rsidRPr="00341696">
        <w:rPr>
          <w:iCs/>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8"/>
        <w:gridCol w:w="739"/>
        <w:gridCol w:w="6595"/>
      </w:tblGrid>
      <w:tr w:rsidR="00A36A5A" w:rsidRPr="00341696" w14:paraId="613EBDB0" w14:textId="77777777" w:rsidTr="00BC3ACE">
        <w:trPr>
          <w:cantSplit/>
          <w:trHeight w:val="351"/>
          <w:tblHeader/>
        </w:trPr>
        <w:tc>
          <w:tcPr>
            <w:tcW w:w="1998" w:type="dxa"/>
          </w:tcPr>
          <w:p w14:paraId="6C00E976" w14:textId="77777777" w:rsidR="00A36A5A" w:rsidRPr="00341696" w:rsidRDefault="00A36A5A" w:rsidP="00077067">
            <w:pPr>
              <w:spacing w:after="120"/>
              <w:rPr>
                <w:b/>
                <w:iCs/>
                <w:sz w:val="20"/>
              </w:rPr>
            </w:pPr>
            <w:r w:rsidRPr="00341696">
              <w:rPr>
                <w:b/>
                <w:iCs/>
                <w:sz w:val="20"/>
              </w:rPr>
              <w:t>Variable</w:t>
            </w:r>
          </w:p>
        </w:tc>
        <w:tc>
          <w:tcPr>
            <w:tcW w:w="739" w:type="dxa"/>
          </w:tcPr>
          <w:p w14:paraId="7A093AE4" w14:textId="77777777" w:rsidR="00A36A5A" w:rsidRPr="00341696" w:rsidRDefault="00A36A5A" w:rsidP="00077067">
            <w:pPr>
              <w:spacing w:after="120"/>
              <w:rPr>
                <w:b/>
                <w:iCs/>
                <w:sz w:val="20"/>
              </w:rPr>
            </w:pPr>
            <w:r w:rsidRPr="00341696">
              <w:rPr>
                <w:b/>
                <w:iCs/>
                <w:sz w:val="20"/>
              </w:rPr>
              <w:t>Unit</w:t>
            </w:r>
          </w:p>
        </w:tc>
        <w:tc>
          <w:tcPr>
            <w:tcW w:w="6595" w:type="dxa"/>
          </w:tcPr>
          <w:p w14:paraId="4F2533BD" w14:textId="77777777" w:rsidR="00A36A5A" w:rsidRPr="00341696" w:rsidRDefault="00A36A5A" w:rsidP="00077067">
            <w:pPr>
              <w:spacing w:after="120"/>
              <w:rPr>
                <w:b/>
                <w:iCs/>
                <w:sz w:val="20"/>
              </w:rPr>
            </w:pPr>
            <w:r w:rsidRPr="00341696">
              <w:rPr>
                <w:b/>
                <w:iCs/>
                <w:sz w:val="20"/>
              </w:rPr>
              <w:t>Description</w:t>
            </w:r>
          </w:p>
        </w:tc>
      </w:tr>
      <w:tr w:rsidR="00A36A5A" w:rsidRPr="00341696" w14:paraId="742FC461" w14:textId="77777777" w:rsidTr="00BC3ACE">
        <w:trPr>
          <w:cantSplit/>
          <w:trHeight w:val="519"/>
          <w:tblHeader/>
        </w:trPr>
        <w:tc>
          <w:tcPr>
            <w:tcW w:w="1998" w:type="dxa"/>
          </w:tcPr>
          <w:p w14:paraId="3EFFF595" w14:textId="77777777" w:rsidR="00A36A5A" w:rsidRPr="00341696" w:rsidRDefault="00A36A5A" w:rsidP="008C0679">
            <w:pPr>
              <w:spacing w:after="60"/>
              <w:rPr>
                <w:iCs/>
                <w:sz w:val="20"/>
              </w:rPr>
            </w:pPr>
            <w:r w:rsidRPr="00341696">
              <w:rPr>
                <w:iCs/>
                <w:sz w:val="20"/>
              </w:rPr>
              <w:t xml:space="preserve">FCEOPT </w:t>
            </w:r>
            <w:r w:rsidR="008C0679">
              <w:rPr>
                <w:i/>
                <w:iCs/>
                <w:sz w:val="20"/>
                <w:vertAlign w:val="subscript"/>
              </w:rPr>
              <w:t>a</w:t>
            </w:r>
          </w:p>
        </w:tc>
        <w:tc>
          <w:tcPr>
            <w:tcW w:w="739" w:type="dxa"/>
          </w:tcPr>
          <w:p w14:paraId="7C7D3D80" w14:textId="77777777" w:rsidR="00A36A5A" w:rsidRPr="00341696" w:rsidRDefault="00A36A5A" w:rsidP="00077067">
            <w:pPr>
              <w:spacing w:after="60"/>
              <w:rPr>
                <w:iCs/>
                <w:sz w:val="20"/>
              </w:rPr>
            </w:pPr>
            <w:r w:rsidRPr="00341696">
              <w:rPr>
                <w:iCs/>
                <w:sz w:val="20"/>
              </w:rPr>
              <w:t>$</w:t>
            </w:r>
          </w:p>
        </w:tc>
        <w:tc>
          <w:tcPr>
            <w:tcW w:w="6595" w:type="dxa"/>
          </w:tcPr>
          <w:p w14:paraId="6BAD58AD" w14:textId="77777777" w:rsidR="00A36A5A" w:rsidRPr="00341696" w:rsidRDefault="00A36A5A" w:rsidP="008C0679">
            <w:pPr>
              <w:spacing w:after="60"/>
              <w:rPr>
                <w:iCs/>
                <w:sz w:val="20"/>
              </w:rPr>
            </w:pPr>
            <w:r w:rsidRPr="00341696">
              <w:rPr>
                <w:i/>
                <w:iCs/>
                <w:sz w:val="20"/>
              </w:rPr>
              <w:t>Future Credit Exposure for PTP Options</w:t>
            </w:r>
            <w:r w:rsidRPr="008C1469">
              <w:rPr>
                <w:iCs/>
                <w:sz w:val="20"/>
              </w:rPr>
              <w:sym w:font="Symbol" w:char="F0BE"/>
            </w:r>
            <w:r w:rsidRPr="00341696">
              <w:rPr>
                <w:iCs/>
                <w:sz w:val="20"/>
              </w:rPr>
              <w:t xml:space="preserve">FCE for all PTP Options held by </w:t>
            </w:r>
            <w:r w:rsidR="008C0679" w:rsidRPr="00CF238E">
              <w:rPr>
                <w:sz w:val="20"/>
              </w:rPr>
              <w:t>all CRR Account Holders represented by</w:t>
            </w:r>
            <w:r w:rsidR="008C0679">
              <w:t xml:space="preserve"> </w:t>
            </w:r>
            <w:r w:rsidRPr="00341696">
              <w:rPr>
                <w:iCs/>
                <w:sz w:val="20"/>
              </w:rPr>
              <w:t xml:space="preserve">the Counter-Party as </w:t>
            </w:r>
            <w:r>
              <w:rPr>
                <w:iCs/>
                <w:sz w:val="20"/>
              </w:rPr>
              <w:t>CRR O</w:t>
            </w:r>
            <w:r w:rsidRPr="00341696">
              <w:rPr>
                <w:iCs/>
                <w:sz w:val="20"/>
              </w:rPr>
              <w:t>wner</w:t>
            </w:r>
            <w:r w:rsidRPr="00341696">
              <w:rPr>
                <w:i/>
                <w:iCs/>
                <w:sz w:val="20"/>
              </w:rPr>
              <w:t xml:space="preserve"> </w:t>
            </w:r>
            <w:r w:rsidRPr="00341696">
              <w:rPr>
                <w:iCs/>
                <w:sz w:val="20"/>
              </w:rPr>
              <w:t xml:space="preserve">of record at ERCOT </w:t>
            </w:r>
            <w:r>
              <w:rPr>
                <w:iCs/>
                <w:sz w:val="20"/>
              </w:rPr>
              <w:t xml:space="preserve">for all Operating Days remaining in the current operating month and Prompt Month.  </w:t>
            </w:r>
          </w:p>
        </w:tc>
      </w:tr>
      <w:tr w:rsidR="00A36A5A" w:rsidRPr="00341696" w14:paraId="485A7686" w14:textId="77777777" w:rsidTr="00BC3ACE">
        <w:tblPrEx>
          <w:tblLook w:val="01E0" w:firstRow="1" w:lastRow="1" w:firstColumn="1" w:lastColumn="1" w:noHBand="0" w:noVBand="0"/>
        </w:tblPrEx>
        <w:trPr>
          <w:cantSplit/>
          <w:trHeight w:val="350"/>
          <w:tblHeader/>
        </w:trPr>
        <w:tc>
          <w:tcPr>
            <w:tcW w:w="1998" w:type="dxa"/>
          </w:tcPr>
          <w:p w14:paraId="678DADDA" w14:textId="77777777" w:rsidR="00A36A5A" w:rsidRPr="000433EB" w:rsidRDefault="00A36A5A" w:rsidP="00077067">
            <w:pPr>
              <w:spacing w:after="60"/>
              <w:rPr>
                <w:sz w:val="20"/>
              </w:rPr>
            </w:pPr>
            <w:r w:rsidRPr="00DC2980">
              <w:rPr>
                <w:sz w:val="20"/>
              </w:rPr>
              <w:t xml:space="preserve">A </w:t>
            </w:r>
            <w:r w:rsidRPr="005B6D42">
              <w:rPr>
                <w:i/>
                <w:sz w:val="20"/>
                <w:vertAlign w:val="subscript"/>
              </w:rPr>
              <w:t>ci99, ctou, (j, k)</w:t>
            </w:r>
          </w:p>
        </w:tc>
        <w:tc>
          <w:tcPr>
            <w:tcW w:w="739" w:type="dxa"/>
          </w:tcPr>
          <w:p w14:paraId="415384B3" w14:textId="77777777" w:rsidR="00A36A5A" w:rsidRPr="000433EB" w:rsidRDefault="00A36A5A" w:rsidP="00077067">
            <w:pPr>
              <w:spacing w:after="60"/>
              <w:rPr>
                <w:sz w:val="20"/>
              </w:rPr>
            </w:pPr>
            <w:r w:rsidRPr="00DC2980">
              <w:rPr>
                <w:sz w:val="20"/>
              </w:rPr>
              <w:t>$/MW per hour</w:t>
            </w:r>
          </w:p>
        </w:tc>
        <w:tc>
          <w:tcPr>
            <w:tcW w:w="6595" w:type="dxa"/>
          </w:tcPr>
          <w:p w14:paraId="3C168E36" w14:textId="77777777" w:rsidR="00A36A5A" w:rsidRPr="000433EB" w:rsidRDefault="00A36A5A" w:rsidP="005220DB">
            <w:pPr>
              <w:spacing w:after="60"/>
              <w:rPr>
                <w:i/>
                <w:sz w:val="20"/>
              </w:rPr>
            </w:pPr>
            <w:r w:rsidRPr="00DC2980">
              <w:rPr>
                <w:i/>
                <w:iCs/>
                <w:sz w:val="20"/>
              </w:rPr>
              <w:t>Path Specific DAM Based Adder</w:t>
            </w:r>
            <w:r w:rsidRPr="00DC2980">
              <w:rPr>
                <w:iCs/>
                <w:sz w:val="20"/>
              </w:rPr>
              <w:sym w:font="Symbol" w:char="F0BE"/>
            </w:r>
            <w:r w:rsidRPr="00DC2980">
              <w:rPr>
                <w:iCs/>
                <w:sz w:val="20"/>
              </w:rPr>
              <w:t xml:space="preserve">Path specific DAM based adder calculated as 99th percentile of the average rolling consecutive DAM settled price for the CRR source </w:t>
            </w:r>
            <w:r w:rsidRPr="00DC2980">
              <w:rPr>
                <w:i/>
                <w:iCs/>
                <w:sz w:val="20"/>
              </w:rPr>
              <w:t>j</w:t>
            </w:r>
            <w:r w:rsidRPr="00DC2980">
              <w:rPr>
                <w:iCs/>
                <w:sz w:val="20"/>
              </w:rPr>
              <w:t xml:space="preserve"> and sink </w:t>
            </w:r>
            <w:r w:rsidRPr="00DC2980">
              <w:rPr>
                <w:i/>
                <w:iCs/>
                <w:sz w:val="20"/>
              </w:rPr>
              <w:t>k</w:t>
            </w:r>
            <w:r w:rsidRPr="00DC2980">
              <w:rPr>
                <w:iCs/>
                <w:sz w:val="20"/>
              </w:rPr>
              <w:t xml:space="preserve"> over a period that represents a month for each</w:t>
            </w:r>
            <w:r>
              <w:rPr>
                <w:iCs/>
                <w:sz w:val="20"/>
              </w:rPr>
              <w:t xml:space="preserve"> CRR Time Of Use</w:t>
            </w:r>
            <w:r w:rsidRPr="00DC2980">
              <w:rPr>
                <w:iCs/>
                <w:sz w:val="20"/>
              </w:rPr>
              <w:t xml:space="preserve"> </w:t>
            </w:r>
            <w:r w:rsidR="005220DB">
              <w:rPr>
                <w:iCs/>
                <w:sz w:val="20"/>
              </w:rPr>
              <w:t xml:space="preserve">(TOU) </w:t>
            </w:r>
            <w:r w:rsidRPr="00DC2980">
              <w:rPr>
                <w:i/>
                <w:iCs/>
                <w:sz w:val="20"/>
              </w:rPr>
              <w:t>ctou</w:t>
            </w:r>
            <w:r w:rsidRPr="00C82B98">
              <w:rPr>
                <w:iCs/>
                <w:sz w:val="20"/>
              </w:rPr>
              <w:t xml:space="preserve"> </w:t>
            </w:r>
            <w:r w:rsidRPr="00DC2980">
              <w:rPr>
                <w:iCs/>
                <w:sz w:val="20"/>
              </w:rPr>
              <w:t xml:space="preserve">product type (18 days for 5*16, 8 days for 2*16, 28 days for 7*8).  The look-back period for DAM settled prices shall be the lesser of </w:t>
            </w:r>
            <w:r>
              <w:rPr>
                <w:iCs/>
                <w:sz w:val="20"/>
              </w:rPr>
              <w:t>January 1, 2011</w:t>
            </w:r>
            <w:r w:rsidRPr="00DC2980">
              <w:rPr>
                <w:iCs/>
                <w:sz w:val="20"/>
              </w:rPr>
              <w:t xml:space="preserve"> to</w:t>
            </w:r>
            <w:r>
              <w:rPr>
                <w:iCs/>
                <w:sz w:val="20"/>
              </w:rPr>
              <w:t xml:space="preserve"> the</w:t>
            </w:r>
            <w:r w:rsidRPr="00DC2980">
              <w:rPr>
                <w:iCs/>
                <w:sz w:val="20"/>
              </w:rPr>
              <w:t xml:space="preserve"> current time</w:t>
            </w:r>
            <w:r>
              <w:rPr>
                <w:iCs/>
                <w:sz w:val="20"/>
              </w:rPr>
              <w:t>,</w:t>
            </w:r>
            <w:r w:rsidRPr="00DC2980">
              <w:rPr>
                <w:iCs/>
                <w:sz w:val="20"/>
              </w:rPr>
              <w:t xml:space="preserve"> and </w:t>
            </w:r>
            <w:r>
              <w:rPr>
                <w:iCs/>
                <w:sz w:val="20"/>
              </w:rPr>
              <w:t>the</w:t>
            </w:r>
            <w:r w:rsidRPr="008E6150">
              <w:rPr>
                <w:iCs/>
                <w:sz w:val="20"/>
              </w:rPr>
              <w:t xml:space="preserve"> </w:t>
            </w:r>
            <w:r w:rsidRPr="00DC2980">
              <w:rPr>
                <w:iCs/>
                <w:sz w:val="20"/>
              </w:rPr>
              <w:t xml:space="preserve">current time minus </w:t>
            </w:r>
            <w:r>
              <w:rPr>
                <w:iCs/>
                <w:sz w:val="20"/>
              </w:rPr>
              <w:t>three</w:t>
            </w:r>
            <w:r w:rsidRPr="00DC2980">
              <w:rPr>
                <w:iCs/>
                <w:sz w:val="20"/>
              </w:rPr>
              <w:t xml:space="preserve"> years.  If historical DASPPs are not available for a Settlement Point for one or more Operating Days, ERCOT will designate a proxy Settlement Point for this purpose, and the DASPPs of the proxy Settlement Point of corresponding Operating Days are used.</w:t>
            </w:r>
          </w:p>
        </w:tc>
      </w:tr>
      <w:tr w:rsidR="00A36A5A" w:rsidRPr="00341696" w14:paraId="65DED6F9" w14:textId="77777777" w:rsidTr="00BC3ACE">
        <w:tblPrEx>
          <w:tblLook w:val="01E0" w:firstRow="1" w:lastRow="1" w:firstColumn="1" w:lastColumn="1" w:noHBand="0" w:noVBand="0"/>
        </w:tblPrEx>
        <w:trPr>
          <w:cantSplit/>
          <w:trHeight w:val="350"/>
          <w:tblHeader/>
        </w:trPr>
        <w:tc>
          <w:tcPr>
            <w:tcW w:w="1998" w:type="dxa"/>
          </w:tcPr>
          <w:p w14:paraId="5181C267" w14:textId="77777777" w:rsidR="00A36A5A" w:rsidRPr="00341696" w:rsidRDefault="00A36A5A" w:rsidP="008C0679">
            <w:pPr>
              <w:spacing w:after="60"/>
              <w:rPr>
                <w:iCs/>
                <w:sz w:val="20"/>
              </w:rPr>
            </w:pPr>
            <w:r w:rsidRPr="00DC2980">
              <w:rPr>
                <w:sz w:val="20"/>
              </w:rPr>
              <w:t>NAOPTMW</w:t>
            </w:r>
            <w:r>
              <w:rPr>
                <w:sz w:val="20"/>
                <w:vertAlign w:val="subscript"/>
              </w:rPr>
              <w:t xml:space="preserve"> </w:t>
            </w:r>
            <w:r w:rsidRPr="005B6D42">
              <w:rPr>
                <w:i/>
                <w:sz w:val="20"/>
                <w:vertAlign w:val="subscript"/>
              </w:rPr>
              <w:t>m, h, (j, k)</w:t>
            </w:r>
          </w:p>
        </w:tc>
        <w:tc>
          <w:tcPr>
            <w:tcW w:w="739" w:type="dxa"/>
          </w:tcPr>
          <w:p w14:paraId="7A0BCD72" w14:textId="77777777" w:rsidR="00A36A5A" w:rsidRPr="00341696" w:rsidRDefault="00A36A5A" w:rsidP="00077067">
            <w:pPr>
              <w:spacing w:after="60"/>
              <w:rPr>
                <w:iCs/>
                <w:sz w:val="20"/>
              </w:rPr>
            </w:pPr>
            <w:r>
              <w:rPr>
                <w:sz w:val="20"/>
              </w:rPr>
              <w:t>MW</w:t>
            </w:r>
          </w:p>
        </w:tc>
        <w:tc>
          <w:tcPr>
            <w:tcW w:w="6595" w:type="dxa"/>
          </w:tcPr>
          <w:p w14:paraId="31D57B10" w14:textId="77777777" w:rsidR="00A36A5A" w:rsidRPr="00341696" w:rsidRDefault="00A36A5A" w:rsidP="008C0679">
            <w:pPr>
              <w:spacing w:after="60"/>
              <w:rPr>
                <w:iCs/>
                <w:sz w:val="20"/>
              </w:rPr>
            </w:pPr>
            <w:r w:rsidRPr="00DC2980">
              <w:rPr>
                <w:i/>
                <w:sz w:val="20"/>
              </w:rPr>
              <w:t>Net Awarded PTP Options</w:t>
            </w:r>
            <w:r w:rsidRPr="00DC2980">
              <w:rPr>
                <w:iCs/>
                <w:sz w:val="20"/>
              </w:rPr>
              <w:sym w:font="Symbol" w:char="F0BE"/>
            </w:r>
            <w:r w:rsidRPr="00DC2980">
              <w:rPr>
                <w:sz w:val="20"/>
              </w:rPr>
              <w:t xml:space="preserve">Net awarded PTP Options with the source </w:t>
            </w:r>
            <w:r w:rsidRPr="00DC2980">
              <w:rPr>
                <w:i/>
                <w:sz w:val="20"/>
              </w:rPr>
              <w:t>j</w:t>
            </w:r>
            <w:r w:rsidRPr="00DC2980">
              <w:rPr>
                <w:sz w:val="20"/>
              </w:rPr>
              <w:t xml:space="preserve"> and sink </w:t>
            </w:r>
            <w:r w:rsidRPr="00DC2980">
              <w:rPr>
                <w:i/>
                <w:sz w:val="20"/>
              </w:rPr>
              <w:t>k</w:t>
            </w:r>
            <w:r w:rsidRPr="00DC2980">
              <w:rPr>
                <w:sz w:val="20"/>
              </w:rPr>
              <w:t xml:space="preserve"> for the hour </w:t>
            </w:r>
            <w:r w:rsidRPr="00DC2980">
              <w:rPr>
                <w:i/>
                <w:sz w:val="20"/>
              </w:rPr>
              <w:t>h</w:t>
            </w:r>
            <w:r w:rsidRPr="00DC2980">
              <w:rPr>
                <w:sz w:val="20"/>
              </w:rPr>
              <w:t xml:space="preserve"> and month </w:t>
            </w:r>
            <w:r w:rsidRPr="00DC2980">
              <w:rPr>
                <w:i/>
                <w:sz w:val="20"/>
              </w:rPr>
              <w:t>m</w:t>
            </w:r>
            <w:r w:rsidRPr="00DC2980">
              <w:rPr>
                <w:sz w:val="20"/>
              </w:rPr>
              <w:t xml:space="preserve"> owned by </w:t>
            </w:r>
            <w:r w:rsidR="008C0679" w:rsidRPr="00CF238E">
              <w:rPr>
                <w:sz w:val="20"/>
              </w:rPr>
              <w:t>all CRR Account Holders represented by</w:t>
            </w:r>
            <w:r w:rsidR="008C0679">
              <w:t xml:space="preserve"> </w:t>
            </w:r>
            <w:r w:rsidRPr="00DC2980">
              <w:rPr>
                <w:sz w:val="20"/>
              </w:rPr>
              <w:t>the Counter-Party as CRR Owner of record at ERCOT for remaining Operating Days in the current operating month, and Prompt Month.</w:t>
            </w:r>
          </w:p>
        </w:tc>
      </w:tr>
      <w:tr w:rsidR="00A36A5A" w:rsidRPr="00341696" w14:paraId="1F307D70" w14:textId="77777777" w:rsidTr="00BC3ACE">
        <w:tblPrEx>
          <w:tblLook w:val="01E0" w:firstRow="1" w:lastRow="1" w:firstColumn="1" w:lastColumn="1" w:noHBand="0" w:noVBand="0"/>
        </w:tblPrEx>
        <w:trPr>
          <w:cantSplit/>
          <w:trHeight w:val="350"/>
          <w:tblHeader/>
        </w:trPr>
        <w:tc>
          <w:tcPr>
            <w:tcW w:w="1998" w:type="dxa"/>
          </w:tcPr>
          <w:p w14:paraId="30E9F735" w14:textId="77777777" w:rsidR="00A36A5A" w:rsidRPr="005B6D42" w:rsidRDefault="00A36A5A" w:rsidP="00077067">
            <w:pPr>
              <w:spacing w:after="60"/>
              <w:rPr>
                <w:i/>
                <w:iCs/>
                <w:sz w:val="20"/>
              </w:rPr>
            </w:pPr>
            <w:r w:rsidRPr="005B6D42">
              <w:rPr>
                <w:i/>
                <w:iCs/>
                <w:sz w:val="20"/>
              </w:rPr>
              <w:t>j</w:t>
            </w:r>
          </w:p>
        </w:tc>
        <w:tc>
          <w:tcPr>
            <w:tcW w:w="739" w:type="dxa"/>
          </w:tcPr>
          <w:p w14:paraId="1ABD838C" w14:textId="77777777" w:rsidR="00A36A5A" w:rsidRPr="00341696" w:rsidRDefault="00A36A5A" w:rsidP="00077067">
            <w:pPr>
              <w:spacing w:after="60"/>
              <w:rPr>
                <w:iCs/>
                <w:sz w:val="20"/>
              </w:rPr>
            </w:pPr>
            <w:r w:rsidRPr="00341696">
              <w:rPr>
                <w:iCs/>
                <w:sz w:val="20"/>
              </w:rPr>
              <w:t>none</w:t>
            </w:r>
          </w:p>
        </w:tc>
        <w:tc>
          <w:tcPr>
            <w:tcW w:w="6595" w:type="dxa"/>
          </w:tcPr>
          <w:p w14:paraId="736C5CC9" w14:textId="77777777" w:rsidR="00A36A5A" w:rsidRPr="00341696" w:rsidRDefault="00A36A5A" w:rsidP="00077067">
            <w:pPr>
              <w:spacing w:after="60"/>
              <w:rPr>
                <w:iCs/>
                <w:sz w:val="20"/>
              </w:rPr>
            </w:pPr>
            <w:r w:rsidRPr="00341696">
              <w:rPr>
                <w:iCs/>
                <w:sz w:val="20"/>
              </w:rPr>
              <w:t xml:space="preserve">A source </w:t>
            </w:r>
            <w:r>
              <w:rPr>
                <w:iCs/>
                <w:sz w:val="20"/>
              </w:rPr>
              <w:t>S</w:t>
            </w:r>
            <w:r w:rsidRPr="00341696">
              <w:rPr>
                <w:iCs/>
                <w:sz w:val="20"/>
              </w:rPr>
              <w:t xml:space="preserve">ettlement </w:t>
            </w:r>
            <w:r>
              <w:rPr>
                <w:iCs/>
                <w:sz w:val="20"/>
              </w:rPr>
              <w:t>P</w:t>
            </w:r>
            <w:r w:rsidRPr="00341696">
              <w:rPr>
                <w:iCs/>
                <w:sz w:val="20"/>
              </w:rPr>
              <w:t>oint.</w:t>
            </w:r>
          </w:p>
        </w:tc>
      </w:tr>
      <w:tr w:rsidR="00A36A5A" w:rsidRPr="00341696" w14:paraId="3A4B6B8B" w14:textId="77777777" w:rsidTr="00BC3ACE">
        <w:tblPrEx>
          <w:tblLook w:val="01E0" w:firstRow="1" w:lastRow="1" w:firstColumn="1" w:lastColumn="1" w:noHBand="0" w:noVBand="0"/>
        </w:tblPrEx>
        <w:trPr>
          <w:cantSplit/>
          <w:trHeight w:val="350"/>
          <w:tblHeader/>
        </w:trPr>
        <w:tc>
          <w:tcPr>
            <w:tcW w:w="1998" w:type="dxa"/>
          </w:tcPr>
          <w:p w14:paraId="2248F340" w14:textId="77777777" w:rsidR="00A36A5A" w:rsidRPr="005B6D42" w:rsidRDefault="00A36A5A" w:rsidP="00077067">
            <w:pPr>
              <w:spacing w:after="60"/>
              <w:rPr>
                <w:i/>
                <w:iCs/>
                <w:sz w:val="20"/>
              </w:rPr>
            </w:pPr>
            <w:r w:rsidRPr="005B6D42">
              <w:rPr>
                <w:i/>
                <w:iCs/>
                <w:sz w:val="20"/>
              </w:rPr>
              <w:t>k</w:t>
            </w:r>
          </w:p>
        </w:tc>
        <w:tc>
          <w:tcPr>
            <w:tcW w:w="739" w:type="dxa"/>
          </w:tcPr>
          <w:p w14:paraId="63A8B59D" w14:textId="77777777" w:rsidR="00A36A5A" w:rsidRPr="00341696" w:rsidRDefault="00A36A5A" w:rsidP="00077067">
            <w:pPr>
              <w:spacing w:after="60"/>
              <w:rPr>
                <w:iCs/>
                <w:sz w:val="20"/>
              </w:rPr>
            </w:pPr>
            <w:r w:rsidRPr="00341696">
              <w:rPr>
                <w:iCs/>
                <w:sz w:val="20"/>
              </w:rPr>
              <w:t>none</w:t>
            </w:r>
          </w:p>
        </w:tc>
        <w:tc>
          <w:tcPr>
            <w:tcW w:w="6595" w:type="dxa"/>
          </w:tcPr>
          <w:p w14:paraId="5A4C404B" w14:textId="77777777" w:rsidR="00A36A5A" w:rsidRPr="00341696" w:rsidRDefault="00A36A5A" w:rsidP="00077067">
            <w:pPr>
              <w:spacing w:after="60"/>
              <w:rPr>
                <w:iCs/>
                <w:sz w:val="20"/>
              </w:rPr>
            </w:pPr>
            <w:r w:rsidRPr="00341696">
              <w:rPr>
                <w:iCs/>
                <w:sz w:val="20"/>
              </w:rPr>
              <w:t xml:space="preserve">A sink </w:t>
            </w:r>
            <w:r>
              <w:rPr>
                <w:iCs/>
                <w:sz w:val="20"/>
              </w:rPr>
              <w:t>S</w:t>
            </w:r>
            <w:r w:rsidRPr="00341696">
              <w:rPr>
                <w:iCs/>
                <w:sz w:val="20"/>
              </w:rPr>
              <w:t xml:space="preserve">ettlement </w:t>
            </w:r>
            <w:r>
              <w:rPr>
                <w:iCs/>
                <w:sz w:val="20"/>
              </w:rPr>
              <w:t>P</w:t>
            </w:r>
            <w:r w:rsidRPr="00341696">
              <w:rPr>
                <w:iCs/>
                <w:sz w:val="20"/>
              </w:rPr>
              <w:t>oint.</w:t>
            </w:r>
          </w:p>
        </w:tc>
      </w:tr>
      <w:tr w:rsidR="00A36A5A" w:rsidRPr="00341696" w14:paraId="172BAD24" w14:textId="77777777" w:rsidTr="00BC3ACE">
        <w:tblPrEx>
          <w:tblLook w:val="01E0" w:firstRow="1" w:lastRow="1" w:firstColumn="1" w:lastColumn="1" w:noHBand="0" w:noVBand="0"/>
        </w:tblPrEx>
        <w:trPr>
          <w:cantSplit/>
          <w:trHeight w:val="350"/>
          <w:tblHeader/>
        </w:trPr>
        <w:tc>
          <w:tcPr>
            <w:tcW w:w="1998" w:type="dxa"/>
          </w:tcPr>
          <w:p w14:paraId="7A69755B" w14:textId="77777777" w:rsidR="00A36A5A" w:rsidRPr="005B6D42" w:rsidRDefault="00A36A5A" w:rsidP="00077067">
            <w:pPr>
              <w:spacing w:after="60"/>
              <w:rPr>
                <w:i/>
                <w:iCs/>
                <w:sz w:val="20"/>
              </w:rPr>
            </w:pPr>
            <w:r w:rsidRPr="005B6D42">
              <w:rPr>
                <w:i/>
                <w:sz w:val="20"/>
              </w:rPr>
              <w:t>m</w:t>
            </w:r>
          </w:p>
        </w:tc>
        <w:tc>
          <w:tcPr>
            <w:tcW w:w="739" w:type="dxa"/>
          </w:tcPr>
          <w:p w14:paraId="3AC8174D" w14:textId="77777777" w:rsidR="00A36A5A" w:rsidRPr="00341696" w:rsidRDefault="00A36A5A" w:rsidP="00077067">
            <w:pPr>
              <w:spacing w:after="60"/>
              <w:rPr>
                <w:iCs/>
                <w:sz w:val="20"/>
              </w:rPr>
            </w:pPr>
            <w:r w:rsidRPr="000433EB">
              <w:rPr>
                <w:sz w:val="20"/>
              </w:rPr>
              <w:t>none</w:t>
            </w:r>
          </w:p>
        </w:tc>
        <w:tc>
          <w:tcPr>
            <w:tcW w:w="6595" w:type="dxa"/>
          </w:tcPr>
          <w:p w14:paraId="2932A689" w14:textId="77777777" w:rsidR="00A36A5A" w:rsidRPr="00341696" w:rsidRDefault="00A36A5A" w:rsidP="00077067">
            <w:pPr>
              <w:spacing w:after="60"/>
              <w:rPr>
                <w:iCs/>
                <w:sz w:val="20"/>
              </w:rPr>
            </w:pPr>
            <w:r w:rsidRPr="000433EB">
              <w:rPr>
                <w:sz w:val="20"/>
              </w:rPr>
              <w:t>An operating month</w:t>
            </w:r>
            <w:r>
              <w:rPr>
                <w:sz w:val="20"/>
              </w:rPr>
              <w:t>.</w:t>
            </w:r>
          </w:p>
        </w:tc>
      </w:tr>
      <w:tr w:rsidR="00A36A5A" w:rsidRPr="00341696" w14:paraId="256AB962" w14:textId="77777777" w:rsidTr="00BC3ACE">
        <w:tblPrEx>
          <w:tblLook w:val="01E0" w:firstRow="1" w:lastRow="1" w:firstColumn="1" w:lastColumn="1" w:noHBand="0" w:noVBand="0"/>
        </w:tblPrEx>
        <w:trPr>
          <w:cantSplit/>
          <w:trHeight w:val="350"/>
          <w:tblHeader/>
        </w:trPr>
        <w:tc>
          <w:tcPr>
            <w:tcW w:w="1998" w:type="dxa"/>
          </w:tcPr>
          <w:p w14:paraId="019DE99E" w14:textId="77777777" w:rsidR="00A36A5A" w:rsidRPr="005B6D42" w:rsidRDefault="00A36A5A" w:rsidP="00077067">
            <w:pPr>
              <w:spacing w:after="60"/>
              <w:rPr>
                <w:i/>
                <w:iCs/>
                <w:sz w:val="20"/>
              </w:rPr>
            </w:pPr>
            <w:r w:rsidRPr="005B6D42">
              <w:rPr>
                <w:i/>
                <w:sz w:val="20"/>
              </w:rPr>
              <w:t>ctou</w:t>
            </w:r>
          </w:p>
        </w:tc>
        <w:tc>
          <w:tcPr>
            <w:tcW w:w="739" w:type="dxa"/>
          </w:tcPr>
          <w:p w14:paraId="2217F3F8" w14:textId="77777777" w:rsidR="00A36A5A" w:rsidRPr="00341696" w:rsidRDefault="00A36A5A" w:rsidP="00077067">
            <w:pPr>
              <w:spacing w:after="60"/>
              <w:rPr>
                <w:iCs/>
                <w:sz w:val="20"/>
              </w:rPr>
            </w:pPr>
            <w:r w:rsidRPr="00341696">
              <w:rPr>
                <w:iCs/>
                <w:sz w:val="20"/>
              </w:rPr>
              <w:t>none</w:t>
            </w:r>
          </w:p>
        </w:tc>
        <w:tc>
          <w:tcPr>
            <w:tcW w:w="6595" w:type="dxa"/>
          </w:tcPr>
          <w:p w14:paraId="0BF732F6" w14:textId="77777777" w:rsidR="00A36A5A" w:rsidRPr="00341696" w:rsidRDefault="00A36A5A" w:rsidP="00077067">
            <w:pPr>
              <w:spacing w:after="60"/>
              <w:rPr>
                <w:iCs/>
                <w:sz w:val="20"/>
              </w:rPr>
            </w:pPr>
            <w:r w:rsidRPr="003F6636">
              <w:rPr>
                <w:iCs/>
                <w:sz w:val="20"/>
              </w:rPr>
              <w:t xml:space="preserve">CRR </w:t>
            </w:r>
            <w:r w:rsidRPr="008D7F4C">
              <w:rPr>
                <w:iCs/>
                <w:sz w:val="20"/>
              </w:rPr>
              <w:t>Time O</w:t>
            </w:r>
            <w:r w:rsidRPr="007A2BA3">
              <w:rPr>
                <w:iCs/>
                <w:sz w:val="20"/>
              </w:rPr>
              <w:t>f Use block</w:t>
            </w:r>
            <w:r w:rsidRPr="006D333E">
              <w:rPr>
                <w:iCs/>
                <w:sz w:val="20"/>
              </w:rPr>
              <w:t>.</w:t>
            </w:r>
          </w:p>
        </w:tc>
      </w:tr>
      <w:tr w:rsidR="00A36A5A" w:rsidRPr="00341696" w14:paraId="23635963" w14:textId="77777777" w:rsidTr="00BC3ACE">
        <w:tblPrEx>
          <w:tblLook w:val="01E0" w:firstRow="1" w:lastRow="1" w:firstColumn="1" w:lastColumn="1" w:noHBand="0" w:noVBand="0"/>
        </w:tblPrEx>
        <w:trPr>
          <w:cantSplit/>
          <w:trHeight w:val="350"/>
          <w:tblHeader/>
        </w:trPr>
        <w:tc>
          <w:tcPr>
            <w:tcW w:w="1998" w:type="dxa"/>
          </w:tcPr>
          <w:p w14:paraId="0A56B4AB" w14:textId="77777777" w:rsidR="00A36A5A" w:rsidRPr="005B6D42" w:rsidRDefault="00A36A5A" w:rsidP="00077067">
            <w:pPr>
              <w:spacing w:after="60"/>
              <w:rPr>
                <w:i/>
                <w:iCs/>
                <w:sz w:val="20"/>
              </w:rPr>
            </w:pPr>
            <w:r w:rsidRPr="005B6D42">
              <w:rPr>
                <w:i/>
                <w:iCs/>
                <w:sz w:val="20"/>
              </w:rPr>
              <w:t>h</w:t>
            </w:r>
          </w:p>
        </w:tc>
        <w:tc>
          <w:tcPr>
            <w:tcW w:w="739" w:type="dxa"/>
          </w:tcPr>
          <w:p w14:paraId="3B5DA79A" w14:textId="77777777" w:rsidR="00A36A5A" w:rsidRPr="00341696" w:rsidRDefault="00A36A5A" w:rsidP="00077067">
            <w:pPr>
              <w:spacing w:after="60"/>
              <w:rPr>
                <w:iCs/>
                <w:sz w:val="20"/>
              </w:rPr>
            </w:pPr>
            <w:r w:rsidRPr="00341696">
              <w:rPr>
                <w:iCs/>
                <w:sz w:val="20"/>
              </w:rPr>
              <w:t>none</w:t>
            </w:r>
          </w:p>
        </w:tc>
        <w:tc>
          <w:tcPr>
            <w:tcW w:w="6595" w:type="dxa"/>
          </w:tcPr>
          <w:p w14:paraId="12F385DE" w14:textId="77777777" w:rsidR="00A36A5A" w:rsidRPr="00341696" w:rsidRDefault="00A36A5A" w:rsidP="008C0679">
            <w:pPr>
              <w:spacing w:after="60"/>
              <w:rPr>
                <w:iCs/>
                <w:sz w:val="20"/>
              </w:rPr>
            </w:pPr>
            <w:r w:rsidRPr="00341696">
              <w:rPr>
                <w:iCs/>
                <w:sz w:val="20"/>
              </w:rPr>
              <w:t xml:space="preserve">An </w:t>
            </w:r>
            <w:r>
              <w:rPr>
                <w:iCs/>
                <w:sz w:val="20"/>
              </w:rPr>
              <w:t>Operating Hour.</w:t>
            </w:r>
          </w:p>
        </w:tc>
      </w:tr>
      <w:tr w:rsidR="00A36A5A" w:rsidRPr="00341696" w14:paraId="492570E5" w14:textId="77777777" w:rsidTr="00BC3ACE">
        <w:tblPrEx>
          <w:tblLook w:val="01E0" w:firstRow="1" w:lastRow="1" w:firstColumn="1" w:lastColumn="1" w:noHBand="0" w:noVBand="0"/>
        </w:tblPrEx>
        <w:trPr>
          <w:cantSplit/>
          <w:trHeight w:val="350"/>
          <w:tblHeader/>
        </w:trPr>
        <w:tc>
          <w:tcPr>
            <w:tcW w:w="1998" w:type="dxa"/>
          </w:tcPr>
          <w:p w14:paraId="3568E63C" w14:textId="77777777" w:rsidR="00A36A5A" w:rsidRPr="005B6D42" w:rsidRDefault="008C0679" w:rsidP="00077067">
            <w:pPr>
              <w:spacing w:after="60"/>
              <w:rPr>
                <w:i/>
                <w:iCs/>
                <w:sz w:val="20"/>
              </w:rPr>
            </w:pPr>
            <w:r>
              <w:rPr>
                <w:i/>
                <w:iCs/>
                <w:sz w:val="20"/>
              </w:rPr>
              <w:t>a</w:t>
            </w:r>
          </w:p>
        </w:tc>
        <w:tc>
          <w:tcPr>
            <w:tcW w:w="739" w:type="dxa"/>
          </w:tcPr>
          <w:p w14:paraId="14555947" w14:textId="77777777" w:rsidR="00A36A5A" w:rsidRPr="00341696" w:rsidRDefault="00A36A5A" w:rsidP="00077067">
            <w:pPr>
              <w:spacing w:after="60"/>
              <w:rPr>
                <w:iCs/>
                <w:sz w:val="20"/>
              </w:rPr>
            </w:pPr>
            <w:r w:rsidRPr="00341696">
              <w:rPr>
                <w:iCs/>
                <w:sz w:val="20"/>
              </w:rPr>
              <w:t>none</w:t>
            </w:r>
          </w:p>
        </w:tc>
        <w:tc>
          <w:tcPr>
            <w:tcW w:w="6595" w:type="dxa"/>
          </w:tcPr>
          <w:p w14:paraId="294EA53A" w14:textId="77777777" w:rsidR="00A36A5A" w:rsidRPr="00341696" w:rsidRDefault="00A36A5A" w:rsidP="008C0679">
            <w:pPr>
              <w:spacing w:after="60"/>
              <w:rPr>
                <w:iCs/>
                <w:sz w:val="20"/>
              </w:rPr>
            </w:pPr>
            <w:r w:rsidRPr="00341696">
              <w:rPr>
                <w:iCs/>
                <w:sz w:val="20"/>
              </w:rPr>
              <w:t>A</w:t>
            </w:r>
            <w:r w:rsidR="008C0679">
              <w:rPr>
                <w:iCs/>
                <w:sz w:val="20"/>
              </w:rPr>
              <w:t>ll</w:t>
            </w:r>
            <w:r w:rsidRPr="00341696">
              <w:rPr>
                <w:iCs/>
                <w:sz w:val="20"/>
              </w:rPr>
              <w:t xml:space="preserve"> </w:t>
            </w:r>
            <w:r>
              <w:rPr>
                <w:iCs/>
                <w:sz w:val="20"/>
              </w:rPr>
              <w:t xml:space="preserve">CRR </w:t>
            </w:r>
            <w:r w:rsidR="008C0679">
              <w:rPr>
                <w:iCs/>
                <w:sz w:val="20"/>
              </w:rPr>
              <w:t>Account Holders represented by the Counter-Party</w:t>
            </w:r>
            <w:r>
              <w:rPr>
                <w:iCs/>
                <w:sz w:val="20"/>
              </w:rPr>
              <w:t>.</w:t>
            </w:r>
          </w:p>
        </w:tc>
      </w:tr>
      <w:tr w:rsidR="00A36A5A" w:rsidRPr="00341696" w14:paraId="680D8BAD" w14:textId="77777777" w:rsidTr="00BC3ACE">
        <w:tblPrEx>
          <w:tblLook w:val="01E0" w:firstRow="1" w:lastRow="1" w:firstColumn="1" w:lastColumn="1" w:noHBand="0" w:noVBand="0"/>
        </w:tblPrEx>
        <w:trPr>
          <w:cantSplit/>
          <w:trHeight w:val="350"/>
          <w:tblHeader/>
        </w:trPr>
        <w:tc>
          <w:tcPr>
            <w:tcW w:w="1998" w:type="dxa"/>
          </w:tcPr>
          <w:p w14:paraId="3C68DE54" w14:textId="77777777" w:rsidR="00A36A5A" w:rsidRPr="005B6D42" w:rsidRDefault="00A36A5A" w:rsidP="00077067">
            <w:pPr>
              <w:spacing w:after="60"/>
              <w:rPr>
                <w:i/>
                <w:iCs/>
                <w:sz w:val="20"/>
              </w:rPr>
            </w:pPr>
            <w:r w:rsidRPr="005B6D42">
              <w:rPr>
                <w:i/>
                <w:iCs/>
                <w:sz w:val="20"/>
              </w:rPr>
              <w:t>ci99</w:t>
            </w:r>
          </w:p>
        </w:tc>
        <w:tc>
          <w:tcPr>
            <w:tcW w:w="739" w:type="dxa"/>
          </w:tcPr>
          <w:p w14:paraId="1E260DE4" w14:textId="77777777" w:rsidR="00A36A5A" w:rsidRPr="00341696" w:rsidRDefault="00A36A5A" w:rsidP="00077067">
            <w:pPr>
              <w:spacing w:after="60"/>
              <w:rPr>
                <w:iCs/>
                <w:sz w:val="20"/>
              </w:rPr>
            </w:pPr>
            <w:r>
              <w:rPr>
                <w:iCs/>
                <w:sz w:val="20"/>
              </w:rPr>
              <w:t>none</w:t>
            </w:r>
          </w:p>
        </w:tc>
        <w:tc>
          <w:tcPr>
            <w:tcW w:w="6595" w:type="dxa"/>
          </w:tcPr>
          <w:p w14:paraId="34EFA158" w14:textId="77777777" w:rsidR="00A36A5A" w:rsidRPr="00341696" w:rsidRDefault="00A36A5A" w:rsidP="00077067">
            <w:pPr>
              <w:spacing w:after="60"/>
              <w:rPr>
                <w:iCs/>
                <w:sz w:val="20"/>
              </w:rPr>
            </w:pPr>
            <w:r>
              <w:rPr>
                <w:iCs/>
                <w:sz w:val="20"/>
              </w:rPr>
              <w:t>99</w:t>
            </w:r>
            <w:r w:rsidRPr="00E85945">
              <w:rPr>
                <w:iCs/>
                <w:sz w:val="20"/>
                <w:vertAlign w:val="superscript"/>
              </w:rPr>
              <w:t>th</w:t>
            </w:r>
            <w:r>
              <w:rPr>
                <w:iCs/>
                <w:sz w:val="20"/>
              </w:rPr>
              <w:t xml:space="preserve"> percentile confidence interval.</w:t>
            </w:r>
          </w:p>
        </w:tc>
      </w:tr>
    </w:tbl>
    <w:p w14:paraId="6AB45C76" w14:textId="77777777" w:rsidR="00AA6D6D" w:rsidRPr="0002450E" w:rsidRDefault="00AA6D6D" w:rsidP="00DD1960">
      <w:pPr>
        <w:pStyle w:val="H4"/>
        <w:spacing w:before="480"/>
        <w:ind w:left="1267" w:hanging="1267"/>
        <w:rPr>
          <w:b/>
          <w:bCs/>
        </w:rPr>
      </w:pPr>
      <w:bookmarkStart w:id="518" w:name="_Toc390438971"/>
      <w:bookmarkStart w:id="519" w:name="_Toc405897669"/>
      <w:bookmarkStart w:id="520" w:name="_Toc415055773"/>
      <w:bookmarkStart w:id="521" w:name="_Toc415055899"/>
      <w:bookmarkStart w:id="522" w:name="_Toc415055998"/>
      <w:bookmarkStart w:id="523" w:name="_Toc415056099"/>
      <w:bookmarkStart w:id="524" w:name="_Toc175159171"/>
      <w:r w:rsidRPr="0002450E">
        <w:rPr>
          <w:b/>
          <w:bCs/>
        </w:rPr>
        <w:t>16.11.4.6</w:t>
      </w:r>
      <w:r w:rsidRPr="0002450E">
        <w:rPr>
          <w:b/>
          <w:bCs/>
        </w:rPr>
        <w:tab/>
        <w:t>Determination of Counter-Party Available Credit Limits</w:t>
      </w:r>
      <w:bookmarkEnd w:id="518"/>
      <w:bookmarkEnd w:id="519"/>
      <w:bookmarkEnd w:id="520"/>
      <w:bookmarkEnd w:id="521"/>
      <w:bookmarkEnd w:id="522"/>
      <w:bookmarkEnd w:id="523"/>
      <w:bookmarkEnd w:id="524"/>
      <w:r w:rsidRPr="0002450E">
        <w:rPr>
          <w:b/>
          <w:bCs/>
        </w:rPr>
        <w:t xml:space="preserve"> </w:t>
      </w:r>
    </w:p>
    <w:p w14:paraId="2AD2814A" w14:textId="77777777" w:rsidR="005C04D0" w:rsidRPr="00D75412" w:rsidRDefault="005C04D0" w:rsidP="005C04D0">
      <w:pPr>
        <w:spacing w:after="240"/>
        <w:ind w:left="702" w:hanging="702"/>
        <w:rPr>
          <w:iCs/>
        </w:rPr>
      </w:pPr>
      <w:r>
        <w:rPr>
          <w:iCs/>
        </w:rPr>
        <w:t>(1)</w:t>
      </w:r>
      <w:r w:rsidRPr="00D75412">
        <w:rPr>
          <w:iCs/>
        </w:rPr>
        <w:t xml:space="preserve"> </w:t>
      </w:r>
      <w:r w:rsidRPr="00D75412">
        <w:rPr>
          <w:iCs/>
        </w:rPr>
        <w:tab/>
        <w:t>ERCOT shall calculate an Available Credit Limit for the CRR Auction (ACLC) and an Available Credit Limit for the DAM (ACLD) as follows:</w:t>
      </w:r>
    </w:p>
    <w:p w14:paraId="68B6C999" w14:textId="77777777" w:rsidR="005C04D0" w:rsidRPr="00D75412" w:rsidRDefault="005C04D0" w:rsidP="005C04D0">
      <w:pPr>
        <w:spacing w:after="240"/>
        <w:ind w:left="720"/>
        <w:rPr>
          <w:iCs/>
        </w:rPr>
      </w:pPr>
      <w:r w:rsidRPr="00D75412">
        <w:rPr>
          <w:iCs/>
        </w:rPr>
        <w:t>(a)</w:t>
      </w:r>
      <w:r w:rsidRPr="00D75412">
        <w:rPr>
          <w:iCs/>
        </w:rPr>
        <w:tab/>
        <w:t>ACLC for each Counter-Party equal to the maximum of zero and the net of its:</w:t>
      </w:r>
    </w:p>
    <w:p w14:paraId="4760EAFE" w14:textId="77777777" w:rsidR="005C04D0" w:rsidRPr="00D75412" w:rsidRDefault="005C04D0" w:rsidP="005C04D0">
      <w:pPr>
        <w:spacing w:after="240"/>
        <w:ind w:left="2160" w:hanging="720"/>
        <w:rPr>
          <w:iCs/>
        </w:rPr>
      </w:pPr>
      <w:r w:rsidRPr="00D75412">
        <w:rPr>
          <w:iCs/>
        </w:rPr>
        <w:t>(i)</w:t>
      </w:r>
      <w:r w:rsidRPr="00D75412">
        <w:rPr>
          <w:iCs/>
        </w:rPr>
        <w:tab/>
        <w:t xml:space="preserve">Secured Financial Security; minus </w:t>
      </w:r>
    </w:p>
    <w:p w14:paraId="6C23E824" w14:textId="77777777" w:rsidR="005C04D0" w:rsidRPr="00D75412" w:rsidRDefault="005C04D0" w:rsidP="005C04D0">
      <w:pPr>
        <w:spacing w:after="240"/>
        <w:ind w:left="2160" w:hanging="720"/>
        <w:rPr>
          <w:iCs/>
        </w:rPr>
      </w:pPr>
      <w:r w:rsidRPr="00D75412">
        <w:rPr>
          <w:iCs/>
        </w:rPr>
        <w:t>(ii)</w:t>
      </w:r>
      <w:r w:rsidRPr="00D75412">
        <w:rPr>
          <w:iCs/>
        </w:rPr>
        <w:tab/>
      </w:r>
      <w:r>
        <w:rPr>
          <w:iCs/>
        </w:rPr>
        <w:t xml:space="preserve">(1+ACLIRF) * </w:t>
      </w:r>
      <w:r w:rsidRPr="00D75412">
        <w:rPr>
          <w:iCs/>
        </w:rPr>
        <w:t>TPES; minus</w:t>
      </w:r>
    </w:p>
    <w:p w14:paraId="388D8D10" w14:textId="77777777" w:rsidR="005C04D0" w:rsidRPr="00D75412" w:rsidRDefault="005C04D0" w:rsidP="005C04D0">
      <w:pPr>
        <w:spacing w:after="240"/>
        <w:ind w:left="1440"/>
        <w:rPr>
          <w:iCs/>
        </w:rPr>
      </w:pPr>
      <w:r w:rsidRPr="00D75412">
        <w:rPr>
          <w:iCs/>
        </w:rPr>
        <w:t>(iii)</w:t>
      </w:r>
      <w:r w:rsidRPr="00D75412">
        <w:rPr>
          <w:b/>
          <w:iCs/>
        </w:rPr>
        <w:tab/>
      </w:r>
      <w:r w:rsidRPr="00D75412">
        <w:rPr>
          <w:iCs/>
        </w:rPr>
        <w:t>Net Positive Exposure of approved CRR Bilateral Trades; minus</w:t>
      </w:r>
    </w:p>
    <w:p w14:paraId="29696C84" w14:textId="77777777" w:rsidR="005C04D0" w:rsidRPr="00D75412" w:rsidRDefault="005C04D0" w:rsidP="005C04D0">
      <w:pPr>
        <w:spacing w:after="240"/>
        <w:ind w:left="2160" w:hanging="720"/>
        <w:rPr>
          <w:iCs/>
        </w:rPr>
      </w:pPr>
      <w:r w:rsidRPr="00D75412">
        <w:rPr>
          <w:iCs/>
        </w:rPr>
        <w:t>(iv)</w:t>
      </w:r>
      <w:r w:rsidRPr="00D75412">
        <w:rPr>
          <w:iCs/>
        </w:rPr>
        <w:tab/>
        <w:t xml:space="preserve">Maximum of: </w:t>
      </w:r>
    </w:p>
    <w:p w14:paraId="4C74C54A" w14:textId="77777777" w:rsidR="005C04D0" w:rsidRPr="00D75412" w:rsidRDefault="005C04D0" w:rsidP="005C04D0">
      <w:pPr>
        <w:spacing w:after="240"/>
        <w:ind w:left="2880" w:hanging="720"/>
        <w:rPr>
          <w:iCs/>
        </w:rPr>
      </w:pPr>
      <w:r w:rsidRPr="00D75412">
        <w:rPr>
          <w:iCs/>
        </w:rPr>
        <w:t>(A)</w:t>
      </w:r>
      <w:r w:rsidRPr="00D75412">
        <w:rPr>
          <w:iCs/>
        </w:rPr>
        <w:tab/>
        <w:t xml:space="preserve">Zero; and </w:t>
      </w:r>
    </w:p>
    <w:p w14:paraId="36C190B5" w14:textId="77777777" w:rsidR="005C04D0" w:rsidRPr="00D75412" w:rsidRDefault="005C04D0" w:rsidP="005C04D0">
      <w:pPr>
        <w:spacing w:after="240"/>
        <w:ind w:left="2880" w:hanging="720"/>
        <w:rPr>
          <w:iCs/>
        </w:rPr>
      </w:pPr>
      <w:r w:rsidRPr="00D75412">
        <w:rPr>
          <w:iCs/>
        </w:rPr>
        <w:lastRenderedPageBreak/>
        <w:t>(B)</w:t>
      </w:r>
      <w:r w:rsidRPr="00D75412">
        <w:rPr>
          <w:iCs/>
        </w:rPr>
        <w:tab/>
      </w:r>
      <w:r>
        <w:rPr>
          <w:iCs/>
        </w:rPr>
        <w:t xml:space="preserve">((1+ACLIRF) * </w:t>
      </w:r>
      <w:r w:rsidRPr="00D75412">
        <w:rPr>
          <w:iCs/>
        </w:rPr>
        <w:t>TPEA</w:t>
      </w:r>
      <w:r>
        <w:rPr>
          <w:iCs/>
        </w:rPr>
        <w:t>)</w:t>
      </w:r>
      <w:r w:rsidRPr="00D75412">
        <w:rPr>
          <w:iCs/>
        </w:rPr>
        <w:t>.</w:t>
      </w:r>
    </w:p>
    <w:p w14:paraId="3AD94E04" w14:textId="77777777" w:rsidR="005C04D0" w:rsidRPr="00D75412" w:rsidRDefault="005C04D0" w:rsidP="005C04D0">
      <w:pPr>
        <w:spacing w:after="240"/>
        <w:ind w:firstLine="720"/>
        <w:rPr>
          <w:iCs/>
        </w:rPr>
      </w:pPr>
      <w:r w:rsidRPr="00D75412">
        <w:rPr>
          <w:iCs/>
        </w:rPr>
        <w:t>(b)</w:t>
      </w:r>
      <w:r w:rsidRPr="00D75412">
        <w:rPr>
          <w:iCs/>
        </w:rPr>
        <w:tab/>
        <w:t>ACLD for each Counter-Party equal to the maximum of zero and its:</w:t>
      </w:r>
    </w:p>
    <w:p w14:paraId="3D92B643" w14:textId="77777777" w:rsidR="005C04D0" w:rsidRPr="00142152" w:rsidRDefault="005C04D0" w:rsidP="005C04D0">
      <w:pPr>
        <w:spacing w:after="240"/>
        <w:ind w:left="2160" w:hanging="720"/>
        <w:rPr>
          <w:iCs/>
        </w:rPr>
      </w:pPr>
      <w:r w:rsidRPr="00142152">
        <w:rPr>
          <w:iCs/>
        </w:rPr>
        <w:t>(i)</w:t>
      </w:r>
      <w:r w:rsidRPr="00142152">
        <w:rPr>
          <w:iCs/>
        </w:rPr>
        <w:tab/>
        <w:t>Remainder Collateral; minus</w:t>
      </w:r>
    </w:p>
    <w:p w14:paraId="4066F4C4" w14:textId="77777777" w:rsidR="005C04D0" w:rsidRPr="00142152" w:rsidRDefault="005C04D0" w:rsidP="005C04D0">
      <w:pPr>
        <w:spacing w:after="240"/>
        <w:ind w:left="2160" w:hanging="720"/>
        <w:rPr>
          <w:iCs/>
        </w:rPr>
      </w:pPr>
      <w:r w:rsidRPr="00142152">
        <w:rPr>
          <w:iCs/>
        </w:rPr>
        <w:t>(i</w:t>
      </w:r>
      <w:r>
        <w:rPr>
          <w:iCs/>
        </w:rPr>
        <w:t>i</w:t>
      </w:r>
      <w:r w:rsidRPr="00142152">
        <w:rPr>
          <w:iCs/>
        </w:rPr>
        <w:t>)</w:t>
      </w:r>
      <w:r w:rsidRPr="00142152">
        <w:rPr>
          <w:iCs/>
        </w:rPr>
        <w:tab/>
        <w:t>ACLIRF * TPES; minus</w:t>
      </w:r>
    </w:p>
    <w:p w14:paraId="48C8E788" w14:textId="77777777" w:rsidR="005C04D0" w:rsidRPr="00D75412" w:rsidRDefault="005C04D0" w:rsidP="005C04D0">
      <w:pPr>
        <w:spacing w:after="240"/>
        <w:ind w:left="2160" w:hanging="720"/>
        <w:rPr>
          <w:iCs/>
        </w:rPr>
      </w:pPr>
      <w:r>
        <w:rPr>
          <w:iCs/>
        </w:rPr>
        <w:t>(iii)</w:t>
      </w:r>
      <w:r>
        <w:rPr>
          <w:iCs/>
        </w:rPr>
        <w:tab/>
        <w:t xml:space="preserve">(1+ACLIRF) * </w:t>
      </w:r>
      <w:r w:rsidRPr="00D75412">
        <w:rPr>
          <w:iCs/>
        </w:rPr>
        <w:t>TPEA.</w:t>
      </w:r>
    </w:p>
    <w:p w14:paraId="5E672E90" w14:textId="77777777" w:rsidR="005C04D0" w:rsidRDefault="005C04D0" w:rsidP="005C04D0">
      <w:pPr>
        <w:spacing w:after="240"/>
        <w:ind w:left="1440" w:hanging="720"/>
        <w:rPr>
          <w:iCs/>
        </w:rPr>
      </w:pPr>
      <w:r w:rsidRPr="00D75412">
        <w:rPr>
          <w:iCs/>
        </w:rPr>
        <w:t>(c)</w:t>
      </w:r>
      <w:r w:rsidRPr="00D75412">
        <w:rPr>
          <w:iCs/>
        </w:rPr>
        <w:tab/>
        <w:t>If all or part of a Counter-Party’s ACLC and/or ACLD cannot be computed due to an ERCOT computer system failure</w:t>
      </w:r>
      <w:r>
        <w:rPr>
          <w:iCs/>
        </w:rPr>
        <w:t xml:space="preserve"> or Market Suspension</w:t>
      </w:r>
      <w:r w:rsidRPr="00D75412">
        <w:rPr>
          <w:iCs/>
        </w:rPr>
        <w:t>, then ERCOT shall estimate ACLC and/or ACLD for that Counter-Party and provide the information used to determine such estimates to that Counter-Party.  If  all or part of ACLC and/or ACLD cannot be estimated with current data, then the most recently available values shall be used to determine the Counter-Party’s ACLC and/or ACLD.  ERCOT shall provide electronic Notice, as soon as practicable, to Counter-Parties when utilizing this methodology, and shall further provide electronic Notice to Counter-Parties when current data is restored and available to calculate ACLC and ACLD under paragraphs (a) and (b) above.</w:t>
      </w:r>
    </w:p>
    <w:p w14:paraId="37722234" w14:textId="77777777" w:rsidR="005C04D0" w:rsidRDefault="005C04D0" w:rsidP="005C04D0">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5C04D0" w:rsidRPr="00D74ADF" w14:paraId="6519A3F1" w14:textId="77777777" w:rsidTr="00A3430F">
        <w:trPr>
          <w:trHeight w:val="351"/>
          <w:tblHeader/>
        </w:trPr>
        <w:tc>
          <w:tcPr>
            <w:tcW w:w="1571" w:type="dxa"/>
          </w:tcPr>
          <w:p w14:paraId="30970134" w14:textId="77777777" w:rsidR="005C04D0" w:rsidRPr="00A8084A" w:rsidRDefault="005C04D0" w:rsidP="00A3430F">
            <w:pPr>
              <w:pStyle w:val="TableHead"/>
            </w:pPr>
            <w:r w:rsidRPr="00E10651">
              <w:t>Parameter</w:t>
            </w:r>
          </w:p>
        </w:tc>
        <w:tc>
          <w:tcPr>
            <w:tcW w:w="1691" w:type="dxa"/>
          </w:tcPr>
          <w:p w14:paraId="2C15F957" w14:textId="77777777" w:rsidR="005C04D0" w:rsidRPr="00A8084A" w:rsidRDefault="005C04D0" w:rsidP="00A3430F">
            <w:pPr>
              <w:pStyle w:val="TableHead"/>
            </w:pPr>
            <w:r w:rsidRPr="00A8084A">
              <w:t>Unit</w:t>
            </w:r>
          </w:p>
        </w:tc>
        <w:tc>
          <w:tcPr>
            <w:tcW w:w="5854" w:type="dxa"/>
          </w:tcPr>
          <w:p w14:paraId="620B4317" w14:textId="77777777" w:rsidR="005C04D0" w:rsidRPr="00A8084A" w:rsidRDefault="005C04D0" w:rsidP="00A3430F">
            <w:pPr>
              <w:pStyle w:val="TableHead"/>
            </w:pPr>
            <w:r w:rsidRPr="00A8084A">
              <w:t>Current Value*</w:t>
            </w:r>
          </w:p>
        </w:tc>
      </w:tr>
      <w:tr w:rsidR="005C04D0" w:rsidRPr="00D74ADF" w14:paraId="6C741235" w14:textId="77777777" w:rsidTr="00A3430F">
        <w:trPr>
          <w:trHeight w:val="404"/>
        </w:trPr>
        <w:tc>
          <w:tcPr>
            <w:tcW w:w="1571" w:type="dxa"/>
          </w:tcPr>
          <w:p w14:paraId="23B3458B" w14:textId="77777777" w:rsidR="005C04D0" w:rsidRPr="00A8084A" w:rsidRDefault="005C04D0" w:rsidP="00A3430F">
            <w:pPr>
              <w:pStyle w:val="TableBody"/>
              <w:rPr>
                <w:i/>
              </w:rPr>
            </w:pPr>
            <w:r w:rsidRPr="00E10651">
              <w:rPr>
                <w:i/>
              </w:rPr>
              <w:t>ACLIRF</w:t>
            </w:r>
          </w:p>
        </w:tc>
        <w:tc>
          <w:tcPr>
            <w:tcW w:w="1691" w:type="dxa"/>
          </w:tcPr>
          <w:p w14:paraId="2F7FBC0A" w14:textId="77777777" w:rsidR="005C04D0" w:rsidRPr="00A8084A" w:rsidRDefault="005C04D0" w:rsidP="00A3430F">
            <w:pPr>
              <w:pStyle w:val="TableBody"/>
            </w:pPr>
            <w:r w:rsidRPr="00A8084A">
              <w:t>Percentage</w:t>
            </w:r>
          </w:p>
        </w:tc>
        <w:tc>
          <w:tcPr>
            <w:tcW w:w="5854" w:type="dxa"/>
          </w:tcPr>
          <w:p w14:paraId="525D9D9B" w14:textId="77777777" w:rsidR="005C04D0" w:rsidRPr="00A8084A" w:rsidRDefault="005C04D0" w:rsidP="00A3430F">
            <w:pPr>
              <w:pStyle w:val="TableBody"/>
            </w:pPr>
            <w:r w:rsidRPr="000E0746">
              <w:t>10%</w:t>
            </w:r>
            <w:r>
              <w:rPr>
                <w:i/>
              </w:rPr>
              <w:t xml:space="preserve"> </w:t>
            </w:r>
            <w:r w:rsidRPr="000E0746">
              <w:rPr>
                <w:i/>
              </w:rPr>
              <w:t>—</w:t>
            </w:r>
            <w:r>
              <w:rPr>
                <w:i/>
              </w:rPr>
              <w:t xml:space="preserve"> </w:t>
            </w:r>
            <w:r w:rsidRPr="00182062">
              <w:rPr>
                <w:i/>
              </w:rPr>
              <w:t>ACL Incremental Risk Factor</w:t>
            </w:r>
            <w:r w:rsidRPr="00A8084A">
              <w:t>.</w:t>
            </w:r>
          </w:p>
        </w:tc>
      </w:tr>
      <w:tr w:rsidR="005C04D0" w:rsidRPr="00BE4766" w14:paraId="4FB619AC" w14:textId="77777777" w:rsidTr="00A3430F">
        <w:trPr>
          <w:trHeight w:val="519"/>
        </w:trPr>
        <w:tc>
          <w:tcPr>
            <w:tcW w:w="9116" w:type="dxa"/>
            <w:gridSpan w:val="3"/>
          </w:tcPr>
          <w:p w14:paraId="3BEB5F5C" w14:textId="77777777" w:rsidR="005C04D0" w:rsidRPr="00A8084A" w:rsidRDefault="005C04D0" w:rsidP="00A3430F">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CE83C91" w14:textId="5BD3781F" w:rsidR="00F56ABB" w:rsidRDefault="00727E32" w:rsidP="00CB3ECD">
      <w:pPr>
        <w:pStyle w:val="H5"/>
        <w:spacing w:before="480"/>
        <w:ind w:left="1627" w:hanging="1627"/>
      </w:pPr>
      <w:bookmarkStart w:id="525" w:name="_Toc390438972"/>
      <w:bookmarkStart w:id="526" w:name="_Toc405897670"/>
      <w:bookmarkStart w:id="527" w:name="_Toc415055774"/>
      <w:bookmarkStart w:id="528" w:name="_Toc415055900"/>
      <w:bookmarkStart w:id="529" w:name="_Toc415055999"/>
      <w:bookmarkStart w:id="530" w:name="_Toc415056100"/>
      <w:bookmarkStart w:id="531" w:name="_Toc175159172"/>
      <w:r>
        <w:t>16.11.4.6.1</w:t>
      </w:r>
      <w:r>
        <w:tab/>
        <w:t>Credit Requirements for CRR Auction Participation</w:t>
      </w:r>
      <w:bookmarkEnd w:id="525"/>
      <w:bookmarkEnd w:id="526"/>
      <w:bookmarkEnd w:id="527"/>
      <w:bookmarkEnd w:id="528"/>
      <w:bookmarkEnd w:id="529"/>
      <w:bookmarkEnd w:id="530"/>
      <w:bookmarkEnd w:id="531"/>
    </w:p>
    <w:p w14:paraId="14683DFA" w14:textId="7DFCFE2C" w:rsidR="00FC1C5F" w:rsidRDefault="00891D7E">
      <w:pPr>
        <w:pStyle w:val="List"/>
        <w:ind w:left="720"/>
      </w:pPr>
      <w:r w:rsidRPr="002475CE">
        <w:rPr>
          <w:iCs/>
        </w:rPr>
        <w:t>(1)</w:t>
      </w:r>
      <w:r w:rsidRPr="002475CE">
        <w:rPr>
          <w:iCs/>
        </w:rPr>
        <w:tab/>
      </w:r>
      <w:r w:rsidR="00CB2A95" w:rsidRPr="00B07CBC">
        <w:rPr>
          <w:iCs/>
        </w:rPr>
        <w:t xml:space="preserve">As a requirement for participation in any CRR Auction, </w:t>
      </w:r>
      <w:r w:rsidR="00CB2A95">
        <w:rPr>
          <w:iCs/>
        </w:rPr>
        <w:t>e</w:t>
      </w:r>
      <w:r w:rsidRPr="002475CE">
        <w:rPr>
          <w:iCs/>
        </w:rPr>
        <w:t>ach Counter-Party participating in any CRR Auction, including those as permitted by Sections 16.11.6.1.4, Repossession of CRRs by ERCOT, and 16.11.6.1.5, Declaration of Forfeit of CRRs, shall communicate to ERCOT the credit limit it would like to establish for the CRR Auction prior to the close of the CRR bid submission window.</w:t>
      </w:r>
      <w:r w:rsidR="00727E32" w:rsidRPr="00891D7E">
        <w:t xml:space="preserve"> </w:t>
      </w:r>
    </w:p>
    <w:p w14:paraId="0B3C616F" w14:textId="77777777" w:rsidR="009F0904" w:rsidRPr="00891D7E" w:rsidRDefault="009F0904" w:rsidP="00AC6018">
      <w:pPr>
        <w:pStyle w:val="List"/>
        <w:ind w:left="720"/>
      </w:pPr>
      <w:r>
        <w:rPr>
          <w:iCs/>
        </w:rPr>
        <w:t>(2)</w:t>
      </w:r>
      <w:r>
        <w:rPr>
          <w:iCs/>
        </w:rPr>
        <w:tab/>
        <w:t>Consistent with paragraph (4)(c)(ii) of Section 7.5.1, Nature and Timing, ERCOT shall only modify the credit limit date in paragraph (1) above under a condition in which an ERCOT computer system failure causes Counter-Parties to be delayed or unable in submitting their credit limits for the CRR Auction and ERCOT determines that the successful execution of the CRR Auction would be jeopardized without such modification.</w:t>
      </w:r>
      <w:r w:rsidRPr="00891D7E">
        <w:t xml:space="preserve"> </w:t>
      </w:r>
      <w:r>
        <w:t xml:space="preserve"> </w:t>
      </w:r>
      <w:r>
        <w:rPr>
          <w:iCs/>
        </w:rPr>
        <w:t>In such an event, ERCOT will issue a Market Notice advising of the revised credit limit date and its cause.</w:t>
      </w:r>
    </w:p>
    <w:p w14:paraId="077C9A85" w14:textId="77777777" w:rsidR="00CB2A95" w:rsidRPr="00496C32" w:rsidRDefault="00AA6D6D" w:rsidP="00CB2A95">
      <w:pPr>
        <w:pStyle w:val="BodyTextNumbered"/>
      </w:pPr>
      <w:r w:rsidRPr="00DD1960">
        <w:rPr>
          <w:iCs w:val="0"/>
        </w:rPr>
        <w:lastRenderedPageBreak/>
        <w:t>(</w:t>
      </w:r>
      <w:r w:rsidR="009F0904">
        <w:rPr>
          <w:iCs w:val="0"/>
        </w:rPr>
        <w:t>3</w:t>
      </w:r>
      <w:r w:rsidRPr="00DD1960">
        <w:rPr>
          <w:iCs w:val="0"/>
        </w:rPr>
        <w:t>)</w:t>
      </w:r>
      <w:r w:rsidRPr="00DD1960">
        <w:rPr>
          <w:iCs w:val="0"/>
        </w:rPr>
        <w:tab/>
      </w:r>
      <w:r w:rsidR="00CB2A95" w:rsidRPr="00496C32">
        <w:t>ERCOT shall assign the ACL locked for CRR Auction for each Counter-Party participating in any CRR Auction as the lower of the Counter-Party’s:</w:t>
      </w:r>
    </w:p>
    <w:p w14:paraId="524082A2" w14:textId="77777777" w:rsidR="00CB2A95" w:rsidRPr="00496C32" w:rsidRDefault="00CB2A95" w:rsidP="00CB2A95">
      <w:pPr>
        <w:pStyle w:val="BodyText"/>
        <w:ind w:left="1440" w:hanging="720"/>
      </w:pPr>
      <w:r w:rsidRPr="00496C32">
        <w:t>(a)</w:t>
      </w:r>
      <w:r w:rsidRPr="00496C32">
        <w:tab/>
        <w:t>Requested credit limit, as described in</w:t>
      </w:r>
      <w:r>
        <w:t xml:space="preserve"> paragraph (1) above;</w:t>
      </w:r>
      <w:r w:rsidRPr="00496C32">
        <w:t xml:space="preserve"> </w:t>
      </w:r>
    </w:p>
    <w:p w14:paraId="0FE06209" w14:textId="77777777" w:rsidR="00CB2A95" w:rsidRPr="00496C32" w:rsidRDefault="00CB2A95" w:rsidP="00CB2A95">
      <w:pPr>
        <w:pStyle w:val="BodyText"/>
        <w:ind w:left="1440" w:hanging="720"/>
      </w:pPr>
      <w:r w:rsidRPr="00496C32">
        <w:t>(b)</w:t>
      </w:r>
      <w:r w:rsidRPr="00496C32">
        <w:tab/>
        <w:t>ACLC, calculated in accordance with paragraph (1)(a) of Section 16.11.4.6, Determination of Counter-Party Available Credit Limits, at the time of the closure o</w:t>
      </w:r>
      <w:r>
        <w:t>f the CRR bid submission window;</w:t>
      </w:r>
      <w:r w:rsidRPr="00496C32">
        <w:t xml:space="preserve"> or</w:t>
      </w:r>
    </w:p>
    <w:p w14:paraId="2672A336" w14:textId="1569AA8E" w:rsidR="00FC1C5F" w:rsidRDefault="00CB2A95" w:rsidP="00AC6018">
      <w:pPr>
        <w:pStyle w:val="BodyText"/>
        <w:ind w:left="1440" w:hanging="720"/>
        <w:rPr>
          <w:iCs w:val="0"/>
        </w:rPr>
      </w:pPr>
      <w:r w:rsidRPr="00496C32">
        <w:t>(c)</w:t>
      </w:r>
      <w:r w:rsidRPr="00496C32">
        <w:tab/>
        <w:t>Pre-auction screening credit exposure amount, calculated in accordance with paragraph (2) of Section 7.5.5.3, Auction Process.</w:t>
      </w:r>
      <w:r w:rsidR="00AA6D6D" w:rsidRPr="00DD1960">
        <w:rPr>
          <w:iCs w:val="0"/>
        </w:rPr>
        <w:t xml:space="preserve"> </w:t>
      </w:r>
    </w:p>
    <w:p w14:paraId="51D8B995" w14:textId="11C0BD4A" w:rsidR="00F56ABB" w:rsidRDefault="00727E32" w:rsidP="00AC6018">
      <w:pPr>
        <w:pStyle w:val="BodyTextNumbered"/>
      </w:pPr>
      <w:r>
        <w:t>(</w:t>
      </w:r>
      <w:r w:rsidR="009F0904">
        <w:t>4</w:t>
      </w:r>
      <w:r>
        <w:t>)</w:t>
      </w:r>
      <w:r>
        <w:tab/>
        <w:t xml:space="preserve">ERCOT shall impose a credit limit in awarding bids and offers in the CRR Auction as described in Section 7.5.5.3. </w:t>
      </w:r>
    </w:p>
    <w:p w14:paraId="02547C73" w14:textId="77777777" w:rsidR="00FC1C5F" w:rsidRDefault="00727E32">
      <w:pPr>
        <w:pStyle w:val="H5"/>
      </w:pPr>
      <w:bookmarkStart w:id="532" w:name="_Toc390438973"/>
      <w:bookmarkStart w:id="533" w:name="_Toc405897671"/>
      <w:bookmarkStart w:id="534" w:name="_Toc415055775"/>
      <w:bookmarkStart w:id="535" w:name="_Toc415055901"/>
      <w:bookmarkStart w:id="536" w:name="_Toc415056000"/>
      <w:bookmarkStart w:id="537" w:name="_Toc415056101"/>
      <w:bookmarkStart w:id="538" w:name="_Toc175159173"/>
      <w:r>
        <w:t>16.11.4.6.2</w:t>
      </w:r>
      <w:r>
        <w:tab/>
        <w:t>Credit Requirements for DAM Participation</w:t>
      </w:r>
      <w:bookmarkEnd w:id="532"/>
      <w:bookmarkEnd w:id="533"/>
      <w:bookmarkEnd w:id="534"/>
      <w:bookmarkEnd w:id="535"/>
      <w:bookmarkEnd w:id="536"/>
      <w:bookmarkEnd w:id="537"/>
      <w:bookmarkEnd w:id="538"/>
    </w:p>
    <w:p w14:paraId="7E36E9CB" w14:textId="77777777" w:rsidR="00FC1C5F" w:rsidRPr="00AA6D6D" w:rsidRDefault="00AA6D6D">
      <w:pPr>
        <w:autoSpaceDE w:val="0"/>
        <w:autoSpaceDN w:val="0"/>
        <w:adjustRightInd w:val="0"/>
        <w:spacing w:after="240"/>
        <w:ind w:left="720" w:hanging="720"/>
        <w:rPr>
          <w:color w:val="000000"/>
        </w:rPr>
      </w:pPr>
      <w:r w:rsidRPr="00DD1960">
        <w:rPr>
          <w:iCs/>
          <w:color w:val="000000"/>
        </w:rPr>
        <w:t>(1)</w:t>
      </w:r>
      <w:r w:rsidRPr="00DD1960">
        <w:rPr>
          <w:iCs/>
          <w:color w:val="000000"/>
        </w:rPr>
        <w:tab/>
      </w:r>
      <w:r w:rsidR="00C84EA9" w:rsidRPr="00D75412">
        <w:rPr>
          <w:iCs/>
          <w:color w:val="000000"/>
        </w:rPr>
        <w:t xml:space="preserve">ERCOT shall impose a credit limit </w:t>
      </w:r>
      <w:r w:rsidR="00C84EA9">
        <w:rPr>
          <w:iCs/>
          <w:color w:val="000000"/>
        </w:rPr>
        <w:t xml:space="preserve">of the ACLD </w:t>
      </w:r>
      <w:r w:rsidR="00C84EA9" w:rsidRPr="00D75412">
        <w:rPr>
          <w:iCs/>
          <w:color w:val="000000"/>
        </w:rPr>
        <w:t>on each Counter-Party participating in the DAM.</w:t>
      </w:r>
    </w:p>
    <w:p w14:paraId="1BB3FC6C" w14:textId="77777777" w:rsidR="00F56ABB" w:rsidRDefault="00727E32" w:rsidP="004C4936">
      <w:pPr>
        <w:autoSpaceDE w:val="0"/>
        <w:autoSpaceDN w:val="0"/>
        <w:adjustRightInd w:val="0"/>
        <w:spacing w:after="240"/>
        <w:ind w:left="720" w:hanging="720"/>
        <w:rPr>
          <w:color w:val="000000"/>
        </w:rPr>
      </w:pPr>
      <w:r>
        <w:rPr>
          <w:color w:val="000000"/>
        </w:rPr>
        <w:t>(2)</w:t>
      </w:r>
      <w:r>
        <w:rPr>
          <w:color w:val="000000"/>
        </w:rPr>
        <w:tab/>
        <w:t xml:space="preserve">ERCOT shall impose the credit limit for DAM participation calculated in </w:t>
      </w:r>
      <w:r w:rsidR="00D54104">
        <w:rPr>
          <w:color w:val="000000"/>
        </w:rPr>
        <w:t xml:space="preserve">paragraph </w:t>
      </w:r>
      <w:r>
        <w:rPr>
          <w:color w:val="000000"/>
        </w:rPr>
        <w:t>(1) above on the Counter-Party’s QSEs and all Subordinate QSEs combined participation in the DAM as described in Section 4.4.10, Credit Requirement for DAM Bids and Offers.</w:t>
      </w:r>
    </w:p>
    <w:p w14:paraId="62E78663" w14:textId="77777777" w:rsidR="00727575" w:rsidRDefault="00727575">
      <w:pPr>
        <w:autoSpaceDE w:val="0"/>
        <w:autoSpaceDN w:val="0"/>
        <w:adjustRightInd w:val="0"/>
        <w:spacing w:after="240"/>
        <w:ind w:left="720" w:hanging="720"/>
        <w:rPr>
          <w:color w:val="000000"/>
        </w:rPr>
      </w:pPr>
      <w:r>
        <w:rPr>
          <w:color w:val="000000"/>
        </w:rPr>
        <w:t>(3)</w:t>
      </w:r>
      <w:r>
        <w:rPr>
          <w:color w:val="000000"/>
        </w:rPr>
        <w:tab/>
        <w:t>A new credit limit will be sent to each Counter-Party participating in the DAM daily.</w:t>
      </w:r>
    </w:p>
    <w:p w14:paraId="671B64EC" w14:textId="77777777" w:rsidR="00FC1C5F" w:rsidRPr="00D63F95" w:rsidRDefault="00727E32" w:rsidP="004A233E">
      <w:pPr>
        <w:pStyle w:val="H4"/>
        <w:ind w:left="1267" w:hanging="1267"/>
        <w:rPr>
          <w:b/>
          <w:szCs w:val="24"/>
        </w:rPr>
      </w:pPr>
      <w:bookmarkStart w:id="539" w:name="_Toc191443421"/>
      <w:bookmarkStart w:id="540" w:name="_Toc390438974"/>
      <w:bookmarkStart w:id="541" w:name="_Toc405897672"/>
      <w:bookmarkStart w:id="542" w:name="_Toc415055776"/>
      <w:bookmarkStart w:id="543" w:name="_Toc415055902"/>
      <w:bookmarkStart w:id="544" w:name="_Toc415056001"/>
      <w:bookmarkStart w:id="545" w:name="_Toc415056102"/>
      <w:bookmarkStart w:id="546" w:name="_Toc175159174"/>
      <w:r w:rsidRPr="00D63F95">
        <w:rPr>
          <w:b/>
          <w:szCs w:val="24"/>
        </w:rPr>
        <w:t>16.11.4.7</w:t>
      </w:r>
      <w:r w:rsidRPr="00D63F95">
        <w:rPr>
          <w:b/>
          <w:szCs w:val="24"/>
        </w:rPr>
        <w:tab/>
      </w:r>
      <w:bookmarkEnd w:id="539"/>
      <w:r w:rsidRPr="00D63F95">
        <w:rPr>
          <w:b/>
          <w:szCs w:val="24"/>
        </w:rPr>
        <w:t>Credit Monitoring and Management Reports</w:t>
      </w:r>
      <w:bookmarkEnd w:id="540"/>
      <w:bookmarkEnd w:id="541"/>
      <w:bookmarkEnd w:id="542"/>
      <w:bookmarkEnd w:id="543"/>
      <w:bookmarkEnd w:id="544"/>
      <w:bookmarkEnd w:id="545"/>
      <w:bookmarkEnd w:id="546"/>
    </w:p>
    <w:p w14:paraId="20FB8D39" w14:textId="0D369B45" w:rsidR="005610DA" w:rsidRDefault="005610DA" w:rsidP="005610DA">
      <w:pPr>
        <w:autoSpaceDE w:val="0"/>
        <w:autoSpaceDN w:val="0"/>
        <w:adjustRightInd w:val="0"/>
        <w:spacing w:after="240"/>
        <w:ind w:left="720" w:hanging="720"/>
        <w:rPr>
          <w:szCs w:val="24"/>
        </w:rPr>
      </w:pPr>
      <w:bookmarkStart w:id="547" w:name="_Toc390438975"/>
      <w:bookmarkStart w:id="548" w:name="_Toc405897673"/>
      <w:bookmarkStart w:id="549" w:name="_Toc415055777"/>
      <w:bookmarkStart w:id="550" w:name="_Toc415055903"/>
      <w:bookmarkStart w:id="551" w:name="_Toc415056002"/>
      <w:bookmarkStart w:id="552" w:name="_Toc415056103"/>
      <w:r>
        <w:rPr>
          <w:szCs w:val="24"/>
        </w:rPr>
        <w:t>(1)</w:t>
      </w:r>
      <w:r>
        <w:rPr>
          <w:szCs w:val="24"/>
        </w:rPr>
        <w:tab/>
      </w:r>
      <w:r>
        <w:rPr>
          <w:color w:val="000000"/>
        </w:rPr>
        <w:t>ERCOT</w:t>
      </w:r>
      <w:r>
        <w:rPr>
          <w:szCs w:val="24"/>
        </w:rPr>
        <w:t xml:space="preserve"> shall post twice each Business Day on the Market Information System (MIS) Certified Area each active Counter-Party’s credit monitoring and management related reports as listed below.  The first posting shall be made by 1200 and the second posting shall be made as close as reasonably possible to the close of the Business Day but no later than 2350.  </w:t>
      </w:r>
      <w:r w:rsidRPr="00CB72C4">
        <w:t xml:space="preserve">The reports listed in </w:t>
      </w:r>
      <w:r>
        <w:t xml:space="preserve">items </w:t>
      </w:r>
      <w:r w:rsidRPr="00CB72C4">
        <w:t>(</w:t>
      </w:r>
      <w:r>
        <w:t>f</w:t>
      </w:r>
      <w:r w:rsidRPr="00CB72C4">
        <w:t>)</w:t>
      </w:r>
      <w:r>
        <w:t xml:space="preserve"> and</w:t>
      </w:r>
      <w:r w:rsidRPr="00CB72C4">
        <w:t xml:space="preserve"> (</w:t>
      </w:r>
      <w:r>
        <w:t>g</w:t>
      </w:r>
      <w:r w:rsidRPr="00CB72C4">
        <w:t>)</w:t>
      </w:r>
      <w:r>
        <w:t xml:space="preserve"> below</w:t>
      </w:r>
      <w:r w:rsidRPr="00CB72C4">
        <w:t xml:space="preserve"> are not required to be included in both first and second posting if the Counter-Party has no active CRR ownership.</w:t>
      </w:r>
      <w:r w:rsidRPr="00C24D19">
        <w:t xml:space="preserve"> The reports listed in </w:t>
      </w:r>
      <w:r>
        <w:t xml:space="preserve">items </w:t>
      </w:r>
      <w:r w:rsidRPr="00C24D19">
        <w:t xml:space="preserve">(c), (d), (e), (f), </w:t>
      </w:r>
      <w:r>
        <w:t xml:space="preserve">and </w:t>
      </w:r>
      <w:r w:rsidRPr="00C24D19">
        <w:t>(g) below are not required to be included in the second post if there are no changes to the underlying data.</w:t>
      </w:r>
      <w:r>
        <w:rPr>
          <w:szCs w:val="24"/>
        </w:rPr>
        <w:t xml:space="preserve">  ERCOT shall post one set of these reports on the MIS Certified Area on each non-Business Day for which an ACL is sent.</w:t>
      </w:r>
    </w:p>
    <w:p w14:paraId="6D65953A" w14:textId="77777777" w:rsidR="005610DA" w:rsidRDefault="005610DA" w:rsidP="005610DA">
      <w:pPr>
        <w:pStyle w:val="BodyText"/>
        <w:ind w:left="1440" w:hanging="720"/>
      </w:pPr>
      <w:r>
        <w:rPr>
          <w:bCs/>
        </w:rPr>
        <w:t>(a)</w:t>
      </w:r>
      <w:r>
        <w:rPr>
          <w:bCs/>
        </w:rPr>
        <w:tab/>
        <w:t>Available Credit Limit (ACL) Summary Report;</w:t>
      </w:r>
    </w:p>
    <w:p w14:paraId="6D1AC3E2" w14:textId="77777777" w:rsidR="005610DA" w:rsidRDefault="005610DA" w:rsidP="005610DA">
      <w:pPr>
        <w:pStyle w:val="BodyText"/>
        <w:ind w:left="1440" w:hanging="720"/>
        <w:rPr>
          <w:bCs/>
        </w:rPr>
      </w:pPr>
      <w:r>
        <w:t>(b)</w:t>
      </w:r>
      <w:r>
        <w:tab/>
        <w:t>Total</w:t>
      </w:r>
      <w:r>
        <w:rPr>
          <w:bCs/>
        </w:rPr>
        <w:t xml:space="preserve"> Potential Exposure (TPE) Summary Report;</w:t>
      </w:r>
    </w:p>
    <w:p w14:paraId="36D9B202" w14:textId="77777777" w:rsidR="005610DA" w:rsidRDefault="005610DA" w:rsidP="005610DA">
      <w:pPr>
        <w:pStyle w:val="BodyText"/>
        <w:ind w:left="1440" w:hanging="720"/>
      </w:pPr>
      <w:r>
        <w:rPr>
          <w:bCs/>
        </w:rPr>
        <w:t>(c)</w:t>
      </w:r>
      <w:r>
        <w:rPr>
          <w:bCs/>
        </w:rPr>
        <w:tab/>
        <w:t>Minimum Current Exposure (MCE) Summary Report;</w:t>
      </w:r>
    </w:p>
    <w:p w14:paraId="588EC8C6" w14:textId="77777777" w:rsidR="005610DA" w:rsidRDefault="005610DA" w:rsidP="005610DA">
      <w:pPr>
        <w:pStyle w:val="BodyText"/>
        <w:ind w:left="1440" w:hanging="720"/>
      </w:pPr>
      <w:r>
        <w:t>(d)</w:t>
      </w:r>
      <w:r>
        <w:tab/>
        <w:t>Estimate Aggregate Liability (EAL) Summary Report;</w:t>
      </w:r>
    </w:p>
    <w:p w14:paraId="78B929CB" w14:textId="77777777" w:rsidR="005610DA" w:rsidRDefault="005610DA" w:rsidP="005610DA">
      <w:pPr>
        <w:pStyle w:val="BodyText"/>
        <w:ind w:left="1440" w:hanging="720"/>
      </w:pPr>
      <w:r>
        <w:lastRenderedPageBreak/>
        <w:t>(e)</w:t>
      </w:r>
      <w:r>
        <w:tab/>
        <w:t>Estimated Aggregate Liability (EAL) Detail Report;</w:t>
      </w:r>
    </w:p>
    <w:p w14:paraId="3C0F8279" w14:textId="77777777" w:rsidR="00B8113A" w:rsidRDefault="00B8113A" w:rsidP="00B8113A">
      <w:pPr>
        <w:pStyle w:val="BodyText"/>
        <w:ind w:left="1440" w:hanging="720"/>
      </w:pPr>
      <w:r>
        <w:t>(f)</w:t>
      </w:r>
      <w:r>
        <w:tab/>
        <w:t>Future Credit Exposure for CRR PTP Obligations (FCEOBL) Summary Report; and</w:t>
      </w:r>
    </w:p>
    <w:p w14:paraId="3A0D31AD" w14:textId="77777777" w:rsidR="00B8113A" w:rsidRDefault="00B8113A" w:rsidP="00B8113A">
      <w:pPr>
        <w:pStyle w:val="BodyText"/>
        <w:ind w:left="1440" w:hanging="720"/>
      </w:pPr>
      <w:r>
        <w:t>(g)</w:t>
      </w:r>
      <w:r>
        <w:tab/>
        <w:t>Future Credit Exposure for CRR PTP Options (FCEOPT) Summary Report.</w:t>
      </w:r>
    </w:p>
    <w:tbl>
      <w:tblPr>
        <w:tblW w:w="93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60"/>
      </w:tblGrid>
      <w:tr w:rsidR="00B8113A" w:rsidRPr="00ED3498" w14:paraId="7C356D6E" w14:textId="77777777" w:rsidTr="008115B2">
        <w:tc>
          <w:tcPr>
            <w:tcW w:w="9360" w:type="dxa"/>
            <w:tcBorders>
              <w:top w:val="single" w:sz="4" w:space="0" w:color="auto"/>
              <w:left w:val="single" w:sz="4" w:space="0" w:color="auto"/>
              <w:bottom w:val="single" w:sz="4" w:space="0" w:color="auto"/>
              <w:right w:val="single" w:sz="4" w:space="0" w:color="auto"/>
            </w:tcBorders>
            <w:shd w:val="pct12" w:color="auto" w:fill="auto"/>
            <w:hideMark/>
          </w:tcPr>
          <w:p w14:paraId="27378BE5" w14:textId="77777777" w:rsidR="00B8113A" w:rsidRPr="00ED3498" w:rsidRDefault="00B8113A" w:rsidP="00080AA8">
            <w:pPr>
              <w:spacing w:before="120" w:after="240"/>
              <w:rPr>
                <w:b/>
                <w:i/>
              </w:rPr>
            </w:pPr>
            <w:r w:rsidRPr="00ED3498">
              <w:rPr>
                <w:b/>
                <w:i/>
                <w:iCs/>
              </w:rPr>
              <w:t>[NPRR</w:t>
            </w:r>
            <w:r>
              <w:rPr>
                <w:b/>
                <w:i/>
                <w:iCs/>
              </w:rPr>
              <w:t>1103</w:t>
            </w:r>
            <w:r w:rsidRPr="00ED3498">
              <w:rPr>
                <w:b/>
                <w:i/>
                <w:iCs/>
              </w:rPr>
              <w:t xml:space="preserve">:  Insert item (h) below upon system implementation:] </w:t>
            </w:r>
          </w:p>
          <w:p w14:paraId="18FEA610" w14:textId="77777777" w:rsidR="00B8113A" w:rsidRPr="00ED3498" w:rsidRDefault="00B8113A" w:rsidP="00080AA8">
            <w:pPr>
              <w:spacing w:after="240"/>
              <w:ind w:left="1440" w:hanging="720"/>
            </w:pPr>
            <w:r w:rsidRPr="00ED3498">
              <w:t>(h)</w:t>
            </w:r>
            <w:r w:rsidRPr="00ED3498">
              <w:tab/>
              <w:t>Securitization Credit Exposure Report.</w:t>
            </w:r>
          </w:p>
        </w:tc>
      </w:tr>
    </w:tbl>
    <w:p w14:paraId="275C68A8" w14:textId="77777777" w:rsidR="008115B2" w:rsidRDefault="008115B2" w:rsidP="008115B2">
      <w:pPr>
        <w:autoSpaceDE w:val="0"/>
        <w:autoSpaceDN w:val="0"/>
        <w:adjustRightInd w:val="0"/>
        <w:ind w:left="720" w:hanging="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115B2" w14:paraId="44209A73" w14:textId="77777777" w:rsidTr="00113426">
        <w:tc>
          <w:tcPr>
            <w:tcW w:w="9332" w:type="dxa"/>
            <w:shd w:val="pct12" w:color="auto" w:fill="auto"/>
          </w:tcPr>
          <w:p w14:paraId="5FBDF200" w14:textId="0D245787" w:rsidR="008115B2" w:rsidRPr="0002450E" w:rsidRDefault="008115B2" w:rsidP="00113426">
            <w:pPr>
              <w:pStyle w:val="Instructions"/>
              <w:spacing w:before="120"/>
              <w:rPr>
                <w:iCs/>
              </w:rPr>
            </w:pPr>
            <w:r>
              <w:rPr>
                <w:iCs/>
              </w:rPr>
              <w:t>[NPRR1184</w:t>
            </w:r>
            <w:r w:rsidRPr="0002450E">
              <w:rPr>
                <w:iCs/>
              </w:rPr>
              <w:t xml:space="preserve">:  </w:t>
            </w:r>
            <w:r>
              <w:rPr>
                <w:iCs/>
              </w:rPr>
              <w:t>Insert</w:t>
            </w:r>
            <w:r w:rsidRPr="0002450E">
              <w:rPr>
                <w:iCs/>
              </w:rPr>
              <w:t xml:space="preserve"> </w:t>
            </w:r>
            <w:r>
              <w:rPr>
                <w:iCs/>
              </w:rPr>
              <w:t>paragraph (2) below</w:t>
            </w:r>
            <w:r w:rsidRPr="0002450E">
              <w:rPr>
                <w:iCs/>
              </w:rPr>
              <w:t xml:space="preserve"> upon system implementation</w:t>
            </w:r>
            <w:r>
              <w:rPr>
                <w:iCs/>
              </w:rPr>
              <w:t xml:space="preserve"> and renumber accordingly</w:t>
            </w:r>
            <w:r w:rsidRPr="0002450E">
              <w:rPr>
                <w:iCs/>
              </w:rPr>
              <w:t xml:space="preserve">:] </w:t>
            </w:r>
          </w:p>
          <w:p w14:paraId="4F8C52C3" w14:textId="77777777" w:rsidR="008115B2" w:rsidRPr="002A0C70" w:rsidRDefault="008115B2" w:rsidP="008115B2">
            <w:pPr>
              <w:autoSpaceDE w:val="0"/>
              <w:autoSpaceDN w:val="0"/>
              <w:adjustRightInd w:val="0"/>
              <w:spacing w:after="240"/>
              <w:ind w:left="720" w:hanging="720"/>
              <w:rPr>
                <w:bCs/>
                <w:snapToGrid w:val="0"/>
              </w:rPr>
            </w:pPr>
            <w:r w:rsidRPr="002A0C70">
              <w:rPr>
                <w:bCs/>
                <w:snapToGrid w:val="0"/>
              </w:rPr>
              <w:t>(2)</w:t>
            </w:r>
            <w:r w:rsidRPr="002A0C70">
              <w:rPr>
                <w:bCs/>
                <w:snapToGrid w:val="0"/>
              </w:rPr>
              <w:tab/>
              <w:t xml:space="preserve">ERCOT shall post, no later than </w:t>
            </w:r>
            <w:r>
              <w:rPr>
                <w:bCs/>
                <w:snapToGrid w:val="0"/>
              </w:rPr>
              <w:t xml:space="preserve">the </w:t>
            </w:r>
            <w:r w:rsidRPr="002A0C70">
              <w:rPr>
                <w:bCs/>
                <w:snapToGrid w:val="0"/>
              </w:rPr>
              <w:t>15</w:t>
            </w:r>
            <w:r w:rsidRPr="00694D6B">
              <w:rPr>
                <w:bCs/>
                <w:snapToGrid w:val="0"/>
              </w:rPr>
              <w:t>th</w:t>
            </w:r>
            <w:r>
              <w:rPr>
                <w:bCs/>
                <w:snapToGrid w:val="0"/>
              </w:rPr>
              <w:t xml:space="preserve"> Bank Business</w:t>
            </w:r>
            <w:r w:rsidRPr="002A0C70">
              <w:rPr>
                <w:bCs/>
                <w:snapToGrid w:val="0"/>
              </w:rPr>
              <w:t xml:space="preserve"> </w:t>
            </w:r>
            <w:r>
              <w:rPr>
                <w:bCs/>
                <w:snapToGrid w:val="0"/>
              </w:rPr>
              <w:t>D</w:t>
            </w:r>
            <w:r w:rsidRPr="002A0C70">
              <w:rPr>
                <w:bCs/>
                <w:snapToGrid w:val="0"/>
              </w:rPr>
              <w:t>ay of each</w:t>
            </w:r>
            <w:r>
              <w:rPr>
                <w:bCs/>
                <w:snapToGrid w:val="0"/>
              </w:rPr>
              <w:t xml:space="preserve"> month</w:t>
            </w:r>
            <w:r w:rsidRPr="002A0C70">
              <w:rPr>
                <w:bCs/>
                <w:snapToGrid w:val="0"/>
              </w:rPr>
              <w:t xml:space="preserve">, the following </w:t>
            </w:r>
            <w:r w:rsidRPr="002A0C70">
              <w:t>reports</w:t>
            </w:r>
            <w:r w:rsidRPr="002A0C70">
              <w:rPr>
                <w:bCs/>
                <w:snapToGrid w:val="0"/>
              </w:rPr>
              <w:t xml:space="preserve"> on the MIS Certified Area for each active Counter-Party:</w:t>
            </w:r>
          </w:p>
          <w:p w14:paraId="554FE119" w14:textId="77777777" w:rsidR="008115B2" w:rsidRPr="002A0C70" w:rsidRDefault="008115B2" w:rsidP="008115B2">
            <w:pPr>
              <w:spacing w:after="240"/>
              <w:ind w:left="1440" w:hanging="720"/>
            </w:pPr>
            <w:r w:rsidRPr="002A0C70">
              <w:t>(a)</w:t>
            </w:r>
            <w:r w:rsidRPr="002A0C70">
              <w:tab/>
              <w:t>Monthly Collateral and Interest Report; and</w:t>
            </w:r>
          </w:p>
          <w:p w14:paraId="72B27ADE" w14:textId="70B59514" w:rsidR="008115B2" w:rsidRPr="002D6ABD" w:rsidRDefault="008115B2" w:rsidP="008115B2">
            <w:pPr>
              <w:spacing w:after="240"/>
              <w:ind w:left="1440" w:hanging="720"/>
            </w:pPr>
            <w:r w:rsidRPr="002A0C70">
              <w:t>(b)</w:t>
            </w:r>
            <w:r w:rsidRPr="002A0C70">
              <w:tab/>
              <w:t>Annual Collateral and Interest Report.</w:t>
            </w:r>
          </w:p>
        </w:tc>
      </w:tr>
    </w:tbl>
    <w:p w14:paraId="6F76BA13" w14:textId="77777777" w:rsidR="008115B2" w:rsidRDefault="00B8113A" w:rsidP="00B8113A">
      <w:pPr>
        <w:autoSpaceDE w:val="0"/>
        <w:autoSpaceDN w:val="0"/>
        <w:adjustRightInd w:val="0"/>
        <w:spacing w:before="240" w:after="240"/>
        <w:ind w:left="720" w:hanging="720"/>
      </w:pPr>
      <w:r>
        <w:t>(2)</w:t>
      </w:r>
      <w:r>
        <w:tab/>
        <w:t>The reports listed in paragraph (1) above will be posted to the MIS Certified Area in Portable Document File (PDF) format and Microsoft Excel (XLS) format.  There shall be a provision to “open”, “save” and “print” each report.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115B2" w14:paraId="4FC35AB2" w14:textId="77777777" w:rsidTr="00113426">
        <w:tc>
          <w:tcPr>
            <w:tcW w:w="9332" w:type="dxa"/>
            <w:shd w:val="pct12" w:color="auto" w:fill="auto"/>
          </w:tcPr>
          <w:p w14:paraId="38CD5766" w14:textId="653A4416" w:rsidR="008115B2" w:rsidRPr="0002450E" w:rsidRDefault="008115B2" w:rsidP="00113426">
            <w:pPr>
              <w:pStyle w:val="Instructions"/>
              <w:spacing w:before="120"/>
              <w:rPr>
                <w:iCs/>
              </w:rPr>
            </w:pPr>
            <w:r>
              <w:rPr>
                <w:iCs/>
              </w:rPr>
              <w:t>[NPRR1184</w:t>
            </w:r>
            <w:r w:rsidRPr="0002450E">
              <w:rPr>
                <w:iCs/>
              </w:rPr>
              <w:t xml:space="preserve">:  </w:t>
            </w:r>
            <w:r w:rsidR="00301E78">
              <w:rPr>
                <w:iCs/>
              </w:rPr>
              <w:t>Replace</w:t>
            </w:r>
            <w:r w:rsidRPr="0002450E">
              <w:rPr>
                <w:iCs/>
              </w:rPr>
              <w:t xml:space="preserve"> </w:t>
            </w:r>
            <w:r>
              <w:rPr>
                <w:iCs/>
              </w:rPr>
              <w:t>paragraph (2) above with the following</w:t>
            </w:r>
            <w:r w:rsidRPr="0002450E">
              <w:rPr>
                <w:iCs/>
              </w:rPr>
              <w:t xml:space="preserve"> upon system implementation:] </w:t>
            </w:r>
          </w:p>
          <w:p w14:paraId="15B805CE" w14:textId="6D8AE03D" w:rsidR="008115B2" w:rsidRPr="002D6ABD" w:rsidRDefault="008115B2" w:rsidP="008115B2">
            <w:pPr>
              <w:autoSpaceDE w:val="0"/>
              <w:autoSpaceDN w:val="0"/>
              <w:adjustRightInd w:val="0"/>
              <w:spacing w:after="240"/>
              <w:ind w:left="720" w:hanging="720"/>
            </w:pPr>
            <w:r w:rsidRPr="002A0C70">
              <w:t>(</w:t>
            </w:r>
            <w:r>
              <w:t>3</w:t>
            </w:r>
            <w:r w:rsidRPr="002A0C70">
              <w:t>)</w:t>
            </w:r>
            <w:r w:rsidRPr="002A0C70">
              <w:tab/>
              <w:t>The reports listed in paragraph</w:t>
            </w:r>
            <w:r>
              <w:t>s</w:t>
            </w:r>
            <w:r w:rsidRPr="002A0C70">
              <w:t xml:space="preserve"> (1)</w:t>
            </w:r>
            <w:r>
              <w:t xml:space="preserve"> and (2)</w:t>
            </w:r>
            <w:r w:rsidRPr="002A0C70">
              <w:t xml:space="preserve"> above </w:t>
            </w:r>
            <w:r>
              <w:t>shall</w:t>
            </w:r>
            <w:r w:rsidRPr="002A0C70">
              <w:t xml:space="preserve"> be posted to the MIS Certified Area in Portable Document File (PDF) format and Microsoft Excel (XLS) format.  There shall be a provision to “open”, “save” and “print” each report.</w:t>
            </w:r>
          </w:p>
        </w:tc>
      </w:tr>
    </w:tbl>
    <w:p w14:paraId="5309A2BC" w14:textId="77777777" w:rsidR="00FC1C5F" w:rsidRDefault="00727E32" w:rsidP="008115B2">
      <w:pPr>
        <w:pStyle w:val="H3"/>
        <w:spacing w:before="480"/>
        <w:ind w:left="0" w:firstLine="0"/>
      </w:pPr>
      <w:bookmarkStart w:id="553" w:name="_Toc175159175"/>
      <w:r>
        <w:t>16.11.5</w:t>
      </w:r>
      <w:r>
        <w:tab/>
        <w:t>Monitoring of a Counter-Party’s Creditworthiness and Credit Exposure by ERCOT</w:t>
      </w:r>
      <w:bookmarkEnd w:id="547"/>
      <w:bookmarkEnd w:id="548"/>
      <w:bookmarkEnd w:id="549"/>
      <w:bookmarkEnd w:id="550"/>
      <w:bookmarkEnd w:id="551"/>
      <w:bookmarkEnd w:id="552"/>
      <w:bookmarkEnd w:id="553"/>
    </w:p>
    <w:p w14:paraId="48209DC4" w14:textId="77777777" w:rsidR="00B55C27" w:rsidRPr="00723BC4" w:rsidRDefault="00B55C27" w:rsidP="00B55C27">
      <w:pPr>
        <w:spacing w:after="240"/>
        <w:ind w:left="720" w:hanging="720"/>
        <w:rPr>
          <w:iCs/>
        </w:rPr>
      </w:pPr>
      <w:r w:rsidRPr="00723BC4">
        <w:rPr>
          <w:iCs/>
        </w:rPr>
        <w:t>(1)</w:t>
      </w:r>
      <w:r w:rsidRPr="00723BC4">
        <w:rPr>
          <w:iCs/>
        </w:rPr>
        <w:tab/>
        <w:t xml:space="preserve">ERCOT shall monitor the creditworthiness and credit exposure of each Counter-Party.  To enable ERCOT to monitor creditworthiness, each Counter-Party shall provide to ERCOT:  </w:t>
      </w:r>
    </w:p>
    <w:p w14:paraId="26514078" w14:textId="77777777" w:rsidR="00B55C27" w:rsidRPr="00723BC4" w:rsidRDefault="00B55C27" w:rsidP="00B55C27">
      <w:pPr>
        <w:spacing w:after="240"/>
        <w:ind w:left="1440" w:hanging="720"/>
      </w:pPr>
      <w:r w:rsidRPr="00723BC4">
        <w:t>(a)</w:t>
      </w:r>
      <w:r w:rsidRPr="00723BC4">
        <w:tab/>
        <w:t xml:space="preserve">Its own or its Ultimate Parent’s quarterly (semi-annually, if the Ultimate Parent is foreign and rated by a rating agency acceptable to ERCOT) unaudited financial statements not later than 60 days (90 days if the Ultimate Parent is foreign and rated by a rating agency acceptable to ERCOT) after the close of each of the issuer’s fiscal quarters; if an issuer’s financial statements are publicly available </w:t>
      </w:r>
      <w:r w:rsidRPr="00723BC4">
        <w:lastRenderedPageBreak/>
        <w:t xml:space="preserve">electronically and the issuer provides to ERCOT sufficient information to access those financial statements, then the issuer is considered to have met this requirement. </w:t>
      </w:r>
    </w:p>
    <w:p w14:paraId="16231463" w14:textId="77777777" w:rsidR="00B55C27" w:rsidRPr="00723BC4" w:rsidRDefault="00B55C27" w:rsidP="00B55C27">
      <w:pPr>
        <w:spacing w:after="240"/>
        <w:ind w:left="1440" w:hanging="720"/>
      </w:pPr>
      <w:r w:rsidRPr="00723BC4">
        <w:t>(b)</w:t>
      </w:r>
      <w:r w:rsidRPr="00723BC4">
        <w:tab/>
        <w:t>Its own or its Ultimate Parent’s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Annual audited financial statements must be prepared in accordance with U.S. Generally Accepted Accounting Principles (GAAP) or Financial Reporting Standards (IFRS).</w:t>
      </w:r>
    </w:p>
    <w:p w14:paraId="5AD1D6CE" w14:textId="77777777" w:rsidR="00B55C27" w:rsidRPr="00723BC4" w:rsidRDefault="00B55C27" w:rsidP="00B55C27">
      <w:pPr>
        <w:spacing w:after="240"/>
        <w:ind w:left="1440" w:hanging="720"/>
      </w:pPr>
      <w:r w:rsidRPr="00723BC4">
        <w:t>(c)</w:t>
      </w:r>
      <w:r w:rsidRPr="00723BC4">
        <w:tab/>
        <w:t xml:space="preserve">For paragraphs (a) and (b) above, financial statements shall include the Counter-Party’s or its Ultimate Parent’s:  </w:t>
      </w:r>
    </w:p>
    <w:p w14:paraId="3F2A898F" w14:textId="77777777" w:rsidR="00B55C27" w:rsidRPr="00723BC4" w:rsidRDefault="00B55C27" w:rsidP="00B55C27">
      <w:pPr>
        <w:spacing w:after="240"/>
        <w:ind w:left="2160" w:hanging="720"/>
      </w:pPr>
      <w:r w:rsidRPr="00723BC4">
        <w:t>(i)</w:t>
      </w:r>
      <w:r w:rsidRPr="00723BC4">
        <w:tab/>
        <w:t xml:space="preserve">Statement of Financial Position (balance sheet) as of the applicable quarterly or annual ending date; </w:t>
      </w:r>
    </w:p>
    <w:p w14:paraId="5DEBFBEE" w14:textId="77777777" w:rsidR="00B55C27" w:rsidRPr="00723BC4" w:rsidRDefault="00B55C27" w:rsidP="00B55C27">
      <w:pPr>
        <w:spacing w:after="240"/>
        <w:ind w:left="2160" w:hanging="720"/>
      </w:pPr>
      <w:r w:rsidRPr="00723BC4">
        <w:t>(ii)</w:t>
      </w:r>
      <w:r w:rsidRPr="00723BC4">
        <w:tab/>
        <w:t xml:space="preserve">Statement of Income (or Profit and Loss); and </w:t>
      </w:r>
    </w:p>
    <w:p w14:paraId="412CB027" w14:textId="77777777" w:rsidR="00B55C27" w:rsidRPr="00723BC4" w:rsidRDefault="00B55C27" w:rsidP="00B55C27">
      <w:pPr>
        <w:spacing w:after="240"/>
        <w:ind w:left="2160" w:hanging="720"/>
      </w:pPr>
      <w:r w:rsidRPr="00723BC4">
        <w:t>(iii)</w:t>
      </w:r>
      <w:r w:rsidRPr="00723BC4">
        <w:tab/>
        <w:t>Statement of Cash Flows.</w:t>
      </w:r>
    </w:p>
    <w:p w14:paraId="2082B087" w14:textId="77777777" w:rsidR="00B55C27" w:rsidRDefault="00B55C27" w:rsidP="00D9080F">
      <w:pPr>
        <w:spacing w:after="240"/>
        <w:ind w:left="1440" w:hanging="720"/>
        <w:rPr>
          <w:iCs/>
        </w:rPr>
      </w:pPr>
      <w:r w:rsidRPr="00723BC4">
        <w:t>(d)</w:t>
      </w:r>
      <w:r w:rsidRPr="00723BC4">
        <w:tab/>
        <w:t>Notice of a material change.  A Counter-Party shall inform ERCOT within one Business Day if it has experienced a material change in its operations, financial condition or prospects that might adversely affect the Counter-Party.</w:t>
      </w:r>
    </w:p>
    <w:p w14:paraId="0DC3F752" w14:textId="25B63946" w:rsidR="005C04D0" w:rsidRPr="0013104B" w:rsidRDefault="005C04D0" w:rsidP="00D9080F">
      <w:pPr>
        <w:spacing w:after="240"/>
        <w:ind w:left="720" w:hanging="720"/>
        <w:rPr>
          <w:szCs w:val="24"/>
        </w:rPr>
      </w:pPr>
      <w:r w:rsidRPr="0013104B">
        <w:rPr>
          <w:szCs w:val="24"/>
        </w:rPr>
        <w:t>(2)</w:t>
      </w:r>
      <w:r w:rsidRPr="0013104B">
        <w:rPr>
          <w:szCs w:val="24"/>
        </w:rPr>
        <w:tab/>
        <w:t>A Counter-Party is responsible at all times for maintaining:</w:t>
      </w:r>
    </w:p>
    <w:p w14:paraId="31F3C89A" w14:textId="12C3B606" w:rsidR="005C04D0" w:rsidRPr="0013104B" w:rsidRDefault="005C04D0" w:rsidP="005C04D0">
      <w:pPr>
        <w:spacing w:after="240"/>
        <w:ind w:left="1440" w:hanging="720"/>
        <w:rPr>
          <w:szCs w:val="24"/>
        </w:rPr>
      </w:pPr>
      <w:r w:rsidRPr="0013104B">
        <w:rPr>
          <w:szCs w:val="24"/>
        </w:rPr>
        <w:t>(a)</w:t>
      </w:r>
      <w:r w:rsidRPr="0013104B">
        <w:rPr>
          <w:szCs w:val="24"/>
        </w:rPr>
        <w:tab/>
        <w:t>Financial Security in an amount equal to or greater than that Counter-Party’s</w:t>
      </w:r>
      <w:r w:rsidR="00373358">
        <w:rPr>
          <w:szCs w:val="24"/>
        </w:rPr>
        <w:t>:</w:t>
      </w:r>
    </w:p>
    <w:p w14:paraId="70637E2E" w14:textId="77777777" w:rsidR="005C04D0" w:rsidRPr="0013104B" w:rsidRDefault="005C04D0" w:rsidP="005C04D0">
      <w:pPr>
        <w:spacing w:after="240"/>
        <w:ind w:left="1440"/>
        <w:rPr>
          <w:szCs w:val="24"/>
        </w:rPr>
      </w:pPr>
      <w:r w:rsidRPr="0013104B">
        <w:rPr>
          <w:szCs w:val="24"/>
        </w:rPr>
        <w:t>(i)</w:t>
      </w:r>
      <w:r w:rsidRPr="0013104B">
        <w:rPr>
          <w:szCs w:val="24"/>
        </w:rPr>
        <w:tab/>
        <w:t>TPES; plus</w:t>
      </w:r>
    </w:p>
    <w:p w14:paraId="33EC9A6E" w14:textId="77777777" w:rsidR="005C04D0" w:rsidRPr="0013104B" w:rsidRDefault="005C04D0" w:rsidP="005C04D0">
      <w:pPr>
        <w:spacing w:after="240"/>
        <w:ind w:left="720" w:firstLine="720"/>
        <w:rPr>
          <w:szCs w:val="24"/>
        </w:rPr>
      </w:pPr>
      <w:r w:rsidRPr="0013104B">
        <w:rPr>
          <w:szCs w:val="24"/>
        </w:rPr>
        <w:t>(ii)</w:t>
      </w:r>
      <w:r w:rsidRPr="0013104B">
        <w:rPr>
          <w:szCs w:val="24"/>
        </w:rPr>
        <w:tab/>
        <w:t>Net Positive Exposure of approved CRR Bilateral Trades; plus</w:t>
      </w:r>
    </w:p>
    <w:p w14:paraId="16ED4136" w14:textId="77777777" w:rsidR="005C04D0" w:rsidRPr="0013104B" w:rsidRDefault="005C04D0" w:rsidP="005C04D0">
      <w:pPr>
        <w:spacing w:after="240"/>
        <w:ind w:left="2160" w:hanging="720"/>
        <w:rPr>
          <w:szCs w:val="24"/>
        </w:rPr>
      </w:pPr>
      <w:r w:rsidRPr="0013104B">
        <w:rPr>
          <w:szCs w:val="24"/>
        </w:rPr>
        <w:t>(iii)</w:t>
      </w:r>
      <w:r w:rsidRPr="0013104B">
        <w:rPr>
          <w:szCs w:val="24"/>
        </w:rPr>
        <w:tab/>
        <w:t>ACL locked for CRR Auction, if any; and</w:t>
      </w:r>
    </w:p>
    <w:p w14:paraId="26EB6087" w14:textId="77777777" w:rsidR="005C04D0" w:rsidRPr="0013104B" w:rsidRDefault="005C04D0" w:rsidP="005C04D0">
      <w:pPr>
        <w:spacing w:after="240"/>
        <w:ind w:left="1440" w:hanging="720"/>
        <w:rPr>
          <w:szCs w:val="24"/>
        </w:rPr>
      </w:pPr>
      <w:r w:rsidRPr="0013104B">
        <w:rPr>
          <w:szCs w:val="24"/>
        </w:rPr>
        <w:t>(b)</w:t>
      </w:r>
      <w:r w:rsidRPr="0013104B">
        <w:rPr>
          <w:szCs w:val="24"/>
        </w:rPr>
        <w:tab/>
        <w:t>Remainder Collateral in an amount equal to or greater than that Counter-Party’s TPEA.</w:t>
      </w:r>
    </w:p>
    <w:p w14:paraId="2EE2DF74" w14:textId="77777777" w:rsidR="005C04D0" w:rsidRPr="0013104B" w:rsidRDefault="005C04D0" w:rsidP="005C04D0">
      <w:pPr>
        <w:spacing w:after="240"/>
        <w:ind w:left="720" w:hanging="720"/>
        <w:rPr>
          <w:szCs w:val="24"/>
        </w:rPr>
      </w:pPr>
      <w:r w:rsidRPr="0013104B">
        <w:rPr>
          <w:szCs w:val="24"/>
        </w:rPr>
        <w:t>(3)</w:t>
      </w:r>
      <w:r w:rsidRPr="0013104B">
        <w:rPr>
          <w:szCs w:val="24"/>
        </w:rPr>
        <w:tab/>
        <w:t xml:space="preserve">ERCOT shall promptly notify each Counter-Party of the need to increase its Financial Security and allow the Counter-Party time, as defined in paragraph (6)(a) below, to provide additional Financial Security to maintain compliance with this Section. </w:t>
      </w:r>
    </w:p>
    <w:p w14:paraId="50A338C3" w14:textId="77777777" w:rsidR="005C04D0" w:rsidRPr="0013104B" w:rsidRDefault="005C04D0" w:rsidP="005C04D0">
      <w:pPr>
        <w:spacing w:after="240"/>
        <w:ind w:left="720" w:hanging="720"/>
        <w:rPr>
          <w:szCs w:val="24"/>
        </w:rPr>
      </w:pPr>
      <w:r w:rsidRPr="0013104B">
        <w:rPr>
          <w:szCs w:val="24"/>
        </w:rPr>
        <w:t>(4)</w:t>
      </w:r>
      <w:r w:rsidRPr="0013104B">
        <w:rPr>
          <w:szCs w:val="24"/>
        </w:rPr>
        <w:tab/>
        <w:t xml:space="preserve">When either the Counter-Party’s TPEA or TPES as defined in Section 16.11.4, Determination and Monitoring of Counter-Party Credit Exposure, reaches 90% of its requirement, ERCOT shall use reasonable efforts to electronically issue a warning to the </w:t>
      </w:r>
      <w:r w:rsidRPr="0013104B">
        <w:rPr>
          <w:szCs w:val="24"/>
        </w:rPr>
        <w:lastRenderedPageBreak/>
        <w:t>Counter-Party’s Authorized Representative and credit contact advising the Counter-Party that it should consider increasing its Financial Security.  However, failure to issue that warning does not prevent ERCOT from exercising any of its other rights under this Section.</w:t>
      </w:r>
    </w:p>
    <w:p w14:paraId="20C55F97" w14:textId="77777777" w:rsidR="005C04D0" w:rsidRPr="0013104B" w:rsidRDefault="005C04D0" w:rsidP="005C04D0">
      <w:pPr>
        <w:spacing w:after="240"/>
        <w:ind w:left="720" w:hanging="720"/>
        <w:rPr>
          <w:szCs w:val="24"/>
        </w:rPr>
      </w:pPr>
      <w:r w:rsidRPr="0013104B">
        <w:rPr>
          <w:szCs w:val="24"/>
        </w:rPr>
        <w:t>(5)</w:t>
      </w:r>
      <w:r w:rsidRPr="0013104B">
        <w:rPr>
          <w:szCs w:val="24"/>
        </w:rPr>
        <w:tab/>
        <w:t>ERCOT may suspend a Counter-Party when:</w:t>
      </w:r>
    </w:p>
    <w:p w14:paraId="4EF0FA06" w14:textId="77777777" w:rsidR="005C04D0" w:rsidRPr="0013104B" w:rsidRDefault="005C04D0" w:rsidP="005C04D0">
      <w:pPr>
        <w:spacing w:after="240"/>
        <w:ind w:left="1440" w:hanging="720"/>
        <w:rPr>
          <w:szCs w:val="24"/>
        </w:rPr>
      </w:pPr>
      <w:r w:rsidRPr="0013104B">
        <w:rPr>
          <w:szCs w:val="24"/>
        </w:rPr>
        <w:t>(a)</w:t>
      </w:r>
      <w:r w:rsidRPr="0013104B">
        <w:rPr>
          <w:szCs w:val="24"/>
        </w:rPr>
        <w:tab/>
        <w:t>That Counter-Party’s TPES as defined in Section 16.11.4, equals or exceeds 100% of its Financial Security; or</w:t>
      </w:r>
    </w:p>
    <w:p w14:paraId="0DB48DAD" w14:textId="77777777" w:rsidR="005C04D0" w:rsidRPr="0013104B" w:rsidRDefault="005C04D0" w:rsidP="005C04D0">
      <w:pPr>
        <w:spacing w:after="240"/>
        <w:ind w:left="1440" w:hanging="720"/>
        <w:rPr>
          <w:szCs w:val="24"/>
        </w:rPr>
      </w:pPr>
      <w:r w:rsidRPr="0013104B">
        <w:rPr>
          <w:szCs w:val="24"/>
        </w:rPr>
        <w:t>(b)</w:t>
      </w:r>
      <w:r w:rsidRPr="0013104B">
        <w:rPr>
          <w:szCs w:val="24"/>
        </w:rPr>
        <w:tab/>
        <w:t xml:space="preserve">That Counter-Party’s TPEA as defined in Section 16.11.4 equals or exceeds 100% of its Remainder Collateral. </w:t>
      </w:r>
    </w:p>
    <w:p w14:paraId="62ABE2FD" w14:textId="77777777" w:rsidR="005C04D0" w:rsidRPr="0013104B" w:rsidRDefault="005C04D0" w:rsidP="005C04D0">
      <w:pPr>
        <w:spacing w:after="240"/>
        <w:ind w:left="720"/>
        <w:rPr>
          <w:szCs w:val="24"/>
        </w:rPr>
      </w:pPr>
      <w:r w:rsidRPr="0013104B">
        <w:rPr>
          <w:szCs w:val="24"/>
        </w:rPr>
        <w:t xml:space="preserve">The Counter-Party is responsible at all times for managing its activity within both its TPEA and its TPES or increasing its Financial Security to avoid reaching its limits.  Any failure by ERCOT to send a Notice as set forth in this Section does not relieve the Counter-Party from the obligation to maintain appropriate Financial Security in amounts equal to or greater than that Counter-Party’s TPES and TPEA as defined in Section 16.11.4. </w:t>
      </w:r>
    </w:p>
    <w:p w14:paraId="772FE623" w14:textId="77777777" w:rsidR="005C04D0" w:rsidRPr="0013104B" w:rsidRDefault="005C04D0" w:rsidP="005C04D0">
      <w:pPr>
        <w:spacing w:after="240"/>
        <w:ind w:left="720" w:hanging="720"/>
        <w:rPr>
          <w:szCs w:val="24"/>
        </w:rPr>
      </w:pPr>
      <w:r w:rsidRPr="0013104B">
        <w:rPr>
          <w:szCs w:val="24"/>
        </w:rPr>
        <w:t>(6)</w:t>
      </w:r>
      <w:r w:rsidRPr="0013104B">
        <w:rPr>
          <w:szCs w:val="24"/>
        </w:rPr>
        <w:tab/>
        <w:t>To the extent that a Counter-Party fails to maintain Financial Security in amounts equal to or greater than its TPES or Remainder Collateral in amounts equal to or greater than its TPEA, each as defined in Section 16.11.4:</w:t>
      </w:r>
    </w:p>
    <w:p w14:paraId="039CD1F1" w14:textId="77777777" w:rsidR="005C04D0" w:rsidRPr="0013104B" w:rsidRDefault="005C04D0" w:rsidP="005C04D0">
      <w:pPr>
        <w:spacing w:after="240"/>
        <w:ind w:left="1440" w:hanging="720"/>
      </w:pPr>
      <w:r w:rsidRPr="0013104B">
        <w:t>(a)</w:t>
      </w:r>
      <w:r w:rsidRPr="0013104B">
        <w:tab/>
        <w:t xml:space="preserve">ERCOT shall promptly notify the Counter-Party of the amount by which its Financial Security must be increased and allow it: </w:t>
      </w:r>
    </w:p>
    <w:p w14:paraId="322EBC87" w14:textId="77777777" w:rsidR="005C04D0" w:rsidRPr="0013104B" w:rsidRDefault="005C04D0" w:rsidP="005C04D0">
      <w:pPr>
        <w:spacing w:after="240"/>
        <w:ind w:left="2160" w:hanging="720"/>
      </w:pPr>
      <w:r w:rsidRPr="0013104B">
        <w:t>(i)</w:t>
      </w:r>
      <w:r w:rsidRPr="0013104B">
        <w:tab/>
        <w:t xml:space="preserve">Until 1500 on the second Bank Business Day from the date on which ERCOT delivered the Notice to increase its Financial Security if ERCOT delivered its Notice before 1500; or </w:t>
      </w:r>
    </w:p>
    <w:p w14:paraId="460366CD" w14:textId="77777777" w:rsidR="005C04D0" w:rsidRPr="0013104B" w:rsidRDefault="005C04D0" w:rsidP="005C04D0">
      <w:pPr>
        <w:spacing w:after="240"/>
        <w:ind w:left="2160" w:hanging="720"/>
      </w:pPr>
      <w:r w:rsidRPr="0013104B">
        <w:t>(ii)</w:t>
      </w:r>
      <w:r w:rsidRPr="0013104B">
        <w:tab/>
        <w:t xml:space="preserve">Until 1700 on the second Bank Business Day from the date on which ERCOT delivered Notification to increase its Financial Security if ERCOT delivered its Notice after 1500 but prior to 1700.  </w:t>
      </w:r>
    </w:p>
    <w:p w14:paraId="0B8BA58F" w14:textId="77777777" w:rsidR="005C04D0" w:rsidRPr="0013104B" w:rsidRDefault="005C04D0" w:rsidP="00373358">
      <w:pPr>
        <w:spacing w:after="240"/>
        <w:ind w:left="1440"/>
      </w:pPr>
      <w:r w:rsidRPr="0013104B">
        <w:t>ERCOT shall notify the QSE’s Authorized Representative(s) and Credit Contact if it has not received the required security by 1530 on the Bank Business Day on which the security was due; however, failure to notify the Counter-Party’s representatives or contact that the required security was not received does not prevent ERCOT from exercising any of its other rights under this Section.</w:t>
      </w:r>
    </w:p>
    <w:p w14:paraId="075B25AF" w14:textId="77777777" w:rsidR="005C04D0" w:rsidRPr="0013104B" w:rsidRDefault="005C04D0" w:rsidP="005C04D0">
      <w:pPr>
        <w:spacing w:after="240"/>
        <w:ind w:left="1440" w:hanging="720"/>
      </w:pPr>
      <w:r w:rsidRPr="0013104B">
        <w:t>(b)</w:t>
      </w:r>
      <w:r w:rsidRPr="0013104B">
        <w:tab/>
        <w:t xml:space="preserve">At the same time ERCOT notifies the Counter-Party that is the QSE, ERCOT may notify each LSE and Resource represented by the Counter-Party that the LSE or Resource may be required to designate a new QSE if its current QSE fails to increase its Financial Security. </w:t>
      </w:r>
    </w:p>
    <w:p w14:paraId="4EC17008" w14:textId="77777777" w:rsidR="005C04D0" w:rsidRPr="0013104B" w:rsidRDefault="005C04D0" w:rsidP="005C04D0">
      <w:pPr>
        <w:spacing w:after="240"/>
        <w:ind w:left="1440" w:hanging="720"/>
      </w:pPr>
      <w:r w:rsidRPr="0013104B">
        <w:t>(c)</w:t>
      </w:r>
      <w:r w:rsidRPr="0013104B">
        <w:tab/>
        <w:t xml:space="preserve">ERCOT is not required to make any payment to that Counter-Party unless and until the Counter-Party increases its Financial Security.  The payments that </w:t>
      </w:r>
      <w:r w:rsidRPr="0013104B">
        <w:lastRenderedPageBreak/>
        <w:t xml:space="preserve">ERCOT will not make to a Counter-Party include Invoice receipts, CRR revenues, </w:t>
      </w:r>
      <w:smartTag w:uri="urn:schemas-microsoft-com:office:smarttags" w:element="stockticker">
        <w:r w:rsidRPr="0013104B">
          <w:t>CRR</w:t>
        </w:r>
      </w:smartTag>
      <w:r w:rsidRPr="0013104B">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6DF3CB5B" w14:textId="77777777" w:rsidR="005C04D0" w:rsidRPr="0013104B" w:rsidRDefault="005C04D0" w:rsidP="005C04D0">
      <w:pPr>
        <w:spacing w:after="240"/>
        <w:ind w:left="1440" w:hanging="720"/>
      </w:pPr>
      <w:r w:rsidRPr="0013104B">
        <w:t>(d)</w:t>
      </w:r>
      <w:r w:rsidRPr="0013104B">
        <w:tab/>
        <w:t>ERCOT may reject any bids or offers in a CRR Auction from the Counter-Party until it has increased its Financial Security.  ERCOT may reject any bids or offers from the Counter-Party in the DAM until it has increased its Financial Security.</w:t>
      </w:r>
    </w:p>
    <w:p w14:paraId="3CCD43D7" w14:textId="77777777" w:rsidR="005C04D0" w:rsidRPr="0013104B" w:rsidRDefault="005C04D0" w:rsidP="005C04D0">
      <w:pPr>
        <w:spacing w:after="240"/>
        <w:ind w:left="720" w:hanging="720"/>
      </w:pPr>
      <w:r w:rsidRPr="0013104B">
        <w:t>(7)</w:t>
      </w:r>
      <w:r w:rsidRPr="0013104B">
        <w:tab/>
        <w:t>If a Counter-Party increases its Financial Security as required by ERCOT by the deadline in paragraph (6)(a) above, then ERCOT may notify each LSE and Resource represented by the Counter-Party.</w:t>
      </w:r>
    </w:p>
    <w:p w14:paraId="19ADD099" w14:textId="77777777" w:rsidR="005C04D0" w:rsidRDefault="005C04D0" w:rsidP="005C04D0">
      <w:pPr>
        <w:pStyle w:val="BodyTextNumbered"/>
      </w:pPr>
      <w:r w:rsidRPr="0013104B">
        <w:t>(8)</w:t>
      </w:r>
      <w:r w:rsidRPr="0013104B">
        <w:tab/>
        <w:t>If a Counter-Party increases its Financial Security as required by ERCOT by the deadline in paragraph (6)(a) above, then ERCOT shall release any payments held.</w:t>
      </w:r>
    </w:p>
    <w:p w14:paraId="1C32E8C1" w14:textId="77777777" w:rsidR="00F56ABB" w:rsidRDefault="00727E32" w:rsidP="00FB1643">
      <w:pPr>
        <w:pStyle w:val="H3"/>
      </w:pPr>
      <w:bookmarkStart w:id="554" w:name="_Toc390438976"/>
      <w:bookmarkStart w:id="555" w:name="_Toc405897674"/>
      <w:bookmarkStart w:id="556" w:name="_Toc415055778"/>
      <w:bookmarkStart w:id="557" w:name="_Toc415055904"/>
      <w:bookmarkStart w:id="558" w:name="_Toc415056003"/>
      <w:bookmarkStart w:id="559" w:name="_Toc415056104"/>
      <w:bookmarkStart w:id="560" w:name="_Toc175159176"/>
      <w:r>
        <w:t>16.11.6</w:t>
      </w:r>
      <w:r>
        <w:tab/>
        <w:t>Payment Breach and Late Payments by Market Participants</w:t>
      </w:r>
      <w:bookmarkEnd w:id="554"/>
      <w:bookmarkEnd w:id="555"/>
      <w:bookmarkEnd w:id="556"/>
      <w:bookmarkEnd w:id="557"/>
      <w:bookmarkEnd w:id="558"/>
      <w:bookmarkEnd w:id="559"/>
      <w:bookmarkEnd w:id="560"/>
    </w:p>
    <w:p w14:paraId="6817ED95" w14:textId="3F7C5DD6" w:rsidR="00FC1C5F" w:rsidRDefault="00727E32">
      <w:pPr>
        <w:pStyle w:val="BodyTextNumbered"/>
      </w:pPr>
      <w:r>
        <w:t>(1)</w:t>
      </w:r>
      <w:r>
        <w:tab/>
        <w:t xml:space="preserve">It is the sole responsibility of each Market Participant to ensure that the full amounts due to ERCOT, or its designee, if applicable, by that Market Participant, </w:t>
      </w:r>
      <w:r w:rsidR="002F409F">
        <w:t>are</w:t>
      </w:r>
      <w:r>
        <w:t xml:space="preserve"> paid to ERCOT by </w:t>
      </w:r>
      <w:r w:rsidR="002F409F">
        <w:t>the applicable time and date specified in the Protocols.  If no time is specified in the Protocols for a particular type of payment, then payment must be made by the close of the Bank Business Day on which payment is due</w:t>
      </w:r>
      <w:r>
        <w:t xml:space="preserve">. </w:t>
      </w:r>
    </w:p>
    <w:p w14:paraId="7902532E" w14:textId="2128BDD6" w:rsidR="00FC1C5F" w:rsidRDefault="00727E32">
      <w:pPr>
        <w:pStyle w:val="BodyTextNumbered"/>
      </w:pPr>
      <w:r>
        <w:t>(2)</w:t>
      </w:r>
      <w:r>
        <w:tab/>
        <w:t xml:space="preserve">If a Market Participant </w:t>
      </w:r>
      <w:r>
        <w:rPr>
          <w:color w:val="000000"/>
        </w:rPr>
        <w:t xml:space="preserve">receives separate Invoices for Subordinate QSE or various </w:t>
      </w:r>
      <w:smartTag w:uri="urn:schemas-microsoft-com:office:smarttags" w:element="stockticker">
        <w:r>
          <w:rPr>
            <w:color w:val="000000"/>
          </w:rPr>
          <w:t>CRR</w:t>
        </w:r>
      </w:smartTag>
      <w:r>
        <w:rPr>
          <w:color w:val="000000"/>
        </w:rPr>
        <w:t xml:space="preserve"> Account Holder activity,</w:t>
      </w:r>
      <w:r>
        <w:t xml:space="preserve"> netting by the Market Participant of the amounts due to ERCOT with amounts due to the Market Participant among those Invoices for payment purposes is not permitted.  The amounts due to ERCOT on the separate Invoices for each Market Participant must be paid by the </w:t>
      </w:r>
      <w:r w:rsidR="002F409F">
        <w:t>applicable time and date specified in the Protocols</w:t>
      </w:r>
      <w:r>
        <w:t>.  If a Market Participant does not pay the full amount due to ERCOT for all such Invoices by the required time, ERCOT shall deduct any and all amounts due and unpaid from any amounts due to the same Market Participant before allocating short payments to other Market Participants.</w:t>
      </w:r>
    </w:p>
    <w:p w14:paraId="693DF4AF" w14:textId="07A1BD55" w:rsidR="00FC1C5F" w:rsidRDefault="00727E32">
      <w:pPr>
        <w:pStyle w:val="BodyTextNumbered"/>
      </w:pPr>
      <w:r>
        <w:t>(3)</w:t>
      </w:r>
      <w:r>
        <w:tab/>
      </w:r>
      <w:r w:rsidR="006B2812" w:rsidRPr="007F3EB6">
        <w:t xml:space="preserve">The failure of a Market Participant to pay when due any payment or Financial Security obligation owed to ERCOT or its designee, if applicable, under any </w:t>
      </w:r>
      <w:r w:rsidR="002F409F">
        <w:t>A</w:t>
      </w:r>
      <w:r w:rsidR="006B2812" w:rsidRPr="007F3EB6">
        <w:t xml:space="preserve">greement with ERCOT, is a Late Payment and constitutes an event of Payment Breach.  For purposes of designating a Late Payment, ERCOT shall consider multiple Invoices unpaid when due on a single Business Day by a single Market Participant as constituting one Late Payment.  Any Payment Breach by a Market Participant under any agreement with ERCOT is a Default under all other agreements between ERCOT and the Market Participant unless cured within one Bank Business Day after ERCOT delivers to the Market Participant written notice of the Payment Breach.  </w:t>
      </w:r>
    </w:p>
    <w:p w14:paraId="08E0C9D9" w14:textId="6BBE7AC4" w:rsidR="00FC1C5F" w:rsidRDefault="00727E32" w:rsidP="00FC544E">
      <w:pPr>
        <w:pStyle w:val="BodyTextNumbered"/>
      </w:pPr>
      <w:r>
        <w:lastRenderedPageBreak/>
        <w:t>(4)</w:t>
      </w:r>
      <w:r>
        <w:tab/>
      </w:r>
      <w:r w:rsidR="006B2812" w:rsidRPr="007F3EB6">
        <w:t xml:space="preserve">Upon a Payment Breach, ERCOT shall immediately attempt to contact the Market Participant’s Authorized Representative and/or Credit Contact </w:t>
      </w:r>
      <w:r w:rsidR="002F409F">
        <w:t>named in the Counter-Party Credit Application</w:t>
      </w:r>
      <w:r w:rsidR="002F409F" w:rsidRPr="007F3EB6">
        <w:t xml:space="preserve"> </w:t>
      </w:r>
      <w:r w:rsidR="006B2812" w:rsidRPr="007F3EB6">
        <w:t xml:space="preserve">telephonically to inform the Market Participant of the Payment Breach, and demand payment of the past due amount. ERCOT shall also provide the Market Participant with written notice of the Payment Breach via email.  Upon a Payment Breach, ERCOT may impose remedies for Payment Breach, as set forth in Section 16.11.6.1, ERCOT’s Remedies, in addition to any other rights or remedies ERCOT has under any agreement, these Protocols or at common law.  </w:t>
      </w:r>
    </w:p>
    <w:p w14:paraId="441E35F5" w14:textId="65859C21" w:rsidR="002F409F" w:rsidRDefault="006B2812" w:rsidP="002F409F">
      <w:pPr>
        <w:pStyle w:val="BodyTextNumbered"/>
      </w:pPr>
      <w:bookmarkStart w:id="561" w:name="_Toc415055779"/>
      <w:bookmarkStart w:id="562" w:name="_Toc415055905"/>
      <w:bookmarkStart w:id="563" w:name="_Toc415056004"/>
      <w:bookmarkStart w:id="564" w:name="_Toc390438977"/>
      <w:bookmarkStart w:id="565" w:name="_Toc405897675"/>
      <w:r w:rsidRPr="000B62BB">
        <w:t>(5)</w:t>
      </w:r>
      <w:r w:rsidRPr="000B62BB">
        <w:tab/>
        <w:t xml:space="preserve">If a Market Participant makes a payment </w:t>
      </w:r>
      <w:r w:rsidR="002F409F">
        <w:t>(</w:t>
      </w:r>
      <w:r w:rsidRPr="000B62BB">
        <w:t>or a partial payment</w:t>
      </w:r>
      <w:r w:rsidR="002F409F">
        <w:t>,</w:t>
      </w:r>
      <w:r w:rsidRPr="000B62BB">
        <w:t xml:space="preserve"> </w:t>
      </w:r>
      <w:r w:rsidR="002F409F">
        <w:t>if</w:t>
      </w:r>
      <w:r w:rsidRPr="000B62BB">
        <w:t xml:space="preserve"> allowed by these Protocols</w:t>
      </w:r>
      <w:r w:rsidR="002F409F">
        <w:t>)</w:t>
      </w:r>
      <w:r w:rsidRPr="000B62BB">
        <w:t xml:space="preserve"> or </w:t>
      </w:r>
      <w:r w:rsidR="002F409F">
        <w:t xml:space="preserve">satisfies </w:t>
      </w:r>
      <w:r w:rsidRPr="000B62BB">
        <w:t xml:space="preserve">a collateral call to ERCOT after the </w:t>
      </w:r>
      <w:r w:rsidR="002F409F">
        <w:t xml:space="preserve">required </w:t>
      </w:r>
      <w:r w:rsidRPr="000B62BB">
        <w:t xml:space="preserve">due date and time, or if a short-paid Invoice is settled by a draw on available security greater than the amount of Market Participant’s cash collateral held in excess of that required </w:t>
      </w:r>
      <w:r w:rsidRPr="00B7034E">
        <w:t xml:space="preserve">to cover its TPE (“Excess Collateral”), then that payment </w:t>
      </w:r>
      <w:r w:rsidR="002F409F">
        <w:t>will be deemed</w:t>
      </w:r>
      <w:r w:rsidRPr="00B7034E">
        <w:t xml:space="preserve"> a “Late Payment.”  </w:t>
      </w:r>
    </w:p>
    <w:p w14:paraId="6586710E" w14:textId="5608C122" w:rsidR="002F409F" w:rsidRDefault="002F409F" w:rsidP="002F409F">
      <w:pPr>
        <w:pStyle w:val="BodyTextNumbered"/>
      </w:pPr>
      <w:r>
        <w:t>(6)</w:t>
      </w:r>
      <w:r>
        <w:tab/>
        <w:t>For purposes of assessing if a payment is a Late Payment, the time of receipt of a payment will be determined as follows:</w:t>
      </w:r>
    </w:p>
    <w:p w14:paraId="71AC1474" w14:textId="77777777" w:rsidR="002F409F" w:rsidRDefault="002F409F" w:rsidP="002F409F">
      <w:pPr>
        <w:pStyle w:val="BodyTextNumbered"/>
        <w:ind w:left="1440"/>
      </w:pPr>
      <w:r>
        <w:t>(a)</w:t>
      </w:r>
      <w:r>
        <w:tab/>
        <w:t>For cash payments, the timestamp for when funds are credited to ERCOT’s bank account, or;</w:t>
      </w:r>
    </w:p>
    <w:p w14:paraId="71999555" w14:textId="77777777" w:rsidR="002F409F" w:rsidRDefault="002F409F" w:rsidP="002F409F">
      <w:pPr>
        <w:pStyle w:val="BodyTextNumbered"/>
        <w:ind w:left="1440"/>
      </w:pPr>
      <w:r>
        <w:t>(b)</w:t>
      </w:r>
      <w:r>
        <w:tab/>
        <w:t>For non-cash Financial Security,</w:t>
      </w:r>
    </w:p>
    <w:p w14:paraId="2C02CD00" w14:textId="77777777" w:rsidR="002F409F" w:rsidRDefault="002F409F" w:rsidP="002F409F">
      <w:pPr>
        <w:pStyle w:val="BodyTextNumbered"/>
        <w:ind w:left="2160"/>
      </w:pPr>
      <w:r>
        <w:t>(i)</w:t>
      </w:r>
      <w:r>
        <w:tab/>
        <w:t>The timestamp of the email or facsimile, if the required documentation is delivered to ERCOT by email or facsimile, or;</w:t>
      </w:r>
    </w:p>
    <w:p w14:paraId="027F3ADE" w14:textId="77777777" w:rsidR="002F409F" w:rsidRDefault="002F409F" w:rsidP="002F409F">
      <w:pPr>
        <w:pStyle w:val="BodyTextNumbered"/>
        <w:ind w:left="2160"/>
      </w:pPr>
      <w:r>
        <w:t>(ii)</w:t>
      </w:r>
      <w:r>
        <w:tab/>
        <w:t xml:space="preserve">The timestamp of the delivery receipt, if the required documentation is mailed or physically delivered to ERCOT. </w:t>
      </w:r>
    </w:p>
    <w:p w14:paraId="0E9C5419" w14:textId="77944193" w:rsidR="002F409F" w:rsidRDefault="002F409F" w:rsidP="002F409F">
      <w:pPr>
        <w:pStyle w:val="BodyTextNumbered"/>
      </w:pPr>
      <w:r>
        <w:t>(7)</w:t>
      </w:r>
      <w:r>
        <w:tab/>
      </w:r>
      <w:r w:rsidR="006B2812" w:rsidRPr="00B7034E">
        <w:t xml:space="preserve">ERCOT may, in its sole discretion, and upon a Market Participant’s showing that the failure to pay when due was not within the control of the Market Participant, </w:t>
      </w:r>
      <w:r>
        <w:t>deem that a failure to pay when due was neither a</w:t>
      </w:r>
      <w:r w:rsidR="006B2812" w:rsidRPr="00B7034E">
        <w:t xml:space="preserve"> Payment Breach </w:t>
      </w:r>
      <w:r>
        <w:t>nor</w:t>
      </w:r>
      <w:r w:rsidR="006B2812" w:rsidRPr="00B7034E">
        <w:t xml:space="preserve"> a Late Payment.  </w:t>
      </w:r>
    </w:p>
    <w:p w14:paraId="32AC4F5E" w14:textId="736733FA" w:rsidR="00130D6C" w:rsidRPr="00B7034E" w:rsidRDefault="002F409F" w:rsidP="002F409F">
      <w:pPr>
        <w:pStyle w:val="BodyTextNumbered"/>
      </w:pPr>
      <w:r>
        <w:t>(8)</w:t>
      </w:r>
      <w:r>
        <w:tab/>
      </w:r>
      <w:r w:rsidR="006B2812" w:rsidRPr="00B7034E">
        <w:t>ERCOT shall track the number of Late Payments received from each Market Participant in each rolling 12-month period for purposes of imposing the Late Payment remedies set forth in Section 16.11.6.2</w:t>
      </w:r>
      <w:r w:rsidR="00FC544E" w:rsidRPr="00B7034E">
        <w:t>, ERCOT’s Remedies for Late Payments by a Market Participant</w:t>
      </w:r>
      <w:r w:rsidR="006B2812" w:rsidRPr="00B7034E">
        <w:t>.</w:t>
      </w:r>
      <w:bookmarkEnd w:id="561"/>
      <w:bookmarkEnd w:id="562"/>
      <w:bookmarkEnd w:id="563"/>
    </w:p>
    <w:p w14:paraId="4267E51F" w14:textId="77777777" w:rsidR="00FC1C5F" w:rsidRPr="00D63F95" w:rsidRDefault="00727E32" w:rsidP="0078184C">
      <w:pPr>
        <w:pStyle w:val="H4"/>
        <w:rPr>
          <w:b/>
        </w:rPr>
      </w:pPr>
      <w:bookmarkStart w:id="566" w:name="_Toc415055780"/>
      <w:bookmarkStart w:id="567" w:name="_Toc415055906"/>
      <w:bookmarkStart w:id="568" w:name="_Toc415056005"/>
      <w:bookmarkStart w:id="569" w:name="_Toc415056105"/>
      <w:bookmarkStart w:id="570" w:name="_Toc175159177"/>
      <w:r w:rsidRPr="00D63F95">
        <w:rPr>
          <w:b/>
        </w:rPr>
        <w:t>16.11.6.1</w:t>
      </w:r>
      <w:r w:rsidRPr="00D63F95">
        <w:rPr>
          <w:b/>
        </w:rPr>
        <w:tab/>
        <w:t>ERCOT’s Remedies</w:t>
      </w:r>
      <w:bookmarkEnd w:id="564"/>
      <w:bookmarkEnd w:id="565"/>
      <w:bookmarkEnd w:id="566"/>
      <w:bookmarkEnd w:id="567"/>
      <w:bookmarkEnd w:id="568"/>
      <w:bookmarkEnd w:id="569"/>
      <w:bookmarkEnd w:id="570"/>
      <w:r w:rsidRPr="00D63F95">
        <w:rPr>
          <w:b/>
        </w:rPr>
        <w:t xml:space="preserve"> </w:t>
      </w:r>
    </w:p>
    <w:p w14:paraId="26CDB798" w14:textId="77777777" w:rsidR="00FC1C5F" w:rsidRDefault="00853D39" w:rsidP="003E09AF">
      <w:pPr>
        <w:pStyle w:val="BodyText"/>
        <w:ind w:left="720" w:hanging="720"/>
      </w:pPr>
      <w:r>
        <w:t>(1)</w:t>
      </w:r>
      <w:r>
        <w:tab/>
      </w:r>
      <w:r w:rsidR="006B2812">
        <w:t>In addition to all other remedies that ERCOT has under any agreement, common law or these Protocols, for Payment Breaches or other Defaults by a Market Participant, ERCOT has the following additional remedies.</w:t>
      </w:r>
    </w:p>
    <w:p w14:paraId="3D091A2F" w14:textId="77777777" w:rsidR="00FC1C5F" w:rsidRDefault="00727E32">
      <w:pPr>
        <w:pStyle w:val="H5"/>
      </w:pPr>
      <w:bookmarkStart w:id="571" w:name="_Toc390438978"/>
      <w:bookmarkStart w:id="572" w:name="_Toc405897677"/>
      <w:bookmarkStart w:id="573" w:name="_Toc415055781"/>
      <w:bookmarkStart w:id="574" w:name="_Toc415055907"/>
      <w:bookmarkStart w:id="575" w:name="_Toc415056006"/>
      <w:bookmarkStart w:id="576" w:name="_Toc415056106"/>
      <w:bookmarkStart w:id="577" w:name="_Toc175159178"/>
      <w:r>
        <w:lastRenderedPageBreak/>
        <w:t>16.11.6.1.1</w:t>
      </w:r>
      <w:r>
        <w:tab/>
        <w:t>No Payments by ERCOT to Market Participant</w:t>
      </w:r>
      <w:bookmarkEnd w:id="571"/>
      <w:bookmarkEnd w:id="572"/>
      <w:bookmarkEnd w:id="573"/>
      <w:bookmarkEnd w:id="574"/>
      <w:bookmarkEnd w:id="575"/>
      <w:bookmarkEnd w:id="576"/>
      <w:bookmarkEnd w:id="577"/>
    </w:p>
    <w:p w14:paraId="213E605B" w14:textId="77777777" w:rsidR="00FC1C5F" w:rsidRDefault="00853D39" w:rsidP="003E09AF">
      <w:pPr>
        <w:pStyle w:val="BodyText"/>
        <w:ind w:left="720" w:hanging="720"/>
      </w:pPr>
      <w:r>
        <w:t>(1)</w:t>
      </w:r>
      <w:r>
        <w:tab/>
      </w:r>
      <w:r w:rsidR="006B2812">
        <w:t>ERCOT is not required to make any payment to a Market Participant unless and until the Market Participant satisfies the Payment Breach by paying the past due amount in full, including amounts due under Section 16.11.6.1.3, Aggregate Amount Owed by Breaching Market Participant Immediately Due.  The payments that ERCOT will not make include Invoice receipts, CRR Auction revenues, CRR credits, reimbursements for short payments and any other reimbursements or credits under any and all other agreements between ERCOT and the Market Participant.  ERCOT shall retain all such amounts, and may apply all withheld funds toward the payment of the delinquent amount(s), until the Market Participant has fully paid all amounts owed to ERCOT under any agreements and these Protocols.  If the Market Participant should fail to pay the full amount due within the cure period, ERCOT may apply all funds it withheld toward the payment of the delinquent amount(s).</w:t>
      </w:r>
    </w:p>
    <w:p w14:paraId="71035062" w14:textId="77777777" w:rsidR="00FC1C5F" w:rsidRDefault="00727E32">
      <w:pPr>
        <w:pStyle w:val="H5"/>
      </w:pPr>
      <w:bookmarkStart w:id="578" w:name="_Toc390438979"/>
      <w:bookmarkStart w:id="579" w:name="_Toc405897679"/>
      <w:bookmarkStart w:id="580" w:name="_Toc415055782"/>
      <w:bookmarkStart w:id="581" w:name="_Toc415055908"/>
      <w:bookmarkStart w:id="582" w:name="_Toc415056007"/>
      <w:bookmarkStart w:id="583" w:name="_Toc415056107"/>
      <w:bookmarkStart w:id="584" w:name="_Toc175159179"/>
      <w:r>
        <w:t>16.11.6.1.2</w:t>
      </w:r>
      <w:r>
        <w:tab/>
        <w:t>ERCOT May Draw On, Hold or Distribute Funds</w:t>
      </w:r>
      <w:bookmarkEnd w:id="578"/>
      <w:bookmarkEnd w:id="579"/>
      <w:bookmarkEnd w:id="580"/>
      <w:bookmarkEnd w:id="581"/>
      <w:bookmarkEnd w:id="582"/>
      <w:bookmarkEnd w:id="583"/>
      <w:bookmarkEnd w:id="584"/>
    </w:p>
    <w:p w14:paraId="272FAAD3" w14:textId="77777777" w:rsidR="00FC1C5F" w:rsidRDefault="00853D39" w:rsidP="003E09AF">
      <w:pPr>
        <w:pStyle w:val="BodyText"/>
        <w:ind w:left="720" w:hanging="720"/>
      </w:pPr>
      <w:r>
        <w:t>(1)</w:t>
      </w:r>
      <w:r>
        <w:tab/>
      </w:r>
      <w:r w:rsidR="006B2812">
        <w:t xml:space="preserve">Upon a Payment </w:t>
      </w:r>
      <w:r w:rsidR="006B2812" w:rsidRPr="007F3EB6">
        <w:t>Breach, ERCOT, at its option, without notice to the Market Participant and in its sole discretion, may immediately, or at any time before the Market Participant pays the past due amount in full, including amounts due under Section 16.11.6.1.3, Aggregate Amount Owed by Breaching Market Participant Immediately Due, draw on, hold or distribute to other Market Participants any Financial Security or other funds of the Market Participant in ERCOT’s possession.  If the funds drawn exceed the amount applied to any Payment Breach, then ERCOT may hold those funds as Financial Security.</w:t>
      </w:r>
    </w:p>
    <w:p w14:paraId="6AB937CB" w14:textId="77777777" w:rsidR="00FC1C5F" w:rsidRDefault="00727E32">
      <w:pPr>
        <w:pStyle w:val="H5"/>
      </w:pPr>
      <w:bookmarkStart w:id="585" w:name="_Toc390438980"/>
      <w:bookmarkStart w:id="586" w:name="_Toc405897681"/>
      <w:bookmarkStart w:id="587" w:name="_Toc415055783"/>
      <w:bookmarkStart w:id="588" w:name="_Toc415055909"/>
      <w:bookmarkStart w:id="589" w:name="_Toc415056008"/>
      <w:bookmarkStart w:id="590" w:name="_Toc415056108"/>
      <w:bookmarkStart w:id="591" w:name="_Toc175159180"/>
      <w:r>
        <w:t>16.11.6.1.3</w:t>
      </w:r>
      <w:r>
        <w:tab/>
        <w:t>Aggregate Amount Owed by Breaching Market Participant Immediately Due</w:t>
      </w:r>
      <w:bookmarkEnd w:id="585"/>
      <w:bookmarkEnd w:id="586"/>
      <w:bookmarkEnd w:id="587"/>
      <w:bookmarkEnd w:id="588"/>
      <w:bookmarkEnd w:id="589"/>
      <w:bookmarkEnd w:id="590"/>
      <w:bookmarkEnd w:id="591"/>
    </w:p>
    <w:p w14:paraId="5E9E4A19" w14:textId="77777777" w:rsidR="00FC1C5F" w:rsidRDefault="00853D39" w:rsidP="003E09AF">
      <w:pPr>
        <w:pStyle w:val="BodyText"/>
        <w:ind w:left="720" w:hanging="720"/>
      </w:pPr>
      <w:r>
        <w:t>(1)</w:t>
      </w:r>
      <w:r>
        <w:tab/>
      </w:r>
      <w:r w:rsidR="006B2812" w:rsidRPr="007F3EB6">
        <w:t>ERCOT shall aggregate all amounts due it by the Market Participant under any agreement with ERCOT and these Protocols into a single amount to the fullest extent allowed by law.  The entire unpaid net balance owed to ERCOT by the Market Participant, at ERCOT’s option, and its sole discretion, is immediately due and payable without further notice and demand for payment.  Any such notice and demand for payment are expressly waived by the Market Participant.</w:t>
      </w:r>
    </w:p>
    <w:p w14:paraId="798D9BBD" w14:textId="77777777" w:rsidR="00FC1C5F" w:rsidRDefault="00727E32">
      <w:pPr>
        <w:pStyle w:val="H5"/>
      </w:pPr>
      <w:bookmarkStart w:id="592" w:name="_Toc390438981"/>
      <w:bookmarkStart w:id="593" w:name="_Toc405897683"/>
      <w:bookmarkStart w:id="594" w:name="_Toc415055784"/>
      <w:bookmarkStart w:id="595" w:name="_Toc415055910"/>
      <w:bookmarkStart w:id="596" w:name="_Toc415056009"/>
      <w:bookmarkStart w:id="597" w:name="_Toc415056109"/>
      <w:bookmarkStart w:id="598" w:name="_Toc175159181"/>
      <w:r>
        <w:t>16.11.6.1.4</w:t>
      </w:r>
      <w:r>
        <w:tab/>
        <w:t>Repossession of CRRs by ERCOT</w:t>
      </w:r>
      <w:bookmarkEnd w:id="592"/>
      <w:bookmarkEnd w:id="593"/>
      <w:bookmarkEnd w:id="594"/>
      <w:bookmarkEnd w:id="595"/>
      <w:bookmarkEnd w:id="596"/>
      <w:bookmarkEnd w:id="597"/>
      <w:bookmarkEnd w:id="598"/>
    </w:p>
    <w:p w14:paraId="7CD2B9E7" w14:textId="77777777" w:rsidR="004E603E" w:rsidRDefault="00853D39" w:rsidP="003E09AF">
      <w:pPr>
        <w:pStyle w:val="BodyText"/>
        <w:ind w:left="720" w:hanging="720"/>
      </w:pPr>
      <w:r>
        <w:t>(1)</w:t>
      </w:r>
      <w:r>
        <w:tab/>
      </w:r>
      <w:r w:rsidR="006B2812" w:rsidRPr="002D2785">
        <w:t>ERCOT, at its sole discretion, may repossess CRRs held by a Market Participant with a Payment Breach</w:t>
      </w:r>
      <w:r w:rsidR="00EF495A">
        <w:t xml:space="preserve"> or other Default</w:t>
      </w:r>
      <w:r w:rsidR="006B2812" w:rsidRPr="002D2785">
        <w:t xml:space="preserve">.  ERCOT shall effect that repossession by sending a written notice to the Market Participant of the repossession and by removing the CRRs from the Market Participant’s CRR account.  </w:t>
      </w:r>
      <w:r w:rsidR="00EF495A">
        <w:rPr>
          <w:iCs w:val="0"/>
        </w:rPr>
        <w:t xml:space="preserve">CRRs that settle in the same calendar month as the repossession but subsequent to the effective date of the repossession shall be voided.  The Market Participant will neither be charged, nor entitled to credit, for the voided CRRs in the DAM Settlement.  </w:t>
      </w:r>
      <w:r w:rsidR="006B2812" w:rsidRPr="002D2785">
        <w:t xml:space="preserve">ERCOT shall offer </w:t>
      </w:r>
      <w:r w:rsidR="00EF495A">
        <w:rPr>
          <w:iCs w:val="0"/>
        </w:rPr>
        <w:t>a portfolio of CRRs containing</w:t>
      </w:r>
      <w:r w:rsidR="00EF495A" w:rsidRPr="002D2785">
        <w:t xml:space="preserve"> </w:t>
      </w:r>
      <w:r w:rsidR="006B2812" w:rsidRPr="002D2785">
        <w:t>all of th</w:t>
      </w:r>
      <w:r w:rsidR="00EF495A">
        <w:t>e</w:t>
      </w:r>
      <w:r w:rsidR="006B2812" w:rsidRPr="002D2785">
        <w:t xml:space="preserve"> </w:t>
      </w:r>
      <w:r w:rsidR="00EF495A">
        <w:rPr>
          <w:iCs w:val="0"/>
        </w:rPr>
        <w:t>remaining unvoided</w:t>
      </w:r>
      <w:r w:rsidR="00EF495A" w:rsidRPr="002D2785">
        <w:t xml:space="preserve"> </w:t>
      </w:r>
      <w:r w:rsidR="006B2812" w:rsidRPr="002D2785">
        <w:t xml:space="preserve">repossessed CRRs, with each repossessed CRR in its existing configuration, in a one-time auction to Market Participants (other than the </w:t>
      </w:r>
      <w:r w:rsidR="006B2812" w:rsidRPr="002D2785">
        <w:lastRenderedPageBreak/>
        <w:t>Market Participant(s) in Payment Breach</w:t>
      </w:r>
      <w:r w:rsidR="00EF495A" w:rsidRPr="00EF495A">
        <w:rPr>
          <w:iCs w:val="0"/>
        </w:rPr>
        <w:t xml:space="preserve"> </w:t>
      </w:r>
      <w:r w:rsidR="00EF495A">
        <w:rPr>
          <w:iCs w:val="0"/>
        </w:rPr>
        <w:t>or other Default</w:t>
      </w:r>
      <w:r w:rsidR="006B2812" w:rsidRPr="002D2785">
        <w:t>) for sale to the highest bidder</w:t>
      </w:r>
      <w:r w:rsidR="00EF495A" w:rsidRPr="00EF495A">
        <w:rPr>
          <w:iCs w:val="0"/>
        </w:rPr>
        <w:t xml:space="preserve"> </w:t>
      </w:r>
      <w:r w:rsidR="00EF495A">
        <w:rPr>
          <w:iCs w:val="0"/>
        </w:rPr>
        <w:t>with a positive bid price for the entire portfolio</w:t>
      </w:r>
      <w:r w:rsidR="006B2812" w:rsidRPr="002D2785">
        <w:t xml:space="preserve">.  </w:t>
      </w:r>
      <w:r w:rsidR="00EF495A">
        <w:rPr>
          <w:iCs w:val="0"/>
        </w:rPr>
        <w:t xml:space="preserve">PTP Options with Refund and PTP Obligations with Refund will be voided and will not be included in the portfolio of repossessed CRRs available in the one-time auction.  </w:t>
      </w:r>
      <w:r w:rsidR="006B2812" w:rsidRPr="002D2785">
        <w:t xml:space="preserve">ERCOT shall offset net revenues from that sale against amounts owed to ERCOT by the Market Participant.  </w:t>
      </w:r>
      <w:r w:rsidR="00EF495A">
        <w:t xml:space="preserve">If revenues from the sale exceed amounts owed to ERCOT then the excess shall be remitted to the Market Participant.  </w:t>
      </w:r>
      <w:r w:rsidR="006B2812" w:rsidRPr="002D2785">
        <w:t xml:space="preserve">If ERCOT receives no </w:t>
      </w:r>
      <w:r w:rsidR="00EF495A">
        <w:t xml:space="preserve">positive </w:t>
      </w:r>
      <w:r w:rsidR="006B2812" w:rsidRPr="002D2785">
        <w:t xml:space="preserve">bids for </w:t>
      </w:r>
      <w:r w:rsidR="00EF495A">
        <w:rPr>
          <w:iCs w:val="0"/>
        </w:rPr>
        <w:t xml:space="preserve">the portfolio of </w:t>
      </w:r>
      <w:r w:rsidR="006B2812" w:rsidRPr="002D2785">
        <w:t>CRR</w:t>
      </w:r>
      <w:r w:rsidR="00EF495A">
        <w:t>s</w:t>
      </w:r>
      <w:r w:rsidR="006B2812" w:rsidRPr="002D2785">
        <w:t xml:space="preserve"> in th</w:t>
      </w:r>
      <w:r w:rsidR="00EF495A">
        <w:t>e</w:t>
      </w:r>
      <w:r w:rsidR="006B2812" w:rsidRPr="002D2785">
        <w:t xml:space="preserve"> </w:t>
      </w:r>
      <w:r w:rsidR="00EF495A">
        <w:t xml:space="preserve">one-time </w:t>
      </w:r>
      <w:r w:rsidR="006B2812" w:rsidRPr="002D2785">
        <w:t xml:space="preserve">auction, ERCOT shall void </w:t>
      </w:r>
      <w:r w:rsidR="00EF495A">
        <w:rPr>
          <w:iCs w:val="0"/>
        </w:rPr>
        <w:t xml:space="preserve">all of </w:t>
      </w:r>
      <w:r w:rsidR="006B2812" w:rsidRPr="002D2785">
        <w:t xml:space="preserve">the </w:t>
      </w:r>
      <w:r w:rsidR="00EF495A">
        <w:rPr>
          <w:iCs w:val="0"/>
        </w:rPr>
        <w:t>repossessed</w:t>
      </w:r>
      <w:r w:rsidR="00EF495A" w:rsidRPr="002D2785">
        <w:t xml:space="preserve"> </w:t>
      </w:r>
      <w:r w:rsidR="006B2812" w:rsidRPr="002D2785">
        <w:t>CRR</w:t>
      </w:r>
      <w:r w:rsidR="00EF495A">
        <w:t>s</w:t>
      </w:r>
      <w:r w:rsidR="006B2812" w:rsidRPr="002D2785">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6055D1F4" w14:textId="77777777" w:rsidTr="004E603E">
        <w:tc>
          <w:tcPr>
            <w:tcW w:w="9558" w:type="dxa"/>
            <w:shd w:val="pct12" w:color="auto" w:fill="auto"/>
          </w:tcPr>
          <w:p w14:paraId="3B32C8EE" w14:textId="07CE042D" w:rsidR="004E603E" w:rsidRPr="0002450E" w:rsidRDefault="004E603E" w:rsidP="004E603E">
            <w:pPr>
              <w:pStyle w:val="Instructions"/>
              <w:spacing w:before="120"/>
              <w:rPr>
                <w:iCs/>
              </w:rPr>
            </w:pPr>
            <w:r>
              <w:rPr>
                <w:iCs/>
              </w:rPr>
              <w:t>[NPRR1023</w:t>
            </w:r>
            <w:r w:rsidRPr="0002450E">
              <w:rPr>
                <w:iCs/>
              </w:rPr>
              <w:t xml:space="preserve">:  Replace </w:t>
            </w:r>
            <w:r>
              <w:rPr>
                <w:iCs/>
              </w:rPr>
              <w:t xml:space="preserve">paragraph (1) </w:t>
            </w:r>
            <w:r w:rsidRPr="0002450E">
              <w:rPr>
                <w:iCs/>
              </w:rPr>
              <w:t xml:space="preserve">above with the following upon system implementation:] </w:t>
            </w:r>
          </w:p>
          <w:p w14:paraId="26532F99" w14:textId="11B9EB51" w:rsidR="004E603E" w:rsidRPr="008D69E1" w:rsidRDefault="004E603E" w:rsidP="004E603E">
            <w:pPr>
              <w:pStyle w:val="BodyText"/>
              <w:ind w:left="720" w:hanging="720"/>
            </w:pPr>
            <w:r>
              <w:t>(1)</w:t>
            </w:r>
            <w:r>
              <w:tab/>
            </w:r>
            <w:r w:rsidRPr="002D2785">
              <w:t xml:space="preserve">ERCOT, at its sole discretion, may repossess CRRs held by a Market Participant </w:t>
            </w:r>
            <w:r>
              <w:t>in</w:t>
            </w:r>
            <w:r w:rsidRPr="002D2785">
              <w:t xml:space="preserve"> </w:t>
            </w:r>
            <w:r>
              <w:t>Default under an Agreement with ERCOT</w:t>
            </w:r>
            <w:r w:rsidRPr="002D2785">
              <w:t xml:space="preserve">.  ERCOT shall effect that repossession by sending a written notice to the Market Participant of the repossession and by removing the Market Participant’s </w:t>
            </w:r>
            <w:r>
              <w:t>access to the repossessed CRRs.</w:t>
            </w:r>
            <w:r w:rsidRPr="002D2785">
              <w:t xml:space="preserve">  </w:t>
            </w:r>
            <w:r>
              <w:t>The repossessed CRRs will be handled as specified in Section 16.11.6.1.6, Liquidation of Repossessed or Forfeited CRRs.</w:t>
            </w:r>
          </w:p>
        </w:tc>
      </w:tr>
    </w:tbl>
    <w:p w14:paraId="38377848" w14:textId="77777777" w:rsidR="00FC1C5F" w:rsidRDefault="00727E32" w:rsidP="00974AFC">
      <w:pPr>
        <w:pStyle w:val="H5"/>
        <w:spacing w:before="480"/>
      </w:pPr>
      <w:bookmarkStart w:id="599" w:name="_Toc390438982"/>
      <w:bookmarkStart w:id="600" w:name="_Toc405897685"/>
      <w:bookmarkStart w:id="601" w:name="_Toc415055785"/>
      <w:bookmarkStart w:id="602" w:name="_Toc415055911"/>
      <w:bookmarkStart w:id="603" w:name="_Toc415056010"/>
      <w:bookmarkStart w:id="604" w:name="_Toc415056110"/>
      <w:bookmarkStart w:id="605" w:name="_Toc175159182"/>
      <w:r>
        <w:t>16.11.6.1.5</w:t>
      </w:r>
      <w:r>
        <w:tab/>
        <w:t>Declaration of Forfeit of CRRs</w:t>
      </w:r>
      <w:bookmarkEnd w:id="599"/>
      <w:bookmarkEnd w:id="600"/>
      <w:bookmarkEnd w:id="601"/>
      <w:bookmarkEnd w:id="602"/>
      <w:bookmarkEnd w:id="603"/>
      <w:bookmarkEnd w:id="604"/>
      <w:bookmarkEnd w:id="605"/>
    </w:p>
    <w:p w14:paraId="4D2CE207" w14:textId="77777777" w:rsidR="004E603E" w:rsidRDefault="00727E32">
      <w:pPr>
        <w:pStyle w:val="BodyText"/>
        <w:ind w:left="720" w:hanging="720"/>
      </w:pPr>
      <w:r>
        <w:t>(1)</w:t>
      </w:r>
      <w:r>
        <w:tab/>
        <w:t xml:space="preserve">At ERCOT’s sole discretion, if it does not receive full payment on the due date of a CRR Auction Invoice, may declare any of the CRR bids cleared and Pre-Assigned Congestion Revenue Rights (PCRRs) allocated to the </w:t>
      </w:r>
      <w:r>
        <w:rPr>
          <w:color w:val="000000"/>
        </w:rPr>
        <w:t xml:space="preserve">Market Participant </w:t>
      </w:r>
      <w:r>
        <w:t xml:space="preserve">forfeited. ERCOT shall effect that forfeiture by sending a written notice to the </w:t>
      </w:r>
      <w:r>
        <w:rPr>
          <w:color w:val="000000"/>
        </w:rPr>
        <w:t>Market Participant</w:t>
      </w:r>
      <w:r>
        <w:t xml:space="preserve"> of the forfeiture and of not delivering the CRRs or PCRRs to the </w:t>
      </w:r>
      <w:r>
        <w:rPr>
          <w:color w:val="000000"/>
        </w:rPr>
        <w:t>Market Participant</w:t>
      </w:r>
      <w:r>
        <w:t xml:space="preserve">’s CRR account.  ERCOT shall </w:t>
      </w:r>
      <w:r w:rsidR="00EF495A">
        <w:rPr>
          <w:iCs w:val="0"/>
        </w:rPr>
        <w:t xml:space="preserve">either (a) </w:t>
      </w:r>
      <w:r>
        <w:t xml:space="preserve">offer all forfeited CRRs, with each forfeited CRR in its existing configuration, in a one-time auction to Market Participants (other than the </w:t>
      </w:r>
      <w:r>
        <w:rPr>
          <w:color w:val="000000"/>
        </w:rPr>
        <w:t>Market Participant(s)</w:t>
      </w:r>
      <w:r>
        <w:t xml:space="preserve"> in Payment Breach</w:t>
      </w:r>
      <w:r w:rsidR="00EF495A">
        <w:rPr>
          <w:iCs w:val="0"/>
        </w:rPr>
        <w:t xml:space="preserve"> or other Default</w:t>
      </w:r>
      <w:r>
        <w:t xml:space="preserve">) for sale to the highest bidder </w:t>
      </w:r>
      <w:r w:rsidR="00EF495A">
        <w:rPr>
          <w:iCs w:val="0"/>
        </w:rPr>
        <w:t>with a positive bid price</w:t>
      </w:r>
      <w:r w:rsidR="00EF495A" w:rsidRPr="00646059">
        <w:rPr>
          <w:iCs w:val="0"/>
        </w:rPr>
        <w:t xml:space="preserve"> </w:t>
      </w:r>
      <w:r>
        <w:t xml:space="preserve">or </w:t>
      </w:r>
      <w:r w:rsidR="00EF495A">
        <w:t xml:space="preserve">(b) </w:t>
      </w:r>
      <w:r>
        <w:t xml:space="preserve">ERCOT shall make the related capacity available in subsequent CRR Auctions.  Revenue from that sale shall be considered as CRR Auction revenue and distributed to QSEs based on Load Ratio Share as specified in </w:t>
      </w:r>
      <w:bookmarkStart w:id="606" w:name="_Toc149469980"/>
      <w:r>
        <w:t xml:space="preserve">Section 7.5.7, Method for Distributing </w:t>
      </w:r>
      <w:smartTag w:uri="urn:schemas-microsoft-com:office:smarttags" w:element="stockticker">
        <w:r>
          <w:t>CRR</w:t>
        </w:r>
      </w:smartTag>
      <w:r>
        <w:t xml:space="preserve"> Auction Revenues</w:t>
      </w:r>
      <w:bookmarkEnd w:id="606"/>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62CFD33D" w14:textId="77777777" w:rsidTr="004E603E">
        <w:tc>
          <w:tcPr>
            <w:tcW w:w="9558" w:type="dxa"/>
            <w:shd w:val="pct12" w:color="auto" w:fill="auto"/>
          </w:tcPr>
          <w:p w14:paraId="4DE7FF68" w14:textId="77777777" w:rsidR="004E603E" w:rsidRPr="0002450E" w:rsidRDefault="004E603E" w:rsidP="004E603E">
            <w:pPr>
              <w:pStyle w:val="Instructions"/>
              <w:spacing w:before="120"/>
              <w:rPr>
                <w:iCs/>
              </w:rPr>
            </w:pPr>
            <w:r>
              <w:rPr>
                <w:iCs/>
              </w:rPr>
              <w:t>[NPRR1023</w:t>
            </w:r>
            <w:r w:rsidRPr="0002450E">
              <w:rPr>
                <w:iCs/>
              </w:rPr>
              <w:t xml:space="preserve">:  Replace </w:t>
            </w:r>
            <w:r>
              <w:rPr>
                <w:iCs/>
              </w:rPr>
              <w:t xml:space="preserve">paragraph (1) </w:t>
            </w:r>
            <w:r w:rsidRPr="0002450E">
              <w:rPr>
                <w:iCs/>
              </w:rPr>
              <w:t xml:space="preserve">above with the following upon system implementation:] </w:t>
            </w:r>
          </w:p>
          <w:p w14:paraId="583E22F4" w14:textId="235890D4" w:rsidR="004E603E" w:rsidRPr="008D69E1" w:rsidRDefault="004E603E" w:rsidP="004E603E">
            <w:pPr>
              <w:pStyle w:val="BodyText"/>
              <w:ind w:left="720" w:hanging="720"/>
            </w:pPr>
            <w:r>
              <w:t>(1)</w:t>
            </w:r>
            <w:r>
              <w:tab/>
              <w:t xml:space="preserve">At ERCOT’s sole discretion, if it does not receive full payment on the due date of a CRR Auction Invoice, it may declare any of the CRR bids cleared and Pre-Assigned Congestion Revenue Rights (PCRRs) allocated to the </w:t>
            </w:r>
            <w:r>
              <w:rPr>
                <w:color w:val="000000"/>
              </w:rPr>
              <w:t xml:space="preserve">Market Participant </w:t>
            </w:r>
            <w:r>
              <w:t xml:space="preserve">forfeited. ERCOT shall effect that forfeiture by sending a written Notice to the </w:t>
            </w:r>
            <w:r>
              <w:rPr>
                <w:color w:val="000000"/>
              </w:rPr>
              <w:t>Market Participant</w:t>
            </w:r>
            <w:r>
              <w:t xml:space="preserve"> of the forfeiture and by not delivering the CRRs or PCRRs to the </w:t>
            </w:r>
            <w:r>
              <w:rPr>
                <w:color w:val="000000"/>
              </w:rPr>
              <w:t>Market Participant</w:t>
            </w:r>
            <w:r>
              <w:t>’s CRR account.  The forfeited CRRs or PCRRs will be liquidated as specified in Section 16.11.6.1.6, Liquidation of Repossessed or Forfeited CRRs.</w:t>
            </w:r>
          </w:p>
        </w:tc>
      </w:tr>
    </w:tbl>
    <w:p w14:paraId="13FB18FE" w14:textId="77777777" w:rsidR="00FC1C5F" w:rsidRDefault="00727E32" w:rsidP="00974AFC">
      <w:pPr>
        <w:pStyle w:val="BodyText"/>
        <w:spacing w:before="240"/>
        <w:ind w:left="720" w:hanging="720"/>
      </w:pPr>
      <w:r>
        <w:lastRenderedPageBreak/>
        <w:t>(2)</w:t>
      </w:r>
      <w:r>
        <w:tab/>
        <w:t xml:space="preserve">ERCOT may also, at its sole discretion, honor any of the offers from Market Participants that were cleared in the CRR Auction by removing the CRRs from the Market Participant’s CRR account.  ERCOT shall offset net revenues due to the Market Participant from CRRs offered and cleared against amounts owed to ERCOT by the </w:t>
      </w:r>
      <w:r>
        <w:rPr>
          <w:color w:val="000000"/>
        </w:rPr>
        <w:t>Market Participant</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6D184061" w14:textId="77777777" w:rsidTr="004E603E">
        <w:tc>
          <w:tcPr>
            <w:tcW w:w="9558" w:type="dxa"/>
            <w:shd w:val="pct12" w:color="auto" w:fill="auto"/>
          </w:tcPr>
          <w:p w14:paraId="49139DB6" w14:textId="5699EA02" w:rsidR="004E603E" w:rsidRPr="0002450E" w:rsidRDefault="004E603E" w:rsidP="004E603E">
            <w:pPr>
              <w:pStyle w:val="Instructions"/>
              <w:spacing w:before="120"/>
              <w:rPr>
                <w:iCs/>
              </w:rPr>
            </w:pPr>
            <w:bookmarkStart w:id="607" w:name="_Toc390438983"/>
            <w:bookmarkStart w:id="608" w:name="_Toc405897686"/>
            <w:bookmarkStart w:id="609" w:name="_Toc415055786"/>
            <w:bookmarkStart w:id="610" w:name="_Toc415055912"/>
            <w:bookmarkStart w:id="611" w:name="_Toc415056011"/>
            <w:bookmarkStart w:id="612" w:name="_Toc415056111"/>
            <w:r>
              <w:rPr>
                <w:iCs/>
              </w:rPr>
              <w:t>[NPRR1023</w:t>
            </w:r>
            <w:r w:rsidRPr="0002450E">
              <w:rPr>
                <w:iCs/>
              </w:rPr>
              <w:t xml:space="preserve">:  Replace </w:t>
            </w:r>
            <w:r>
              <w:rPr>
                <w:iCs/>
              </w:rPr>
              <w:t xml:space="preserve">paragraph (2) </w:t>
            </w:r>
            <w:r w:rsidRPr="0002450E">
              <w:rPr>
                <w:iCs/>
              </w:rPr>
              <w:t xml:space="preserve">above with the following upon system implementation:] </w:t>
            </w:r>
          </w:p>
          <w:p w14:paraId="10963267" w14:textId="1C6316A1" w:rsidR="004E603E" w:rsidRPr="008D69E1" w:rsidRDefault="004E603E" w:rsidP="004E603E">
            <w:pPr>
              <w:pStyle w:val="BodyText"/>
              <w:ind w:left="720" w:hanging="720"/>
            </w:pPr>
            <w:r>
              <w:t>(2)</w:t>
            </w:r>
            <w:r>
              <w:tab/>
              <w:t xml:space="preserve">ERCOT may also, at its sole discretion, honor any of the sell offers that were cleared in the CRR Auction made by a Market Participant who fails to fully pay the CRR Auction Invoice when due.  ERCOT shall offset net revenues due to the Market Participant from CRRs offered and cleared against amounts owed to ERCOT by the </w:t>
            </w:r>
            <w:r>
              <w:rPr>
                <w:color w:val="000000"/>
              </w:rPr>
              <w:t>Market Participant</w:t>
            </w:r>
            <w:r>
              <w:t>.</w:t>
            </w:r>
          </w:p>
        </w:tc>
      </w:tr>
    </w:tbl>
    <w:p w14:paraId="566A6FBC" w14:textId="77777777" w:rsidR="004E603E" w:rsidRDefault="004E603E" w:rsidP="004E603E">
      <w:pPr>
        <w:pStyle w:val="H5"/>
        <w:spacing w:before="0" w:after="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35E4FEF6" w14:textId="77777777" w:rsidTr="004E603E">
        <w:tc>
          <w:tcPr>
            <w:tcW w:w="9558" w:type="dxa"/>
            <w:shd w:val="pct12" w:color="auto" w:fill="auto"/>
          </w:tcPr>
          <w:p w14:paraId="46676B98" w14:textId="605251F2" w:rsidR="004E603E" w:rsidRPr="0002450E" w:rsidRDefault="004E603E" w:rsidP="004E603E">
            <w:pPr>
              <w:pStyle w:val="Instructions"/>
              <w:spacing w:before="120"/>
              <w:rPr>
                <w:iCs/>
              </w:rPr>
            </w:pPr>
            <w:r>
              <w:rPr>
                <w:iCs/>
              </w:rPr>
              <w:t>[NPRR1023</w:t>
            </w:r>
            <w:r w:rsidRPr="0002450E">
              <w:rPr>
                <w:iCs/>
              </w:rPr>
              <w:t xml:space="preserve">:  </w:t>
            </w:r>
            <w:r>
              <w:rPr>
                <w:iCs/>
              </w:rPr>
              <w:t>Insert Section 16.11.6.1.6 below</w:t>
            </w:r>
            <w:r w:rsidRPr="0002450E">
              <w:rPr>
                <w:iCs/>
              </w:rPr>
              <w:t xml:space="preserve"> upon system implementation</w:t>
            </w:r>
            <w:r>
              <w:rPr>
                <w:iCs/>
              </w:rPr>
              <w:t xml:space="preserve"> and renumber accordingly</w:t>
            </w:r>
            <w:r w:rsidRPr="0002450E">
              <w:rPr>
                <w:iCs/>
              </w:rPr>
              <w:t xml:space="preserve">:] </w:t>
            </w:r>
          </w:p>
          <w:p w14:paraId="0F4C41C5" w14:textId="77777777" w:rsidR="004E603E" w:rsidRPr="004E603E" w:rsidRDefault="004E603E" w:rsidP="004E603E">
            <w:pPr>
              <w:keepNext/>
              <w:tabs>
                <w:tab w:val="left" w:pos="1620"/>
              </w:tabs>
              <w:spacing w:after="240"/>
              <w:ind w:left="1620" w:hanging="1620"/>
              <w:outlineLvl w:val="4"/>
              <w:rPr>
                <w:b/>
                <w:bCs/>
                <w:i/>
                <w:iCs/>
                <w:szCs w:val="26"/>
              </w:rPr>
            </w:pPr>
            <w:bookmarkStart w:id="613" w:name="_Toc85094702"/>
            <w:bookmarkStart w:id="614" w:name="_Toc91061018"/>
            <w:bookmarkStart w:id="615" w:name="_Toc134442868"/>
            <w:bookmarkStart w:id="616" w:name="_Toc146274809"/>
            <w:bookmarkStart w:id="617" w:name="_Toc148960891"/>
            <w:bookmarkStart w:id="618" w:name="_Toc175159183"/>
            <w:r w:rsidRPr="004E603E">
              <w:rPr>
                <w:b/>
                <w:bCs/>
                <w:i/>
                <w:iCs/>
                <w:szCs w:val="26"/>
              </w:rPr>
              <w:t>16.11.6.1.6</w:t>
            </w:r>
            <w:r w:rsidRPr="004E603E">
              <w:rPr>
                <w:b/>
                <w:bCs/>
                <w:i/>
                <w:iCs/>
                <w:szCs w:val="26"/>
              </w:rPr>
              <w:tab/>
              <w:t>Liquidation of Repossessed or Forfeited CRRs</w:t>
            </w:r>
            <w:bookmarkEnd w:id="613"/>
            <w:bookmarkEnd w:id="614"/>
            <w:bookmarkEnd w:id="615"/>
            <w:bookmarkEnd w:id="616"/>
            <w:bookmarkEnd w:id="617"/>
            <w:bookmarkEnd w:id="618"/>
          </w:p>
          <w:p w14:paraId="7B83ED0B" w14:textId="77777777" w:rsidR="004E603E" w:rsidRPr="004E603E" w:rsidRDefault="004E603E" w:rsidP="004E603E">
            <w:pPr>
              <w:spacing w:before="120" w:after="120"/>
              <w:ind w:left="720" w:hanging="720"/>
              <w:rPr>
                <w:szCs w:val="24"/>
              </w:rPr>
            </w:pPr>
            <w:r w:rsidRPr="004E603E">
              <w:rPr>
                <w:szCs w:val="24"/>
              </w:rPr>
              <w:t>(1)</w:t>
            </w:r>
            <w:r w:rsidRPr="004E603E">
              <w:rPr>
                <w:szCs w:val="24"/>
              </w:rPr>
              <w:tab/>
              <w:t>If any repossessed or forfeited CRRs have the following characteristics, they will be irrevocably voided, the capacity will be dissolved, and they will not settle in the DAM beyond the effective date of the repossession or forfeiture nor be offered into any future CRR Auctions:</w:t>
            </w:r>
          </w:p>
          <w:p w14:paraId="0F29ADF8" w14:textId="77777777" w:rsidR="004E603E" w:rsidRPr="004E603E" w:rsidRDefault="004E603E" w:rsidP="004E603E">
            <w:pPr>
              <w:spacing w:before="120" w:after="120"/>
              <w:ind w:left="1440" w:hanging="720"/>
              <w:rPr>
                <w:szCs w:val="24"/>
              </w:rPr>
            </w:pPr>
            <w:r w:rsidRPr="004E603E">
              <w:rPr>
                <w:szCs w:val="24"/>
              </w:rPr>
              <w:t xml:space="preserve">(a) </w:t>
            </w:r>
            <w:r w:rsidRPr="004E603E">
              <w:rPr>
                <w:szCs w:val="24"/>
              </w:rPr>
              <w:tab/>
              <w:t xml:space="preserve">PTP Options with Refund and PTP Obligations with Refund; </w:t>
            </w:r>
          </w:p>
          <w:p w14:paraId="4D03B705" w14:textId="77777777" w:rsidR="004E603E" w:rsidRPr="004E603E" w:rsidRDefault="004E603E" w:rsidP="004E603E">
            <w:pPr>
              <w:spacing w:before="120" w:after="120"/>
              <w:ind w:left="1440" w:hanging="720"/>
              <w:rPr>
                <w:szCs w:val="24"/>
              </w:rPr>
            </w:pPr>
            <w:r w:rsidRPr="004E603E">
              <w:rPr>
                <w:szCs w:val="24"/>
              </w:rPr>
              <w:t xml:space="preserve">(b) </w:t>
            </w:r>
            <w:r w:rsidRPr="004E603E">
              <w:rPr>
                <w:szCs w:val="24"/>
              </w:rPr>
              <w:tab/>
              <w:t>Awarded PCRRs that have not yet been priced in a CRR Auction and paid for by the breaching or defaulting Market Participant; and</w:t>
            </w:r>
          </w:p>
          <w:p w14:paraId="22910FF0" w14:textId="77777777" w:rsidR="004E603E" w:rsidRPr="004E603E" w:rsidRDefault="004E603E" w:rsidP="004E603E">
            <w:pPr>
              <w:spacing w:before="120" w:after="120"/>
              <w:ind w:left="1440" w:hanging="720"/>
              <w:rPr>
                <w:szCs w:val="24"/>
              </w:rPr>
            </w:pPr>
            <w:r w:rsidRPr="004E603E">
              <w:rPr>
                <w:szCs w:val="24"/>
              </w:rPr>
              <w:t>(c)</w:t>
            </w:r>
            <w:r w:rsidRPr="004E603E">
              <w:rPr>
                <w:szCs w:val="24"/>
              </w:rPr>
              <w:tab/>
              <w:t>Partial-month CRRs resulting from bilateral trades.</w:t>
            </w:r>
          </w:p>
          <w:p w14:paraId="321D2ADA" w14:textId="77777777" w:rsidR="004E603E" w:rsidRPr="004E603E" w:rsidRDefault="004E603E" w:rsidP="004E603E">
            <w:pPr>
              <w:spacing w:before="120" w:after="120"/>
              <w:ind w:left="720" w:hanging="720"/>
              <w:rPr>
                <w:szCs w:val="24"/>
              </w:rPr>
            </w:pPr>
            <w:r w:rsidRPr="004E603E">
              <w:rPr>
                <w:szCs w:val="24"/>
              </w:rPr>
              <w:t>(2)</w:t>
            </w:r>
            <w:r w:rsidRPr="004E603E">
              <w:rPr>
                <w:szCs w:val="24"/>
              </w:rPr>
              <w:tab/>
              <w:t>The remaining unvoided CRRs in the repossessed or forfeited portfolio will be liquidated in the following manner, based on the characteristics of the CRRs:</w:t>
            </w:r>
          </w:p>
          <w:p w14:paraId="2401BDAC" w14:textId="77777777" w:rsidR="004E603E" w:rsidRPr="004E603E" w:rsidRDefault="004E603E" w:rsidP="004E603E">
            <w:pPr>
              <w:spacing w:before="120" w:after="120"/>
              <w:ind w:left="1440" w:hanging="720"/>
              <w:rPr>
                <w:szCs w:val="24"/>
              </w:rPr>
            </w:pPr>
            <w:r w:rsidRPr="004E603E">
              <w:rPr>
                <w:szCs w:val="24"/>
              </w:rPr>
              <w:t xml:space="preserve">(a) </w:t>
            </w:r>
            <w:r w:rsidRPr="004E603E">
              <w:rPr>
                <w:szCs w:val="24"/>
              </w:rPr>
              <w:tab/>
              <w:t>For CRRs that settle in the same month as the effective date of the repossession or forfeiture, for CRRs where the timing of the Market Participant Payment Breach or Default does not allow for the repossessed or forfeited CRRs to be offered into the CRR Monthly Auction in the calendar month following the Payment Breach or Default, for forfeited CRRs that were awarded in a CRR Monthly Auction, and for repossessed CRRs that have been offered into every available auction but were not fully awarded, the CRRs will settle in the DAM and may result in net payments or charges accruing for Operating Days throughout the month, as follows:</w:t>
            </w:r>
          </w:p>
          <w:p w14:paraId="71D6261B" w14:textId="77777777" w:rsidR="004E603E" w:rsidRPr="004E603E" w:rsidRDefault="004E603E" w:rsidP="004E603E">
            <w:pPr>
              <w:spacing w:before="120" w:after="120"/>
              <w:ind w:left="2160" w:hanging="720"/>
              <w:rPr>
                <w:szCs w:val="24"/>
              </w:rPr>
            </w:pPr>
            <w:r w:rsidRPr="004E603E">
              <w:rPr>
                <w:szCs w:val="24"/>
              </w:rPr>
              <w:lastRenderedPageBreak/>
              <w:t>(i)</w:t>
            </w:r>
            <w:r w:rsidRPr="004E603E">
              <w:rPr>
                <w:szCs w:val="24"/>
              </w:rPr>
              <w:tab/>
              <w:t>If the CRR portfolio results in a net charge in the DAM, the payment will, to the extent possible, be made by drawing on any available Financial Security of the Market Participant from whom the CRRs were repossessed or forfeited.  If this is insufficient to pay the charge in full, the remainder due will be short-paid for the Operating Day in accordance with Section 9.7.3, Enforcing the Financial Security of a Short-Paying Invoice Recipient.  Regardless of the short pay, any Market Participant from whom CRRs were repossessed or forfeited shall remain liable for any charges associated with the liquidation of its CRRs in accordance with paragraph (4) of Section 16.11.6.1.7, Revocation of a Market Participant’s Rights and Termination of Agreements.</w:t>
            </w:r>
          </w:p>
          <w:p w14:paraId="3F80C39C" w14:textId="77777777" w:rsidR="004E603E" w:rsidRPr="004E603E" w:rsidRDefault="004E603E" w:rsidP="004E603E">
            <w:pPr>
              <w:spacing w:before="120" w:after="120"/>
              <w:ind w:left="2160" w:hanging="720"/>
              <w:rPr>
                <w:szCs w:val="24"/>
              </w:rPr>
            </w:pPr>
            <w:r w:rsidRPr="004E603E">
              <w:rPr>
                <w:szCs w:val="24"/>
              </w:rPr>
              <w:t>(ii)</w:t>
            </w:r>
            <w:r w:rsidRPr="004E603E">
              <w:rPr>
                <w:szCs w:val="24"/>
              </w:rPr>
              <w:tab/>
              <w:t xml:space="preserve">If the CRR portfolio results in a net payment in the DAM, the payment amount will be added to the cash collateral held by ERCOT for the Market Participant from whom the CRRs were repossessed or forfeited. </w:t>
            </w:r>
          </w:p>
          <w:p w14:paraId="49DCFD6E" w14:textId="77777777" w:rsidR="004E603E" w:rsidRPr="004E603E" w:rsidRDefault="004E603E" w:rsidP="004E603E">
            <w:pPr>
              <w:spacing w:before="120" w:after="120"/>
              <w:ind w:left="1440" w:hanging="720"/>
              <w:rPr>
                <w:szCs w:val="24"/>
              </w:rPr>
            </w:pPr>
            <w:r w:rsidRPr="004E603E">
              <w:rPr>
                <w:szCs w:val="24"/>
              </w:rPr>
              <w:t xml:space="preserve">(b) </w:t>
            </w:r>
            <w:r w:rsidRPr="004E603E">
              <w:rPr>
                <w:szCs w:val="24"/>
              </w:rPr>
              <w:tab/>
              <w:t xml:space="preserve">For any remaining unvoided repossessed or forfeited CRRs for one-month or multi-month strips, ERCOT will offer each CRR into the next available auction for the effective time period of the repossessed or forfeited CRR.   </w:t>
            </w:r>
          </w:p>
          <w:p w14:paraId="3DF342EC" w14:textId="77777777" w:rsidR="004E603E" w:rsidRPr="004E603E" w:rsidRDefault="004E603E" w:rsidP="004E603E">
            <w:pPr>
              <w:spacing w:before="120" w:after="120"/>
              <w:ind w:left="2160" w:hanging="720"/>
              <w:rPr>
                <w:szCs w:val="24"/>
              </w:rPr>
            </w:pPr>
            <w:r w:rsidRPr="004E603E">
              <w:rPr>
                <w:szCs w:val="24"/>
              </w:rPr>
              <w:t>(i)</w:t>
            </w:r>
            <w:r w:rsidRPr="004E603E">
              <w:rPr>
                <w:szCs w:val="24"/>
              </w:rPr>
              <w:tab/>
              <w:t>CRRs will be offered into auctions at -$0.01 for PTP Options and -$500.00 for PTP Obligations.</w:t>
            </w:r>
          </w:p>
          <w:p w14:paraId="385B2908" w14:textId="77777777" w:rsidR="004E603E" w:rsidRPr="004E603E" w:rsidRDefault="004E603E" w:rsidP="004E603E">
            <w:pPr>
              <w:spacing w:before="120" w:after="120"/>
              <w:ind w:left="2160" w:hanging="720"/>
              <w:rPr>
                <w:szCs w:val="24"/>
              </w:rPr>
            </w:pPr>
            <w:r w:rsidRPr="004E603E">
              <w:rPr>
                <w:szCs w:val="24"/>
              </w:rPr>
              <w:t>(ii)</w:t>
            </w:r>
            <w:r w:rsidRPr="004E603E">
              <w:rPr>
                <w:szCs w:val="24"/>
              </w:rPr>
              <w:tab/>
              <w:t>If a CRR is offered into an auction but is not fully awarded, the remaining MW of the CRR will be offered into the next available auction for the effective time period of the repossessed or forfeited CRR.  ERCOT may adjust the offer price for a PTP Obligation in subsequent auctions to increase the likelihood of the sell offer being fully awarded.</w:t>
            </w:r>
          </w:p>
          <w:p w14:paraId="1C41F4D2" w14:textId="77777777" w:rsidR="004E603E" w:rsidRPr="004E603E" w:rsidRDefault="004E603E" w:rsidP="004E603E">
            <w:pPr>
              <w:spacing w:before="120" w:after="120"/>
              <w:ind w:left="2160"/>
              <w:rPr>
                <w:szCs w:val="24"/>
              </w:rPr>
            </w:pPr>
            <w:r w:rsidRPr="004E603E">
              <w:rPr>
                <w:szCs w:val="24"/>
              </w:rPr>
              <w:t xml:space="preserve">If another auction will not be held for the effective time period of the repossessed or forfeited CRRs, the remaining unawarded MW of each CRR will settle in the DAM and may result in net payments or charges accruing for Operating Days throughout the month, as noted in paragraph (2)(a) above. </w:t>
            </w:r>
          </w:p>
          <w:p w14:paraId="2959D8C2" w14:textId="77777777" w:rsidR="004E603E" w:rsidRPr="004E603E" w:rsidRDefault="004E603E" w:rsidP="004E603E">
            <w:pPr>
              <w:spacing w:before="120" w:after="120"/>
              <w:ind w:left="2160" w:hanging="720"/>
              <w:rPr>
                <w:szCs w:val="24"/>
              </w:rPr>
            </w:pPr>
            <w:r w:rsidRPr="004E603E">
              <w:rPr>
                <w:szCs w:val="24"/>
              </w:rPr>
              <w:t>(iii)</w:t>
            </w:r>
            <w:r w:rsidRPr="004E603E">
              <w:rPr>
                <w:szCs w:val="24"/>
              </w:rPr>
              <w:tab/>
              <w:t xml:space="preserve">Prior to offering repossessed or forfeited CRRs into an auction, ERCOT will calculate the value of all PTP Obligations for each CRR Account Holder associated with the defaulting Counter-Party by summing the value of all existing PTP Obligations for which the most recent auction clearing price for the effective time period of the auction was negative.  The value of each CRR will be calculated per the following formula: (MW amount) x (TOU hours) x (auction clearing price).  The total value of the PTP Obligations for the defaulting Counter-Party will be evaluated to determine if it exceeds 10% of the value of all existing PTP Obligations for which the most recent auction clearing prices for the </w:t>
            </w:r>
            <w:r w:rsidRPr="004E603E">
              <w:rPr>
                <w:szCs w:val="24"/>
              </w:rPr>
              <w:lastRenderedPageBreak/>
              <w:t xml:space="preserve">effective time period of the auction were negative.  If the total value of the PTP Obligations for the defaulting Counter-Party to be offered into an auction exceeds the 10% threshold, ERCOT will prorate the CRR MW amounts to be offered into the auction to reduce the total portfolio value to be below the 10% threshold.  The remaining CRR MW will be offered into the next available auction for the effective time period of the repossessed or forfeited CRRs or will settle in DAM if there will not be another auction for the effective time period. </w:t>
            </w:r>
            <w:r w:rsidRPr="004E603E" w:rsidDel="00FD6948">
              <w:rPr>
                <w:szCs w:val="24"/>
              </w:rPr>
              <w:t xml:space="preserve"> </w:t>
            </w:r>
          </w:p>
          <w:p w14:paraId="76DD545A" w14:textId="77777777" w:rsidR="004E603E" w:rsidRPr="004E603E" w:rsidRDefault="004E603E" w:rsidP="004E603E">
            <w:pPr>
              <w:spacing w:before="120" w:after="120"/>
              <w:ind w:left="2160" w:hanging="720"/>
              <w:rPr>
                <w:szCs w:val="24"/>
              </w:rPr>
            </w:pPr>
            <w:r w:rsidRPr="004E603E">
              <w:rPr>
                <w:szCs w:val="24"/>
              </w:rPr>
              <w:t>(iv)</w:t>
            </w:r>
            <w:r w:rsidRPr="004E603E">
              <w:rPr>
                <w:szCs w:val="24"/>
              </w:rPr>
              <w:tab/>
              <w:t>A charge resulting from the sale of the CRRs into an auction will, to the extent possible, be paid by drawing on any available Financial Security of the Market Participant from whom the CRRs were repossessed or forfeited.  If this is insufficient to pay the charge in full, the remainder due will be short-paid in accordance with Section 9.7.3.  Regardless of the short pay, any Market Participant from whom CRRs were repossessed or forfeited shall remain liable for any charges associated with the liquidation of its CRRs in accordance with paragraph (4) of Section 16.11.6.1.7.</w:t>
            </w:r>
          </w:p>
          <w:p w14:paraId="0897780B" w14:textId="499102D6" w:rsidR="004E603E" w:rsidRPr="004E603E" w:rsidRDefault="004E603E" w:rsidP="004E603E">
            <w:pPr>
              <w:spacing w:before="120" w:after="120"/>
              <w:ind w:left="2160" w:hanging="720"/>
              <w:rPr>
                <w:szCs w:val="24"/>
              </w:rPr>
            </w:pPr>
            <w:r w:rsidRPr="004E603E">
              <w:rPr>
                <w:szCs w:val="24"/>
              </w:rPr>
              <w:t>(v)</w:t>
            </w:r>
            <w:r w:rsidRPr="004E603E">
              <w:rPr>
                <w:szCs w:val="24"/>
              </w:rPr>
              <w:tab/>
              <w:t xml:space="preserve">A payment resulting from the sale of the CRRs into an auction will be added to the Financial Security of the Market Participant from whom the CRRs were repossessed or forfeited. </w:t>
            </w:r>
          </w:p>
        </w:tc>
      </w:tr>
    </w:tbl>
    <w:p w14:paraId="22FA8A83" w14:textId="77777777" w:rsidR="00FC1C5F" w:rsidRDefault="00727E32" w:rsidP="00974AFC">
      <w:pPr>
        <w:pStyle w:val="H5"/>
        <w:spacing w:before="480"/>
      </w:pPr>
      <w:bookmarkStart w:id="619" w:name="_Toc70591655"/>
      <w:bookmarkStart w:id="620" w:name="_Toc175159184"/>
      <w:r>
        <w:lastRenderedPageBreak/>
        <w:t>16.11.6.1.6</w:t>
      </w:r>
      <w:r>
        <w:tab/>
        <w:t>Revocation of a Market Participant’s Rights and Termination of Agreements</w:t>
      </w:r>
      <w:bookmarkEnd w:id="607"/>
      <w:bookmarkEnd w:id="608"/>
      <w:bookmarkEnd w:id="609"/>
      <w:bookmarkEnd w:id="610"/>
      <w:bookmarkEnd w:id="611"/>
      <w:bookmarkEnd w:id="612"/>
      <w:bookmarkEnd w:id="619"/>
      <w:bookmarkEnd w:id="620"/>
    </w:p>
    <w:p w14:paraId="00A08CF3" w14:textId="77777777" w:rsidR="00FC1C5F" w:rsidRDefault="00727E32">
      <w:pPr>
        <w:pStyle w:val="BodyTextNumbered"/>
      </w:pPr>
      <w:r>
        <w:t>(1)</w:t>
      </w:r>
      <w:r>
        <w:tab/>
        <w:t xml:space="preserve">ERCOT may revoke a breaching Market Participant’s rights to conduct activities </w:t>
      </w:r>
      <w:r>
        <w:rPr>
          <w:szCs w:val="24"/>
        </w:rPr>
        <w:t>under these Protocols</w:t>
      </w:r>
      <w:r>
        <w:t xml:space="preserve">.  ERCOT </w:t>
      </w:r>
      <w:r>
        <w:rPr>
          <w:szCs w:val="24"/>
        </w:rPr>
        <w:t xml:space="preserve">may also </w:t>
      </w:r>
      <w:r>
        <w:t>terminate the breaching Market Participant’s agreements with ERCOT.</w:t>
      </w:r>
    </w:p>
    <w:p w14:paraId="2A4BF316" w14:textId="5F4525E7" w:rsidR="00FC1C5F" w:rsidRDefault="00727E32">
      <w:pPr>
        <w:pStyle w:val="BodyTextNumbered"/>
      </w:pPr>
      <w:r>
        <w:t>(2)</w:t>
      </w:r>
      <w:r>
        <w:tab/>
        <w:t xml:space="preserve">If ERCOT revokes a Market Participant’s rights or terminates the Market Participant’s agreements, then the provisions of Section 16.2.5, Suspended </w:t>
      </w:r>
      <w:r w:rsidR="00826ED4">
        <w:t xml:space="preserve">or Terminated </w:t>
      </w:r>
      <w:r>
        <w:t>Qualified Scheduling Entity – Notification to LSEs and Resource Entities Represented, and Section 16.2.6.1, Designation as an Emergency Qualified Scheduling Entity or Virtual Qualified Scheduling Entity, apply.</w:t>
      </w:r>
    </w:p>
    <w:p w14:paraId="3EB95E4C" w14:textId="77777777" w:rsidR="006B2812" w:rsidRPr="002D2785" w:rsidRDefault="006B2812" w:rsidP="006B2812">
      <w:pPr>
        <w:spacing w:after="240"/>
        <w:ind w:left="720" w:hanging="720"/>
      </w:pPr>
      <w:r w:rsidRPr="002D2785">
        <w:t>(3)</w:t>
      </w:r>
      <w:r w:rsidRPr="002D2785">
        <w:tab/>
        <w:t>If a breaching Market Participant is also an LSE (whether or not the Default occurred pursuant to the Market Participant’s activities as an LSE), then:</w:t>
      </w:r>
    </w:p>
    <w:p w14:paraId="68635DA4" w14:textId="0D8F203F" w:rsidR="006B2812" w:rsidRPr="002D2785" w:rsidRDefault="006B2812" w:rsidP="006B2812">
      <w:pPr>
        <w:spacing w:after="240"/>
        <w:ind w:left="1440" w:hanging="720"/>
      </w:pPr>
      <w:r w:rsidRPr="002D2785">
        <w:t xml:space="preserve">(a) </w:t>
      </w:r>
      <w:r w:rsidRPr="002D2785">
        <w:tab/>
        <w:t xml:space="preserve">Within 24 hours of receiving notice of the Payment Breach, the Market Participant shall provide to ERCOT all the information regarding its ESI IDs set forth in the ERCOT Retail Market Guide; and </w:t>
      </w:r>
    </w:p>
    <w:p w14:paraId="470C3E6F" w14:textId="77777777" w:rsidR="00FC1C5F" w:rsidRDefault="006B2812">
      <w:pPr>
        <w:pStyle w:val="BodyTextNumbered"/>
        <w:ind w:left="1440"/>
      </w:pPr>
      <w:r w:rsidRPr="002D2785">
        <w:t>(b)</w:t>
      </w:r>
      <w:r w:rsidRPr="002D2785">
        <w:tab/>
        <w:t xml:space="preserve">On revocation of some or all of the Market Participant’s rights or termination of the Market Participant’s agreements and on notice to the Market Participant and the Public Utility Commission of Texas (PUCT), ERCOT shall initiate a Mass Transition of the Market Participant’s ESI IDs pursuant to Section 15.1.3.1, Mass </w:t>
      </w:r>
      <w:r w:rsidRPr="002D2785">
        <w:lastRenderedPageBreak/>
        <w:t xml:space="preserve">Transition Process, without the necessity of obtaining any order from or other action by the PUCT.  </w:t>
      </w:r>
    </w:p>
    <w:p w14:paraId="3BC40AB5" w14:textId="77777777" w:rsidR="00FC1C5F" w:rsidRDefault="00727E32" w:rsidP="00FC544E">
      <w:pPr>
        <w:pStyle w:val="BodyTextNumbered"/>
      </w:pPr>
      <w:r>
        <w:t>(4)</w:t>
      </w:r>
      <w:r>
        <w:tab/>
        <w:t>After revocation of its rights or termination of its Agreement with ERCOT, the Market Participant will remain liable for all charges or costs associated with any continued activity related to the Counter-Party’s relationship with ERCOT and any expenses arising from the consequences of such termination or revocation.</w:t>
      </w:r>
    </w:p>
    <w:p w14:paraId="6ADB882F" w14:textId="77777777" w:rsidR="00FC1C5F" w:rsidRPr="00D63F95" w:rsidRDefault="00727E32">
      <w:pPr>
        <w:pStyle w:val="H4"/>
        <w:rPr>
          <w:b/>
        </w:rPr>
      </w:pPr>
      <w:bookmarkStart w:id="621" w:name="_Toc390438984"/>
      <w:bookmarkStart w:id="622" w:name="_Toc405897687"/>
      <w:bookmarkStart w:id="623" w:name="_Toc415055787"/>
      <w:bookmarkStart w:id="624" w:name="_Toc415055913"/>
      <w:bookmarkStart w:id="625" w:name="_Toc415056012"/>
      <w:bookmarkStart w:id="626" w:name="_Toc415056112"/>
      <w:bookmarkStart w:id="627" w:name="_Toc175159185"/>
      <w:r w:rsidRPr="00D63F95">
        <w:rPr>
          <w:b/>
        </w:rPr>
        <w:t>16.11.6.2</w:t>
      </w:r>
      <w:r w:rsidRPr="00D63F95">
        <w:rPr>
          <w:b/>
        </w:rPr>
        <w:tab/>
        <w:t>ERCOT’s Remedies for Late Payments by a Market Participant</w:t>
      </w:r>
      <w:bookmarkEnd w:id="621"/>
      <w:bookmarkEnd w:id="622"/>
      <w:bookmarkEnd w:id="623"/>
      <w:bookmarkEnd w:id="624"/>
      <w:bookmarkEnd w:id="625"/>
      <w:bookmarkEnd w:id="626"/>
      <w:bookmarkEnd w:id="627"/>
    </w:p>
    <w:p w14:paraId="03046964" w14:textId="77777777" w:rsidR="006B2812" w:rsidRPr="002D2785" w:rsidRDefault="00853D39" w:rsidP="003E09AF">
      <w:pPr>
        <w:spacing w:after="240"/>
        <w:ind w:left="720" w:hanging="720"/>
        <w:rPr>
          <w:szCs w:val="24"/>
        </w:rPr>
      </w:pPr>
      <w:r>
        <w:rPr>
          <w:szCs w:val="24"/>
        </w:rPr>
        <w:t>(1)</w:t>
      </w:r>
      <w:r>
        <w:rPr>
          <w:szCs w:val="24"/>
        </w:rPr>
        <w:tab/>
      </w:r>
      <w:r w:rsidR="006B2812" w:rsidRPr="002D2785">
        <w:rPr>
          <w:szCs w:val="24"/>
        </w:rPr>
        <w:t>If a Market Participant makes any Late Payments, and even if ERCOT does not immediately implement the above-referenced remedies for any Payment Breach by a Market Participant, the Market Participant is subject to the actions enumerated in this Section.</w:t>
      </w:r>
    </w:p>
    <w:p w14:paraId="5B4BCD9C" w14:textId="77777777" w:rsidR="00FC1C5F" w:rsidRDefault="00853D39" w:rsidP="003E09AF">
      <w:pPr>
        <w:pStyle w:val="BodyText"/>
        <w:ind w:left="720" w:hanging="720"/>
        <w:rPr>
          <w:szCs w:val="24"/>
        </w:rPr>
      </w:pPr>
      <w:r>
        <w:rPr>
          <w:szCs w:val="24"/>
        </w:rPr>
        <w:t>(2)</w:t>
      </w:r>
      <w:r>
        <w:rPr>
          <w:szCs w:val="24"/>
        </w:rPr>
        <w:tab/>
      </w:r>
      <w:r w:rsidR="006B2812" w:rsidRPr="002D2785">
        <w:rPr>
          <w:szCs w:val="24"/>
        </w:rPr>
        <w:t>This Section does not waive ERCOT’s right to impose remedies for Payment Breach, as set forth in Section 16.11.6.1,</w:t>
      </w:r>
      <w:r w:rsidR="00FC544E" w:rsidRPr="00FC544E">
        <w:rPr>
          <w:szCs w:val="24"/>
        </w:rPr>
        <w:t xml:space="preserve"> </w:t>
      </w:r>
      <w:r w:rsidR="00FC544E">
        <w:rPr>
          <w:szCs w:val="24"/>
        </w:rPr>
        <w:t>ERCOT’s Remedies,</w:t>
      </w:r>
      <w:r w:rsidR="006B2812" w:rsidRPr="002D2785">
        <w:rPr>
          <w:szCs w:val="24"/>
        </w:rPr>
        <w:t xml:space="preserve"> in addition to any other rights or remedies ERCOT has under any agreement, these Protocols, or at common law, for any Payment Breach by the Market Participant in each rolling 12-month period for purposes of imposing the Late Payment remedies set forth in this Section.</w:t>
      </w:r>
    </w:p>
    <w:p w14:paraId="3EBC25F6" w14:textId="72651B12" w:rsidR="00FC1C5F" w:rsidRDefault="00727E32">
      <w:pPr>
        <w:pStyle w:val="H5"/>
      </w:pPr>
      <w:bookmarkStart w:id="628" w:name="_Toc390438986"/>
      <w:bookmarkStart w:id="629" w:name="_Toc405897691"/>
      <w:bookmarkStart w:id="630" w:name="_Toc415055789"/>
      <w:bookmarkStart w:id="631" w:name="_Toc415055915"/>
      <w:bookmarkStart w:id="632" w:name="_Toc415056014"/>
      <w:bookmarkStart w:id="633" w:name="_Toc415056114"/>
      <w:bookmarkStart w:id="634" w:name="_Toc175159186"/>
      <w:r>
        <w:t>16.11.6.2.</w:t>
      </w:r>
      <w:r w:rsidR="002F409F">
        <w:t>1</w:t>
      </w:r>
      <w:r>
        <w:tab/>
      </w:r>
      <w:r w:rsidR="002F409F">
        <w:t>First</w:t>
      </w:r>
      <w:r>
        <w:t xml:space="preserve"> Late Payment in Any Rolling 12-Month Period</w:t>
      </w:r>
      <w:bookmarkEnd w:id="628"/>
      <w:bookmarkEnd w:id="629"/>
      <w:bookmarkEnd w:id="630"/>
      <w:bookmarkEnd w:id="631"/>
      <w:bookmarkEnd w:id="632"/>
      <w:bookmarkEnd w:id="633"/>
      <w:bookmarkEnd w:id="634"/>
    </w:p>
    <w:p w14:paraId="530936D1" w14:textId="36DC9F0D" w:rsidR="006B2812" w:rsidRPr="002D2785" w:rsidRDefault="006B2812" w:rsidP="006B2812">
      <w:pPr>
        <w:keepNext/>
        <w:spacing w:after="240"/>
        <w:ind w:left="720" w:hanging="720"/>
        <w:rPr>
          <w:iCs/>
        </w:rPr>
      </w:pPr>
      <w:r w:rsidRPr="002D2785">
        <w:rPr>
          <w:iCs/>
        </w:rPr>
        <w:t>(1)</w:t>
      </w:r>
      <w:r w:rsidRPr="002D2785">
        <w:rPr>
          <w:iCs/>
        </w:rPr>
        <w:tab/>
        <w:t xml:space="preserve">For the </w:t>
      </w:r>
      <w:r w:rsidR="002F409F">
        <w:rPr>
          <w:iCs/>
        </w:rPr>
        <w:t>first</w:t>
      </w:r>
      <w:r w:rsidRPr="002D2785">
        <w:rPr>
          <w:iCs/>
        </w:rPr>
        <w:t xml:space="preserve"> Late Payment in any rolling 12-month period, ERCOT shall take </w:t>
      </w:r>
      <w:r w:rsidR="002F409F">
        <w:rPr>
          <w:iCs/>
        </w:rPr>
        <w:t>Level I Enforcement</w:t>
      </w:r>
      <w:r w:rsidR="002F409F" w:rsidRPr="002D2785">
        <w:rPr>
          <w:iCs/>
        </w:rPr>
        <w:t xml:space="preserve"> </w:t>
      </w:r>
      <w:r w:rsidRPr="002D2785">
        <w:rPr>
          <w:iCs/>
        </w:rPr>
        <w:t>action</w:t>
      </w:r>
      <w:r w:rsidR="002F409F">
        <w:rPr>
          <w:iCs/>
        </w:rPr>
        <w:t>,</w:t>
      </w:r>
      <w:r w:rsidRPr="002D2785">
        <w:rPr>
          <w:iCs/>
        </w:rPr>
        <w:t xml:space="preserve"> as </w:t>
      </w:r>
      <w:r w:rsidR="002F409F">
        <w:rPr>
          <w:iCs/>
        </w:rPr>
        <w:t>described in Section 16.11.6.2.5, Level I Enforcement.</w:t>
      </w:r>
    </w:p>
    <w:p w14:paraId="3F94842D" w14:textId="75D85A40" w:rsidR="00FC1C5F" w:rsidRDefault="006B2812" w:rsidP="006B2812">
      <w:pPr>
        <w:pStyle w:val="BodyTextNumbered"/>
      </w:pPr>
      <w:r w:rsidRPr="002D2785">
        <w:t>(2)</w:t>
      </w:r>
      <w:r w:rsidRPr="002D2785">
        <w:tab/>
        <w:t xml:space="preserve">ERCOT shall send written notice to the Market Participant’s Authorized Representative and/or Credit Contact via email, advising the Market Participant of the action </w:t>
      </w:r>
      <w:r w:rsidRPr="002D2785">
        <w:rPr>
          <w:szCs w:val="24"/>
        </w:rPr>
        <w:t>required</w:t>
      </w:r>
      <w:r w:rsidRPr="002D2785">
        <w:t xml:space="preserve"> under Level I Enforcement.</w:t>
      </w:r>
    </w:p>
    <w:p w14:paraId="3F9F81EC" w14:textId="352A4C29" w:rsidR="00FC1C5F" w:rsidRDefault="00727E32">
      <w:pPr>
        <w:pStyle w:val="H5"/>
      </w:pPr>
      <w:bookmarkStart w:id="635" w:name="_Toc390438987"/>
      <w:bookmarkStart w:id="636" w:name="_Toc405897693"/>
      <w:bookmarkStart w:id="637" w:name="_Toc415055790"/>
      <w:bookmarkStart w:id="638" w:name="_Toc415055916"/>
      <w:bookmarkStart w:id="639" w:name="_Toc415056015"/>
      <w:bookmarkStart w:id="640" w:name="_Toc415056115"/>
      <w:bookmarkStart w:id="641" w:name="_Toc175159187"/>
      <w:r>
        <w:t>16.11.6.2.</w:t>
      </w:r>
      <w:r w:rsidR="002F409F">
        <w:t>2</w:t>
      </w:r>
      <w:r>
        <w:tab/>
      </w:r>
      <w:r w:rsidR="002F409F">
        <w:t>Second</w:t>
      </w:r>
      <w:r>
        <w:t xml:space="preserve"> Late Payment in Any Rolling 12-Month Period</w:t>
      </w:r>
      <w:bookmarkEnd w:id="635"/>
      <w:bookmarkEnd w:id="636"/>
      <w:bookmarkEnd w:id="637"/>
      <w:bookmarkEnd w:id="638"/>
      <w:bookmarkEnd w:id="639"/>
      <w:bookmarkEnd w:id="640"/>
      <w:bookmarkEnd w:id="641"/>
    </w:p>
    <w:p w14:paraId="654810D3" w14:textId="63B249AD" w:rsidR="006B2812" w:rsidRPr="002D2785" w:rsidRDefault="006B2812" w:rsidP="006B2812">
      <w:pPr>
        <w:keepNext/>
        <w:spacing w:after="240"/>
        <w:ind w:left="720" w:hanging="720"/>
        <w:rPr>
          <w:iCs/>
        </w:rPr>
      </w:pPr>
      <w:r w:rsidRPr="002D2785">
        <w:rPr>
          <w:iCs/>
        </w:rPr>
        <w:t>(1)</w:t>
      </w:r>
      <w:r w:rsidRPr="002D2785">
        <w:rPr>
          <w:iCs/>
        </w:rPr>
        <w:tab/>
        <w:t xml:space="preserve">For the </w:t>
      </w:r>
      <w:r w:rsidR="002F409F">
        <w:rPr>
          <w:iCs/>
        </w:rPr>
        <w:t>second</w:t>
      </w:r>
      <w:r w:rsidRPr="002D2785">
        <w:rPr>
          <w:iCs/>
        </w:rPr>
        <w:t xml:space="preserve"> Late Payment in any rolling 12-month period, ERCOT shall take </w:t>
      </w:r>
      <w:r w:rsidR="002F409F">
        <w:rPr>
          <w:iCs/>
        </w:rPr>
        <w:t>Level II Enforcement</w:t>
      </w:r>
      <w:r w:rsidR="002F409F" w:rsidRPr="002D2785">
        <w:rPr>
          <w:iCs/>
        </w:rPr>
        <w:t xml:space="preserve"> </w:t>
      </w:r>
      <w:r w:rsidRPr="002D2785">
        <w:rPr>
          <w:iCs/>
        </w:rPr>
        <w:t>action</w:t>
      </w:r>
      <w:r w:rsidR="002F409F">
        <w:rPr>
          <w:iCs/>
        </w:rPr>
        <w:t>,</w:t>
      </w:r>
      <w:r w:rsidRPr="002D2785">
        <w:rPr>
          <w:iCs/>
        </w:rPr>
        <w:t xml:space="preserve"> as </w:t>
      </w:r>
      <w:r w:rsidR="002F409F">
        <w:rPr>
          <w:iCs/>
        </w:rPr>
        <w:t>described in Section 16.11.6.2.6, Level II Enforcement.</w:t>
      </w:r>
      <w:r w:rsidRPr="002D2785">
        <w:rPr>
          <w:iCs/>
        </w:rPr>
        <w:t>:</w:t>
      </w:r>
    </w:p>
    <w:p w14:paraId="54E9D055" w14:textId="29CBB889" w:rsidR="00FC1C5F" w:rsidRDefault="006B2812" w:rsidP="006B2812">
      <w:pPr>
        <w:pStyle w:val="BodyTextNumbered"/>
      </w:pPr>
      <w:r w:rsidRPr="002D2785">
        <w:t>(2)</w:t>
      </w:r>
      <w:r w:rsidRPr="002D2785">
        <w:tab/>
        <w:t xml:space="preserve">ERCOT shall send written notice to the Market Participant’s Authorized Representative and/or Credit Contact via email, advising the Market Participant of the action </w:t>
      </w:r>
      <w:r w:rsidRPr="002D2785">
        <w:rPr>
          <w:szCs w:val="24"/>
        </w:rPr>
        <w:t>required</w:t>
      </w:r>
      <w:r w:rsidRPr="002D2785">
        <w:t xml:space="preserve"> under Level II Enforcement.</w:t>
      </w:r>
    </w:p>
    <w:p w14:paraId="270C6959" w14:textId="77777777" w:rsidR="002F409F" w:rsidRDefault="002F409F" w:rsidP="0078184C">
      <w:pPr>
        <w:pStyle w:val="H5"/>
      </w:pPr>
      <w:bookmarkStart w:id="642" w:name="_Toc175159188"/>
      <w:bookmarkStart w:id="643" w:name="_Toc390438988"/>
      <w:bookmarkStart w:id="644" w:name="_Toc405897695"/>
      <w:bookmarkStart w:id="645" w:name="_Toc415055791"/>
      <w:bookmarkStart w:id="646" w:name="_Toc415055917"/>
      <w:bookmarkStart w:id="647" w:name="_Toc415056016"/>
      <w:bookmarkStart w:id="648" w:name="_Toc415056116"/>
      <w:r>
        <w:t>16.11.6.2.3</w:t>
      </w:r>
      <w:r>
        <w:tab/>
        <w:t>Third Late Payment in Any Rolling 12-Month Period</w:t>
      </w:r>
      <w:bookmarkEnd w:id="642"/>
    </w:p>
    <w:p w14:paraId="22324104" w14:textId="77777777" w:rsidR="002F409F" w:rsidRDefault="002F409F" w:rsidP="002F409F">
      <w:pPr>
        <w:pStyle w:val="BodyTextNumbered"/>
      </w:pPr>
      <w:r>
        <w:t>(1)</w:t>
      </w:r>
      <w:r>
        <w:tab/>
        <w:t>For the third Late Payment in any rolling 12-month period, ERCOT shall take Level III Enforcement action, as described in Section 16.11.6.2.7, Level III Enforcement.</w:t>
      </w:r>
    </w:p>
    <w:p w14:paraId="7CF50D71" w14:textId="77777777" w:rsidR="002F409F" w:rsidRPr="002F74AF" w:rsidRDefault="002F409F" w:rsidP="002F409F">
      <w:pPr>
        <w:pStyle w:val="BodyTextNumbered"/>
      </w:pPr>
      <w:r>
        <w:lastRenderedPageBreak/>
        <w:t>(2)</w:t>
      </w:r>
      <w:r>
        <w:tab/>
        <w:t xml:space="preserve">ERCOT shall send written notice to the Market Participant’s Authorized Representative and/or Credit Contact via email, advising the Market Participant of the action required under Level III Enforcement, and informing the Market Participant that a fourth Late Payment in any rolling 12-month period shall result in ERCOT taking action under Section 16.11.6.1.6, Revocation of a Market Participant’s Rights and Termination of Agreements.  </w:t>
      </w:r>
    </w:p>
    <w:p w14:paraId="28EA2F43" w14:textId="77777777" w:rsidR="00FC1C5F" w:rsidRDefault="00727E32">
      <w:pPr>
        <w:pStyle w:val="H5"/>
      </w:pPr>
      <w:bookmarkStart w:id="649" w:name="_Toc175159189"/>
      <w:r>
        <w:t>16.11.6.2.4</w:t>
      </w:r>
      <w:r>
        <w:tab/>
        <w:t>Fourth Late Payment in Any Rolling 12-Month Period</w:t>
      </w:r>
      <w:bookmarkEnd w:id="643"/>
      <w:bookmarkEnd w:id="644"/>
      <w:bookmarkEnd w:id="645"/>
      <w:bookmarkEnd w:id="646"/>
      <w:bookmarkEnd w:id="647"/>
      <w:bookmarkEnd w:id="648"/>
      <w:bookmarkEnd w:id="649"/>
    </w:p>
    <w:p w14:paraId="3B23E3C6" w14:textId="77777777" w:rsidR="00FC1C5F" w:rsidRDefault="00853D39" w:rsidP="003E09AF">
      <w:pPr>
        <w:pStyle w:val="BodyTextNumbered"/>
      </w:pPr>
      <w:r>
        <w:t>(1)</w:t>
      </w:r>
      <w:r>
        <w:tab/>
      </w:r>
      <w:r w:rsidR="006B2812">
        <w:t>For the fourth Late Payment resulting from a Payment Breach in any rolling 12-month period, ERCOT</w:t>
      </w:r>
      <w:r w:rsidR="006B2812">
        <w:rPr>
          <w:szCs w:val="24"/>
        </w:rPr>
        <w:t xml:space="preserve"> shall take</w:t>
      </w:r>
      <w:r w:rsidR="006B2812">
        <w:t xml:space="preserve"> </w:t>
      </w:r>
      <w:r w:rsidR="006B2812" w:rsidRPr="00BF0D35">
        <w:t>action under Section 16.11.6.1.6, Revocation of a Market Participant’s Rights and Termination of Agreements</w:t>
      </w:r>
      <w:r w:rsidR="006B2812">
        <w:t>.</w:t>
      </w:r>
    </w:p>
    <w:p w14:paraId="6AE5F2E0" w14:textId="77777777" w:rsidR="00FC1C5F" w:rsidRDefault="00727E32">
      <w:pPr>
        <w:pStyle w:val="H5"/>
      </w:pPr>
      <w:bookmarkStart w:id="650" w:name="_Toc390438989"/>
      <w:bookmarkStart w:id="651" w:name="_Toc405897697"/>
      <w:bookmarkStart w:id="652" w:name="_Toc415055792"/>
      <w:bookmarkStart w:id="653" w:name="_Toc415055918"/>
      <w:bookmarkStart w:id="654" w:name="_Toc415056017"/>
      <w:bookmarkStart w:id="655" w:name="_Toc415056117"/>
      <w:bookmarkStart w:id="656" w:name="_Toc175159190"/>
      <w:r>
        <w:t>16.11.6.2.5</w:t>
      </w:r>
      <w:r>
        <w:tab/>
        <w:t>Level I Enforcement</w:t>
      </w:r>
      <w:bookmarkEnd w:id="650"/>
      <w:bookmarkEnd w:id="651"/>
      <w:bookmarkEnd w:id="652"/>
      <w:bookmarkEnd w:id="653"/>
      <w:bookmarkEnd w:id="654"/>
      <w:bookmarkEnd w:id="655"/>
      <w:bookmarkEnd w:id="656"/>
    </w:p>
    <w:p w14:paraId="4EBB5D09" w14:textId="77777777" w:rsidR="005C04D0" w:rsidRPr="002D2785" w:rsidRDefault="005C04D0" w:rsidP="005C04D0">
      <w:pPr>
        <w:keepNext/>
        <w:spacing w:after="240"/>
        <w:ind w:left="720" w:hanging="720"/>
        <w:rPr>
          <w:iCs/>
        </w:rPr>
      </w:pPr>
      <w:r w:rsidRPr="002D2785">
        <w:rPr>
          <w:iCs/>
        </w:rPr>
        <w:t>(1)</w:t>
      </w:r>
      <w:r w:rsidRPr="002D2785">
        <w:rPr>
          <w:iCs/>
        </w:rPr>
        <w:tab/>
        <w:t>Under Level I Enforcement, ERCOT shall notify the Market Participant to comply with one of the following requirements:</w:t>
      </w:r>
    </w:p>
    <w:p w14:paraId="04ECF37F" w14:textId="77777777" w:rsidR="005C04D0" w:rsidRPr="002D2785" w:rsidRDefault="005C04D0" w:rsidP="005C04D0">
      <w:pPr>
        <w:spacing w:after="240"/>
        <w:ind w:left="1440" w:hanging="720"/>
      </w:pPr>
      <w:r w:rsidRPr="002D2785">
        <w:t>(a)</w:t>
      </w:r>
      <w:r w:rsidRPr="002D2785">
        <w:tab/>
        <w:t>If the Market Participant has not provided Financial Security, the Market Participant shall now provide Financial Security, within two Bank Business Days, in an amount at or above 110% of the amount of the Market Participant’s TPE; or any other liability to ERCOT that the Market Participant has or is expected to have for activity in the ERCOT Region, whichever applies.</w:t>
      </w:r>
    </w:p>
    <w:p w14:paraId="06AA848F" w14:textId="77777777" w:rsidR="005C04D0" w:rsidRDefault="005C04D0" w:rsidP="005C04D0">
      <w:pPr>
        <w:spacing w:after="240"/>
        <w:ind w:left="1440" w:hanging="720"/>
        <w:rPr>
          <w:iCs/>
        </w:rPr>
      </w:pPr>
      <w:r w:rsidRPr="002D2785">
        <w:t>(b)</w:t>
      </w:r>
      <w:r w:rsidRPr="002D2785">
        <w:tab/>
        <w:t>If the Market Participant has already provided Financial Security, the Market Participant shall increase its Financial Security, within two Bank Business Days, to an amount at or above 110% of its TPE or any other liability to ERCOT that the Market Participant has or is expected to have for activity in the ERCOT Region, whichever applies.</w:t>
      </w:r>
    </w:p>
    <w:p w14:paraId="5388B59A" w14:textId="296C7F51" w:rsidR="00FC1C5F" w:rsidRDefault="006B2812" w:rsidP="00FB1643">
      <w:pPr>
        <w:autoSpaceDE w:val="0"/>
        <w:autoSpaceDN w:val="0"/>
        <w:adjustRightInd w:val="0"/>
        <w:spacing w:after="240"/>
        <w:ind w:left="720" w:hanging="720"/>
        <w:rPr>
          <w:color w:val="000000"/>
        </w:rPr>
      </w:pPr>
      <w:r w:rsidRPr="002D2785">
        <w:rPr>
          <w:color w:val="000000"/>
          <w:szCs w:val="24"/>
        </w:rPr>
        <w:t>(2)</w:t>
      </w:r>
      <w:r w:rsidRPr="002D2785">
        <w:rPr>
          <w:color w:val="000000"/>
          <w:szCs w:val="24"/>
        </w:rPr>
        <w:tab/>
        <w:t>Increased Financial Security requirements under this Section remain in effect for a minimum of 60 days and remain in effect thereafter until ERCOT, at its sole discretion, determines to reduce such Financial Security requirements to the normally applicable levels.</w:t>
      </w:r>
    </w:p>
    <w:p w14:paraId="3EABC437" w14:textId="77777777" w:rsidR="00FC1C5F" w:rsidRDefault="00727E32">
      <w:pPr>
        <w:pStyle w:val="H5"/>
      </w:pPr>
      <w:bookmarkStart w:id="657" w:name="_Toc390438990"/>
      <w:bookmarkStart w:id="658" w:name="_Toc405897699"/>
      <w:bookmarkStart w:id="659" w:name="_Toc415055793"/>
      <w:bookmarkStart w:id="660" w:name="_Toc415055919"/>
      <w:bookmarkStart w:id="661" w:name="_Toc415056018"/>
      <w:bookmarkStart w:id="662" w:name="_Toc415056118"/>
      <w:bookmarkStart w:id="663" w:name="_Toc175159191"/>
      <w:r>
        <w:t>16.11.6.2.6</w:t>
      </w:r>
      <w:r>
        <w:tab/>
        <w:t>Level II Enforcement</w:t>
      </w:r>
      <w:bookmarkEnd w:id="657"/>
      <w:bookmarkEnd w:id="658"/>
      <w:bookmarkEnd w:id="659"/>
      <w:bookmarkEnd w:id="660"/>
      <w:bookmarkEnd w:id="661"/>
      <w:bookmarkEnd w:id="662"/>
      <w:bookmarkEnd w:id="663"/>
    </w:p>
    <w:p w14:paraId="5E9341B4" w14:textId="0D38F35A" w:rsidR="006B2812" w:rsidRPr="006B7162" w:rsidRDefault="006B2812" w:rsidP="006B2812">
      <w:pPr>
        <w:autoSpaceDE w:val="0"/>
        <w:autoSpaceDN w:val="0"/>
        <w:adjustRightInd w:val="0"/>
        <w:spacing w:after="240"/>
        <w:ind w:left="720" w:hanging="720"/>
        <w:rPr>
          <w:szCs w:val="24"/>
        </w:rPr>
      </w:pPr>
      <w:r w:rsidRPr="006B7162">
        <w:rPr>
          <w:color w:val="000000"/>
          <w:szCs w:val="24"/>
        </w:rPr>
        <w:t>(1)</w:t>
      </w:r>
      <w:r w:rsidRPr="006B7162">
        <w:rPr>
          <w:color w:val="000000"/>
          <w:szCs w:val="24"/>
        </w:rPr>
        <w:tab/>
      </w:r>
      <w:r w:rsidR="005C04D0" w:rsidRPr="006B7162">
        <w:rPr>
          <w:color w:val="000000"/>
        </w:rPr>
        <w:t xml:space="preserve">Under Level II Enforcement, ERCOT shall notify the </w:t>
      </w:r>
      <w:r w:rsidR="005C04D0" w:rsidRPr="006B7162">
        <w:t>Market Participant</w:t>
      </w:r>
      <w:r w:rsidR="005C04D0" w:rsidRPr="006B7162">
        <w:rPr>
          <w:color w:val="000000"/>
        </w:rPr>
        <w:t xml:space="preserve"> that </w:t>
      </w:r>
      <w:r w:rsidR="005C04D0" w:rsidRPr="006B7162">
        <w:t xml:space="preserve">the Market Participant shall provide Financial Security, within two Bank Business </w:t>
      </w:r>
      <w:r w:rsidR="005C04D0">
        <w:t>D</w:t>
      </w:r>
      <w:r w:rsidR="005C04D0" w:rsidRPr="006B7162">
        <w:t>ays, in the form of a cash deposit or letter of credit, as chosen by ERCOT at its sole discretion, at 11</w:t>
      </w:r>
      <w:r w:rsidR="005C04D0">
        <w:t>5</w:t>
      </w:r>
      <w:r w:rsidR="005C04D0" w:rsidRPr="006B7162">
        <w:t>% of the Market Participant’s TPE or for any other liability to ERCOT that the Market Participant has or is expected to have for activity in the ERCOT Region</w:t>
      </w:r>
      <w:r w:rsidRPr="006B7162">
        <w:rPr>
          <w:szCs w:val="24"/>
        </w:rPr>
        <w:t xml:space="preserve">.   </w:t>
      </w:r>
    </w:p>
    <w:p w14:paraId="524C7A6B" w14:textId="21BFD995" w:rsidR="00FC1C5F" w:rsidRDefault="006B2812" w:rsidP="00FB1643">
      <w:pPr>
        <w:pStyle w:val="List"/>
        <w:ind w:left="720"/>
      </w:pPr>
      <w:r w:rsidRPr="006B7162">
        <w:t>(2)</w:t>
      </w:r>
      <w:r w:rsidRPr="006B7162">
        <w:tab/>
        <w:t xml:space="preserve">Increased Financial Security requirements under this Section remain in effect for a minimum of 60 days and remain in effect thereafter until ERCOT, at its sole discretion, </w:t>
      </w:r>
      <w:r w:rsidRPr="006B7162">
        <w:lastRenderedPageBreak/>
        <w:t>determines to reduce such Financial Security requirements to the normally applicable levels.</w:t>
      </w:r>
    </w:p>
    <w:p w14:paraId="5B014784" w14:textId="77777777" w:rsidR="00FC1C5F" w:rsidRDefault="00727E32">
      <w:pPr>
        <w:pStyle w:val="H5"/>
      </w:pPr>
      <w:bookmarkStart w:id="664" w:name="_Toc390438991"/>
      <w:bookmarkStart w:id="665" w:name="_Toc405897701"/>
      <w:bookmarkStart w:id="666" w:name="_Toc415055794"/>
      <w:bookmarkStart w:id="667" w:name="_Toc415055920"/>
      <w:bookmarkStart w:id="668" w:name="_Toc415056019"/>
      <w:bookmarkStart w:id="669" w:name="_Toc415056119"/>
      <w:bookmarkStart w:id="670" w:name="_Toc175159192"/>
      <w:r>
        <w:t>16.11.6.2.7</w:t>
      </w:r>
      <w:r>
        <w:tab/>
        <w:t>Level III Enforcement</w:t>
      </w:r>
      <w:bookmarkEnd w:id="664"/>
      <w:bookmarkEnd w:id="665"/>
      <w:bookmarkEnd w:id="666"/>
      <w:bookmarkEnd w:id="667"/>
      <w:bookmarkEnd w:id="668"/>
      <w:bookmarkEnd w:id="669"/>
      <w:bookmarkEnd w:id="670"/>
    </w:p>
    <w:p w14:paraId="67BB6A7D" w14:textId="01CF789F" w:rsidR="002F409F" w:rsidRDefault="006B2812" w:rsidP="002F409F">
      <w:pPr>
        <w:keepNext/>
        <w:spacing w:after="240"/>
        <w:ind w:left="720" w:hanging="720"/>
        <w:rPr>
          <w:iCs/>
        </w:rPr>
      </w:pPr>
      <w:r w:rsidRPr="006B7162">
        <w:rPr>
          <w:iCs/>
        </w:rPr>
        <w:t>(1)</w:t>
      </w:r>
      <w:r w:rsidRPr="006B7162">
        <w:rPr>
          <w:iCs/>
        </w:rPr>
        <w:tab/>
      </w:r>
      <w:r w:rsidR="005C04D0" w:rsidRPr="006B7162">
        <w:rPr>
          <w:lang w:eastAsia="x-none"/>
        </w:rPr>
        <w:t xml:space="preserve">Under Level III Enforcement, </w:t>
      </w:r>
      <w:r w:rsidR="005C04D0" w:rsidRPr="006B7162">
        <w:rPr>
          <w:iCs/>
        </w:rPr>
        <w:t>ERCOT shall</w:t>
      </w:r>
      <w:r w:rsidR="005C04D0">
        <w:rPr>
          <w:iCs/>
        </w:rPr>
        <w:t xml:space="preserve"> notify the Market Participant that the Market Participant shall provide Financial Security within two Bank Business Days at 120% of the Market Participant’s TPE or for any other liability to ERCOT that the Market Participant has or is expected to have for activity in the ERCOT Region. Required Financial Security in excess of TPE must be in the form of a cash deposit</w:t>
      </w:r>
      <w:r w:rsidR="002F409F">
        <w:rPr>
          <w:iCs/>
        </w:rPr>
        <w:t>.</w:t>
      </w:r>
    </w:p>
    <w:p w14:paraId="5B217B54" w14:textId="0BA26F67" w:rsidR="006B2812" w:rsidRPr="006B7162" w:rsidRDefault="002F409F" w:rsidP="00FB1643">
      <w:pPr>
        <w:keepNext/>
        <w:spacing w:after="240"/>
        <w:ind w:left="720" w:hanging="720"/>
        <w:rPr>
          <w:iCs/>
        </w:rPr>
      </w:pPr>
      <w:r>
        <w:rPr>
          <w:iCs/>
        </w:rPr>
        <w:t>(2)</w:t>
      </w:r>
      <w:r>
        <w:rPr>
          <w:iCs/>
        </w:rPr>
        <w:tab/>
        <w:t>Increased Financial Security requirements under this Section remain in effect for a minimum of 90 days and remain in effect thereafter until ERCOT, at its sole discretion, determines to reduce such Financial Security requirements to the normally applicable levels.</w:t>
      </w:r>
    </w:p>
    <w:p w14:paraId="69F8BAE6" w14:textId="77777777" w:rsidR="00FC1C5F" w:rsidRDefault="00727E32" w:rsidP="00FC1C5F">
      <w:pPr>
        <w:pStyle w:val="H3"/>
      </w:pPr>
      <w:bookmarkStart w:id="671" w:name="_Toc98060312"/>
      <w:bookmarkStart w:id="672" w:name="_Toc390438992"/>
      <w:bookmarkStart w:id="673" w:name="_Toc405897703"/>
      <w:bookmarkStart w:id="674" w:name="_Toc415055795"/>
      <w:bookmarkStart w:id="675" w:name="_Toc415055921"/>
      <w:bookmarkStart w:id="676" w:name="_Toc415056020"/>
      <w:bookmarkStart w:id="677" w:name="_Toc415056120"/>
      <w:bookmarkStart w:id="678" w:name="_Toc175159193"/>
      <w:r>
        <w:t>16.11.7</w:t>
      </w:r>
      <w:r>
        <w:tab/>
        <w:t>Release of Market Participant’s Financial Security Requirement</w:t>
      </w:r>
      <w:bookmarkEnd w:id="671"/>
      <w:bookmarkEnd w:id="672"/>
      <w:bookmarkEnd w:id="673"/>
      <w:bookmarkEnd w:id="674"/>
      <w:bookmarkEnd w:id="675"/>
      <w:bookmarkEnd w:id="676"/>
      <w:bookmarkEnd w:id="677"/>
      <w:bookmarkEnd w:id="678"/>
    </w:p>
    <w:p w14:paraId="01790272" w14:textId="77777777" w:rsidR="005A2AD9" w:rsidRDefault="00853D39" w:rsidP="005A2AD9">
      <w:pPr>
        <w:pStyle w:val="BodyText"/>
        <w:ind w:left="720" w:hanging="720"/>
      </w:pPr>
      <w:r>
        <w:t>(1)</w:t>
      </w:r>
      <w:r>
        <w:tab/>
      </w:r>
      <w:r w:rsidR="00727E32">
        <w:t xml:space="preserve">Following the termination of a Market Participant’s </w:t>
      </w:r>
      <w:r w:rsidR="005A2AD9">
        <w:t>Standard Form Market Participant Agreement, ERCOT shall retain Financial Security to cover potential future obligations of the terminated Market Participant.  These obligations may include, but are not limited to, Resettlement Statements, Final or True-Up Settlements, and Default Uplift Invoices.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6959551C" w14:textId="77777777" w:rsidTr="004E603E">
        <w:tc>
          <w:tcPr>
            <w:tcW w:w="9332" w:type="dxa"/>
            <w:shd w:val="pct12" w:color="auto" w:fill="auto"/>
          </w:tcPr>
          <w:p w14:paraId="32709083" w14:textId="54CD4420" w:rsidR="004E603E" w:rsidRPr="0002450E" w:rsidRDefault="004E603E" w:rsidP="004E603E">
            <w:pPr>
              <w:pStyle w:val="Instructions"/>
              <w:spacing w:before="120"/>
              <w:rPr>
                <w:iCs/>
              </w:rPr>
            </w:pPr>
            <w:r>
              <w:rPr>
                <w:iCs/>
              </w:rPr>
              <w:t>[NPRR1023</w:t>
            </w:r>
            <w:r w:rsidRPr="0002450E">
              <w:rPr>
                <w:iCs/>
              </w:rPr>
              <w:t xml:space="preserve">:  Replace </w:t>
            </w:r>
            <w:r>
              <w:rPr>
                <w:iCs/>
              </w:rPr>
              <w:t xml:space="preserve">paragraph (1) </w:t>
            </w:r>
            <w:r w:rsidRPr="0002450E">
              <w:rPr>
                <w:iCs/>
              </w:rPr>
              <w:t xml:space="preserve">above with the following upon system implementation:] </w:t>
            </w:r>
          </w:p>
          <w:p w14:paraId="2364B3FA" w14:textId="058F24FE" w:rsidR="004E603E" w:rsidRPr="008D69E1" w:rsidRDefault="004E603E" w:rsidP="004E603E">
            <w:pPr>
              <w:pStyle w:val="BodyText"/>
              <w:ind w:left="720" w:hanging="720"/>
            </w:pPr>
            <w:r>
              <w:t>(1)</w:t>
            </w:r>
            <w:r>
              <w:tab/>
              <w:t>Following the termination of a Market Participant’s Standard Form Market Participant Agreement, ERCOT shall retain Financial Security to cover potential future obligations of the terminated Market Participant.  These obligations may include, but are not limited to, the Invoices associated with the liquidation of repossessed or forfeited CRRs, Resettlement Statements, Final or True-Up Settlements, and Default Uplift Invoices.</w:t>
            </w:r>
          </w:p>
        </w:tc>
      </w:tr>
    </w:tbl>
    <w:p w14:paraId="06D72B74" w14:textId="77777777" w:rsidR="004E603E" w:rsidRDefault="004E603E"/>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0774F14F" w14:textId="77777777" w:rsidTr="004E603E">
        <w:tc>
          <w:tcPr>
            <w:tcW w:w="9332" w:type="dxa"/>
            <w:shd w:val="pct12" w:color="auto" w:fill="auto"/>
          </w:tcPr>
          <w:p w14:paraId="0666454C" w14:textId="6B12D8AE" w:rsidR="004E603E" w:rsidRPr="0002450E" w:rsidRDefault="004E603E" w:rsidP="004E603E">
            <w:pPr>
              <w:pStyle w:val="Instructions"/>
              <w:spacing w:before="120"/>
              <w:rPr>
                <w:iCs/>
              </w:rPr>
            </w:pPr>
            <w:r>
              <w:rPr>
                <w:iCs/>
              </w:rPr>
              <w:t>[NPRR1023</w:t>
            </w:r>
            <w:r w:rsidRPr="0002450E">
              <w:rPr>
                <w:iCs/>
              </w:rPr>
              <w:t xml:space="preserve">:  </w:t>
            </w:r>
            <w:r>
              <w:rPr>
                <w:iCs/>
              </w:rPr>
              <w:t>Insert</w:t>
            </w:r>
            <w:r w:rsidRPr="0002450E">
              <w:rPr>
                <w:iCs/>
              </w:rPr>
              <w:t xml:space="preserve"> </w:t>
            </w:r>
            <w:r>
              <w:rPr>
                <w:iCs/>
              </w:rPr>
              <w:t>paragraph (2) below</w:t>
            </w:r>
            <w:r w:rsidRPr="0002450E">
              <w:rPr>
                <w:iCs/>
              </w:rPr>
              <w:t xml:space="preserve"> upon system implementation</w:t>
            </w:r>
            <w:r>
              <w:rPr>
                <w:iCs/>
              </w:rPr>
              <w:t xml:space="preserve"> and renumber accordingly</w:t>
            </w:r>
            <w:r w:rsidRPr="0002450E">
              <w:rPr>
                <w:iCs/>
              </w:rPr>
              <w:t xml:space="preserve">:] </w:t>
            </w:r>
          </w:p>
          <w:p w14:paraId="1C7D2158" w14:textId="6CEAA74F" w:rsidR="004E603E" w:rsidRPr="008D69E1" w:rsidRDefault="004E603E" w:rsidP="004E603E">
            <w:pPr>
              <w:pStyle w:val="BodyText"/>
              <w:ind w:left="720" w:hanging="720"/>
            </w:pPr>
            <w:r>
              <w:t>(2)</w:t>
            </w:r>
            <w:r>
              <w:tab/>
              <w:t>R</w:t>
            </w:r>
            <w:r w:rsidRPr="00632DBE">
              <w:t>egardless of whether a Market Participant’s Agreement with ERCOT has been terminated, ERCOT shall not return or release any Financial Security of a Market Participant from whom CRRs were repossessed or forfeited until all such repossessed or forfeited CRRs have been voided, settled in the DAM, or sold in a CRR Auction in accordance with Section 16.11.6.1.6, Liquidation of Repossessed or Forfeited CRRs, and all Invoices associated with the liquidation have been paid in full</w:t>
            </w:r>
            <w:r>
              <w:t>.</w:t>
            </w:r>
          </w:p>
        </w:tc>
      </w:tr>
    </w:tbl>
    <w:p w14:paraId="1A5F8105" w14:textId="153E01C9" w:rsidR="005A2AD9" w:rsidRDefault="005A2AD9" w:rsidP="00974AFC">
      <w:pPr>
        <w:pStyle w:val="BodyText"/>
        <w:spacing w:before="240"/>
        <w:ind w:left="720" w:hanging="720"/>
      </w:pPr>
      <w:r>
        <w:lastRenderedPageBreak/>
        <w:t>(2)</w:t>
      </w:r>
      <w:r>
        <w:tab/>
        <w:t>Required Financial Security for potential future obligations of a terminated Market Participant will be the maximum of the Counter-Party’s TPE, as applicable, or $5,000.</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24161599" w14:textId="77777777" w:rsidTr="004E603E">
        <w:tc>
          <w:tcPr>
            <w:tcW w:w="9332" w:type="dxa"/>
            <w:shd w:val="pct12" w:color="auto" w:fill="auto"/>
          </w:tcPr>
          <w:p w14:paraId="425CCEC8" w14:textId="6E868A18" w:rsidR="004E603E" w:rsidRPr="0002450E" w:rsidRDefault="004E603E" w:rsidP="004E603E">
            <w:pPr>
              <w:pStyle w:val="Instructions"/>
              <w:spacing w:before="120"/>
              <w:rPr>
                <w:iCs/>
              </w:rPr>
            </w:pPr>
            <w:r>
              <w:rPr>
                <w:iCs/>
              </w:rPr>
              <w:t>[NPRR1023</w:t>
            </w:r>
            <w:r w:rsidRPr="0002450E">
              <w:rPr>
                <w:iCs/>
              </w:rPr>
              <w:t xml:space="preserve">:  Replace </w:t>
            </w:r>
            <w:r>
              <w:rPr>
                <w:iCs/>
              </w:rPr>
              <w:t xml:space="preserve">paragraph (2) </w:t>
            </w:r>
            <w:r w:rsidRPr="0002450E">
              <w:rPr>
                <w:iCs/>
              </w:rPr>
              <w:t xml:space="preserve">above with the following upon system implementation:] </w:t>
            </w:r>
          </w:p>
          <w:p w14:paraId="7D759D07" w14:textId="2CD58C4E" w:rsidR="004E603E" w:rsidRPr="008D69E1" w:rsidRDefault="004E603E" w:rsidP="004E603E">
            <w:pPr>
              <w:pStyle w:val="BodyText"/>
              <w:ind w:left="720" w:hanging="720"/>
            </w:pPr>
            <w:r>
              <w:t>(3)</w:t>
            </w:r>
            <w:r>
              <w:tab/>
              <w:t>Except as specified in paragraph (2) above, required Financial Security for potential future obligations of a terminated Market Participant will be the maximum of the Counter-Party’s TPE, as applicable, or $5,000.</w:t>
            </w:r>
          </w:p>
        </w:tc>
      </w:tr>
    </w:tbl>
    <w:p w14:paraId="5CE559BC" w14:textId="09F4F4BD" w:rsidR="005A2AD9" w:rsidRDefault="005A2AD9" w:rsidP="00974AFC">
      <w:pPr>
        <w:pStyle w:val="BodyText"/>
        <w:spacing w:before="240"/>
        <w:ind w:left="720" w:hanging="720"/>
      </w:pPr>
      <w:r>
        <w:t>(3)</w:t>
      </w:r>
      <w:r>
        <w:tab/>
        <w:t>If a terminated Market Participant elects to withdraw non-cash Financial Security following termination, and ERCOT determines that Financial Security continues to be necessary to cover potential future obligations, then the terminated Market Participant must provide ERCOT with Cash Collateral in the amount determined by ERCOT under this section before ERCOT will return or release the non-cash Financial Security to the terminated Market Participant.</w:t>
      </w:r>
    </w:p>
    <w:p w14:paraId="06270304" w14:textId="45F72B5B" w:rsidR="00FC1C5F" w:rsidRDefault="005A2AD9" w:rsidP="005A2AD9">
      <w:pPr>
        <w:pStyle w:val="BodyText"/>
        <w:ind w:left="720" w:hanging="720"/>
      </w:pPr>
      <w:r>
        <w:t>(4)</w:t>
      </w:r>
      <w:r>
        <w:tab/>
        <w:t>Upon ERCOT’s sole determination that no sums remain owed or are necessary to cover potential future obligations to ERCOT by the terminated Market Participant, ERCOT shall return or release any Financial Security held by ERCOT to the terminated Market Participant</w:t>
      </w:r>
      <w:r w:rsidR="00727E32">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5C4B368B" w14:textId="77777777" w:rsidTr="004E603E">
        <w:tc>
          <w:tcPr>
            <w:tcW w:w="9558" w:type="dxa"/>
            <w:shd w:val="pct12" w:color="auto" w:fill="auto"/>
          </w:tcPr>
          <w:p w14:paraId="2654C09D" w14:textId="2EBCA051" w:rsidR="004E603E" w:rsidRPr="0002450E" w:rsidRDefault="004E603E" w:rsidP="004E603E">
            <w:pPr>
              <w:pStyle w:val="Instructions"/>
              <w:spacing w:before="120"/>
              <w:rPr>
                <w:iCs/>
              </w:rPr>
            </w:pPr>
            <w:bookmarkStart w:id="679" w:name="_Toc98060322"/>
            <w:bookmarkStart w:id="680" w:name="_Toc390438993"/>
            <w:bookmarkStart w:id="681" w:name="_Toc405897704"/>
            <w:bookmarkStart w:id="682" w:name="_Toc415055796"/>
            <w:bookmarkStart w:id="683" w:name="_Toc415055922"/>
            <w:bookmarkStart w:id="684" w:name="_Toc415056021"/>
            <w:bookmarkStart w:id="685" w:name="_Toc415056121"/>
            <w:r>
              <w:rPr>
                <w:iCs/>
              </w:rPr>
              <w:t>[NPRR1023</w:t>
            </w:r>
            <w:r w:rsidRPr="0002450E">
              <w:rPr>
                <w:iCs/>
              </w:rPr>
              <w:t xml:space="preserve">:  </w:t>
            </w:r>
            <w:r>
              <w:rPr>
                <w:iCs/>
              </w:rPr>
              <w:t>Insert Section 16.11.8 below</w:t>
            </w:r>
            <w:r w:rsidRPr="0002450E">
              <w:rPr>
                <w:iCs/>
              </w:rPr>
              <w:t xml:space="preserve"> upon system implementation</w:t>
            </w:r>
            <w:r>
              <w:rPr>
                <w:iCs/>
              </w:rPr>
              <w:t xml:space="preserve"> and renumber accordingly</w:t>
            </w:r>
            <w:r w:rsidRPr="0002450E">
              <w:rPr>
                <w:iCs/>
              </w:rPr>
              <w:t xml:space="preserve">:] </w:t>
            </w:r>
          </w:p>
          <w:p w14:paraId="13697806" w14:textId="501E96DE" w:rsidR="004E603E" w:rsidRPr="00084505" w:rsidRDefault="004E603E" w:rsidP="004E603E">
            <w:pPr>
              <w:pStyle w:val="BodyText"/>
              <w:rPr>
                <w:b/>
              </w:rPr>
            </w:pPr>
            <w:r w:rsidRPr="00084505">
              <w:rPr>
                <w:b/>
                <w:i/>
              </w:rPr>
              <w:t>16.11.</w:t>
            </w:r>
            <w:r>
              <w:rPr>
                <w:b/>
                <w:i/>
              </w:rPr>
              <w:t>8</w:t>
            </w:r>
            <w:r>
              <w:rPr>
                <w:b/>
                <w:i/>
              </w:rPr>
              <w:tab/>
            </w:r>
            <w:r w:rsidRPr="00084505">
              <w:rPr>
                <w:b/>
                <w:i/>
              </w:rPr>
              <w:t xml:space="preserve">Conversion of </w:t>
            </w:r>
            <w:r>
              <w:rPr>
                <w:b/>
                <w:i/>
              </w:rPr>
              <w:t>Letters of Credit and Surety Bonds</w:t>
            </w:r>
            <w:r w:rsidRPr="00084505">
              <w:rPr>
                <w:b/>
                <w:i/>
              </w:rPr>
              <w:t xml:space="preserve"> to Cash</w:t>
            </w:r>
            <w:r>
              <w:rPr>
                <w:b/>
                <w:i/>
              </w:rPr>
              <w:t xml:space="preserve"> Collateral</w:t>
            </w:r>
          </w:p>
          <w:p w14:paraId="73DF65A4" w14:textId="777AAE29" w:rsidR="004E603E" w:rsidRPr="004E603E" w:rsidRDefault="004E603E" w:rsidP="004E603E">
            <w:pPr>
              <w:pStyle w:val="BodyText"/>
              <w:ind w:left="720" w:hanging="720"/>
            </w:pPr>
            <w:r>
              <w:t>(1)</w:t>
            </w:r>
            <w:r>
              <w:tab/>
              <w:t>To facilitate Settlement of Market Participant Invoices arising in consequence of a Payment Breach or other Default by a Market Participant, including but not limited to those described in Section 16.11.6.1.4, Repossession of CRRs by ERCOT, Section 16.11.6.1.5, Declaration of Forfeit of CRRs, and Section 16.11.6.1.6, Liquidation of Repossessed or Forfeited CRRs, ERCOT may at its sole discretion initiate conversion of letters of credit, or surety bonds held as Financial Security to cash collateral.</w:t>
            </w:r>
          </w:p>
        </w:tc>
      </w:tr>
    </w:tbl>
    <w:p w14:paraId="21AB74CA" w14:textId="77777777" w:rsidR="00FC1C5F" w:rsidRDefault="00727E32" w:rsidP="00974AFC">
      <w:pPr>
        <w:pStyle w:val="H3"/>
        <w:spacing w:before="480"/>
      </w:pPr>
      <w:bookmarkStart w:id="686" w:name="_Toc175159194"/>
      <w:r>
        <w:t>16.11.8</w:t>
      </w:r>
      <w:r>
        <w:tab/>
        <w:t>Acceleration</w:t>
      </w:r>
      <w:bookmarkEnd w:id="679"/>
      <w:bookmarkEnd w:id="680"/>
      <w:bookmarkEnd w:id="681"/>
      <w:bookmarkEnd w:id="682"/>
      <w:bookmarkEnd w:id="683"/>
      <w:bookmarkEnd w:id="684"/>
      <w:bookmarkEnd w:id="685"/>
      <w:bookmarkEnd w:id="686"/>
    </w:p>
    <w:p w14:paraId="49AC3609" w14:textId="77777777" w:rsidR="00FC1C5F" w:rsidRDefault="00853D39" w:rsidP="003E09AF">
      <w:pPr>
        <w:pStyle w:val="BodyText"/>
        <w:ind w:left="720" w:hanging="720"/>
      </w:pPr>
      <w:r>
        <w:t>(1)</w:t>
      </w:r>
      <w:r>
        <w:tab/>
      </w:r>
      <w:r w:rsidR="00727E32">
        <w:t>Upon termination of a Market Participant’s rights as a Market Participant and any other agreement(s) between ERCOT and the Market Participant, all sums owed to ERCOT are immediately accelerated and are immediately due and owing in full.  At that time, ERCOT may immediately draw upon the Market Participant’s Financial Security and shall use those funds to offset or recoup all amounts due to ERCOT.</w:t>
      </w:r>
      <w:bookmarkEnd w:id="438"/>
      <w:bookmarkEnd w:id="439"/>
      <w:bookmarkEnd w:id="440"/>
    </w:p>
    <w:p w14:paraId="6EA1CA23" w14:textId="77777777" w:rsidR="00C2117B" w:rsidRPr="002631D7" w:rsidRDefault="00C2117B" w:rsidP="00C2117B">
      <w:pPr>
        <w:pStyle w:val="H2"/>
        <w:rPr>
          <w:lang w:val="en-US" w:eastAsia="en-US"/>
        </w:rPr>
      </w:pPr>
      <w:bookmarkStart w:id="687" w:name="_Toc390438994"/>
      <w:bookmarkStart w:id="688" w:name="_Toc405897705"/>
      <w:bookmarkStart w:id="689" w:name="_Toc415055797"/>
      <w:bookmarkStart w:id="690" w:name="_Toc415055923"/>
      <w:bookmarkStart w:id="691" w:name="_Toc415056022"/>
      <w:bookmarkStart w:id="692" w:name="_Toc415056122"/>
      <w:bookmarkStart w:id="693" w:name="_Toc175159195"/>
      <w:r w:rsidRPr="002631D7">
        <w:rPr>
          <w:lang w:val="en-US" w:eastAsia="en-US"/>
        </w:rPr>
        <w:lastRenderedPageBreak/>
        <w:t>16.12</w:t>
      </w:r>
      <w:r w:rsidRPr="002631D7">
        <w:rPr>
          <w:lang w:val="en-US" w:eastAsia="en-US"/>
        </w:rPr>
        <w:tab/>
        <w:t>User Security Administrator and Digital Certificates</w:t>
      </w:r>
      <w:bookmarkEnd w:id="687"/>
      <w:bookmarkEnd w:id="688"/>
      <w:bookmarkEnd w:id="689"/>
      <w:bookmarkEnd w:id="690"/>
      <w:bookmarkEnd w:id="691"/>
      <w:bookmarkEnd w:id="692"/>
      <w:bookmarkEnd w:id="693"/>
    </w:p>
    <w:p w14:paraId="4FD49CDF" w14:textId="77777777" w:rsidR="00462B48" w:rsidRDefault="00462B48" w:rsidP="00462B48">
      <w:pPr>
        <w:pStyle w:val="H2"/>
        <w:tabs>
          <w:tab w:val="clear" w:pos="900"/>
        </w:tabs>
        <w:spacing w:before="0"/>
        <w:ind w:left="720" w:hanging="720"/>
        <w:outlineLvl w:val="9"/>
        <w:rPr>
          <w:b w:val="0"/>
        </w:rPr>
      </w:pPr>
      <w:bookmarkStart w:id="694" w:name="_Toc349821829"/>
      <w:r>
        <w:rPr>
          <w:b w:val="0"/>
        </w:rPr>
        <w:t>(1)</w:t>
      </w:r>
      <w:r>
        <w:rPr>
          <w:b w:val="0"/>
        </w:rPr>
        <w:tab/>
      </w:r>
      <w:r w:rsidRPr="00F80DFA">
        <w:rPr>
          <w:b w:val="0"/>
        </w:rPr>
        <w:t xml:space="preserve">Each Market Participant is allowed access to </w:t>
      </w:r>
      <w:r>
        <w:rPr>
          <w:b w:val="0"/>
        </w:rPr>
        <w:t xml:space="preserve">certain </w:t>
      </w:r>
      <w:r w:rsidRPr="00F80DFA">
        <w:rPr>
          <w:b w:val="0"/>
        </w:rPr>
        <w:t>ERCOT computer systems through the use of Digital Certificates upon execution of the</w:t>
      </w:r>
      <w:r w:rsidRPr="00F80DFA" w:rsidDel="003E0270">
        <w:rPr>
          <w:b w:val="0"/>
        </w:rPr>
        <w:t xml:space="preserve"> </w:t>
      </w:r>
      <w:r w:rsidRPr="00F80DFA">
        <w:rPr>
          <w:b w:val="0"/>
        </w:rPr>
        <w:t xml:space="preserve">Standard Form Market Participant Agreement (as provided for in </w:t>
      </w:r>
      <w:r w:rsidRPr="006F1E0B">
        <w:rPr>
          <w:b w:val="0"/>
        </w:rPr>
        <w:t>Section 22</w:t>
      </w:r>
      <w:r w:rsidRPr="00F80DFA">
        <w:rPr>
          <w:b w:val="0"/>
        </w:rPr>
        <w:t xml:space="preserve">, Attachment A, Standard Form Market Participant Agreement), </w:t>
      </w:r>
      <w:r>
        <w:rPr>
          <w:b w:val="0"/>
        </w:rPr>
        <w:t xml:space="preserve">and </w:t>
      </w:r>
      <w:r w:rsidRPr="00F80DFA">
        <w:rPr>
          <w:b w:val="0"/>
        </w:rPr>
        <w:t>completion of applicable registration and qualification requirements.  Digital Certificates expire after one year.</w:t>
      </w:r>
    </w:p>
    <w:p w14:paraId="2A92F01A" w14:textId="12488BB4" w:rsidR="00462B48" w:rsidRDefault="00462B48" w:rsidP="00520F89">
      <w:pPr>
        <w:pStyle w:val="H2"/>
        <w:tabs>
          <w:tab w:val="clear" w:pos="900"/>
        </w:tabs>
        <w:spacing w:before="0"/>
        <w:ind w:left="720" w:hanging="720"/>
        <w:outlineLvl w:val="9"/>
        <w:rPr>
          <w:b w:val="0"/>
        </w:rPr>
      </w:pPr>
      <w:r>
        <w:rPr>
          <w:b w:val="0"/>
        </w:rPr>
        <w:t>(2)</w:t>
      </w:r>
      <w:r>
        <w:rPr>
          <w:b w:val="0"/>
        </w:rPr>
        <w:tab/>
      </w:r>
      <w:r w:rsidR="005C5A94" w:rsidRPr="00F80DFA">
        <w:rPr>
          <w:b w:val="0"/>
        </w:rPr>
        <w:t xml:space="preserve">A User Security Administrator (USA) is responsible for managing the Market Participant’s access to </w:t>
      </w:r>
      <w:r w:rsidR="005C5A94">
        <w:rPr>
          <w:b w:val="0"/>
        </w:rPr>
        <w:t>non-public ERCOT</w:t>
      </w:r>
      <w:r w:rsidR="005C5A94" w:rsidRPr="00F80DFA">
        <w:rPr>
          <w:b w:val="0"/>
        </w:rPr>
        <w:t xml:space="preserve"> computer systems through Digital Certificates.  </w:t>
      </w:r>
      <w:r w:rsidR="005C5A94">
        <w:rPr>
          <w:b w:val="0"/>
        </w:rPr>
        <w:t xml:space="preserve">A USA may also be responsible for managing the </w:t>
      </w:r>
      <w:r w:rsidR="005C5A94" w:rsidRPr="00F80DFA">
        <w:rPr>
          <w:b w:val="0"/>
        </w:rPr>
        <w:t>Market Participant’s access</w:t>
      </w:r>
      <w:r w:rsidR="005C5A94">
        <w:rPr>
          <w:b w:val="0"/>
        </w:rPr>
        <w:t xml:space="preserve"> to </w:t>
      </w:r>
      <w:r w:rsidR="005C5A94" w:rsidRPr="005175C4">
        <w:rPr>
          <w:b w:val="0"/>
        </w:rPr>
        <w:t xml:space="preserve">the online </w:t>
      </w:r>
      <w:r w:rsidR="005C5A94">
        <w:rPr>
          <w:b w:val="0"/>
        </w:rPr>
        <w:t>Resource Integration and Ongoing Operations (“RIOO”)</w:t>
      </w:r>
      <w:r w:rsidR="005C5A94" w:rsidRPr="005175C4">
        <w:rPr>
          <w:b w:val="0"/>
        </w:rPr>
        <w:t xml:space="preserve"> system, which does not require a Digital Certificate</w:t>
      </w:r>
      <w:r w:rsidR="005C5A94">
        <w:rPr>
          <w:b w:val="0"/>
        </w:rPr>
        <w:t xml:space="preserve">.  </w:t>
      </w:r>
      <w:r w:rsidR="005C5A94" w:rsidRPr="00F80DFA">
        <w:rPr>
          <w:b w:val="0"/>
        </w:rPr>
        <w:t>Each Market Participant</w:t>
      </w:r>
      <w:r w:rsidR="005C5A94">
        <w:rPr>
          <w:b w:val="0"/>
        </w:rPr>
        <w:t xml:space="preserve"> that will receive Digital Certificate(s)</w:t>
      </w:r>
      <w:r w:rsidR="005C5A94" w:rsidRPr="00F80DFA">
        <w:rPr>
          <w:b w:val="0"/>
        </w:rPr>
        <w:t xml:space="preserve"> must, as part of the application for registration with ERCOT, designate an individual employee or authorized agent as its USA, and optionally, a </w:t>
      </w:r>
      <w:r w:rsidR="005C5A94">
        <w:rPr>
          <w:b w:val="0"/>
        </w:rPr>
        <w:t>backup</w:t>
      </w:r>
      <w:r w:rsidR="005C5A94" w:rsidRPr="00F80DFA">
        <w:rPr>
          <w:b w:val="0"/>
        </w:rPr>
        <w:t xml:space="preserve"> USA.  If a Market Participant has designated a </w:t>
      </w:r>
      <w:r w:rsidR="005C5A94">
        <w:rPr>
          <w:b w:val="0"/>
        </w:rPr>
        <w:t>backup</w:t>
      </w:r>
      <w:r w:rsidR="005C5A94" w:rsidRPr="00F80DFA">
        <w:rPr>
          <w:b w:val="0"/>
        </w:rPr>
        <w:t xml:space="preserve"> USA</w:t>
      </w:r>
      <w:r w:rsidR="005C5A94">
        <w:rPr>
          <w:b w:val="0"/>
        </w:rPr>
        <w:t xml:space="preserve"> and </w:t>
      </w:r>
      <w:r w:rsidR="005C5A94" w:rsidRPr="00F80DFA">
        <w:rPr>
          <w:b w:val="0"/>
        </w:rPr>
        <w:t>the primary USA</w:t>
      </w:r>
      <w:r w:rsidR="005C5A94">
        <w:rPr>
          <w:b w:val="0"/>
        </w:rPr>
        <w:t xml:space="preserve"> fails to perform, or is unable to</w:t>
      </w:r>
      <w:r w:rsidR="005C5A94" w:rsidRPr="000B18AC">
        <w:rPr>
          <w:b w:val="0"/>
        </w:rPr>
        <w:t xml:space="preserve"> perf</w:t>
      </w:r>
      <w:r w:rsidR="005C5A94">
        <w:rPr>
          <w:b w:val="0"/>
        </w:rPr>
        <w:t>orm, the functions required of a USA, then the backup USA shall perform any and all functions required of the primary USA</w:t>
      </w:r>
      <w:r w:rsidR="005C5A94" w:rsidRPr="000B18AC">
        <w:rPr>
          <w:b w:val="0"/>
        </w:rPr>
        <w:t>.</w:t>
      </w:r>
      <w:r w:rsidR="005C5A94" w:rsidRPr="00F80DFA">
        <w:rPr>
          <w:b w:val="0"/>
        </w:rPr>
        <w:t xml:space="preserve">  The Market Participant is responsible for revising its USA list as the need arises.  The Market Participant’s USA is responsible for registering all Market Participant’s Digital Certificate holders (“Certificate Holders”) and administering the use of Digital Certificates on behalf of the Market Participant.  </w:t>
      </w:r>
      <w:r w:rsidR="005C5A94">
        <w:rPr>
          <w:b w:val="0"/>
        </w:rPr>
        <w:t xml:space="preserve">ERCOT Critical Energy Infrastructure Information (ECEII) posted on the Market Information System (MIS) Secure or Certified Area may be accessed only by those individuals that are issued ECEII-eligible Digital Certificates.  </w:t>
      </w:r>
      <w:r w:rsidR="005C5A94" w:rsidRPr="00276CA9">
        <w:rPr>
          <w:b w:val="0"/>
        </w:rPr>
        <w:t>Each</w:t>
      </w:r>
      <w:r w:rsidR="005C5A94" w:rsidRPr="00F80DFA">
        <w:rPr>
          <w:b w:val="0"/>
        </w:rPr>
        <w:t xml:space="preserve"> Market Participant </w:t>
      </w:r>
      <w:r w:rsidR="005C5A94">
        <w:rPr>
          <w:b w:val="0"/>
        </w:rPr>
        <w:t xml:space="preserve">that will receive Digital Certificates and </w:t>
      </w:r>
      <w:r w:rsidR="005C5A94" w:rsidRPr="00F80DFA">
        <w:rPr>
          <w:b w:val="0"/>
        </w:rPr>
        <w:t xml:space="preserve"> </w:t>
      </w:r>
      <w:r w:rsidR="005C5A94">
        <w:rPr>
          <w:b w:val="0"/>
        </w:rPr>
        <w:t>having</w:t>
      </w:r>
      <w:r w:rsidR="005C5A94" w:rsidRPr="00F80DFA">
        <w:rPr>
          <w:b w:val="0"/>
        </w:rPr>
        <w:t xml:space="preserve"> more than one ERCOT functional registration must designate a USA for each registration (which may be the same employee or authorized agent) and shall manage each registration separately for the purposes of this Section.  Once the Market Participant completes registration requirements, ERCOT shall send the USA a copy of</w:t>
      </w:r>
      <w:r w:rsidR="005C5A94">
        <w:rPr>
          <w:b w:val="0"/>
        </w:rPr>
        <w:t xml:space="preserve"> the Digital Certificate user guide.</w:t>
      </w:r>
      <w:r>
        <w:rPr>
          <w:b w:val="0"/>
        </w:rPr>
        <w:t xml:space="preserve"> </w:t>
      </w:r>
    </w:p>
    <w:p w14:paraId="6211EE29" w14:textId="7DE936D1" w:rsidR="00462B48" w:rsidRPr="00DB1C2A" w:rsidRDefault="00462B48" w:rsidP="00C2150F">
      <w:pPr>
        <w:pStyle w:val="H2"/>
        <w:tabs>
          <w:tab w:val="clear" w:pos="900"/>
        </w:tabs>
        <w:spacing w:before="0"/>
        <w:ind w:left="720" w:hanging="720"/>
        <w:outlineLvl w:val="9"/>
        <w:rPr>
          <w:b w:val="0"/>
        </w:rPr>
      </w:pPr>
      <w:r w:rsidRPr="00273115">
        <w:rPr>
          <w:b w:val="0"/>
        </w:rPr>
        <w:t>(</w:t>
      </w:r>
      <w:r>
        <w:rPr>
          <w:b w:val="0"/>
        </w:rPr>
        <w:t>3</w:t>
      </w:r>
      <w:r w:rsidRPr="00273115">
        <w:rPr>
          <w:b w:val="0"/>
        </w:rPr>
        <w:t>)</w:t>
      </w:r>
      <w:r w:rsidRPr="00273115">
        <w:rPr>
          <w:b w:val="0"/>
        </w:rPr>
        <w:tab/>
      </w:r>
      <w:r>
        <w:rPr>
          <w:b w:val="0"/>
        </w:rPr>
        <w:t>Only</w:t>
      </w:r>
      <w:r w:rsidRPr="00273115">
        <w:rPr>
          <w:b w:val="0"/>
        </w:rPr>
        <w:t xml:space="preserve"> Market Participant</w:t>
      </w:r>
      <w:r>
        <w:rPr>
          <w:b w:val="0"/>
        </w:rPr>
        <w:t>s</w:t>
      </w:r>
      <w:r w:rsidRPr="00273115">
        <w:rPr>
          <w:b w:val="0"/>
        </w:rPr>
        <w:t xml:space="preserve"> registered with ERCOT as </w:t>
      </w:r>
      <w:r>
        <w:rPr>
          <w:b w:val="0"/>
        </w:rPr>
        <w:t xml:space="preserve">either </w:t>
      </w:r>
      <w:r w:rsidRPr="00273115">
        <w:rPr>
          <w:b w:val="0"/>
        </w:rPr>
        <w:t>a Municipally Owned Utility (MOU) or an Electric Cooperative (EC), and</w:t>
      </w:r>
      <w:r>
        <w:rPr>
          <w:b w:val="0"/>
        </w:rPr>
        <w:t xml:space="preserve"> as</w:t>
      </w:r>
      <w:r w:rsidRPr="00273115">
        <w:rPr>
          <w:b w:val="0"/>
        </w:rPr>
        <w:t xml:space="preserve"> a Distribution Service Provider (DSP) and/or Load Serving Entity (LSE), </w:t>
      </w:r>
      <w:r w:rsidRPr="00315A2F">
        <w:rPr>
          <w:b w:val="0"/>
        </w:rPr>
        <w:t>may</w:t>
      </w:r>
      <w:r>
        <w:rPr>
          <w:b w:val="0"/>
        </w:rPr>
        <w:t xml:space="preserve"> be eligible to opt </w:t>
      </w:r>
      <w:r w:rsidRPr="00273115">
        <w:rPr>
          <w:b w:val="0"/>
        </w:rPr>
        <w:t xml:space="preserve">out of designating a USA and receiving Digital Certificates if the Market Participant demonstrates to ERCOT’s </w:t>
      </w:r>
      <w:r w:rsidRPr="00DB1C2A">
        <w:rPr>
          <w:b w:val="0"/>
        </w:rPr>
        <w:t xml:space="preserve">satisfaction that it does not need a Digital Certificate to perform its obligations under the ERCOT Protocols, market guides, or other applicable rules. </w:t>
      </w:r>
    </w:p>
    <w:p w14:paraId="64EA7721" w14:textId="77777777" w:rsidR="00462B48" w:rsidRPr="00DB1C2A" w:rsidRDefault="00462B48" w:rsidP="00462B48">
      <w:pPr>
        <w:pStyle w:val="H2"/>
        <w:tabs>
          <w:tab w:val="clear" w:pos="900"/>
        </w:tabs>
        <w:spacing w:before="0"/>
        <w:ind w:left="720" w:hanging="720"/>
        <w:outlineLvl w:val="9"/>
        <w:rPr>
          <w:b w:val="0"/>
        </w:rPr>
      </w:pPr>
      <w:r w:rsidRPr="00DB1C2A">
        <w:rPr>
          <w:b w:val="0"/>
        </w:rPr>
        <w:t xml:space="preserve">(4) </w:t>
      </w:r>
      <w:r w:rsidRPr="00DB1C2A">
        <w:rPr>
          <w:b w:val="0"/>
        </w:rPr>
        <w:tab/>
        <w:t>An eligible Market</w:t>
      </w:r>
      <w:r>
        <w:rPr>
          <w:b w:val="0"/>
        </w:rPr>
        <w:t xml:space="preserve"> Participant that wishes to opt </w:t>
      </w:r>
      <w:r w:rsidRPr="00DB1C2A">
        <w:rPr>
          <w:b w:val="0"/>
        </w:rPr>
        <w:t>out of designating a USA and receiving Digital Certificates shall submit a request form, found on the ERCOT websit</w:t>
      </w:r>
      <w:r>
        <w:rPr>
          <w:b w:val="0"/>
        </w:rPr>
        <w:t xml:space="preserve">e, confirming its desire to opt </w:t>
      </w:r>
      <w:r w:rsidRPr="00DB1C2A">
        <w:rPr>
          <w:b w:val="0"/>
        </w:rPr>
        <w:t>out subject to ERCOT’s review and approval.  ERCOT will notify the requesting Market Participant of its approval or disapproval of the request within 14 Business Days.  ERCOT may subsequently revoke, at its sole discretion, Market Participant’s election to opt</w:t>
      </w:r>
      <w:r>
        <w:rPr>
          <w:b w:val="0"/>
          <w:lang w:val="en-US"/>
        </w:rPr>
        <w:t xml:space="preserve"> </w:t>
      </w:r>
      <w:r w:rsidRPr="00DB1C2A">
        <w:rPr>
          <w:b w:val="0"/>
        </w:rPr>
        <w:t>out if the Market Participant’s lack of a Digital Certificate causes administrative burdens or reliability concerns.  ERCOT will send notice of revocation to the Market Participant who will have ten Business Days to fill out a Notice of Change of Information (NCI) form (</w:t>
      </w:r>
      <w:r w:rsidRPr="006F1E0B">
        <w:rPr>
          <w:b w:val="0"/>
        </w:rPr>
        <w:t>Section 23</w:t>
      </w:r>
      <w:r w:rsidRPr="00DB1C2A">
        <w:rPr>
          <w:b w:val="0"/>
        </w:rPr>
        <w:t xml:space="preserve">, Form E, Notice of Change of Information) and submit it to ERCOT.  Once the NCI is submitted, the request for a </w:t>
      </w:r>
      <w:r w:rsidRPr="00DB1C2A">
        <w:rPr>
          <w:b w:val="0"/>
        </w:rPr>
        <w:lastRenderedPageBreak/>
        <w:t xml:space="preserve">Digital Certificate will be subject to the same requirements applicable to the processing of an initial request by a new Market Participant. </w:t>
      </w:r>
    </w:p>
    <w:p w14:paraId="11E91DD5" w14:textId="77777777" w:rsidR="00462B48" w:rsidRPr="00DB1C2A" w:rsidRDefault="00462B48" w:rsidP="00462B48">
      <w:pPr>
        <w:pStyle w:val="H2"/>
        <w:tabs>
          <w:tab w:val="clear" w:pos="900"/>
        </w:tabs>
        <w:spacing w:before="0"/>
        <w:ind w:left="720" w:hanging="720"/>
        <w:outlineLvl w:val="9"/>
        <w:rPr>
          <w:b w:val="0"/>
        </w:rPr>
      </w:pPr>
      <w:r w:rsidRPr="00DB1C2A">
        <w:rPr>
          <w:b w:val="0"/>
        </w:rPr>
        <w:t>(5)</w:t>
      </w:r>
      <w:r w:rsidRPr="00DB1C2A">
        <w:rPr>
          <w:b w:val="0"/>
        </w:rPr>
        <w:tab/>
        <w:t>Market Participants that have received approval from ERCOT to opt</w:t>
      </w:r>
      <w:r>
        <w:rPr>
          <w:b w:val="0"/>
          <w:lang w:val="en-US"/>
        </w:rPr>
        <w:t xml:space="preserve"> </w:t>
      </w:r>
      <w:r w:rsidRPr="00DB1C2A">
        <w:rPr>
          <w:b w:val="0"/>
        </w:rPr>
        <w:t>out of designating a USA and receiving Digital Certificates are not excused from obligations under the ERCOT Protocols, other than the obligations required in this Section 16.12 regarding Digital Certificates.  Market Participants who opt</w:t>
      </w:r>
      <w:r w:rsidR="00DC3589" w:rsidRPr="00DB1C2A">
        <w:rPr>
          <w:b w:val="0"/>
        </w:rPr>
        <w:t xml:space="preserve"> </w:t>
      </w:r>
      <w:r w:rsidRPr="00DB1C2A">
        <w:rPr>
          <w:b w:val="0"/>
        </w:rPr>
        <w:t>out shall still be required to submit the Digital Certificate Audit Attestation (</w:t>
      </w:r>
      <w:r w:rsidRPr="00A675A9">
        <w:rPr>
          <w:b w:val="0"/>
        </w:rPr>
        <w:t>DCAA</w:t>
      </w:r>
      <w:r w:rsidRPr="00DB1C2A">
        <w:rPr>
          <w:b w:val="0"/>
        </w:rPr>
        <w:t xml:space="preserve">) required by paragraph (2) of </w:t>
      </w:r>
      <w:r w:rsidRPr="006F1E0B">
        <w:rPr>
          <w:b w:val="0"/>
        </w:rPr>
        <w:t>Section 16.12.3</w:t>
      </w:r>
      <w:r w:rsidRPr="00DB1C2A">
        <w:rPr>
          <w:b w:val="0"/>
        </w:rPr>
        <w:t>, Market Participant Audits of User Security Administrators and Digital Certificates, for the portion of the year, if any, during which they had a USA and Digital Certificate(s).</w:t>
      </w:r>
    </w:p>
    <w:p w14:paraId="372A3CFC" w14:textId="77777777" w:rsidR="00C2117B" w:rsidRPr="00F80DFA" w:rsidRDefault="00462B48" w:rsidP="00462B48">
      <w:pPr>
        <w:pStyle w:val="H2"/>
        <w:tabs>
          <w:tab w:val="clear" w:pos="900"/>
        </w:tabs>
        <w:spacing w:before="0"/>
        <w:ind w:left="720" w:hanging="720"/>
        <w:outlineLvl w:val="9"/>
        <w:rPr>
          <w:b w:val="0"/>
          <w:lang w:val="en-US"/>
        </w:rPr>
      </w:pPr>
      <w:r w:rsidRPr="00273115">
        <w:rPr>
          <w:b w:val="0"/>
        </w:rPr>
        <w:t>(</w:t>
      </w:r>
      <w:r>
        <w:rPr>
          <w:b w:val="0"/>
        </w:rPr>
        <w:t>6</w:t>
      </w:r>
      <w:r w:rsidRPr="00273115">
        <w:rPr>
          <w:b w:val="0"/>
        </w:rPr>
        <w:t>)</w:t>
      </w:r>
      <w:r w:rsidRPr="00273115">
        <w:rPr>
          <w:b w:val="0"/>
        </w:rPr>
        <w:tab/>
      </w:r>
      <w:r>
        <w:rPr>
          <w:b w:val="0"/>
        </w:rPr>
        <w:t xml:space="preserve">A </w:t>
      </w:r>
      <w:r w:rsidRPr="00414EA9">
        <w:rPr>
          <w:b w:val="0"/>
        </w:rPr>
        <w:t>Market Participant</w:t>
      </w:r>
      <w:r>
        <w:rPr>
          <w:b w:val="0"/>
        </w:rPr>
        <w:t xml:space="preserve"> </w:t>
      </w:r>
      <w:r w:rsidRPr="00273115">
        <w:rPr>
          <w:b w:val="0"/>
        </w:rPr>
        <w:t>that has been granted approval by ERCOT to opt</w:t>
      </w:r>
      <w:r>
        <w:rPr>
          <w:b w:val="0"/>
          <w:lang w:val="en-US"/>
        </w:rPr>
        <w:t xml:space="preserve"> </w:t>
      </w:r>
      <w:r w:rsidRPr="00273115">
        <w:rPr>
          <w:b w:val="0"/>
        </w:rPr>
        <w:t xml:space="preserve">out of designating a USA and receiving Digital Certificates </w:t>
      </w:r>
      <w:r>
        <w:rPr>
          <w:b w:val="0"/>
        </w:rPr>
        <w:t xml:space="preserve">will not have access to </w:t>
      </w:r>
      <w:r w:rsidRPr="00414EA9">
        <w:rPr>
          <w:b w:val="0"/>
        </w:rPr>
        <w:t xml:space="preserve">information </w:t>
      </w:r>
      <w:r>
        <w:rPr>
          <w:b w:val="0"/>
        </w:rPr>
        <w:t>that would ordinarily be retrievable with a</w:t>
      </w:r>
      <w:r w:rsidRPr="00414EA9">
        <w:rPr>
          <w:b w:val="0"/>
        </w:rPr>
        <w:t xml:space="preserve"> Digital Certificate.</w:t>
      </w:r>
      <w:r>
        <w:rPr>
          <w:b w:val="0"/>
        </w:rPr>
        <w:t xml:space="preserve">  </w:t>
      </w:r>
      <w:r w:rsidRPr="00273115">
        <w:rPr>
          <w:b w:val="0"/>
        </w:rPr>
        <w:t>A Market Participant that has been granted approval by ERCOT to opt</w:t>
      </w:r>
      <w:r>
        <w:rPr>
          <w:b w:val="0"/>
          <w:lang w:val="en-US"/>
        </w:rPr>
        <w:t xml:space="preserve"> </w:t>
      </w:r>
      <w:r w:rsidRPr="00273115">
        <w:rPr>
          <w:b w:val="0"/>
        </w:rPr>
        <w:t>out of designating a USA and receiving Digital Certificates may, at any time, cancel its opt-out status by submitting a</w:t>
      </w:r>
      <w:r>
        <w:rPr>
          <w:b w:val="0"/>
        </w:rPr>
        <w:t>n</w:t>
      </w:r>
      <w:r w:rsidRPr="00273115">
        <w:rPr>
          <w:b w:val="0"/>
        </w:rPr>
        <w:t xml:space="preserve"> NCI </w:t>
      </w:r>
      <w:r>
        <w:rPr>
          <w:b w:val="0"/>
        </w:rPr>
        <w:t>f</w:t>
      </w:r>
      <w:r w:rsidRPr="00273115">
        <w:rPr>
          <w:b w:val="0"/>
        </w:rPr>
        <w:t>orm (Section 23, Form E).</w:t>
      </w:r>
      <w:bookmarkEnd w:id="694"/>
    </w:p>
    <w:p w14:paraId="6A7269C2" w14:textId="77777777" w:rsidR="00FC1C5F" w:rsidRDefault="00727E32" w:rsidP="003E021A">
      <w:pPr>
        <w:pStyle w:val="H3"/>
      </w:pPr>
      <w:bookmarkStart w:id="695" w:name="_Toc390438995"/>
      <w:bookmarkStart w:id="696" w:name="_Toc405897706"/>
      <w:bookmarkStart w:id="697" w:name="_Toc415055798"/>
      <w:bookmarkStart w:id="698" w:name="_Toc415055924"/>
      <w:bookmarkStart w:id="699" w:name="_Toc415056023"/>
      <w:bookmarkStart w:id="700" w:name="_Toc415056123"/>
      <w:bookmarkStart w:id="701" w:name="_Toc175159196"/>
      <w:r>
        <w:t>16.12.1</w:t>
      </w:r>
      <w:r>
        <w:tab/>
        <w:t>USA Responsibilities and Qualifications for Digital Certificate Holders</w:t>
      </w:r>
      <w:bookmarkEnd w:id="695"/>
      <w:bookmarkEnd w:id="696"/>
      <w:bookmarkEnd w:id="697"/>
      <w:bookmarkEnd w:id="698"/>
      <w:bookmarkEnd w:id="699"/>
      <w:bookmarkEnd w:id="700"/>
      <w:bookmarkEnd w:id="701"/>
    </w:p>
    <w:p w14:paraId="42502BFE" w14:textId="77777777" w:rsidR="00FC1C5F" w:rsidRDefault="00853D39" w:rsidP="003E09AF">
      <w:pPr>
        <w:pStyle w:val="BodyText"/>
        <w:ind w:left="720" w:hanging="720"/>
      </w:pPr>
      <w:r>
        <w:t>(1)</w:t>
      </w:r>
      <w:r>
        <w:tab/>
      </w:r>
      <w:r w:rsidR="00727E32">
        <w:t>The USA and the Market Participant are responsible for the following:</w:t>
      </w:r>
    </w:p>
    <w:p w14:paraId="18B4740F" w14:textId="77777777" w:rsidR="00462B48" w:rsidRDefault="00462B48" w:rsidP="00462B48">
      <w:pPr>
        <w:pStyle w:val="List"/>
      </w:pPr>
      <w:r>
        <w:t>(a)</w:t>
      </w:r>
      <w:r>
        <w:tab/>
        <w:t>Requesting Digital Certificates for authorized Certificate Holders (either persons or programmatic interfaces) that the USA has qualified through an appropriate screening process requiring confirmation that the Certificate Holder is an employee or authorized agent (including third parties) of the Market Participant.  A Certificate Holder (including the USA) must be qualified as set forth below.  The Market Participant shall be liable for ensuring that each of its Certificate Holder(s) meets the requirements of (i) – (v) below.</w:t>
      </w:r>
    </w:p>
    <w:p w14:paraId="5DD5338C" w14:textId="77777777" w:rsidR="00462B48" w:rsidRDefault="00462B48" w:rsidP="00462B48">
      <w:pPr>
        <w:pStyle w:val="List2"/>
      </w:pPr>
      <w:r>
        <w:t>(i)</w:t>
      </w:r>
      <w:r>
        <w:tab/>
        <w:t xml:space="preserve">For any employee or authorized agent receiving a Digital Certificate, the Market Participant shall confirm that the employee or authorized agent satisfies reasonable background review sufficient for employment or contract with the Market Participant so as to reasonably limit threat(s) to ERCOT’s market or computer systems.  The Market Participant may not request that Digital Certificates be issued to any employee or authorized agent that it determines, after reasonable background review, poses a threat to ERCOT’s market or computer systems.  </w:t>
      </w:r>
    </w:p>
    <w:p w14:paraId="5727625E" w14:textId="77777777" w:rsidR="00462B48" w:rsidRDefault="00462B48" w:rsidP="00462B48">
      <w:pPr>
        <w:pStyle w:val="List2"/>
      </w:pPr>
      <w:r>
        <w:t>(ii)</w:t>
      </w:r>
      <w:r>
        <w:tab/>
        <w:t xml:space="preserve">The Certificate Holder is aware of the rules and restrictions relating to the use of Digital Certificates.  </w:t>
      </w:r>
    </w:p>
    <w:p w14:paraId="1CF58831" w14:textId="77777777" w:rsidR="00462B48" w:rsidRDefault="00462B48" w:rsidP="00462B48">
      <w:pPr>
        <w:pStyle w:val="List2"/>
        <w:rPr>
          <w:b/>
          <w:i/>
        </w:rPr>
      </w:pPr>
      <w:r>
        <w:t>(iii)</w:t>
      </w:r>
      <w:r>
        <w:tab/>
        <w:t xml:space="preserve">The Certificate Holder is eligible to review and receive technology and software under applicable export control laws and regulations.  ERCOT shall post links to such laws and regulations on the ERCOT website. </w:t>
      </w:r>
    </w:p>
    <w:p w14:paraId="127683B0" w14:textId="77777777" w:rsidR="00462B48" w:rsidRDefault="00462B48" w:rsidP="00462B48">
      <w:pPr>
        <w:pStyle w:val="List2"/>
      </w:pPr>
      <w:r>
        <w:lastRenderedPageBreak/>
        <w:t>(iv)</w:t>
      </w:r>
      <w:r>
        <w:tab/>
        <w:t xml:space="preserve">The Market Participant has conducted a reasonable review of the Certificate Holder and has confirmed that the Certificate Holder is not on any U.S. terrorist threat lists such as the Consolidated Screening List or the Federal Bureau of Investigation Most Wanted Terrorists List.  ERCOT will post links to relevant lists on the ERCOT website.  </w:t>
      </w:r>
    </w:p>
    <w:p w14:paraId="67A6C024" w14:textId="77777777" w:rsidR="00462B48" w:rsidRDefault="00462B48" w:rsidP="00462B48">
      <w:pPr>
        <w:pStyle w:val="List2"/>
      </w:pPr>
      <w:r>
        <w:t>(v)</w:t>
      </w:r>
      <w:r>
        <w:tab/>
        <w:t>The Certificate Holder does not violate the conditions of use specified by the software vendor that provides the Digital Certificates for the Market Participant’s use and provided to the Certificate Holder.  ERCOT will post links to relevant conditions of use on the ERCOT website</w:t>
      </w:r>
      <w:r w:rsidR="00DC3589">
        <w:t>.</w:t>
      </w:r>
    </w:p>
    <w:p w14:paraId="032610AE" w14:textId="77777777" w:rsidR="00462B48" w:rsidRDefault="00462B48" w:rsidP="00462B48">
      <w:pPr>
        <w:pStyle w:val="List"/>
      </w:pPr>
      <w:r>
        <w:t>(b)</w:t>
      </w:r>
      <w:r>
        <w:tab/>
        <w:t xml:space="preserve">Requesting revocation of Digital Certificates.  </w:t>
      </w:r>
      <w:r w:rsidRPr="00ED1058">
        <w:t xml:space="preserve">The Market Participant or USA shall request revocation </w:t>
      </w:r>
      <w:r>
        <w:t xml:space="preserve">of Digital Certificates </w:t>
      </w:r>
      <w:r w:rsidRPr="00ED1058">
        <w:t xml:space="preserve">by proceeding with the ERCOT </w:t>
      </w:r>
      <w:r>
        <w:t>Digital Certificate</w:t>
      </w:r>
      <w:r w:rsidRPr="00ED1058">
        <w:t xml:space="preserve"> revocation process</w:t>
      </w:r>
      <w:r>
        <w:t xml:space="preserve"> as described in the Digital Certificate User Guide</w:t>
      </w:r>
      <w:r w:rsidRPr="00ED1058">
        <w:t xml:space="preserve">. </w:t>
      </w:r>
      <w:r>
        <w:t xml:space="preserve"> The Market Participant or USA shall request revocation of a Digital Certificate under any of the following conditions:</w:t>
      </w:r>
    </w:p>
    <w:p w14:paraId="665A9064" w14:textId="77777777" w:rsidR="00462B48" w:rsidRDefault="00462B48" w:rsidP="00462B48">
      <w:pPr>
        <w:pStyle w:val="List2"/>
      </w:pPr>
      <w:r>
        <w:t>(i)</w:t>
      </w:r>
      <w:r>
        <w:tab/>
        <w:t>As soon as possible but no later than three Business Days after:</w:t>
      </w:r>
    </w:p>
    <w:p w14:paraId="3B623A7A" w14:textId="77777777" w:rsidR="00462B48" w:rsidRDefault="00462B48" w:rsidP="00462B48">
      <w:pPr>
        <w:pStyle w:val="List2"/>
        <w:ind w:left="2880"/>
      </w:pPr>
      <w:r>
        <w:t>(A)</w:t>
      </w:r>
      <w:r>
        <w:tab/>
        <w:t>A Certificate Holder ceases employment with the Market Participant; or</w:t>
      </w:r>
    </w:p>
    <w:p w14:paraId="426A2540" w14:textId="77777777" w:rsidR="00462B48" w:rsidRDefault="00462B48" w:rsidP="00462B48">
      <w:pPr>
        <w:pStyle w:val="List2"/>
        <w:ind w:left="2880"/>
      </w:pPr>
      <w:r>
        <w:t>(B)</w:t>
      </w:r>
      <w:r>
        <w:tab/>
        <w:t xml:space="preserve">The Market Participant becomes aware that a Certificate Holder is changing job functions (pursuant to a reasonable process for identifying when job function changes occur) so that the Certificate Holder no longer needs the Digital Certificate; </w:t>
      </w:r>
    </w:p>
    <w:p w14:paraId="7D23D44C" w14:textId="77777777" w:rsidR="00462B48" w:rsidRDefault="00462B48" w:rsidP="00462B48">
      <w:pPr>
        <w:pStyle w:val="List2"/>
      </w:pPr>
      <w:r>
        <w:t>(ii)</w:t>
      </w:r>
      <w:r>
        <w:tab/>
        <w:t xml:space="preserve">As soon as possible, but no later than five Business Days, after the Market Participant becomes aware (pursuant to a reasonable process for identifying violations) that the Certificate Holder has violated any of the following conditions of use of a Digital Certificate: </w:t>
      </w:r>
    </w:p>
    <w:p w14:paraId="629475D2" w14:textId="77777777" w:rsidR="00462B48" w:rsidRDefault="00462B48" w:rsidP="00462B48">
      <w:pPr>
        <w:pStyle w:val="List3"/>
      </w:pPr>
      <w:r>
        <w:t>(A)</w:t>
      </w:r>
      <w:r>
        <w:tab/>
        <w:t>Violating the requirements if any of paragraph (1)(a)(i) – (v) above;</w:t>
      </w:r>
    </w:p>
    <w:p w14:paraId="7478F033" w14:textId="77777777" w:rsidR="00462B48" w:rsidRDefault="00462B48" w:rsidP="00462B48">
      <w:pPr>
        <w:pStyle w:val="List3"/>
      </w:pPr>
      <w:r>
        <w:t>(B)</w:t>
      </w:r>
      <w:r>
        <w:tab/>
        <w:t xml:space="preserve">Using the Digital Certificate for any unauthorized purpose; or </w:t>
      </w:r>
    </w:p>
    <w:p w14:paraId="5EA3B87B" w14:textId="77777777" w:rsidR="00462B48" w:rsidRDefault="00462B48" w:rsidP="00462B48">
      <w:pPr>
        <w:pStyle w:val="List3"/>
      </w:pPr>
      <w:r>
        <w:t>(C)</w:t>
      </w:r>
      <w:r>
        <w:tab/>
        <w:t xml:space="preserve">Allowing any person other than the Certificate Holder to use the Digital Certificate. </w:t>
      </w:r>
    </w:p>
    <w:p w14:paraId="49E92C83" w14:textId="77777777" w:rsidR="00FC1C5F" w:rsidRDefault="00727E32" w:rsidP="003E021A">
      <w:pPr>
        <w:pStyle w:val="List"/>
      </w:pPr>
      <w:r>
        <w:t>(c)</w:t>
      </w:r>
      <w:r>
        <w:tab/>
        <w:t>Managing the level of access for each Certificate Holder by assigning and maintaining Digital Certificate roles for each authorized user in accordance with the process set forth in</w:t>
      </w:r>
      <w:r w:rsidR="00B96953">
        <w:t xml:space="preserve"> ERCOT’s Digital Certificate user guide.</w:t>
      </w:r>
    </w:p>
    <w:p w14:paraId="115D71AA" w14:textId="77777777" w:rsidR="00FC1C5F" w:rsidRDefault="00727E32">
      <w:pPr>
        <w:pStyle w:val="List"/>
        <w:tabs>
          <w:tab w:val="left" w:pos="720"/>
          <w:tab w:val="left" w:pos="1440"/>
          <w:tab w:val="left" w:pos="2160"/>
          <w:tab w:val="left" w:pos="2880"/>
          <w:tab w:val="left" w:pos="3600"/>
          <w:tab w:val="left" w:pos="4320"/>
          <w:tab w:val="left" w:pos="5040"/>
          <w:tab w:val="left" w:pos="5760"/>
          <w:tab w:val="left" w:pos="8112"/>
        </w:tabs>
      </w:pPr>
      <w:r>
        <w:t>(d)</w:t>
      </w:r>
      <w:r>
        <w:tab/>
        <w:t>Requesting annual renewal of Digital Certificates.</w:t>
      </w:r>
      <w:r>
        <w:tab/>
      </w:r>
    </w:p>
    <w:p w14:paraId="48DE3297" w14:textId="77777777" w:rsidR="00FC1C5F" w:rsidRDefault="00727E32">
      <w:pPr>
        <w:pStyle w:val="List"/>
      </w:pPr>
      <w:r>
        <w:t>(e)</w:t>
      </w:r>
      <w:r>
        <w:tab/>
        <w:t xml:space="preserve">If needed, issuing Digital Certificates for use by electronic systems not limited to servers. </w:t>
      </w:r>
    </w:p>
    <w:p w14:paraId="0F47AEAA" w14:textId="77777777" w:rsidR="00FC1C5F" w:rsidRDefault="00727E32">
      <w:pPr>
        <w:pStyle w:val="List"/>
        <w:numPr>
          <w:ilvl w:val="0"/>
          <w:numId w:val="6"/>
        </w:numPr>
        <w:tabs>
          <w:tab w:val="clear" w:pos="1080"/>
        </w:tabs>
        <w:ind w:left="1440" w:hanging="720"/>
      </w:pPr>
      <w:r>
        <w:lastRenderedPageBreak/>
        <w:t xml:space="preserve">Maintaining the integrity of the administration of Digital Certificates through consistent, sound and reasonable business practices. </w:t>
      </w:r>
    </w:p>
    <w:p w14:paraId="4C046123" w14:textId="77777777" w:rsidR="00FC1C5F" w:rsidRDefault="00727E32">
      <w:pPr>
        <w:pStyle w:val="H3"/>
      </w:pPr>
      <w:bookmarkStart w:id="702" w:name="_Toc390438996"/>
      <w:bookmarkStart w:id="703" w:name="_Toc405897707"/>
      <w:bookmarkStart w:id="704" w:name="_Toc415055799"/>
      <w:bookmarkStart w:id="705" w:name="_Toc415055925"/>
      <w:bookmarkStart w:id="706" w:name="_Toc415056024"/>
      <w:bookmarkStart w:id="707" w:name="_Toc415056124"/>
      <w:bookmarkStart w:id="708" w:name="_Toc175159197"/>
      <w:r>
        <w:t>16.12.2</w:t>
      </w:r>
      <w:r>
        <w:tab/>
        <w:t>Requirements for Use of Digital Certificates</w:t>
      </w:r>
      <w:bookmarkEnd w:id="702"/>
      <w:bookmarkEnd w:id="703"/>
      <w:bookmarkEnd w:id="704"/>
      <w:bookmarkEnd w:id="705"/>
      <w:bookmarkEnd w:id="706"/>
      <w:bookmarkEnd w:id="707"/>
      <w:bookmarkEnd w:id="708"/>
    </w:p>
    <w:p w14:paraId="5F0F4A17" w14:textId="77777777" w:rsidR="00FC1C5F" w:rsidRDefault="00853D39">
      <w:pPr>
        <w:pStyle w:val="List"/>
        <w:ind w:left="720"/>
      </w:pPr>
      <w:r>
        <w:t>(1)</w:t>
      </w:r>
      <w:r>
        <w:tab/>
      </w:r>
      <w:r w:rsidR="00727E32">
        <w:t>Use of Digital Certificates must comply with the following:</w:t>
      </w:r>
    </w:p>
    <w:p w14:paraId="689A2E0B" w14:textId="77777777" w:rsidR="00FC1C5F" w:rsidRDefault="00727E32">
      <w:pPr>
        <w:pStyle w:val="List"/>
      </w:pPr>
      <w:r>
        <w:t>(a)</w:t>
      </w:r>
      <w:r>
        <w:tab/>
        <w:t xml:space="preserve">A Digital Certificate shall be used by only one individual and may not be shared.  If multiple employees or authorized agents share a computer and each requires a Digital Certificate, the </w:t>
      </w:r>
      <w:smartTag w:uri="urn:schemas-microsoft-com:office:smarttags" w:element="place">
        <w:smartTag w:uri="urn:schemas-microsoft-com:office:smarttags" w:element="country-region">
          <w:r>
            <w:t>USA</w:t>
          </w:r>
        </w:smartTag>
      </w:smartTag>
      <w:r>
        <w:t xml:space="preserve"> shall request separate Digital Certificates for each. Multiple Digital Certificates may be installed and managed on a single computer.  ERCOT shall include instructions on how to manage multiple Digital Certificates in</w:t>
      </w:r>
      <w:r w:rsidR="00B96953">
        <w:t xml:space="preserve"> the Digital Certificate user guide.</w:t>
      </w:r>
    </w:p>
    <w:p w14:paraId="7DE54617" w14:textId="77777777" w:rsidR="00B96953" w:rsidRDefault="00727E32">
      <w:pPr>
        <w:pStyle w:val="List"/>
      </w:pPr>
      <w:r>
        <w:t>(b)</w:t>
      </w:r>
      <w:r>
        <w:tab/>
      </w:r>
      <w:r w:rsidR="00B96953">
        <w:t>A Digital Certificate may not be traded or sold.</w:t>
      </w:r>
    </w:p>
    <w:p w14:paraId="5FBEE859" w14:textId="77777777" w:rsidR="00FC1C5F" w:rsidRDefault="00B96953">
      <w:pPr>
        <w:pStyle w:val="List"/>
      </w:pPr>
      <w:r>
        <w:t>(c)</w:t>
      </w:r>
      <w:r>
        <w:tab/>
      </w:r>
      <w:r w:rsidR="00727E32">
        <w:t>Electronic equipment on which the Digital Certificate resides must be physically and electronically secured in a reasonable manner to prevent improper use of the Digital Certificate.</w:t>
      </w:r>
    </w:p>
    <w:p w14:paraId="39E4923F" w14:textId="77777777" w:rsidR="00FC1C5F" w:rsidRDefault="00727E32">
      <w:pPr>
        <w:pStyle w:val="List"/>
      </w:pPr>
      <w:r>
        <w:t>(</w:t>
      </w:r>
      <w:r w:rsidR="00B96953">
        <w:t>d</w:t>
      </w:r>
      <w:r>
        <w:t>)</w:t>
      </w:r>
      <w:r>
        <w:tab/>
        <w:t>The Market Participant is wholly responsible for any use of Digital Certificates issued by its USA.</w:t>
      </w:r>
    </w:p>
    <w:p w14:paraId="10CB54A7" w14:textId="77777777" w:rsidR="00FC1C5F" w:rsidRDefault="00727E32">
      <w:pPr>
        <w:pStyle w:val="H3"/>
      </w:pPr>
      <w:bookmarkStart w:id="709" w:name="_Toc390438997"/>
      <w:bookmarkStart w:id="710" w:name="_Toc405897708"/>
      <w:bookmarkStart w:id="711" w:name="_Toc415055800"/>
      <w:bookmarkStart w:id="712" w:name="_Toc415055926"/>
      <w:bookmarkStart w:id="713" w:name="_Toc415056025"/>
      <w:bookmarkStart w:id="714" w:name="_Toc415056125"/>
      <w:bookmarkStart w:id="715" w:name="_Toc175159198"/>
      <w:r>
        <w:t>16.12.3</w:t>
      </w:r>
      <w:r>
        <w:tab/>
        <w:t>Market Participant Audits of User Security Administrators and Digital Certificates</w:t>
      </w:r>
      <w:bookmarkEnd w:id="709"/>
      <w:bookmarkEnd w:id="710"/>
      <w:bookmarkEnd w:id="711"/>
      <w:bookmarkEnd w:id="712"/>
      <w:bookmarkEnd w:id="713"/>
      <w:bookmarkEnd w:id="714"/>
      <w:bookmarkEnd w:id="715"/>
    </w:p>
    <w:p w14:paraId="637B555F" w14:textId="77777777" w:rsidR="00462B48" w:rsidRDefault="00462B48" w:rsidP="00462B48">
      <w:pPr>
        <w:pStyle w:val="BodyText"/>
        <w:ind w:left="720" w:hanging="720"/>
      </w:pPr>
      <w:r>
        <w:t>(1)</w:t>
      </w:r>
      <w:r>
        <w:tab/>
        <w:t>During September of each year, each Market Participant that has been issued any Digital Certificates shall generate a list of its registered USA and Certificate Holders.  The Market Participant, through its USA or another authorized third party, shall perform an audit by reviewing the list and noting any inconsistencies or instances of non-compliance (including, for example, any Certificate Holder that may have changed job functions and no longer requires the Digital Certificate).  If the Market Participant or its USA or the authorized third party identifies discrepancies, the USA shall use the process for managing Digital Certificates as included in ERCOT’s Digital Certificate user guide to rectify the discrepancy. The audit must, at a minimum confirm that:</w:t>
      </w:r>
    </w:p>
    <w:p w14:paraId="0D86FB07" w14:textId="77777777" w:rsidR="00462B48" w:rsidRDefault="00462B48" w:rsidP="00462B48">
      <w:pPr>
        <w:pStyle w:val="List"/>
      </w:pPr>
      <w:r>
        <w:t>(a)</w:t>
      </w:r>
      <w:r>
        <w:tab/>
        <w:t xml:space="preserve">The Market Participant and each listed USA and Certificate Holder meet the applicable requirements of paragraph (1)(a) of </w:t>
      </w:r>
      <w:r w:rsidRPr="0085242C">
        <w:t>Section 16.12.1</w:t>
      </w:r>
      <w:r>
        <w:t>, USA Responsibilities and Qualifications for Digital Certificate Holders, and</w:t>
      </w:r>
      <w:r w:rsidRPr="00FD3C2B">
        <w:rPr>
          <w:szCs w:val="24"/>
        </w:rPr>
        <w:t xml:space="preserve"> </w:t>
      </w:r>
      <w:r>
        <w:rPr>
          <w:szCs w:val="24"/>
        </w:rPr>
        <w:t>are not subject to any of the conditions that would require revocation as described in paragraph (1)(b) of Section 16.12.1</w:t>
      </w:r>
      <w:r>
        <w:t xml:space="preserve">;  </w:t>
      </w:r>
    </w:p>
    <w:p w14:paraId="0E58E309" w14:textId="77777777" w:rsidR="00462B48" w:rsidRDefault="00462B48" w:rsidP="00462B48">
      <w:pPr>
        <w:pStyle w:val="List"/>
      </w:pPr>
      <w:r>
        <w:t>(b)</w:t>
      </w:r>
      <w:r>
        <w:tab/>
        <w:t xml:space="preserve">Each listed USA and Certificate Holder is currently employed by or is an authorized agent contracted with the Market Participant; </w:t>
      </w:r>
    </w:p>
    <w:p w14:paraId="030A792F" w14:textId="77777777" w:rsidR="00462B48" w:rsidRDefault="00462B48" w:rsidP="00462B48">
      <w:pPr>
        <w:pStyle w:val="List"/>
      </w:pPr>
      <w:r>
        <w:t>(c)</w:t>
      </w:r>
      <w:r>
        <w:tab/>
        <w:t xml:space="preserve">The Market Participant has verified that the listed USA is authorized to be the USA; </w:t>
      </w:r>
    </w:p>
    <w:p w14:paraId="43D7BA4B" w14:textId="77777777" w:rsidR="00462B48" w:rsidRDefault="00462B48" w:rsidP="00462B48">
      <w:pPr>
        <w:pStyle w:val="List"/>
      </w:pPr>
      <w:r>
        <w:lastRenderedPageBreak/>
        <w:t>(d)</w:t>
      </w:r>
      <w:r>
        <w:tab/>
        <w:t>Each Certificate Holder is authorized to retain and use the Digital Certificate; and</w:t>
      </w:r>
    </w:p>
    <w:p w14:paraId="4612AE42" w14:textId="77777777" w:rsidR="00462B48" w:rsidRDefault="00462B48" w:rsidP="00462B48">
      <w:pPr>
        <w:pStyle w:val="List"/>
      </w:pPr>
      <w:r>
        <w:t>(e)</w:t>
      </w:r>
      <w:r>
        <w:tab/>
        <w:t>Each listed Certificate Holder needs the Digital Certificate to perform his or her job functions.</w:t>
      </w:r>
    </w:p>
    <w:p w14:paraId="55B3F0BE" w14:textId="77777777" w:rsidR="00462B48" w:rsidRDefault="00462B48" w:rsidP="00462B48">
      <w:pPr>
        <w:pStyle w:val="ListIntroduction"/>
        <w:ind w:left="720" w:hanging="720"/>
      </w:pPr>
      <w:r>
        <w:t>(2)</w:t>
      </w:r>
      <w:r>
        <w:tab/>
        <w:t>By October 1 of each year, a Market Participant shall submit to ERCOT a DCAA</w:t>
      </w:r>
      <w:r w:rsidRPr="006D1846">
        <w:t xml:space="preserve"> </w:t>
      </w:r>
      <w:r>
        <w:t xml:space="preserve">(as provided for in </w:t>
      </w:r>
      <w:r w:rsidRPr="0085242C">
        <w:t>Section 23, Form L</w:t>
      </w:r>
      <w:r>
        <w:t>,</w:t>
      </w:r>
      <w:r w:rsidRPr="006D1846">
        <w:t xml:space="preserve"> </w:t>
      </w:r>
      <w:r>
        <w:t>Digital Certificate Audit Attestation</w:t>
      </w:r>
      <w:r w:rsidRPr="00F80DFA">
        <w:t>)</w:t>
      </w:r>
      <w:r>
        <w:t xml:space="preserve"> from </w:t>
      </w:r>
      <w:r>
        <w:rPr>
          <w:iCs w:val="0"/>
        </w:rPr>
        <w:t xml:space="preserve">an individual who: (a) is </w:t>
      </w:r>
      <w:r>
        <w:t xml:space="preserve">an officer, executive, or employee of the Market Participant or of an Affiliate of the Market Participant; and (b) has authority to bind the Market Participant.  The attestation shall certify that: </w:t>
      </w:r>
    </w:p>
    <w:p w14:paraId="73278FE6" w14:textId="77777777" w:rsidR="00462B48" w:rsidRDefault="00462B48" w:rsidP="00462B48">
      <w:pPr>
        <w:pStyle w:val="List"/>
      </w:pPr>
      <w:r>
        <w:t>(a)</w:t>
      </w:r>
      <w:r>
        <w:tab/>
        <w:t>The Market Participant has complied with the requirements of the audit;</w:t>
      </w:r>
    </w:p>
    <w:p w14:paraId="4FC85374" w14:textId="77777777" w:rsidR="00462B48" w:rsidRDefault="00462B48" w:rsidP="00462B48">
      <w:pPr>
        <w:pStyle w:val="List"/>
      </w:pPr>
      <w:r>
        <w:t>(b)</w:t>
      </w:r>
      <w:r>
        <w:tab/>
        <w:t xml:space="preserve">The Market Participant has verified that all assigned Digital Certificates belong to Certificate Holders authorized by the Market Participant’s USA.  If the Certificate Holders no longer meet the criteria in paragraph (1)(a) of </w:t>
      </w:r>
      <w:r w:rsidRPr="00ED741E">
        <w:t>Section 16.12.1</w:t>
      </w:r>
      <w:r>
        <w:t>, the USA shall inform ERCOT as described in paragraph (1)(b) of Section 16.12.1 and note the findings in the response; and</w:t>
      </w:r>
    </w:p>
    <w:p w14:paraId="53366E5E" w14:textId="77777777" w:rsidR="00462B48" w:rsidRDefault="00462B48" w:rsidP="00462B48">
      <w:pPr>
        <w:pStyle w:val="List"/>
      </w:pPr>
      <w:r>
        <w:t>(c)</w:t>
      </w:r>
      <w:r>
        <w:tab/>
        <w:t>The USA and all Certificate Holders have been qualified through a reasonable screening process and background review required by paragraph</w:t>
      </w:r>
      <w:r w:rsidR="00DC3589">
        <w:t>s</w:t>
      </w:r>
      <w:r>
        <w:t xml:space="preserve"> (1)(a)(i)-(v) of Section 16.12.1. </w:t>
      </w:r>
    </w:p>
    <w:p w14:paraId="6A34F532" w14:textId="77777777" w:rsidR="00FC1C5F" w:rsidRDefault="00727E32" w:rsidP="003E021A">
      <w:pPr>
        <w:pStyle w:val="List"/>
        <w:ind w:left="720"/>
      </w:pPr>
      <w:r>
        <w:t>(3)</w:t>
      </w:r>
      <w:r>
        <w:tab/>
        <w:t xml:space="preserve">If a Market Participant cannot comply with the October 1 deadline at the time this Section first applies to the Market Participant, the Market Participant shall request an extension of the deadline by providing ERCOT a written explanation of why it cannot meet the deadline.  The explanation must include a plan and timeline for compliance not to exceed six months from the original deadline. </w:t>
      </w:r>
      <w:r w:rsidR="004A65D8">
        <w:t xml:space="preserve"> </w:t>
      </w:r>
      <w:r>
        <w:t xml:space="preserve">ERCOT shall review that extension request and notify the Market Participant if the request is approved or denied.  ERCOT may approve no more than one extension request per Market Participant.  </w:t>
      </w:r>
    </w:p>
    <w:p w14:paraId="0CAF7255" w14:textId="77777777" w:rsidR="00FC1C5F" w:rsidRDefault="00727E32" w:rsidP="00355D7A">
      <w:pPr>
        <w:pStyle w:val="List"/>
        <w:ind w:left="720"/>
      </w:pPr>
      <w:r>
        <w:t>(4)</w:t>
      </w:r>
      <w:r>
        <w:tab/>
      </w:r>
      <w:r w:rsidR="00462B48" w:rsidRPr="00C92875">
        <w:t>By December 1 of each year, ERCOT shall acknowledge receipt of each DCAA audit received and indicate whether any required information is missing from the DCAA.</w:t>
      </w:r>
    </w:p>
    <w:p w14:paraId="41C1E153" w14:textId="77777777" w:rsidR="00FC1C5F" w:rsidRDefault="00727E32" w:rsidP="003E021A">
      <w:pPr>
        <w:pStyle w:val="BodyText"/>
        <w:spacing w:before="240"/>
        <w:rPr>
          <w:b/>
          <w:i/>
        </w:rPr>
      </w:pPr>
      <w:r>
        <w:rPr>
          <w:b/>
          <w:i/>
        </w:rPr>
        <w:t>16.12.4</w:t>
      </w:r>
      <w:r>
        <w:rPr>
          <w:b/>
          <w:i/>
        </w:rPr>
        <w:tab/>
        <w:t>ERCOT Audit - Consequences of Non-compliance</w:t>
      </w:r>
    </w:p>
    <w:p w14:paraId="45EDFAB4" w14:textId="77777777" w:rsidR="00462B48" w:rsidRDefault="00462B48" w:rsidP="00462B48">
      <w:pPr>
        <w:spacing w:after="240"/>
        <w:ind w:left="720" w:hanging="720"/>
      </w:pPr>
      <w:r>
        <w:t>(1)</w:t>
      </w:r>
      <w:r>
        <w:tab/>
        <w:t xml:space="preserve">ERCOT, or its designee, shall review the DCAA submitted under </w:t>
      </w:r>
      <w:r w:rsidRPr="0085242C">
        <w:t>Section 16.12.3</w:t>
      </w:r>
      <w:r>
        <w:t xml:space="preserve">, Market Participant Audits of User Security </w:t>
      </w:r>
      <w:r w:rsidR="00DC3589">
        <w:t>Administrators</w:t>
      </w:r>
      <w:r>
        <w:t xml:space="preserve"> and Digital Certificates, and may audit the Market Participant for compliance with the provisions of this </w:t>
      </w:r>
      <w:r w:rsidRPr="00ED741E">
        <w:t>Section 16.12</w:t>
      </w:r>
      <w:r>
        <w:t xml:space="preserve">, User Security Administrator and Digital Certificates. The Market Participant shall cooperate fully with ERCOT in such audits.  </w:t>
      </w:r>
    </w:p>
    <w:p w14:paraId="55B7A527" w14:textId="77777777" w:rsidR="00462B48" w:rsidRDefault="00462B48" w:rsidP="00462B48">
      <w:pPr>
        <w:spacing w:after="240"/>
        <w:ind w:left="720" w:hanging="720"/>
      </w:pPr>
      <w:r>
        <w:t>(2)</w:t>
      </w:r>
      <w:r>
        <w:tab/>
        <w:t xml:space="preserve">On or about December 15 of each year, ERCOT shall report to the Public Utility Commission of Texas (PUCT) all Market Participants failing to properly perform and/or submit complete DCAA(s) as described in Section 16.12.3 or non-compliance with Section 16.12.3.  </w:t>
      </w:r>
    </w:p>
    <w:p w14:paraId="0147BA3D" w14:textId="77777777" w:rsidR="00462B48" w:rsidRDefault="00462B48" w:rsidP="00462B48">
      <w:pPr>
        <w:spacing w:after="240"/>
        <w:ind w:left="720" w:hanging="720"/>
      </w:pPr>
      <w:r>
        <w:lastRenderedPageBreak/>
        <w:t>(3)</w:t>
      </w:r>
      <w:r>
        <w:tab/>
        <w:t>ERCOT, after providing notice to the Market Participant and PUCT Staff, may disqualify the Market Participant’s USA and/or revoke any or all Digital Certificates assigned to the Market Participant if:</w:t>
      </w:r>
    </w:p>
    <w:p w14:paraId="37C06D4F" w14:textId="77777777" w:rsidR="00462B48" w:rsidRDefault="00462B48" w:rsidP="00462B48">
      <w:pPr>
        <w:pStyle w:val="List"/>
      </w:pPr>
      <w:r>
        <w:t>(a)</w:t>
      </w:r>
      <w:r>
        <w:tab/>
        <w:t xml:space="preserve">The Market Participant does not properly and timely perform the audit; </w:t>
      </w:r>
    </w:p>
    <w:p w14:paraId="6C2E3D8C" w14:textId="77777777" w:rsidR="00462B48" w:rsidRDefault="00462B48" w:rsidP="00462B48">
      <w:pPr>
        <w:pStyle w:val="List"/>
      </w:pPr>
      <w:r>
        <w:t>(b)</w:t>
      </w:r>
      <w:r>
        <w:tab/>
        <w:t xml:space="preserve">ERCOT discovers non-compliance; or </w:t>
      </w:r>
    </w:p>
    <w:p w14:paraId="44FC24F6" w14:textId="77777777" w:rsidR="00462B48" w:rsidRDefault="00462B48" w:rsidP="00462B48">
      <w:pPr>
        <w:pStyle w:val="List"/>
      </w:pPr>
      <w:r>
        <w:t>(c)</w:t>
      </w:r>
      <w:r>
        <w:tab/>
        <w:t xml:space="preserve">The Market Participant does not timely request revocation of its Digital Certificates for unauthorized Certificate Holders. </w:t>
      </w:r>
    </w:p>
    <w:p w14:paraId="1822CA03" w14:textId="77777777" w:rsidR="00462B48" w:rsidRDefault="00462B48" w:rsidP="00462B48">
      <w:pPr>
        <w:pStyle w:val="ListIntroduction"/>
        <w:ind w:left="720" w:hanging="720"/>
      </w:pPr>
      <w:r>
        <w:t>(4)</w:t>
      </w:r>
      <w:r>
        <w:tab/>
        <w:t>ERCOT’s decision to disqualify a Market Participant’s USA or revoke a Market Participant’s Digital Certificates as described above is subject to the following:</w:t>
      </w:r>
    </w:p>
    <w:p w14:paraId="09AC8400" w14:textId="77777777" w:rsidR="00462B48" w:rsidRDefault="00462B48" w:rsidP="00462B48">
      <w:pPr>
        <w:pStyle w:val="List"/>
      </w:pPr>
      <w:r>
        <w:t xml:space="preserve">(a) </w:t>
      </w:r>
      <w:r>
        <w:tab/>
        <w:t>A Market Participant’s Digital Certificates may not be revoked unless the Market Participant is given a reasonable opportunity to work with ERCOT to resolve the reason for revocation;</w:t>
      </w:r>
    </w:p>
    <w:p w14:paraId="3A509C3D" w14:textId="77777777" w:rsidR="00462B48" w:rsidRDefault="00462B48" w:rsidP="00462B48">
      <w:pPr>
        <w:spacing w:after="240"/>
        <w:ind w:left="1440" w:hanging="720"/>
      </w:pPr>
      <w:r>
        <w:t xml:space="preserve">(b) </w:t>
      </w:r>
      <w:r>
        <w:tab/>
        <w:t>A Market Participant’s USA may not be disqualified unless it is given a reasonable opportunity to authorize a new USA and assign new Digital Certificates as necessary to prevent disruption of the Market Participant’s business; and</w:t>
      </w:r>
    </w:p>
    <w:p w14:paraId="41869864" w14:textId="77777777" w:rsidR="00462B48" w:rsidRDefault="00462B48" w:rsidP="00462B48">
      <w:pPr>
        <w:spacing w:after="240"/>
        <w:ind w:left="1440" w:hanging="720"/>
      </w:pPr>
      <w:r>
        <w:t xml:space="preserve">(c) </w:t>
      </w:r>
      <w:r>
        <w:tab/>
        <w:t>A Market Participant may dispute ERCOT’s decision to disqualify the Market Participant’s USA and/or revoke its Digital Certificates</w:t>
      </w:r>
      <w:r w:rsidRPr="00AA58F9">
        <w:t xml:space="preserve"> </w:t>
      </w:r>
      <w:r>
        <w:t>through the Alternative Dispute Resolution (</w:t>
      </w:r>
      <w:r w:rsidRPr="00A65B06">
        <w:t>ADR</w:t>
      </w:r>
      <w:r>
        <w:t xml:space="preserve">) Procedure in accordance with </w:t>
      </w:r>
      <w:r w:rsidRPr="0085242C">
        <w:t>Section 20</w:t>
      </w:r>
      <w:r>
        <w:t xml:space="preserve">, Alternative Dispute Resolution Procedure, and may appeal the result of the ADR process to the PUCT as provided in Section 20. </w:t>
      </w:r>
    </w:p>
    <w:p w14:paraId="63911210" w14:textId="77777777" w:rsidR="008B5EFD" w:rsidRPr="00C83EFD" w:rsidRDefault="008B5EFD" w:rsidP="003E021A">
      <w:pPr>
        <w:keepNext/>
        <w:tabs>
          <w:tab w:val="left" w:pos="900"/>
        </w:tabs>
        <w:spacing w:before="240" w:after="240"/>
        <w:ind w:left="900" w:hanging="900"/>
        <w:outlineLvl w:val="1"/>
        <w:rPr>
          <w:b/>
        </w:rPr>
      </w:pPr>
      <w:bookmarkStart w:id="716" w:name="_Toc390438998"/>
      <w:bookmarkStart w:id="717" w:name="_Toc405897709"/>
      <w:bookmarkStart w:id="718" w:name="_Toc415055801"/>
      <w:bookmarkStart w:id="719" w:name="_Toc415055927"/>
      <w:bookmarkStart w:id="720" w:name="_Toc415056026"/>
      <w:bookmarkStart w:id="721" w:name="_Toc415056126"/>
      <w:bookmarkStart w:id="722" w:name="_Toc175159199"/>
      <w:r w:rsidRPr="00C83EFD">
        <w:rPr>
          <w:b/>
        </w:rPr>
        <w:t>16.13</w:t>
      </w:r>
      <w:r w:rsidRPr="00C83EFD">
        <w:rPr>
          <w:b/>
        </w:rPr>
        <w:tab/>
        <w:t>Registration of Emergency Response Service Resources</w:t>
      </w:r>
      <w:bookmarkEnd w:id="716"/>
      <w:bookmarkEnd w:id="717"/>
      <w:bookmarkEnd w:id="718"/>
      <w:bookmarkEnd w:id="719"/>
      <w:bookmarkEnd w:id="720"/>
      <w:bookmarkEnd w:id="721"/>
      <w:bookmarkEnd w:id="722"/>
    </w:p>
    <w:p w14:paraId="4F6ED291" w14:textId="77777777" w:rsidR="00FC1C5F" w:rsidRDefault="00D20B3F" w:rsidP="003E09AF">
      <w:pPr>
        <w:pStyle w:val="BodyText"/>
        <w:ind w:left="720" w:hanging="720"/>
      </w:pPr>
      <w:r>
        <w:t>(1)</w:t>
      </w:r>
      <w:r>
        <w:tab/>
      </w:r>
      <w:r w:rsidR="008B5EFD" w:rsidRPr="008B5EFD">
        <w:t>An Emergency Response Service (ERS) Resource shall be deemed to have registered with ERCOT when its duly authorized Qualified Scheduling Entity (QSE) submits an offer on behalf of the Resource in accordance with Section 3.14.3.1, Emergency Response Service Procurement.</w:t>
      </w:r>
    </w:p>
    <w:p w14:paraId="6990EDF3" w14:textId="77777777" w:rsidR="008C0A8E" w:rsidRDefault="002B3DDF" w:rsidP="008B5EFD">
      <w:pPr>
        <w:pStyle w:val="H2"/>
        <w:ind w:left="907" w:hanging="907"/>
      </w:pPr>
      <w:bookmarkStart w:id="723" w:name="_Toc390438999"/>
      <w:bookmarkStart w:id="724" w:name="_Toc405897710"/>
      <w:bookmarkStart w:id="725" w:name="_Toc415055802"/>
      <w:bookmarkStart w:id="726" w:name="_Toc415055928"/>
      <w:bookmarkStart w:id="727" w:name="_Toc415056027"/>
      <w:bookmarkStart w:id="728" w:name="_Toc415056127"/>
      <w:bookmarkStart w:id="729" w:name="_Toc175159200"/>
      <w:r>
        <w:t>16.14</w:t>
      </w:r>
      <w:r>
        <w:tab/>
        <w:t>Termination of Access Privileges to Restricted Computer Systems and Control Systems</w:t>
      </w:r>
      <w:bookmarkEnd w:id="723"/>
      <w:bookmarkEnd w:id="724"/>
      <w:bookmarkEnd w:id="725"/>
      <w:bookmarkEnd w:id="726"/>
      <w:bookmarkEnd w:id="727"/>
      <w:bookmarkEnd w:id="728"/>
      <w:bookmarkEnd w:id="729"/>
    </w:p>
    <w:p w14:paraId="780564FB" w14:textId="77777777" w:rsidR="00D629DE" w:rsidRDefault="002B3DDF">
      <w:pPr>
        <w:pStyle w:val="List"/>
        <w:ind w:left="720"/>
      </w:pPr>
      <w:r>
        <w:t>(1)</w:t>
      </w:r>
      <w:r>
        <w:tab/>
      </w:r>
      <w:r w:rsidRPr="006C61CC">
        <w:t xml:space="preserve">All </w:t>
      </w:r>
      <w:r>
        <w:t>M</w:t>
      </w:r>
      <w:r w:rsidRPr="006C61CC">
        <w:t>arket</w:t>
      </w:r>
      <w:r>
        <w:t xml:space="preserve"> Participants and ERCOT </w:t>
      </w:r>
      <w:r w:rsidRPr="006C61CC">
        <w:t xml:space="preserve">are required to have processes in place to </w:t>
      </w:r>
      <w:r>
        <w:t>terminate a</w:t>
      </w:r>
      <w:r w:rsidRPr="006C61CC">
        <w:t>ccess</w:t>
      </w:r>
      <w:r>
        <w:t xml:space="preserve"> privileges, as soon as practicable, </w:t>
      </w:r>
      <w:r w:rsidRPr="006C61CC">
        <w:t xml:space="preserve">to </w:t>
      </w:r>
      <w:r>
        <w:t>R</w:t>
      </w:r>
      <w:r w:rsidRPr="006C61CC">
        <w:t xml:space="preserve">estricted </w:t>
      </w:r>
      <w:r>
        <w:t>S</w:t>
      </w:r>
      <w:r w:rsidRPr="006C61CC">
        <w:t xml:space="preserve">ystems </w:t>
      </w:r>
      <w:r>
        <w:t>for</w:t>
      </w:r>
      <w:r w:rsidRPr="006C61CC">
        <w:t xml:space="preserve"> any employee</w:t>
      </w:r>
      <w:r>
        <w:t>, consultant, or contractor, upon t</w:t>
      </w:r>
      <w:r w:rsidRPr="006C61CC">
        <w:t>ermination</w:t>
      </w:r>
      <w:r>
        <w:t xml:space="preserve"> of employment or where access is no longer required. </w:t>
      </w:r>
    </w:p>
    <w:p w14:paraId="01FFEBFF" w14:textId="77777777" w:rsidR="00D629DE" w:rsidRDefault="002B3DDF">
      <w:pPr>
        <w:pStyle w:val="List"/>
        <w:ind w:left="720"/>
      </w:pPr>
      <w:r>
        <w:t>(2)</w:t>
      </w:r>
      <w:r>
        <w:tab/>
        <w:t>“</w:t>
      </w:r>
      <w:r w:rsidRPr="006C61CC">
        <w:t xml:space="preserve">Restricted </w:t>
      </w:r>
      <w:r>
        <w:t>S</w:t>
      </w:r>
      <w:r w:rsidRPr="006C61CC">
        <w:t>ystems</w:t>
      </w:r>
      <w:r>
        <w:t>”</w:t>
      </w:r>
      <w:r w:rsidRPr="006C61CC">
        <w:t xml:space="preserve"> </w:t>
      </w:r>
      <w:r w:rsidRPr="004F4418">
        <w:t xml:space="preserve">include </w:t>
      </w:r>
      <w:r w:rsidRPr="006C61CC">
        <w:t>computer or control systems that</w:t>
      </w:r>
      <w:r>
        <w:t xml:space="preserve"> are essential to the operation of Restricted Facilities.</w:t>
      </w:r>
      <w:r w:rsidRPr="004E6F7D">
        <w:t xml:space="preserve"> </w:t>
      </w:r>
      <w:r>
        <w:t xml:space="preserve"> </w:t>
      </w:r>
    </w:p>
    <w:p w14:paraId="520D3E06" w14:textId="77777777" w:rsidR="00D629DE" w:rsidRDefault="002B3DDF">
      <w:pPr>
        <w:pStyle w:val="List"/>
        <w:ind w:left="720"/>
      </w:pPr>
      <w:r>
        <w:lastRenderedPageBreak/>
        <w:t>(3)</w:t>
      </w:r>
      <w:r>
        <w:tab/>
        <w:t>“</w:t>
      </w:r>
      <w:r w:rsidRPr="006C61CC">
        <w:t xml:space="preserve">Restricted </w:t>
      </w:r>
      <w:r>
        <w:t>F</w:t>
      </w:r>
      <w:r w:rsidRPr="006C61CC">
        <w:t>acilities</w:t>
      </w:r>
      <w:r>
        <w:t>”</w:t>
      </w:r>
      <w:r w:rsidRPr="006C61CC">
        <w:t xml:space="preserve"> include </w:t>
      </w:r>
      <w:r>
        <w:t>F</w:t>
      </w:r>
      <w:r w:rsidRPr="006C61CC">
        <w:t>acilities and assets that support the reliable operation of the</w:t>
      </w:r>
      <w:r>
        <w:t xml:space="preserve"> bulk</w:t>
      </w:r>
      <w:r w:rsidRPr="006C61CC">
        <w:t xml:space="preserve"> ERCOT </w:t>
      </w:r>
      <w:r>
        <w:t>System (100 kV and above)</w:t>
      </w:r>
      <w:r w:rsidRPr="006C61CC">
        <w:t>,</w:t>
      </w:r>
      <w:r>
        <w:t xml:space="preserve"> such as </w:t>
      </w:r>
      <w:r w:rsidRPr="006C61CC">
        <w:t>but</w:t>
      </w:r>
      <w:r>
        <w:t xml:space="preserve"> </w:t>
      </w:r>
      <w:r w:rsidRPr="006C61CC">
        <w:t>not limited to</w:t>
      </w:r>
      <w:r>
        <w:t>:</w:t>
      </w:r>
    </w:p>
    <w:p w14:paraId="61114259" w14:textId="77777777" w:rsidR="00D629DE" w:rsidRDefault="002B3DDF">
      <w:pPr>
        <w:pStyle w:val="List2"/>
        <w:tabs>
          <w:tab w:val="num" w:pos="1620"/>
        </w:tabs>
        <w:ind w:left="1440"/>
      </w:pPr>
      <w:r>
        <w:t>(a)</w:t>
      </w:r>
      <w:r>
        <w:tab/>
        <w:t>G</w:t>
      </w:r>
      <w:r w:rsidRPr="006C61CC">
        <w:t xml:space="preserve">eneration </w:t>
      </w:r>
      <w:r>
        <w:t>R</w:t>
      </w:r>
      <w:r w:rsidRPr="006C61CC">
        <w:t xml:space="preserve">esources; </w:t>
      </w:r>
    </w:p>
    <w:p w14:paraId="6E2B3CD3" w14:textId="77777777" w:rsidR="00D629DE" w:rsidRDefault="002B3DDF">
      <w:pPr>
        <w:pStyle w:val="List2"/>
        <w:tabs>
          <w:tab w:val="num" w:pos="1620"/>
        </w:tabs>
        <w:ind w:left="1440"/>
      </w:pPr>
      <w:r>
        <w:t>(b)</w:t>
      </w:r>
      <w:r>
        <w:tab/>
        <w:t>T</w:t>
      </w:r>
      <w:r w:rsidRPr="006C61CC">
        <w:t xml:space="preserve">ransmission substations; </w:t>
      </w:r>
    </w:p>
    <w:p w14:paraId="0BC96B75" w14:textId="77777777" w:rsidR="00D629DE" w:rsidRDefault="002B3DDF">
      <w:pPr>
        <w:pStyle w:val="List2"/>
        <w:tabs>
          <w:tab w:val="num" w:pos="1620"/>
        </w:tabs>
        <w:ind w:left="1440"/>
      </w:pPr>
      <w:r>
        <w:t>(c)</w:t>
      </w:r>
      <w:r>
        <w:tab/>
        <w:t>C</w:t>
      </w:r>
      <w:r w:rsidRPr="006C61CC">
        <w:t xml:space="preserve">ontrol/dispatch centers and backup control/dispatch </w:t>
      </w:r>
      <w:r>
        <w:t>centers related to items (a) and (b) above</w:t>
      </w:r>
      <w:r w:rsidRPr="006C61CC">
        <w:t xml:space="preserve">; </w:t>
      </w:r>
    </w:p>
    <w:p w14:paraId="492C2445" w14:textId="77777777" w:rsidR="00D629DE" w:rsidRDefault="002B3DDF">
      <w:pPr>
        <w:pStyle w:val="List2"/>
        <w:tabs>
          <w:tab w:val="num" w:pos="1620"/>
        </w:tabs>
        <w:ind w:left="1440"/>
      </w:pPr>
      <w:r>
        <w:t>(d)</w:t>
      </w:r>
      <w:r>
        <w:tab/>
        <w:t>S</w:t>
      </w:r>
      <w:r w:rsidRPr="006C61CC">
        <w:t xml:space="preserve">ystems and </w:t>
      </w:r>
      <w:r>
        <w:t>F</w:t>
      </w:r>
      <w:r w:rsidRPr="006C61CC">
        <w:t xml:space="preserve">acilities critical to system restoration (including but not limited to </w:t>
      </w:r>
      <w:r>
        <w:t>B</w:t>
      </w:r>
      <w:r w:rsidRPr="006C61CC">
        <w:t>lack</w:t>
      </w:r>
      <w:r>
        <w:t xml:space="preserve"> S</w:t>
      </w:r>
      <w:r w:rsidRPr="006C61CC">
        <w:t xml:space="preserve">tart generators and substations); </w:t>
      </w:r>
      <w:r>
        <w:t>and</w:t>
      </w:r>
    </w:p>
    <w:p w14:paraId="3D7850D2" w14:textId="77777777" w:rsidR="00DB7FFB" w:rsidRDefault="002B3DDF">
      <w:pPr>
        <w:pStyle w:val="List"/>
      </w:pPr>
      <w:r>
        <w:t>(e)</w:t>
      </w:r>
      <w:r>
        <w:tab/>
        <w:t>S</w:t>
      </w:r>
      <w:r w:rsidRPr="006C61CC">
        <w:t xml:space="preserve">ystems and </w:t>
      </w:r>
      <w:r>
        <w:t>F</w:t>
      </w:r>
      <w:r w:rsidRPr="006C61CC">
        <w:t xml:space="preserve">acilities critical to automatic </w:t>
      </w:r>
      <w:r>
        <w:t xml:space="preserve">firm </w:t>
      </w:r>
      <w:r w:rsidRPr="006C61CC">
        <w:t>load shedding</w:t>
      </w:r>
      <w:r>
        <w:t>.</w:t>
      </w:r>
    </w:p>
    <w:p w14:paraId="4BC15564" w14:textId="77777777" w:rsidR="00D629DE" w:rsidRDefault="002B3DDF">
      <w:pPr>
        <w:pStyle w:val="List"/>
        <w:ind w:left="720"/>
      </w:pPr>
      <w:r>
        <w:t>(4)</w:t>
      </w:r>
      <w:r>
        <w:tab/>
        <w:t>Access privilege is defined to include computer and</w:t>
      </w:r>
      <w:r w:rsidRPr="00DE251E">
        <w:t xml:space="preserve"> electronic access.</w:t>
      </w:r>
    </w:p>
    <w:p w14:paraId="52F5B3A5" w14:textId="77777777" w:rsidR="00D629DE" w:rsidRDefault="002B3DDF">
      <w:pPr>
        <w:pStyle w:val="List"/>
        <w:ind w:left="720"/>
      </w:pPr>
      <w:r>
        <w:t>(5)</w:t>
      </w:r>
      <w:r>
        <w:tab/>
        <w:t>Each</w:t>
      </w:r>
      <w:r w:rsidRPr="00DE251E">
        <w:t xml:space="preserve"> Market </w:t>
      </w:r>
      <w:r>
        <w:t>Participant and ERCOT</w:t>
      </w:r>
      <w:r w:rsidRPr="00DE251E">
        <w:t xml:space="preserve"> </w:t>
      </w:r>
      <w:r>
        <w:t>shall have internal controls in place to ensure these processes are reviewed at least on an annual basis.</w:t>
      </w:r>
    </w:p>
    <w:p w14:paraId="36F9A45F" w14:textId="77777777" w:rsidR="00D629DE" w:rsidRDefault="002B3DDF">
      <w:pPr>
        <w:pStyle w:val="List"/>
        <w:ind w:left="720"/>
      </w:pPr>
      <w:r>
        <w:t>(6)</w:t>
      </w:r>
      <w:r>
        <w:tab/>
      </w:r>
      <w:r w:rsidRPr="00797F52">
        <w:t xml:space="preserve">Each Market </w:t>
      </w:r>
      <w:r>
        <w:t xml:space="preserve">Participant and ERCOT are required to notify the compliance monitoring authority within two Business Days after the discovery </w:t>
      </w:r>
      <w:r w:rsidRPr="00797F52">
        <w:t>of any incident where a terminated employee, contractor or</w:t>
      </w:r>
      <w:r>
        <w:t xml:space="preserve"> employee of a contractor</w:t>
      </w:r>
      <w:r w:rsidRPr="00797F52">
        <w:t xml:space="preserve"> has accessed a </w:t>
      </w:r>
      <w:r>
        <w:t>R</w:t>
      </w:r>
      <w:r w:rsidRPr="00797F52">
        <w:t xml:space="preserve">estricted </w:t>
      </w:r>
      <w:r>
        <w:t>S</w:t>
      </w:r>
      <w:r w:rsidRPr="00797F52">
        <w:t xml:space="preserve">ystem </w:t>
      </w:r>
      <w:r>
        <w:t>when access privileges have been or should have been revoked.</w:t>
      </w:r>
    </w:p>
    <w:p w14:paraId="2223ABC7" w14:textId="77777777" w:rsidR="00D629DE" w:rsidRDefault="002B3DDF">
      <w:pPr>
        <w:pStyle w:val="List"/>
        <w:ind w:left="720"/>
      </w:pPr>
      <w:r>
        <w:t>(7)</w:t>
      </w:r>
      <w:r>
        <w:tab/>
        <w:t>Failure by a Market Participant or ERCOT to follow its processes that results in a</w:t>
      </w:r>
      <w:r w:rsidRPr="00797F52">
        <w:t xml:space="preserve">ccess to any </w:t>
      </w:r>
      <w:r>
        <w:t>Restricted Systems</w:t>
      </w:r>
      <w:r w:rsidRPr="00797F52">
        <w:t xml:space="preserve"> by any</w:t>
      </w:r>
      <w:r w:rsidRPr="006C61CC">
        <w:t xml:space="preserve"> </w:t>
      </w:r>
      <w:r w:rsidRPr="00797F52">
        <w:t xml:space="preserve">employee, consultant, contractor or affiliate after his or her termination will be considered a violation of </w:t>
      </w:r>
      <w:r>
        <w:t>these</w:t>
      </w:r>
      <w:r w:rsidRPr="00797F52">
        <w:t xml:space="preserve"> </w:t>
      </w:r>
      <w:r>
        <w:t>P</w:t>
      </w:r>
      <w:r w:rsidRPr="00797F52">
        <w:t>rotocol</w:t>
      </w:r>
      <w:r>
        <w:t>s.</w:t>
      </w:r>
    </w:p>
    <w:p w14:paraId="4D81ADE9" w14:textId="77777777" w:rsidR="00C2117B" w:rsidRPr="002631D7" w:rsidRDefault="00C2117B" w:rsidP="00C2117B">
      <w:pPr>
        <w:pStyle w:val="H2"/>
        <w:rPr>
          <w:lang w:val="en-US" w:eastAsia="en-US"/>
        </w:rPr>
      </w:pPr>
      <w:bookmarkStart w:id="730" w:name="_Toc390439000"/>
      <w:bookmarkStart w:id="731" w:name="_Toc405897711"/>
      <w:bookmarkStart w:id="732" w:name="_Toc415055803"/>
      <w:bookmarkStart w:id="733" w:name="_Toc415055929"/>
      <w:bookmarkStart w:id="734" w:name="_Toc415056028"/>
      <w:bookmarkStart w:id="735" w:name="_Toc415056128"/>
      <w:bookmarkStart w:id="736" w:name="_Toc175159201"/>
      <w:r w:rsidRPr="002631D7">
        <w:rPr>
          <w:lang w:val="en-US" w:eastAsia="en-US"/>
        </w:rPr>
        <w:t>16.15</w:t>
      </w:r>
      <w:r w:rsidRPr="002631D7">
        <w:rPr>
          <w:lang w:val="en-US" w:eastAsia="en-US"/>
        </w:rPr>
        <w:tab/>
        <w:t>Registration of Independent Market Information System Registered Entity</w:t>
      </w:r>
      <w:bookmarkEnd w:id="730"/>
      <w:bookmarkEnd w:id="731"/>
      <w:bookmarkEnd w:id="732"/>
      <w:bookmarkEnd w:id="733"/>
      <w:bookmarkEnd w:id="734"/>
      <w:bookmarkEnd w:id="735"/>
      <w:bookmarkEnd w:id="736"/>
    </w:p>
    <w:p w14:paraId="02F99B77" w14:textId="77777777" w:rsidR="00C2117B" w:rsidRDefault="00C2117B" w:rsidP="00D56FC4">
      <w:pPr>
        <w:pStyle w:val="List"/>
        <w:ind w:left="720"/>
      </w:pPr>
      <w:r>
        <w:t>(1)</w:t>
      </w:r>
      <w:r>
        <w:tab/>
        <w:t>Each Entity intending to qualify to access ERCOT’s Market Information System (MIS) Secure Area, independent of any other Market Participant role, shall register with ERCOT, including any applicable fees, designating Authorized Representatives, contacts, and a User Security Administrator (USA) (per the Application for Registration as an Independent Market Information System Registered Entity (IMRE)), and execute a Standard Form Market Participant Agreement (as provided in Section 22, Attachment A, Standard Form Market Participant Agreement) prior to receiving a USA Digital Certificate for setting access to ERCOT’s MIS Secure Area.</w:t>
      </w:r>
    </w:p>
    <w:p w14:paraId="67D3BC1D" w14:textId="4D352B97" w:rsidR="00B22CBC" w:rsidRDefault="00B22CBC" w:rsidP="00B22CBC">
      <w:pPr>
        <w:spacing w:after="240"/>
        <w:ind w:left="720" w:hanging="720"/>
      </w:pPr>
      <w:r w:rsidRPr="003A2715">
        <w:t>(2)</w:t>
      </w:r>
      <w:r w:rsidRPr="003A2715">
        <w:tab/>
      </w:r>
      <w:r>
        <w:t>An Entity must have a genuine professional or business purpose for obtaining access to the MIS Secure Area to</w:t>
      </w:r>
      <w:r w:rsidRPr="009717E8">
        <w:t xml:space="preserve"> </w:t>
      </w:r>
      <w:r>
        <w:t>qualify for registration as an IMRE.  ERCOT may determine, in its sole discretion, whether the Entity’s purpose qualifies for registration.</w:t>
      </w:r>
    </w:p>
    <w:p w14:paraId="3CCDD336" w14:textId="6D357BF0" w:rsidR="00C2117B" w:rsidRDefault="00C2117B" w:rsidP="00C2117B">
      <w:pPr>
        <w:pStyle w:val="List"/>
        <w:ind w:left="720"/>
      </w:pPr>
      <w:r>
        <w:t>(</w:t>
      </w:r>
      <w:r w:rsidR="00B22CBC">
        <w:t>3</w:t>
      </w:r>
      <w:r>
        <w:t>)</w:t>
      </w:r>
      <w:r>
        <w:tab/>
        <w:t>Continued status as an IMRE is contingent upon compliance with all applicable requirements in these Protocols.  ERCOT may suspend a</w:t>
      </w:r>
      <w:r w:rsidRPr="00205BF3">
        <w:t>n</w:t>
      </w:r>
      <w:r>
        <w:t xml:space="preserve"> IMRE</w:t>
      </w:r>
      <w:r w:rsidRPr="00205BF3">
        <w:t>’s</w:t>
      </w:r>
      <w:r>
        <w:t xml:space="preserve"> rights as a Market </w:t>
      </w:r>
      <w:r>
        <w:lastRenderedPageBreak/>
        <w:t>Participant when ERCOT reasonably determines that it is an appropriate remedy for the Entity’s failure to satisfy any applicable requirement.</w:t>
      </w:r>
    </w:p>
    <w:p w14:paraId="3F2C9430" w14:textId="77777777" w:rsidR="00770ABB" w:rsidRPr="002631D7" w:rsidRDefault="00770ABB" w:rsidP="00F80DFA">
      <w:pPr>
        <w:pStyle w:val="H2"/>
        <w:ind w:left="907" w:hanging="907"/>
        <w:rPr>
          <w:szCs w:val="24"/>
          <w:lang w:val="en-US" w:eastAsia="en-US"/>
        </w:rPr>
      </w:pPr>
      <w:bookmarkStart w:id="737" w:name="_Toc390439001"/>
      <w:bookmarkStart w:id="738" w:name="_Toc405897712"/>
      <w:bookmarkStart w:id="739" w:name="_Toc415055804"/>
      <w:bookmarkStart w:id="740" w:name="_Toc415055930"/>
      <w:bookmarkStart w:id="741" w:name="_Toc415056029"/>
      <w:bookmarkStart w:id="742" w:name="_Toc415056129"/>
      <w:bookmarkStart w:id="743" w:name="_Toc175159202"/>
      <w:r w:rsidRPr="002631D7">
        <w:rPr>
          <w:szCs w:val="24"/>
          <w:lang w:val="en-US" w:eastAsia="en-US"/>
        </w:rPr>
        <w:t>16.16</w:t>
      </w:r>
      <w:r w:rsidRPr="002631D7">
        <w:rPr>
          <w:szCs w:val="24"/>
          <w:lang w:val="en-US" w:eastAsia="en-US"/>
        </w:rPr>
        <w:tab/>
        <w:t>Additional Counter-Party Qualification Requirements</w:t>
      </w:r>
      <w:bookmarkEnd w:id="737"/>
      <w:bookmarkEnd w:id="738"/>
      <w:bookmarkEnd w:id="739"/>
      <w:bookmarkEnd w:id="740"/>
      <w:bookmarkEnd w:id="741"/>
      <w:bookmarkEnd w:id="742"/>
      <w:bookmarkEnd w:id="743"/>
      <w:r w:rsidRPr="002631D7">
        <w:rPr>
          <w:szCs w:val="24"/>
          <w:lang w:val="en-US" w:eastAsia="en-US"/>
        </w:rPr>
        <w:t xml:space="preserve"> </w:t>
      </w:r>
    </w:p>
    <w:p w14:paraId="2C3DD08D" w14:textId="77777777" w:rsidR="00770ABB" w:rsidRDefault="00770ABB" w:rsidP="00770ABB">
      <w:pPr>
        <w:pStyle w:val="H3"/>
      </w:pPr>
      <w:bookmarkStart w:id="744" w:name="_Toc390439002"/>
      <w:bookmarkStart w:id="745" w:name="_Toc405897713"/>
      <w:bookmarkStart w:id="746" w:name="_Toc415055805"/>
      <w:bookmarkStart w:id="747" w:name="_Toc415055931"/>
      <w:bookmarkStart w:id="748" w:name="_Toc415056030"/>
      <w:bookmarkStart w:id="749" w:name="_Toc415056130"/>
      <w:bookmarkStart w:id="750" w:name="_Toc175159203"/>
      <w:r>
        <w:t>16.16.1</w:t>
      </w:r>
      <w:r>
        <w:tab/>
      </w:r>
      <w:r>
        <w:rPr>
          <w:szCs w:val="24"/>
        </w:rPr>
        <w:t>Counter-Party Criteria</w:t>
      </w:r>
      <w:bookmarkEnd w:id="744"/>
      <w:bookmarkEnd w:id="745"/>
      <w:bookmarkEnd w:id="746"/>
      <w:bookmarkEnd w:id="747"/>
      <w:bookmarkEnd w:id="748"/>
      <w:bookmarkEnd w:id="749"/>
      <w:bookmarkEnd w:id="750"/>
    </w:p>
    <w:p w14:paraId="5A768644" w14:textId="77777777" w:rsidR="00770ABB" w:rsidRDefault="00770ABB" w:rsidP="00770ABB">
      <w:pPr>
        <w:pStyle w:val="List"/>
        <w:ind w:left="720"/>
      </w:pPr>
      <w:r w:rsidRPr="002C3290">
        <w:t>(1)</w:t>
      </w:r>
      <w:r w:rsidRPr="002C3290">
        <w:tab/>
        <w:t xml:space="preserve">In order to participate in the ERCOT Real-Time, Day-Ahead and Congestion Revenue Right (CRR) markets, in addition to satisfying any other eligibility requirements set forth in the ERCOT Protocols, each Counter-Party must satisfy, and at all times remain in compliance with, the following requirements: </w:t>
      </w:r>
    </w:p>
    <w:p w14:paraId="1009BEC4" w14:textId="77777777" w:rsidR="00770ABB" w:rsidRPr="000F17D7" w:rsidRDefault="00770ABB" w:rsidP="000F17D7">
      <w:pPr>
        <w:pStyle w:val="List"/>
      </w:pPr>
      <w:r w:rsidRPr="000F17D7">
        <w:t>(a)</w:t>
      </w:r>
      <w:r w:rsidRPr="000F17D7">
        <w:tab/>
      </w:r>
      <w:r w:rsidRPr="000F17D7">
        <w:rPr>
          <w:b/>
          <w:u w:val="single"/>
        </w:rPr>
        <w:t>Expertise in Markets</w:t>
      </w:r>
      <w:r w:rsidRPr="000F17D7">
        <w:t>.  All employees or agents transacting in ERCOT markets pursuant to the ERCOT Protocols have had appropriate training and/or experience and are qualified and authorized to transact on behalf of the Counter-Party.</w:t>
      </w:r>
    </w:p>
    <w:p w14:paraId="60E8136F" w14:textId="77777777" w:rsidR="00A71039" w:rsidRPr="000F17D7" w:rsidRDefault="00770ABB" w:rsidP="000F17D7">
      <w:pPr>
        <w:pStyle w:val="List"/>
      </w:pPr>
      <w:r w:rsidRPr="000F17D7">
        <w:t>(b)</w:t>
      </w:r>
      <w:r w:rsidRPr="000F17D7">
        <w:tab/>
      </w:r>
      <w:r w:rsidRPr="000F17D7">
        <w:rPr>
          <w:b/>
          <w:u w:val="single"/>
        </w:rPr>
        <w:t>Market Operational Capabilities</w:t>
      </w:r>
      <w:r w:rsidRPr="000F17D7">
        <w:t>.  Counter-Party has appropriate market operating procedures and technical abilities to promptly and effectively respond to all ERCOT market communications.</w:t>
      </w:r>
    </w:p>
    <w:p w14:paraId="423E65F0" w14:textId="77777777" w:rsidR="00A71039" w:rsidRDefault="00A71039" w:rsidP="000F17D7">
      <w:pPr>
        <w:pStyle w:val="List"/>
        <w:rPr>
          <w:szCs w:val="24"/>
        </w:rPr>
      </w:pPr>
      <w:r>
        <w:rPr>
          <w:szCs w:val="24"/>
        </w:rPr>
        <w:t>(c)</w:t>
      </w:r>
      <w:r>
        <w:rPr>
          <w:szCs w:val="24"/>
        </w:rPr>
        <w:tab/>
      </w:r>
      <w:r w:rsidRPr="000F17D7">
        <w:rPr>
          <w:b/>
          <w:u w:val="single"/>
        </w:rPr>
        <w:t>Allowable</w:t>
      </w:r>
      <w:r w:rsidRPr="000F17D7">
        <w:rPr>
          <w:b/>
          <w:szCs w:val="24"/>
          <w:u w:val="single"/>
        </w:rPr>
        <w:t xml:space="preserve"> Contract Participants</w:t>
      </w:r>
      <w:r w:rsidRPr="000F17D7">
        <w:rPr>
          <w:szCs w:val="24"/>
        </w:rPr>
        <w:t>.</w:t>
      </w:r>
      <w:r>
        <w:rPr>
          <w:szCs w:val="24"/>
        </w:rPr>
        <w:t xml:space="preserve">  Each Counter-Party must be one of the following: </w:t>
      </w:r>
    </w:p>
    <w:p w14:paraId="6ED96F24" w14:textId="78336607" w:rsidR="00A71039" w:rsidRPr="000F17D7" w:rsidRDefault="00A71039" w:rsidP="000F17D7">
      <w:pPr>
        <w:pStyle w:val="List"/>
        <w:ind w:left="2160"/>
      </w:pPr>
      <w:r>
        <w:rPr>
          <w:szCs w:val="24"/>
        </w:rPr>
        <w:t>(i</w:t>
      </w:r>
      <w:r w:rsidRPr="00AC31BC">
        <w:rPr>
          <w:szCs w:val="24"/>
        </w:rPr>
        <w:t>)</w:t>
      </w:r>
      <w:r>
        <w:rPr>
          <w:szCs w:val="24"/>
        </w:rPr>
        <w:tab/>
      </w:r>
      <w:r w:rsidRPr="000F17D7">
        <w:t xml:space="preserve">An “Appropriate Person” as defined in sections 4(c)(3)(A) through (J) of the Commodity Exchange Act (7 U.S.C. § 6(c)(3)(A)-(J)); </w:t>
      </w:r>
    </w:p>
    <w:p w14:paraId="2689B8CF" w14:textId="397B86F7" w:rsidR="00A71039" w:rsidRPr="000F17D7" w:rsidRDefault="00A71039" w:rsidP="000F17D7">
      <w:pPr>
        <w:pStyle w:val="List"/>
        <w:ind w:left="2160"/>
      </w:pPr>
      <w:r w:rsidRPr="000F17D7">
        <w:t>(ii)</w:t>
      </w:r>
      <w:r w:rsidRPr="000F17D7">
        <w:tab/>
        <w:t xml:space="preserve">An “Eligible Contract Participant,” as defined in section 1a(18)(A) of the Commodity Exchange Act (7 U.S.C. § 1a(18)(A)) and in Commodity Futures Trading Commission (CFTC) regulation 1.3(m) (17 C.F.R. § 1.3(m)); or </w:t>
      </w:r>
    </w:p>
    <w:p w14:paraId="0C839313" w14:textId="64938F7E" w:rsidR="00A71039" w:rsidRPr="000F17D7" w:rsidRDefault="00A71039" w:rsidP="000F17D7">
      <w:pPr>
        <w:pStyle w:val="List"/>
        <w:ind w:left="2160"/>
      </w:pPr>
      <w:r w:rsidRPr="000F17D7">
        <w:t>(iii)</w:t>
      </w:r>
      <w:r w:rsidRPr="000F17D7">
        <w:tab/>
        <w:t>A “person who actively participates in the generation, transmission, or distribution of electric energy,” as that term is defined in the CFTC’s final exemption order (78 Fed. Reg. 19,879).</w:t>
      </w:r>
    </w:p>
    <w:p w14:paraId="2EAE0A62" w14:textId="77777777" w:rsidR="00770ABB" w:rsidRPr="000F17D7" w:rsidRDefault="00A71039" w:rsidP="000F17D7">
      <w:pPr>
        <w:pStyle w:val="List"/>
      </w:pPr>
      <w:r w:rsidRPr="000F17D7">
        <w:tab/>
        <w:t>ERCOT may request necessary information to verify compliance with this requirement.</w:t>
      </w:r>
    </w:p>
    <w:p w14:paraId="6448828F" w14:textId="77777777" w:rsidR="00B55C27" w:rsidRPr="00723BC4" w:rsidRDefault="00B55C27" w:rsidP="00B55C27">
      <w:pPr>
        <w:spacing w:after="240"/>
        <w:ind w:left="1440" w:hanging="720"/>
      </w:pPr>
      <w:r w:rsidRPr="00723BC4">
        <w:t>(d)</w:t>
      </w:r>
      <w:r w:rsidRPr="00723BC4">
        <w:tab/>
      </w:r>
      <w:r w:rsidRPr="00723BC4">
        <w:rPr>
          <w:b/>
          <w:u w:val="single"/>
        </w:rPr>
        <w:t>Independent Amount</w:t>
      </w:r>
      <w:r w:rsidRPr="00723BC4">
        <w:t>.  Counter-Party shall provide an Independent Amount as follows:</w:t>
      </w:r>
    </w:p>
    <w:p w14:paraId="4CC59784" w14:textId="77777777" w:rsidR="00B55C27" w:rsidRPr="00723BC4" w:rsidRDefault="00B55C27" w:rsidP="00B55C27">
      <w:pPr>
        <w:spacing w:after="240"/>
        <w:ind w:left="2160" w:hanging="720"/>
      </w:pPr>
      <w:r w:rsidRPr="00723BC4">
        <w:t>(i)</w:t>
      </w:r>
      <w:r w:rsidRPr="00723BC4">
        <w:tab/>
        <w:t>For a Counter-Party seeking authorization to participate or participating in all ERCOT markets, $500,000 Independent Amount.</w:t>
      </w:r>
    </w:p>
    <w:p w14:paraId="53528E8D" w14:textId="77777777" w:rsidR="00B55C27" w:rsidRPr="00723BC4" w:rsidRDefault="00B55C27" w:rsidP="00B55C27">
      <w:pPr>
        <w:spacing w:after="240"/>
        <w:ind w:left="2160" w:hanging="720"/>
      </w:pPr>
      <w:r w:rsidRPr="00723BC4">
        <w:lastRenderedPageBreak/>
        <w:t>(ii)</w:t>
      </w:r>
      <w:r w:rsidRPr="00723BC4">
        <w:tab/>
        <w:t xml:space="preserve">For a Counter-Party seeking authorization to participate or participating in all ERCOT markets except for the CRR market, $200,000 Independent Amount.  </w:t>
      </w:r>
    </w:p>
    <w:p w14:paraId="21338AC5" w14:textId="77777777" w:rsidR="00B55C27" w:rsidRPr="00723BC4" w:rsidRDefault="00B55C27" w:rsidP="00B55C27">
      <w:pPr>
        <w:spacing w:after="240"/>
        <w:ind w:left="2160" w:hanging="720"/>
        <w:rPr>
          <w:i/>
          <w:iCs/>
        </w:rPr>
      </w:pPr>
      <w:r w:rsidRPr="00723BC4">
        <w:t>(iii)</w:t>
      </w:r>
      <w:r w:rsidRPr="00723BC4">
        <w:tab/>
        <w:t xml:space="preserve">For purposes of assessment of the Independent Amount, ERCOT will deem a Counter-Party that is or is applying to be a CRR Account Holder as having a desire to participate in all ERCOT markets. </w:t>
      </w:r>
    </w:p>
    <w:p w14:paraId="515F6F59" w14:textId="77777777" w:rsidR="00B55C27" w:rsidRPr="00723BC4" w:rsidRDefault="00B55C27" w:rsidP="00B55C27">
      <w:pPr>
        <w:spacing w:after="240"/>
        <w:ind w:left="2160" w:hanging="720"/>
        <w:rPr>
          <w:i/>
          <w:iCs/>
        </w:rPr>
      </w:pPr>
      <w:r w:rsidRPr="00723BC4">
        <w:t>(iv)</w:t>
      </w:r>
      <w:r w:rsidRPr="00723BC4">
        <w:tab/>
        <w:t xml:space="preserve">Financial Security posted pursuant to this section is fully available to ERCOT in the event of the Counter-Party’s Payment Breach.  </w:t>
      </w:r>
    </w:p>
    <w:p w14:paraId="553F839F" w14:textId="77777777" w:rsidR="00B55C27" w:rsidRPr="00723BC4" w:rsidRDefault="00B55C27" w:rsidP="00B55C27">
      <w:pPr>
        <w:spacing w:after="240"/>
        <w:ind w:left="2160" w:hanging="720"/>
        <w:rPr>
          <w:i/>
          <w:iCs/>
        </w:rPr>
      </w:pPr>
      <w:r w:rsidRPr="00723BC4">
        <w:t>(v)</w:t>
      </w:r>
      <w:r w:rsidRPr="00723BC4">
        <w:tab/>
        <w:t>ERCOT shall add the Independent Amount to that Counter-Party’s Total Potential Exposure Secured (TPES) pursuant to Section 16.11 and designate it as the Independent Amount.  ERCOT will require Financial Security for the Independent Amount in the same way as it does for other TPES elements.</w:t>
      </w:r>
      <w:r w:rsidRPr="00723BC4" w:rsidDel="00425237">
        <w:t xml:space="preserve"> </w:t>
      </w:r>
    </w:p>
    <w:p w14:paraId="61F901F0" w14:textId="1B575B0F" w:rsidR="00770ABB" w:rsidRDefault="00B55C27" w:rsidP="00D9080F">
      <w:pPr>
        <w:pStyle w:val="List"/>
        <w:ind w:left="2160"/>
        <w:rPr>
          <w:i/>
          <w:iCs/>
          <w:szCs w:val="24"/>
        </w:rPr>
      </w:pPr>
      <w:r w:rsidRPr="00723BC4">
        <w:t>(vi)</w:t>
      </w:r>
      <w:r w:rsidRPr="00723BC4">
        <w:tab/>
        <w:t>Any non-payment of the Independent Amount is considered a Payment Breach pursuant to Section 16.11.6, Payment Breach and Late Payments by Market Participants.  ERCOT may use any of the remedies provided in Section 16.11.6 to collect the Independent Amount for each Counter-Party</w:t>
      </w:r>
    </w:p>
    <w:p w14:paraId="28CC3F43" w14:textId="6E5AF107" w:rsidR="00770ABB" w:rsidRDefault="00770ABB" w:rsidP="00D9080F">
      <w:pPr>
        <w:pStyle w:val="ListParagraph"/>
        <w:spacing w:after="240" w:line="240" w:lineRule="auto"/>
        <w:ind w:left="1440" w:hanging="720"/>
        <w:rPr>
          <w:rFonts w:ascii="Times New Roman" w:hAnsi="Times New Roman"/>
          <w:i/>
          <w:iCs/>
          <w:sz w:val="24"/>
          <w:szCs w:val="24"/>
        </w:rPr>
      </w:pPr>
      <w:r w:rsidRPr="00893FB4">
        <w:rPr>
          <w:rFonts w:ascii="Times New Roman" w:hAnsi="Times New Roman"/>
          <w:sz w:val="24"/>
          <w:szCs w:val="24"/>
        </w:rPr>
        <w:t>(</w:t>
      </w:r>
      <w:r w:rsidR="00A71039">
        <w:rPr>
          <w:rFonts w:ascii="Times New Roman" w:hAnsi="Times New Roman"/>
          <w:sz w:val="24"/>
          <w:szCs w:val="24"/>
        </w:rPr>
        <w:t>e</w:t>
      </w:r>
      <w:r w:rsidRPr="00893FB4">
        <w:rPr>
          <w:rFonts w:ascii="Times New Roman" w:hAnsi="Times New Roman"/>
          <w:sz w:val="24"/>
          <w:szCs w:val="24"/>
        </w:rPr>
        <w:t>)</w:t>
      </w:r>
      <w:r w:rsidRPr="00893FB4">
        <w:rPr>
          <w:rFonts w:ascii="Times New Roman" w:hAnsi="Times New Roman"/>
          <w:sz w:val="24"/>
          <w:szCs w:val="24"/>
        </w:rPr>
        <w:tab/>
      </w:r>
      <w:r w:rsidRPr="00C92A67">
        <w:rPr>
          <w:rFonts w:ascii="Times New Roman" w:hAnsi="Times New Roman"/>
          <w:b/>
          <w:sz w:val="24"/>
          <w:szCs w:val="24"/>
          <w:u w:val="single"/>
        </w:rPr>
        <w:t>Risk Management Capabilities</w:t>
      </w:r>
      <w:r w:rsidRPr="00AC734B">
        <w:rPr>
          <w:rFonts w:ascii="Times New Roman" w:hAnsi="Times New Roman"/>
          <w:sz w:val="24"/>
          <w:szCs w:val="24"/>
        </w:rPr>
        <w:t>.</w:t>
      </w:r>
      <w:r w:rsidRPr="00893FB4">
        <w:rPr>
          <w:rFonts w:ascii="Times New Roman" w:hAnsi="Times New Roman"/>
          <w:sz w:val="24"/>
          <w:szCs w:val="24"/>
        </w:rPr>
        <w:t xml:space="preserve">  </w:t>
      </w:r>
      <w:r w:rsidRPr="00AC734B">
        <w:rPr>
          <w:rFonts w:ascii="Times New Roman" w:hAnsi="Times New Roman"/>
          <w:sz w:val="24"/>
          <w:szCs w:val="24"/>
        </w:rPr>
        <w:t xml:space="preserve">Each Counter-Party shall maintain appropriate, comprehensive risk management </w:t>
      </w:r>
      <w:r>
        <w:rPr>
          <w:rFonts w:ascii="Times New Roman" w:hAnsi="Times New Roman"/>
          <w:sz w:val="24"/>
          <w:szCs w:val="24"/>
        </w:rPr>
        <w:t>capabilities</w:t>
      </w:r>
      <w:r w:rsidRPr="00AC734B">
        <w:rPr>
          <w:rFonts w:ascii="Times New Roman" w:hAnsi="Times New Roman"/>
          <w:sz w:val="24"/>
          <w:szCs w:val="24"/>
        </w:rPr>
        <w:t xml:space="preserve"> with respect to the ERCOT markets in which the Counter-Party transacts or wishes to transact.  </w:t>
      </w:r>
      <w:r w:rsidRPr="00C924B3">
        <w:rPr>
          <w:rFonts w:ascii="Times New Roman" w:hAnsi="Times New Roman"/>
          <w:sz w:val="24"/>
          <w:szCs w:val="24"/>
        </w:rPr>
        <w:t xml:space="preserve">ERCOT may review documentation supporting </w:t>
      </w:r>
      <w:r>
        <w:rPr>
          <w:rFonts w:ascii="Times New Roman" w:hAnsi="Times New Roman"/>
          <w:sz w:val="24"/>
          <w:szCs w:val="24"/>
        </w:rPr>
        <w:t xml:space="preserve">a </w:t>
      </w:r>
      <w:r w:rsidRPr="00C924B3">
        <w:rPr>
          <w:rFonts w:ascii="Times New Roman" w:hAnsi="Times New Roman"/>
          <w:sz w:val="24"/>
          <w:szCs w:val="24"/>
        </w:rPr>
        <w:t xml:space="preserve">Counter-Party’s risk management </w:t>
      </w:r>
      <w:r>
        <w:rPr>
          <w:rFonts w:ascii="Times New Roman" w:hAnsi="Times New Roman"/>
          <w:sz w:val="24"/>
          <w:szCs w:val="24"/>
        </w:rPr>
        <w:t>framework</w:t>
      </w:r>
      <w:r w:rsidRPr="00C924B3">
        <w:rPr>
          <w:rFonts w:ascii="Times New Roman" w:hAnsi="Times New Roman"/>
          <w:sz w:val="24"/>
          <w:szCs w:val="24"/>
        </w:rPr>
        <w:t xml:space="preserve"> as part of its processes for verifying the implementation of a Counter-Party</w:t>
      </w:r>
      <w:r>
        <w:rPr>
          <w:rFonts w:ascii="Times New Roman" w:hAnsi="Times New Roman"/>
          <w:sz w:val="24"/>
          <w:szCs w:val="24"/>
        </w:rPr>
        <w:t>’s</w:t>
      </w:r>
      <w:r w:rsidRPr="00C924B3">
        <w:rPr>
          <w:rFonts w:ascii="Times New Roman" w:hAnsi="Times New Roman"/>
          <w:sz w:val="24"/>
          <w:szCs w:val="24"/>
        </w:rPr>
        <w:t xml:space="preserve"> risk management framework as described</w:t>
      </w:r>
      <w:r>
        <w:rPr>
          <w:rFonts w:ascii="Times New Roman" w:hAnsi="Times New Roman"/>
          <w:sz w:val="24"/>
          <w:szCs w:val="24"/>
        </w:rPr>
        <w:t xml:space="preserve"> in Section 16.16.3, Verification of Risk Management Framework.</w:t>
      </w:r>
      <w:r w:rsidRPr="00C924B3">
        <w:rPr>
          <w:rFonts w:ascii="Times New Roman" w:hAnsi="Times New Roman"/>
          <w:sz w:val="24"/>
          <w:szCs w:val="24"/>
        </w:rPr>
        <w:t xml:space="preserve">   </w:t>
      </w:r>
    </w:p>
    <w:p w14:paraId="3EA3B678" w14:textId="77777777" w:rsidR="00770ABB" w:rsidRDefault="00770ABB" w:rsidP="00F80DFA">
      <w:pPr>
        <w:pStyle w:val="H3"/>
      </w:pPr>
      <w:bookmarkStart w:id="751" w:name="_Toc390439003"/>
      <w:bookmarkStart w:id="752" w:name="_Toc405897714"/>
      <w:bookmarkStart w:id="753" w:name="_Toc415055806"/>
      <w:bookmarkStart w:id="754" w:name="_Toc415055932"/>
      <w:bookmarkStart w:id="755" w:name="_Toc415056031"/>
      <w:bookmarkStart w:id="756" w:name="_Toc415056131"/>
      <w:bookmarkStart w:id="757" w:name="_Toc175159204"/>
      <w:r>
        <w:t>16.16.2</w:t>
      </w:r>
      <w:r>
        <w:tab/>
        <w:t>Annual Certification</w:t>
      </w:r>
      <w:bookmarkEnd w:id="751"/>
      <w:bookmarkEnd w:id="752"/>
      <w:bookmarkEnd w:id="753"/>
      <w:bookmarkEnd w:id="754"/>
      <w:bookmarkEnd w:id="755"/>
      <w:bookmarkEnd w:id="756"/>
      <w:bookmarkEnd w:id="757"/>
      <w:r w:rsidRPr="00137DB4">
        <w:rPr>
          <w:szCs w:val="24"/>
        </w:rPr>
        <w:t xml:space="preserve">  </w:t>
      </w:r>
    </w:p>
    <w:p w14:paraId="299BFE39" w14:textId="77777777" w:rsidR="00770ABB" w:rsidRPr="002C3290" w:rsidRDefault="00770ABB" w:rsidP="00770ABB">
      <w:pPr>
        <w:pStyle w:val="List"/>
        <w:ind w:left="720"/>
      </w:pPr>
      <w:r w:rsidRPr="002C3290">
        <w:t>(1)</w:t>
      </w:r>
      <w:r w:rsidRPr="002C3290">
        <w:tab/>
        <w:t>Each Counter-Party must submit to ERCOT annually a notarized certificate, signed by an officer or executive with authority to bind the Counter-Party, in the form of Section 22, Attachment J, Annual Certification Form to Meet ERCOT Additional Minimum Participation Requirement</w:t>
      </w:r>
      <w:r>
        <w:t>s</w:t>
      </w:r>
      <w:r w:rsidRPr="002C3290">
        <w:t xml:space="preserve">, certifying that the Counter-Party is in compliance with each of the Counter-Party criteria and agrees to procedures for verification of its risk management framework as described in Section 16.16.3, Verification of Risk Management Framework.  </w:t>
      </w:r>
    </w:p>
    <w:p w14:paraId="6074A85F" w14:textId="4CD9B7CC" w:rsidR="00770ABB" w:rsidRPr="002C3290" w:rsidRDefault="00770ABB" w:rsidP="00770ABB">
      <w:pPr>
        <w:pStyle w:val="List"/>
        <w:ind w:left="720"/>
      </w:pPr>
      <w:r w:rsidRPr="002C3290">
        <w:t>(2)</w:t>
      </w:r>
      <w:r w:rsidRPr="002C3290">
        <w:tab/>
      </w:r>
      <w:r w:rsidR="00B55C27" w:rsidRPr="002C3290">
        <w:t xml:space="preserve">The certificate must be received by ERCOT no later than 120 days after the close of the fiscal year of the Counter-Party or its </w:t>
      </w:r>
      <w:r w:rsidR="00B55C27">
        <w:t>parent</w:t>
      </w:r>
      <w:r w:rsidR="00B55C27" w:rsidRPr="002C3290">
        <w:t>.  ERCOT may extend the period for providing the certificate on a case-by-case basis.</w:t>
      </w:r>
    </w:p>
    <w:p w14:paraId="766C3247" w14:textId="3228FE87" w:rsidR="00770ABB" w:rsidRPr="002C3290" w:rsidRDefault="00770ABB" w:rsidP="00D9080F">
      <w:pPr>
        <w:pStyle w:val="List"/>
        <w:ind w:left="720"/>
      </w:pPr>
      <w:r w:rsidRPr="002C3290">
        <w:t>(3)</w:t>
      </w:r>
      <w:r w:rsidRPr="002C3290">
        <w:tab/>
        <w:t>For new entry Counter-Parties, the certificate must be received by ERCOT prior to participation in any ERCOT markets.</w:t>
      </w:r>
    </w:p>
    <w:p w14:paraId="2FD1D1F8" w14:textId="77777777" w:rsidR="00770ABB" w:rsidRDefault="00770ABB" w:rsidP="00770ABB">
      <w:pPr>
        <w:pStyle w:val="List"/>
        <w:ind w:left="720"/>
      </w:pPr>
      <w:r>
        <w:lastRenderedPageBreak/>
        <w:t>(4)</w:t>
      </w:r>
      <w:r>
        <w:tab/>
      </w:r>
      <w:r w:rsidRPr="00137DB4">
        <w:t xml:space="preserve">A Counter-Party shall </w:t>
      </w:r>
      <w:r>
        <w:t xml:space="preserve">notify </w:t>
      </w:r>
      <w:r w:rsidRPr="00137DB4">
        <w:t xml:space="preserve">ERCOT within one </w:t>
      </w:r>
      <w:r>
        <w:t>d</w:t>
      </w:r>
      <w:r w:rsidRPr="00137DB4">
        <w:t xml:space="preserve">ay if it has experienced a material adverse change that would make its most recent </w:t>
      </w:r>
      <w:r>
        <w:t>a</w:t>
      </w:r>
      <w:r w:rsidRPr="00137DB4">
        <w:t xml:space="preserve">nnual </w:t>
      </w:r>
      <w:r>
        <w:t>c</w:t>
      </w:r>
      <w:r w:rsidRPr="00137DB4">
        <w:t>ertifica</w:t>
      </w:r>
      <w:r>
        <w:t>te</w:t>
      </w:r>
      <w:r w:rsidRPr="00137DB4">
        <w:t xml:space="preserve"> inaccurate. </w:t>
      </w:r>
    </w:p>
    <w:p w14:paraId="1F70DA75" w14:textId="77777777" w:rsidR="00770ABB" w:rsidRPr="00951B55" w:rsidRDefault="00770ABB" w:rsidP="00770ABB">
      <w:pPr>
        <w:pStyle w:val="H3"/>
        <w:rPr>
          <w:b w:val="0"/>
        </w:rPr>
      </w:pPr>
      <w:bookmarkStart w:id="758" w:name="_Toc390439004"/>
      <w:bookmarkStart w:id="759" w:name="_Toc405897715"/>
      <w:bookmarkStart w:id="760" w:name="_Toc415055807"/>
      <w:bookmarkStart w:id="761" w:name="_Toc415055933"/>
      <w:bookmarkStart w:id="762" w:name="_Toc415056032"/>
      <w:bookmarkStart w:id="763" w:name="_Toc415056132"/>
      <w:bookmarkStart w:id="764" w:name="_Toc175159205"/>
      <w:r>
        <w:t>16.16.3</w:t>
      </w:r>
      <w:r>
        <w:tab/>
      </w:r>
      <w:r w:rsidRPr="00945FF8">
        <w:rPr>
          <w:szCs w:val="24"/>
        </w:rPr>
        <w:t>Verification of Risk Management Framework</w:t>
      </w:r>
      <w:bookmarkEnd w:id="758"/>
      <w:bookmarkEnd w:id="759"/>
      <w:bookmarkEnd w:id="760"/>
      <w:bookmarkEnd w:id="761"/>
      <w:bookmarkEnd w:id="762"/>
      <w:bookmarkEnd w:id="763"/>
      <w:bookmarkEnd w:id="764"/>
      <w:r w:rsidRPr="00137DB4">
        <w:rPr>
          <w:szCs w:val="24"/>
        </w:rPr>
        <w:t xml:space="preserve"> </w:t>
      </w:r>
    </w:p>
    <w:p w14:paraId="4779794B" w14:textId="77777777" w:rsidR="00770ABB" w:rsidRPr="00951B55" w:rsidRDefault="00770ABB" w:rsidP="00770ABB">
      <w:pPr>
        <w:pStyle w:val="List"/>
        <w:ind w:left="720"/>
      </w:pPr>
      <w:r w:rsidRPr="002C3290">
        <w:t>(1)</w:t>
      </w:r>
      <w:r w:rsidRPr="002C3290">
        <w:tab/>
        <w:t xml:space="preserve">ERCOT will periodically perform or cause to be performed procedures to assess the risk management framework of Counter-Parties, including its implementation.  </w:t>
      </w:r>
    </w:p>
    <w:p w14:paraId="1A2F1454" w14:textId="77777777" w:rsidR="00770ABB" w:rsidRPr="002C3290" w:rsidRDefault="00770ABB" w:rsidP="00770ABB">
      <w:pPr>
        <w:pStyle w:val="List"/>
        <w:ind w:left="720"/>
      </w:pPr>
      <w:r w:rsidRPr="002C3290">
        <w:t>(2)</w:t>
      </w:r>
      <w:r w:rsidRPr="002C3290">
        <w:tab/>
        <w:t xml:space="preserve">ERCOT may retain a third party either to assess the sufficiency of the Counter-Party’s risk management framework or to provide guidance and advice as to what constitutes appropriate content with respect to generally accepted risk management practices in their respective markets, commensurate and proportional in sophistication, scope and frequency to the volume of transactions and the nature and extent of risk taken by the Counter-Party.  </w:t>
      </w:r>
    </w:p>
    <w:p w14:paraId="1B2BAB71" w14:textId="77777777" w:rsidR="00770ABB" w:rsidRPr="002C3290" w:rsidRDefault="00770ABB" w:rsidP="00770ABB">
      <w:pPr>
        <w:pStyle w:val="List"/>
        <w:ind w:left="720"/>
      </w:pPr>
      <w:r w:rsidRPr="002C3290">
        <w:t>(3)</w:t>
      </w:r>
      <w:r w:rsidRPr="002C3290">
        <w:tab/>
        <w:t>ERCOT shall, identify the nature and scope of generally accepted risk management practices in their respective markets by which Counter-Party risk management frameworks will be assessed.  Key elements will include:</w:t>
      </w:r>
    </w:p>
    <w:p w14:paraId="755CC81E" w14:textId="77777777" w:rsidR="00770ABB" w:rsidRPr="007A2A43" w:rsidRDefault="00770ABB" w:rsidP="00770ABB">
      <w:pPr>
        <w:pStyle w:val="List2"/>
        <w:tabs>
          <w:tab w:val="num" w:pos="1620"/>
        </w:tabs>
        <w:ind w:left="1440"/>
      </w:pPr>
      <w:r w:rsidRPr="007A2A43">
        <w:t>(a)</w:t>
      </w:r>
      <w:r>
        <w:tab/>
      </w:r>
      <w:r w:rsidRPr="007A2A43">
        <w:t>The risk management framework is documented in a risk policy addressing market and credit risks that has been approved by a Counter-Party’s risk management function which includes appropriate corporate persons or bodies that are independent of the Counter-Party’s trading functions, such as a risk management committee, a designated risk officer, participant Counter-Party’s board or board committee, or, if applicable, a board or committee of the Counter-Party’s parent company.</w:t>
      </w:r>
    </w:p>
    <w:p w14:paraId="03761E57" w14:textId="77777777" w:rsidR="00770ABB" w:rsidRPr="007A2A43" w:rsidRDefault="00770ABB" w:rsidP="00770ABB">
      <w:pPr>
        <w:pStyle w:val="List2"/>
        <w:tabs>
          <w:tab w:val="num" w:pos="1620"/>
        </w:tabs>
        <w:ind w:left="1440"/>
      </w:pPr>
      <w:r>
        <w:t>(b)</w:t>
      </w:r>
      <w:r>
        <w:tab/>
      </w:r>
      <w:r w:rsidRPr="007A2A43">
        <w:t xml:space="preserve">A Counter-Party maintains an organizational structure with clearly defined roles and responsibilities that clearly segregate trading and risk control functions. </w:t>
      </w:r>
    </w:p>
    <w:p w14:paraId="65769165" w14:textId="77777777" w:rsidR="00770ABB" w:rsidRPr="007A2A43" w:rsidRDefault="00770ABB" w:rsidP="00770ABB">
      <w:pPr>
        <w:pStyle w:val="List2"/>
        <w:tabs>
          <w:tab w:val="num" w:pos="1620"/>
        </w:tabs>
        <w:ind w:left="1440"/>
      </w:pPr>
      <w:r>
        <w:t>(c)</w:t>
      </w:r>
      <w:r>
        <w:tab/>
      </w:r>
      <w:r w:rsidRPr="007A2A43">
        <w:t>There is clarity of authority specifying the transactions into which traders are allowed to enter.</w:t>
      </w:r>
    </w:p>
    <w:p w14:paraId="10B4CCD3" w14:textId="77777777" w:rsidR="00770ABB" w:rsidRPr="007A2A43" w:rsidRDefault="00770ABB" w:rsidP="00770ABB">
      <w:pPr>
        <w:pStyle w:val="List2"/>
        <w:tabs>
          <w:tab w:val="num" w:pos="1620"/>
        </w:tabs>
        <w:ind w:left="1440"/>
      </w:pPr>
      <w:r>
        <w:t>(d)</w:t>
      </w:r>
      <w:r>
        <w:tab/>
      </w:r>
      <w:r w:rsidRPr="007A2A43">
        <w:t>A Counter-Party ensures that traders have adequate training and/or experience relative to their delegations of authority in systems and the markets in which they transact.</w:t>
      </w:r>
    </w:p>
    <w:p w14:paraId="03227B2B" w14:textId="77777777" w:rsidR="00770ABB" w:rsidRPr="007A2A43" w:rsidRDefault="00770ABB" w:rsidP="00770ABB">
      <w:pPr>
        <w:pStyle w:val="List2"/>
        <w:tabs>
          <w:tab w:val="num" w:pos="1620"/>
        </w:tabs>
        <w:ind w:left="1440"/>
      </w:pPr>
      <w:r>
        <w:t>(e)</w:t>
      </w:r>
      <w:r>
        <w:tab/>
      </w:r>
      <w:r w:rsidRPr="007A2A43">
        <w:t>As appropriate, a Counter-Party has risk limits in place to control risk exposures.</w:t>
      </w:r>
    </w:p>
    <w:p w14:paraId="5CDBE328" w14:textId="77777777" w:rsidR="00770ABB" w:rsidRPr="007A2A43" w:rsidRDefault="00770ABB" w:rsidP="00770ABB">
      <w:pPr>
        <w:pStyle w:val="List2"/>
        <w:tabs>
          <w:tab w:val="num" w:pos="1620"/>
        </w:tabs>
        <w:ind w:left="1440"/>
      </w:pPr>
      <w:r>
        <w:t>(f)</w:t>
      </w:r>
      <w:r>
        <w:tab/>
      </w:r>
      <w:r w:rsidRPr="007A2A43">
        <w:t>A Counter-Party has reporting in place to ensure risks are adequately communicated throughout the organization.</w:t>
      </w:r>
    </w:p>
    <w:p w14:paraId="7AA65AC2" w14:textId="77777777" w:rsidR="00770ABB" w:rsidRPr="007A2A43" w:rsidRDefault="00770ABB" w:rsidP="00770ABB">
      <w:pPr>
        <w:pStyle w:val="List2"/>
        <w:tabs>
          <w:tab w:val="num" w:pos="1620"/>
        </w:tabs>
        <w:ind w:left="1440"/>
      </w:pPr>
      <w:r>
        <w:t>(g)</w:t>
      </w:r>
      <w:r>
        <w:tab/>
      </w:r>
      <w:r w:rsidRPr="007A2A43">
        <w:t>A Counter-Party has processes in place for independent confirmation of executed transactions.</w:t>
      </w:r>
    </w:p>
    <w:p w14:paraId="5AF4C487" w14:textId="77777777" w:rsidR="00770ABB" w:rsidRPr="007A2A43" w:rsidRDefault="00770ABB" w:rsidP="00770ABB">
      <w:pPr>
        <w:pStyle w:val="List2"/>
        <w:tabs>
          <w:tab w:val="num" w:pos="1620"/>
        </w:tabs>
        <w:ind w:left="1440"/>
      </w:pPr>
      <w:r w:rsidRPr="007A2A43">
        <w:t>(h)</w:t>
      </w:r>
      <w:r w:rsidRPr="007A2A43">
        <w:tab/>
        <w:t>A Counter-Party performs a periodic valuation or mark-to-market of risk positions, as appropriate.</w:t>
      </w:r>
    </w:p>
    <w:p w14:paraId="7B245937" w14:textId="0429BDF8" w:rsidR="00770ABB" w:rsidRDefault="00770ABB" w:rsidP="0034759E">
      <w:pPr>
        <w:pStyle w:val="List"/>
        <w:ind w:left="720"/>
      </w:pPr>
      <w:r w:rsidRPr="00FB4E57">
        <w:lastRenderedPageBreak/>
        <w:t>(</w:t>
      </w:r>
      <w:r w:rsidR="00554675">
        <w:t>4</w:t>
      </w:r>
      <w:r w:rsidRPr="00FB4E57">
        <w:t>)</w:t>
      </w:r>
      <w:r>
        <w:tab/>
        <w:t xml:space="preserve">The ERCOT Board may approve minimum standards under an Other Binding Document. </w:t>
      </w:r>
    </w:p>
    <w:p w14:paraId="3C7F7B95" w14:textId="50697962" w:rsidR="00770ABB" w:rsidRPr="008E27A2" w:rsidRDefault="00770ABB" w:rsidP="00770ABB">
      <w:pPr>
        <w:pStyle w:val="List"/>
        <w:ind w:left="720"/>
      </w:pPr>
      <w:r>
        <w:t>(</w:t>
      </w:r>
      <w:r w:rsidR="00554675">
        <w:t>5</w:t>
      </w:r>
      <w:r>
        <w:t>)</w:t>
      </w:r>
      <w:r>
        <w:tab/>
      </w:r>
      <w:r w:rsidRPr="002C3290">
        <w:t>Upon notice of being selected for verification, a Counter-Party will make available or submit to ERCOT, or a third party acting on ERCOT’s behalf, such documentation as is necessary to provide evidence of the sufficiency and implementation of its risk management framework.  Such information may include, but not be limited to, documents of the following nature:  risk policies, organizational charts, Delegations of Authority, training records, risk limit structure, reporting frameworks, and relevant procedures, all in a level of detail acceptable to ERCOT.  Along with such documentation, a Counter-Party will provide a written explanation to ERCOT or its agent of how its risk management framework conforms to the risk management standards noted above.  Requested information and documents must be made available for review by ERCOT, or a third party acting on ERCOT’s behalf, 30 days after Notice of the request.  ERCOT will provide Counter-Party Notice of inadequate documentation and will give Counter-Party ten Business Days to correct the inadequacy.  At ERCOT’s sole discretion, these deadlines may be extended on a case-by-case basis.</w:t>
      </w:r>
    </w:p>
    <w:p w14:paraId="01B4CC7D" w14:textId="79627778" w:rsidR="00770ABB" w:rsidRPr="002C3290" w:rsidRDefault="00770ABB" w:rsidP="00770ABB">
      <w:pPr>
        <w:pStyle w:val="List"/>
        <w:ind w:left="720"/>
      </w:pPr>
      <w:r w:rsidRPr="002C3290">
        <w:t>(</w:t>
      </w:r>
      <w:r w:rsidR="00554675">
        <w:t>6</w:t>
      </w:r>
      <w:r w:rsidRPr="002C3290">
        <w:t>)</w:t>
      </w:r>
      <w:r w:rsidRPr="002C3290">
        <w:tab/>
        <w:t xml:space="preserve">If necessary, Counter-Parties will support the verification process by, among other things, making appropriate personnel available for interviews, permitting on-site observation of credit and risk management processes and procedures, and providing written responses to written inquiries on a timely basis.  A Counter-Party may request that ERCOT or a third party performing verification on ERCOT’s behalf perform the review on-site at the Counter-Party’s location.  Any resulting additional expenses will in this case be the sole responsibility of the Counter-Party making the request.   </w:t>
      </w:r>
    </w:p>
    <w:p w14:paraId="10158438" w14:textId="62A0AD03" w:rsidR="00770ABB" w:rsidRPr="002C3290" w:rsidRDefault="00770ABB" w:rsidP="00770ABB">
      <w:pPr>
        <w:pStyle w:val="List"/>
        <w:ind w:left="720"/>
      </w:pPr>
      <w:r w:rsidRPr="002C3290">
        <w:t>(</w:t>
      </w:r>
      <w:r w:rsidR="00554675">
        <w:t>7</w:t>
      </w:r>
      <w:r w:rsidRPr="002C3290">
        <w:t>)</w:t>
      </w:r>
      <w:r w:rsidRPr="002C3290">
        <w:tab/>
      </w:r>
      <w:r w:rsidR="00B55C27" w:rsidRPr="00723BC4">
        <w:t>ERCOT will perform procedures to verify the risk management framework at least annually for any Counter-Party if that Counter-Party or its parent:</w:t>
      </w:r>
    </w:p>
    <w:p w14:paraId="247E23A7" w14:textId="18BA793A" w:rsidR="00770ABB" w:rsidRDefault="00770ABB" w:rsidP="00D9080F">
      <w:pPr>
        <w:pStyle w:val="ListParagraph"/>
        <w:spacing w:after="240" w:line="240" w:lineRule="auto"/>
        <w:ind w:left="1440" w:hanging="720"/>
        <w:contextualSpacing w:val="0"/>
        <w:rPr>
          <w:rFonts w:ascii="Times New Roman" w:hAnsi="Times New Roman"/>
          <w:sz w:val="24"/>
          <w:szCs w:val="24"/>
        </w:rPr>
      </w:pPr>
      <w:r>
        <w:rPr>
          <w:rFonts w:ascii="Times New Roman" w:hAnsi="Times New Roman"/>
          <w:sz w:val="24"/>
          <w:szCs w:val="24"/>
        </w:rPr>
        <w:t>(a</w:t>
      </w:r>
      <w:r w:rsidRPr="00C37DC7">
        <w:rPr>
          <w:rFonts w:ascii="Times New Roman" w:hAnsi="Times New Roman"/>
          <w:sz w:val="24"/>
          <w:szCs w:val="24"/>
        </w:rPr>
        <w:t>)</w:t>
      </w:r>
      <w:r>
        <w:rPr>
          <w:rFonts w:ascii="Times New Roman" w:hAnsi="Times New Roman"/>
          <w:sz w:val="24"/>
          <w:szCs w:val="24"/>
        </w:rPr>
        <w:tab/>
      </w:r>
      <w:r w:rsidR="005C04D0" w:rsidRPr="00F40D99">
        <w:rPr>
          <w:rFonts w:ascii="Times New Roman" w:hAnsi="Times New Roman"/>
          <w:sz w:val="24"/>
          <w:szCs w:val="24"/>
        </w:rPr>
        <w:t xml:space="preserve">Has had one or more late payments or represents a </w:t>
      </w:r>
      <w:r w:rsidR="005C04D0">
        <w:rPr>
          <w:rFonts w:ascii="Times New Roman" w:hAnsi="Times New Roman"/>
          <w:sz w:val="24"/>
          <w:szCs w:val="24"/>
        </w:rPr>
        <w:t>Qualified Scheduling Entity (</w:t>
      </w:r>
      <w:r w:rsidR="005C04D0" w:rsidRPr="00F40D99">
        <w:rPr>
          <w:rFonts w:ascii="Times New Roman" w:hAnsi="Times New Roman"/>
          <w:sz w:val="24"/>
          <w:szCs w:val="24"/>
        </w:rPr>
        <w:t>QSE</w:t>
      </w:r>
      <w:r w:rsidR="005C04D0">
        <w:rPr>
          <w:rFonts w:ascii="Times New Roman" w:hAnsi="Times New Roman"/>
          <w:sz w:val="24"/>
          <w:szCs w:val="24"/>
        </w:rPr>
        <w:t>)</w:t>
      </w:r>
      <w:r w:rsidR="005C04D0" w:rsidRPr="00F40D99">
        <w:rPr>
          <w:rFonts w:ascii="Times New Roman" w:hAnsi="Times New Roman"/>
          <w:sz w:val="24"/>
          <w:szCs w:val="24"/>
        </w:rPr>
        <w:t xml:space="preserve"> or CRR</w:t>
      </w:r>
      <w:r w:rsidR="005C04D0">
        <w:rPr>
          <w:rFonts w:ascii="Times New Roman" w:hAnsi="Times New Roman"/>
          <w:sz w:val="24"/>
          <w:szCs w:val="24"/>
        </w:rPr>
        <w:t xml:space="preserve"> </w:t>
      </w:r>
      <w:r w:rsidR="005C04D0" w:rsidRPr="00F40D99">
        <w:rPr>
          <w:rFonts w:ascii="Times New Roman" w:hAnsi="Times New Roman"/>
          <w:sz w:val="24"/>
          <w:szCs w:val="24"/>
        </w:rPr>
        <w:t>A</w:t>
      </w:r>
      <w:r w:rsidR="005C04D0">
        <w:rPr>
          <w:rFonts w:ascii="Times New Roman" w:hAnsi="Times New Roman"/>
          <w:sz w:val="24"/>
          <w:szCs w:val="24"/>
        </w:rPr>
        <w:t xml:space="preserve">ccount </w:t>
      </w:r>
      <w:r w:rsidR="005C04D0" w:rsidRPr="00F40D99">
        <w:rPr>
          <w:rFonts w:ascii="Times New Roman" w:hAnsi="Times New Roman"/>
          <w:sz w:val="24"/>
          <w:szCs w:val="24"/>
        </w:rPr>
        <w:t>H</w:t>
      </w:r>
      <w:r w:rsidR="005C04D0">
        <w:rPr>
          <w:rFonts w:ascii="Times New Roman" w:hAnsi="Times New Roman"/>
          <w:sz w:val="24"/>
          <w:szCs w:val="24"/>
        </w:rPr>
        <w:t>older</w:t>
      </w:r>
      <w:r w:rsidR="005C04D0" w:rsidRPr="00F40D99">
        <w:rPr>
          <w:rFonts w:ascii="Times New Roman" w:hAnsi="Times New Roman"/>
          <w:sz w:val="24"/>
          <w:szCs w:val="24"/>
        </w:rPr>
        <w:t xml:space="preserve"> that has short-paid Settlement Invoices in the year preceding the date of the annual certificate</w:t>
      </w:r>
      <w:r w:rsidR="005C04D0">
        <w:rPr>
          <w:rFonts w:ascii="Times New Roman" w:hAnsi="Times New Roman"/>
          <w:sz w:val="24"/>
          <w:szCs w:val="24"/>
        </w:rPr>
        <w:t xml:space="preserve">; </w:t>
      </w:r>
      <w:r w:rsidR="005C04D0" w:rsidRPr="00C37DC7">
        <w:rPr>
          <w:rFonts w:ascii="Times New Roman" w:hAnsi="Times New Roman"/>
          <w:sz w:val="24"/>
          <w:szCs w:val="24"/>
        </w:rPr>
        <w:t>and</w:t>
      </w:r>
    </w:p>
    <w:p w14:paraId="162A76D7" w14:textId="48493383" w:rsidR="00770ABB" w:rsidRDefault="00770ABB" w:rsidP="00FB1643">
      <w:pPr>
        <w:pStyle w:val="ListParagraph"/>
        <w:spacing w:after="240" w:line="240" w:lineRule="auto"/>
        <w:ind w:left="1440" w:hanging="720"/>
        <w:contextualSpacing w:val="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H</w:t>
      </w:r>
      <w:r w:rsidRPr="00C37DC7">
        <w:rPr>
          <w:rFonts w:ascii="Times New Roman" w:hAnsi="Times New Roman"/>
          <w:sz w:val="24"/>
          <w:szCs w:val="24"/>
        </w:rPr>
        <w:t xml:space="preserve">as had exposure in CRR Obligations in </w:t>
      </w:r>
      <w:r>
        <w:rPr>
          <w:rFonts w:ascii="Times New Roman" w:hAnsi="Times New Roman"/>
          <w:sz w:val="24"/>
          <w:szCs w:val="24"/>
        </w:rPr>
        <w:t xml:space="preserve">the </w:t>
      </w:r>
      <w:r w:rsidRPr="00C37DC7">
        <w:rPr>
          <w:rFonts w:ascii="Times New Roman" w:hAnsi="Times New Roman"/>
          <w:sz w:val="24"/>
          <w:szCs w:val="24"/>
        </w:rPr>
        <w:t xml:space="preserve">ERCOT CRR market during the year preceding the date of the </w:t>
      </w:r>
      <w:r>
        <w:rPr>
          <w:rFonts w:ascii="Times New Roman" w:hAnsi="Times New Roman"/>
          <w:sz w:val="24"/>
          <w:szCs w:val="24"/>
        </w:rPr>
        <w:t>a</w:t>
      </w:r>
      <w:r w:rsidRPr="00C37DC7">
        <w:rPr>
          <w:rFonts w:ascii="Times New Roman" w:hAnsi="Times New Roman"/>
          <w:sz w:val="24"/>
          <w:szCs w:val="24"/>
        </w:rPr>
        <w:t xml:space="preserve">nnual </w:t>
      </w:r>
      <w:r>
        <w:rPr>
          <w:rFonts w:ascii="Times New Roman" w:hAnsi="Times New Roman"/>
          <w:sz w:val="24"/>
          <w:szCs w:val="24"/>
        </w:rPr>
        <w:t>c</w:t>
      </w:r>
      <w:r w:rsidRPr="00C37DC7">
        <w:rPr>
          <w:rFonts w:ascii="Times New Roman" w:hAnsi="Times New Roman"/>
          <w:sz w:val="24"/>
          <w:szCs w:val="24"/>
        </w:rPr>
        <w:t>ertificat</w:t>
      </w:r>
      <w:r>
        <w:rPr>
          <w:rFonts w:ascii="Times New Roman" w:hAnsi="Times New Roman"/>
          <w:sz w:val="24"/>
          <w:szCs w:val="24"/>
        </w:rPr>
        <w:t>e</w:t>
      </w:r>
      <w:r w:rsidRPr="00C37DC7">
        <w:rPr>
          <w:rFonts w:ascii="Times New Roman" w:hAnsi="Times New Roman"/>
          <w:sz w:val="24"/>
          <w:szCs w:val="24"/>
        </w:rPr>
        <w:t xml:space="preserve">. </w:t>
      </w:r>
    </w:p>
    <w:p w14:paraId="761DE048" w14:textId="77777777" w:rsidR="00770ABB" w:rsidRDefault="00770ABB" w:rsidP="00770ABB">
      <w:pPr>
        <w:pStyle w:val="ListParagraph"/>
        <w:spacing w:after="240" w:line="240" w:lineRule="auto"/>
        <w:ind w:left="2160" w:hanging="720"/>
        <w:contextualSpacing w:val="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Pr="00C37DC7">
        <w:rPr>
          <w:rFonts w:ascii="Times New Roman" w:hAnsi="Times New Roman"/>
          <w:sz w:val="24"/>
          <w:szCs w:val="24"/>
        </w:rPr>
        <w:t xml:space="preserve">Notwithstanding the above, ERCOT will perform risk management </w:t>
      </w:r>
      <w:r>
        <w:rPr>
          <w:rFonts w:ascii="Times New Roman" w:hAnsi="Times New Roman"/>
          <w:sz w:val="24"/>
          <w:szCs w:val="24"/>
        </w:rPr>
        <w:t xml:space="preserve">framework </w:t>
      </w:r>
      <w:r w:rsidRPr="00C37DC7">
        <w:rPr>
          <w:rFonts w:ascii="Times New Roman" w:hAnsi="Times New Roman"/>
          <w:sz w:val="24"/>
          <w:szCs w:val="24"/>
        </w:rPr>
        <w:t xml:space="preserve">verification procedures on other Counter-Parties at its sole discretion. </w:t>
      </w:r>
    </w:p>
    <w:p w14:paraId="7332239D" w14:textId="7F152C86" w:rsidR="00770ABB" w:rsidRDefault="00770ABB" w:rsidP="00770ABB">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r w:rsidR="00554675">
        <w:rPr>
          <w:rFonts w:ascii="Times New Roman" w:hAnsi="Times New Roman"/>
          <w:sz w:val="24"/>
          <w:szCs w:val="24"/>
        </w:rPr>
        <w:t>8</w:t>
      </w:r>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Upon completion of </w:t>
      </w:r>
      <w:r>
        <w:rPr>
          <w:rFonts w:ascii="Times New Roman" w:hAnsi="Times New Roman"/>
          <w:sz w:val="24"/>
          <w:szCs w:val="24"/>
        </w:rPr>
        <w:t xml:space="preserve">its </w:t>
      </w:r>
      <w:r w:rsidRPr="00C37DC7">
        <w:rPr>
          <w:rFonts w:ascii="Times New Roman" w:hAnsi="Times New Roman"/>
          <w:sz w:val="24"/>
          <w:szCs w:val="24"/>
        </w:rPr>
        <w:t xml:space="preserve">review, ERCOT will notify </w:t>
      </w:r>
      <w:r>
        <w:rPr>
          <w:rFonts w:ascii="Times New Roman" w:hAnsi="Times New Roman"/>
          <w:sz w:val="24"/>
          <w:szCs w:val="24"/>
        </w:rPr>
        <w:t xml:space="preserve">the </w:t>
      </w:r>
      <w:r w:rsidRPr="00C37DC7">
        <w:rPr>
          <w:rFonts w:ascii="Times New Roman" w:hAnsi="Times New Roman"/>
          <w:sz w:val="24"/>
          <w:szCs w:val="24"/>
        </w:rPr>
        <w:t>Counter-Party whether or not any material deficiencies were noted.  If material deficiencies exist, ERCOT may, in its sole discretion, establish in consultation with the Counter-Party, a remediation plan for any deficiencies.  The remediation period allowed for specific deficiencies should be consistent with the severity of those deficiencies and may have incremental deadlines.  The total remediation period will not exceed 90 days</w:t>
      </w:r>
      <w:r>
        <w:rPr>
          <w:rFonts w:ascii="Times New Roman" w:hAnsi="Times New Roman"/>
          <w:sz w:val="24"/>
          <w:szCs w:val="24"/>
        </w:rPr>
        <w:t>, unless extended, at ERCOT’s sole discretion, on a case-by-case basis</w:t>
      </w:r>
      <w:r w:rsidRPr="00C37DC7">
        <w:rPr>
          <w:rFonts w:ascii="Times New Roman" w:hAnsi="Times New Roman"/>
          <w:sz w:val="24"/>
          <w:szCs w:val="24"/>
        </w:rPr>
        <w:t xml:space="preserve">.    </w:t>
      </w:r>
    </w:p>
    <w:p w14:paraId="658D28CE" w14:textId="6A5A0198" w:rsidR="00770ABB" w:rsidRDefault="00770ABB" w:rsidP="00770ABB">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lastRenderedPageBreak/>
        <w:t>(</w:t>
      </w:r>
      <w:r w:rsidR="00554675">
        <w:rPr>
          <w:rFonts w:ascii="Times New Roman" w:hAnsi="Times New Roman"/>
          <w:sz w:val="24"/>
          <w:szCs w:val="24"/>
        </w:rPr>
        <w:t>9</w:t>
      </w:r>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Risk management deficiencies remaining beyond the ERCOT-defined remediation periods constitute a material </w:t>
      </w:r>
      <w:r>
        <w:rPr>
          <w:rFonts w:ascii="Times New Roman" w:hAnsi="Times New Roman"/>
          <w:sz w:val="24"/>
          <w:szCs w:val="24"/>
        </w:rPr>
        <w:t>b</w:t>
      </w:r>
      <w:r w:rsidRPr="00C37DC7">
        <w:rPr>
          <w:rFonts w:ascii="Times New Roman" w:hAnsi="Times New Roman"/>
          <w:sz w:val="24"/>
          <w:szCs w:val="24"/>
        </w:rPr>
        <w:t>reach under the Counter-Party’s Standard Form Market Participant Agreement</w:t>
      </w:r>
      <w:r>
        <w:rPr>
          <w:rFonts w:ascii="Times New Roman" w:hAnsi="Times New Roman"/>
          <w:sz w:val="24"/>
          <w:szCs w:val="24"/>
        </w:rPr>
        <w:t xml:space="preserve"> as provided for in Section 22, Attachment A, Standard Form Market Participant Agreement</w:t>
      </w:r>
      <w:r w:rsidRPr="00C37DC7">
        <w:rPr>
          <w:rFonts w:ascii="Times New Roman" w:hAnsi="Times New Roman"/>
          <w:sz w:val="24"/>
          <w:szCs w:val="24"/>
        </w:rPr>
        <w:t xml:space="preserve">.  Upon a material </w:t>
      </w:r>
      <w:r>
        <w:rPr>
          <w:rFonts w:ascii="Times New Roman" w:hAnsi="Times New Roman"/>
          <w:sz w:val="24"/>
          <w:szCs w:val="24"/>
        </w:rPr>
        <w:t>b</w:t>
      </w:r>
      <w:r w:rsidRPr="00C37DC7">
        <w:rPr>
          <w:rFonts w:ascii="Times New Roman" w:hAnsi="Times New Roman"/>
          <w:sz w:val="24"/>
          <w:szCs w:val="24"/>
        </w:rPr>
        <w:t>reach, ERCOT may, in addition to any other rights or remedies ERCOT has under any agreement, these Protocols or at common law, suspend any or all future activities in the ERCOT market, pending remediation of deficiencies.</w:t>
      </w:r>
      <w:r>
        <w:rPr>
          <w:rFonts w:ascii="Times New Roman" w:hAnsi="Times New Roman"/>
          <w:sz w:val="24"/>
          <w:szCs w:val="24"/>
        </w:rPr>
        <w:t xml:space="preserve">  An action by ERCOT to suspend activities in the ERCOT market is subject to the provisions of Section 20, Alternative Dispute Resolution Process.  </w:t>
      </w:r>
    </w:p>
    <w:p w14:paraId="736360E4" w14:textId="19FC1A3C" w:rsidR="00770ABB" w:rsidRDefault="00770ABB" w:rsidP="00770ABB">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r w:rsidR="00554675">
        <w:rPr>
          <w:rFonts w:ascii="Times New Roman" w:hAnsi="Times New Roman"/>
          <w:sz w:val="24"/>
          <w:szCs w:val="24"/>
        </w:rPr>
        <w:t>10</w:t>
      </w:r>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Participation in ERCOT markets is contingent on verification by </w:t>
      </w:r>
      <w:r w:rsidRPr="00431601">
        <w:rPr>
          <w:rFonts w:ascii="Times New Roman" w:hAnsi="Times New Roman"/>
          <w:sz w:val="24"/>
          <w:szCs w:val="24"/>
        </w:rPr>
        <w:t xml:space="preserve">ERCOT, or by a third party acting on ERCOT’s behalf, that the proposed measures have been implemented.  </w:t>
      </w:r>
    </w:p>
    <w:p w14:paraId="468906E9" w14:textId="7787267E" w:rsidR="00770ABB" w:rsidRDefault="00770ABB" w:rsidP="00770ABB">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(1</w:t>
      </w:r>
      <w:r w:rsidR="00554675">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ab/>
      </w:r>
      <w:r w:rsidRPr="00431601">
        <w:rPr>
          <w:rFonts w:ascii="Times New Roman" w:hAnsi="Times New Roman"/>
          <w:sz w:val="24"/>
          <w:szCs w:val="24"/>
        </w:rPr>
        <w:t>If a Counter-Party provides evidence that its risk management framework has been deemed sufficient for transacting in another R</w:t>
      </w:r>
      <w:r>
        <w:rPr>
          <w:rFonts w:ascii="Times New Roman" w:hAnsi="Times New Roman"/>
          <w:sz w:val="24"/>
          <w:szCs w:val="24"/>
        </w:rPr>
        <w:t xml:space="preserve">egional </w:t>
      </w:r>
      <w:r w:rsidRPr="00431601">
        <w:rPr>
          <w:rFonts w:ascii="Times New Roman" w:hAnsi="Times New Roman"/>
          <w:sz w:val="24"/>
          <w:szCs w:val="24"/>
        </w:rPr>
        <w:t>T</w:t>
      </w:r>
      <w:r>
        <w:rPr>
          <w:rFonts w:ascii="Times New Roman" w:hAnsi="Times New Roman"/>
          <w:sz w:val="24"/>
          <w:szCs w:val="24"/>
        </w:rPr>
        <w:t xml:space="preserve">ransmission </w:t>
      </w:r>
      <w:r w:rsidRPr="00431601">
        <w:rPr>
          <w:rFonts w:ascii="Times New Roman" w:hAnsi="Times New Roman"/>
          <w:sz w:val="24"/>
          <w:szCs w:val="24"/>
        </w:rPr>
        <w:t>O</w:t>
      </w:r>
      <w:r>
        <w:rPr>
          <w:rFonts w:ascii="Times New Roman" w:hAnsi="Times New Roman"/>
          <w:sz w:val="24"/>
          <w:szCs w:val="24"/>
        </w:rPr>
        <w:t>perator</w:t>
      </w:r>
      <w:r w:rsidRPr="00431601">
        <w:rPr>
          <w:rFonts w:ascii="Times New Roman" w:hAnsi="Times New Roman"/>
          <w:sz w:val="24"/>
          <w:szCs w:val="24"/>
        </w:rPr>
        <w:t>/I</w:t>
      </w:r>
      <w:r>
        <w:rPr>
          <w:rFonts w:ascii="Times New Roman" w:hAnsi="Times New Roman"/>
          <w:sz w:val="24"/>
          <w:szCs w:val="24"/>
        </w:rPr>
        <w:t xml:space="preserve">ndependent </w:t>
      </w:r>
      <w:r w:rsidRPr="00431601">
        <w:rPr>
          <w:rFonts w:ascii="Times New Roman" w:hAnsi="Times New Roman"/>
          <w:sz w:val="24"/>
          <w:szCs w:val="24"/>
        </w:rPr>
        <w:t>S</w:t>
      </w:r>
      <w:r>
        <w:rPr>
          <w:rFonts w:ascii="Times New Roman" w:hAnsi="Times New Roman"/>
          <w:sz w:val="24"/>
          <w:szCs w:val="24"/>
        </w:rPr>
        <w:t xml:space="preserve">ystem </w:t>
      </w:r>
      <w:r w:rsidRPr="00431601">
        <w:rPr>
          <w:rFonts w:ascii="Times New Roman" w:hAnsi="Times New Roman"/>
          <w:sz w:val="24"/>
          <w:szCs w:val="24"/>
        </w:rPr>
        <w:t>O</w:t>
      </w:r>
      <w:r>
        <w:rPr>
          <w:rFonts w:ascii="Times New Roman" w:hAnsi="Times New Roman"/>
          <w:sz w:val="24"/>
          <w:szCs w:val="24"/>
        </w:rPr>
        <w:t>perator</w:t>
      </w:r>
      <w:r w:rsidRPr="00431601">
        <w:rPr>
          <w:rFonts w:ascii="Times New Roman" w:hAnsi="Times New Roman"/>
          <w:sz w:val="24"/>
          <w:szCs w:val="24"/>
        </w:rPr>
        <w:t xml:space="preserve"> market</w:t>
      </w:r>
      <w:r>
        <w:rPr>
          <w:rFonts w:ascii="Times New Roman" w:hAnsi="Times New Roman"/>
          <w:sz w:val="24"/>
          <w:szCs w:val="24"/>
        </w:rPr>
        <w:t xml:space="preserve"> in the United States</w:t>
      </w:r>
      <w:r w:rsidRPr="00431601">
        <w:rPr>
          <w:rFonts w:ascii="Times New Roman" w:hAnsi="Times New Roman"/>
          <w:sz w:val="24"/>
          <w:szCs w:val="24"/>
        </w:rPr>
        <w:t xml:space="preserve">, ERCOT may </w:t>
      </w:r>
      <w:r>
        <w:rPr>
          <w:rFonts w:ascii="Times New Roman" w:hAnsi="Times New Roman"/>
          <w:sz w:val="24"/>
          <w:szCs w:val="24"/>
        </w:rPr>
        <w:t xml:space="preserve">elect to forego </w:t>
      </w:r>
      <w:r w:rsidRPr="00431601">
        <w:rPr>
          <w:rFonts w:ascii="Times New Roman" w:hAnsi="Times New Roman"/>
          <w:sz w:val="24"/>
          <w:szCs w:val="24"/>
        </w:rPr>
        <w:t>verification processes</w:t>
      </w:r>
      <w:r>
        <w:rPr>
          <w:rFonts w:ascii="Times New Roman" w:hAnsi="Times New Roman"/>
          <w:sz w:val="24"/>
          <w:szCs w:val="24"/>
        </w:rPr>
        <w:t>.</w:t>
      </w:r>
    </w:p>
    <w:p w14:paraId="11DAEAB2" w14:textId="16DCA08B" w:rsidR="00770ABB" w:rsidRDefault="00770ABB" w:rsidP="00770ABB">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(1</w:t>
      </w:r>
      <w:r w:rsidR="00554675">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ab/>
        <w:t xml:space="preserve">In conjunction with providing its annual certificate, if a Counter-Party certifies that there has been no material change in its risk management capabilities since the framework was last verified, ERCOT may elect to forego verification.  ERCOT may not forego verification more than once in any </w:t>
      </w:r>
      <w:r w:rsidR="005839D0">
        <w:rPr>
          <w:rFonts w:ascii="Times New Roman" w:hAnsi="Times New Roman"/>
          <w:sz w:val="24"/>
          <w:szCs w:val="24"/>
        </w:rPr>
        <w:t>24-</w:t>
      </w:r>
      <w:r>
        <w:rPr>
          <w:rFonts w:ascii="Times New Roman" w:hAnsi="Times New Roman"/>
          <w:sz w:val="24"/>
          <w:szCs w:val="24"/>
        </w:rPr>
        <w:t>month period.</w:t>
      </w:r>
    </w:p>
    <w:p w14:paraId="166A5E2C" w14:textId="203F7473" w:rsidR="00233DE1" w:rsidRPr="00233DE1" w:rsidRDefault="00233DE1" w:rsidP="00233DE1">
      <w:pPr>
        <w:pStyle w:val="H2"/>
        <w:ind w:left="907" w:hanging="907"/>
        <w:rPr>
          <w:szCs w:val="24"/>
          <w:lang w:val="en-US" w:eastAsia="en-US"/>
        </w:rPr>
      </w:pPr>
      <w:bookmarkStart w:id="765" w:name="_Toc175159206"/>
      <w:r w:rsidRPr="00233DE1">
        <w:rPr>
          <w:szCs w:val="24"/>
          <w:lang w:val="en-US" w:eastAsia="en-US"/>
        </w:rPr>
        <w:t>16.17</w:t>
      </w:r>
      <w:r w:rsidRPr="00233DE1">
        <w:rPr>
          <w:szCs w:val="24"/>
          <w:lang w:val="en-US" w:eastAsia="en-US"/>
        </w:rPr>
        <w:tab/>
        <w:t>Exemption for Qualified Scheduling Entities Participating Only in Emergency Response Service</w:t>
      </w:r>
      <w:bookmarkEnd w:id="765"/>
    </w:p>
    <w:p w14:paraId="09AB779C" w14:textId="77777777" w:rsidR="00233DE1" w:rsidRPr="00233DE1" w:rsidRDefault="00233DE1" w:rsidP="00233DE1">
      <w:pPr>
        <w:pStyle w:val="BodyTextNumbered"/>
        <w:rPr>
          <w:szCs w:val="24"/>
        </w:rPr>
      </w:pPr>
      <w:r w:rsidRPr="00233DE1">
        <w:rPr>
          <w:szCs w:val="24"/>
        </w:rPr>
        <w:t>(1)</w:t>
      </w:r>
      <w:r w:rsidRPr="00233DE1">
        <w:rPr>
          <w:szCs w:val="24"/>
        </w:rPr>
        <w:tab/>
        <w:t xml:space="preserve">A Qualified Scheduling Entity (QSE) that is not also registered as a Congestion Revenue Rights (CRR) Account Holder, that does not participate in the Day-Ahead Market (DAM) or Real-Time Market (RTM), that represents only Emergency Response Service (ERS) Resources, and whose Total Potential Exposure (TPE) (as calculated in Section 16.11.4.1, Determination of Total Potential Exposure for a Counter-Party) is zero may request designation as an ERS-only QSE.  </w:t>
      </w:r>
    </w:p>
    <w:p w14:paraId="121842F0" w14:textId="77777777" w:rsidR="00233DE1" w:rsidRPr="00233DE1" w:rsidRDefault="00233DE1" w:rsidP="00233DE1">
      <w:pPr>
        <w:pStyle w:val="BodyTextNumbered"/>
        <w:rPr>
          <w:szCs w:val="24"/>
        </w:rPr>
      </w:pPr>
      <w:r w:rsidRPr="00233DE1">
        <w:rPr>
          <w:szCs w:val="24"/>
        </w:rPr>
        <w:t>(2)</w:t>
      </w:r>
      <w:r w:rsidRPr="00233DE1">
        <w:rPr>
          <w:szCs w:val="24"/>
        </w:rPr>
        <w:tab/>
        <w:t xml:space="preserve">A QSE must submit a written request for designation as an ERS-only QSE at least five Business Days before the desired effective date of the designation.  </w:t>
      </w:r>
    </w:p>
    <w:p w14:paraId="47CCAB8E" w14:textId="77777777" w:rsidR="00233DE1" w:rsidRPr="00233DE1" w:rsidRDefault="00233DE1" w:rsidP="00233DE1">
      <w:pPr>
        <w:pStyle w:val="BodyTextNumbered"/>
        <w:rPr>
          <w:szCs w:val="24"/>
        </w:rPr>
      </w:pPr>
      <w:r w:rsidRPr="00233DE1">
        <w:rPr>
          <w:szCs w:val="24"/>
        </w:rPr>
        <w:t>(3)</w:t>
      </w:r>
      <w:r w:rsidRPr="00233DE1">
        <w:rPr>
          <w:szCs w:val="24"/>
        </w:rPr>
        <w:tab/>
        <w:t>Upon determining that the QSE has addressed all financial risk to ERCOT’s satisfaction, ERCOT shall designate the QSE as an ERS-only QSE, and shall notify the QSE of that designation in writing.</w:t>
      </w:r>
    </w:p>
    <w:p w14:paraId="11DE5389" w14:textId="77777777" w:rsidR="00233DE1" w:rsidRPr="00233DE1" w:rsidRDefault="00233DE1" w:rsidP="00233DE1">
      <w:pPr>
        <w:pStyle w:val="BodyTextNumbered"/>
        <w:rPr>
          <w:szCs w:val="24"/>
        </w:rPr>
      </w:pPr>
      <w:r w:rsidRPr="00233DE1">
        <w:rPr>
          <w:szCs w:val="24"/>
        </w:rPr>
        <w:t>(4)</w:t>
      </w:r>
      <w:r w:rsidRPr="00233DE1">
        <w:rPr>
          <w:szCs w:val="24"/>
        </w:rPr>
        <w:tab/>
        <w:t xml:space="preserve">Except as provided in paragraph (5) below, an ERS-only QSE is exempt from the following requirements: </w:t>
      </w:r>
    </w:p>
    <w:p w14:paraId="1937664B" w14:textId="77777777" w:rsidR="00233DE1" w:rsidRPr="00233DE1" w:rsidRDefault="00233DE1" w:rsidP="00233DE1">
      <w:pPr>
        <w:pStyle w:val="List"/>
        <w:rPr>
          <w:szCs w:val="24"/>
        </w:rPr>
      </w:pPr>
      <w:r w:rsidRPr="00233DE1">
        <w:rPr>
          <w:szCs w:val="24"/>
        </w:rPr>
        <w:t>(a)</w:t>
      </w:r>
      <w:r w:rsidRPr="00233DE1">
        <w:rPr>
          <w:szCs w:val="24"/>
        </w:rPr>
        <w:tab/>
        <w:t>The requirement to maintain sufficient collateral under Sections 16.11.1, ERCOT Creditworthiness Requirements for Counter-Parties, and 16.11.5, Monitoring of a Counter-Party’s Creditworthiness and Credit Exposure by ERCOT;</w:t>
      </w:r>
    </w:p>
    <w:p w14:paraId="7D5C1592" w14:textId="77777777" w:rsidR="00233DE1" w:rsidRPr="00233DE1" w:rsidRDefault="00233DE1" w:rsidP="00233DE1">
      <w:pPr>
        <w:pStyle w:val="List"/>
        <w:rPr>
          <w:szCs w:val="24"/>
        </w:rPr>
      </w:pPr>
      <w:r w:rsidRPr="00233DE1">
        <w:rPr>
          <w:szCs w:val="24"/>
        </w:rPr>
        <w:lastRenderedPageBreak/>
        <w:t>(b)</w:t>
      </w:r>
      <w:r w:rsidRPr="00233DE1">
        <w:rPr>
          <w:szCs w:val="24"/>
        </w:rPr>
        <w:tab/>
        <w:t>The requirement to submit financial statements and any notice of material changes under paragraph (1) of Section 16.11.5; and</w:t>
      </w:r>
    </w:p>
    <w:p w14:paraId="50B4896F" w14:textId="77777777" w:rsidR="00233DE1" w:rsidRPr="00233DE1" w:rsidRDefault="00233DE1" w:rsidP="00233DE1">
      <w:pPr>
        <w:pStyle w:val="List"/>
        <w:rPr>
          <w:szCs w:val="24"/>
        </w:rPr>
      </w:pPr>
      <w:r w:rsidRPr="00233DE1">
        <w:rPr>
          <w:szCs w:val="24"/>
        </w:rPr>
        <w:t>(c)</w:t>
      </w:r>
      <w:r w:rsidRPr="00233DE1">
        <w:rPr>
          <w:szCs w:val="24"/>
        </w:rPr>
        <w:tab/>
        <w:t>All requirements under Section 16.16, Additional Counter-Party Qualification Requirements.</w:t>
      </w:r>
    </w:p>
    <w:p w14:paraId="390949DB" w14:textId="77777777" w:rsidR="00233DE1" w:rsidRPr="00233DE1" w:rsidRDefault="00233DE1" w:rsidP="00233DE1">
      <w:pPr>
        <w:pStyle w:val="List"/>
        <w:ind w:left="720"/>
        <w:rPr>
          <w:szCs w:val="24"/>
        </w:rPr>
      </w:pPr>
      <w:r w:rsidRPr="00233DE1">
        <w:rPr>
          <w:szCs w:val="24"/>
        </w:rPr>
        <w:t>(5)</w:t>
      </w:r>
      <w:r w:rsidRPr="00233DE1">
        <w:rPr>
          <w:szCs w:val="24"/>
        </w:rPr>
        <w:tab/>
        <w:t>If ERCOT posts an RTM True-Up Statement or RTM Resettlement Statement providing for a resettlement of any ERS Time Period, and as a result of that resettlement alone, ERCOT determines that an ERS-only QSE has a positive TPE as calculated in Section 16.11.4.1, ERCOT will require that QSE to comply with Section 16.11.5, excluding paragraph (1), until its TPE again equals zero.  If the QSE fails to pay when due any payment or Financial Security obligation owed to ERCOT, ERCOT may terminate the QSE’s ERS-only status.</w:t>
      </w:r>
    </w:p>
    <w:p w14:paraId="34632AEE" w14:textId="77777777" w:rsidR="00233DE1" w:rsidRPr="00233DE1" w:rsidRDefault="00233DE1" w:rsidP="00233DE1">
      <w:pPr>
        <w:pStyle w:val="List"/>
        <w:ind w:left="720"/>
        <w:rPr>
          <w:szCs w:val="24"/>
        </w:rPr>
      </w:pPr>
      <w:r w:rsidRPr="00233DE1">
        <w:rPr>
          <w:szCs w:val="24"/>
        </w:rPr>
        <w:t>(6)</w:t>
      </w:r>
      <w:r w:rsidRPr="00233DE1">
        <w:rPr>
          <w:szCs w:val="24"/>
        </w:rPr>
        <w:tab/>
        <w:t>ERCOT shall ensure that its systems prevent participation by ERS-only QSEs in the DAM and RTM.</w:t>
      </w:r>
    </w:p>
    <w:p w14:paraId="5B72B42A" w14:textId="563F1865" w:rsidR="00233DE1" w:rsidRPr="00233DE1" w:rsidRDefault="00233DE1" w:rsidP="00233DE1">
      <w:pPr>
        <w:pStyle w:val="List"/>
        <w:ind w:left="720"/>
        <w:rPr>
          <w:szCs w:val="24"/>
        </w:rPr>
      </w:pPr>
      <w:r w:rsidRPr="00233DE1">
        <w:rPr>
          <w:szCs w:val="24"/>
        </w:rPr>
        <w:t>(7)</w:t>
      </w:r>
      <w:r w:rsidRPr="00233DE1">
        <w:rPr>
          <w:szCs w:val="24"/>
        </w:rPr>
        <w:tab/>
      </w:r>
      <w:r w:rsidR="00B55C27" w:rsidRPr="00233DE1">
        <w:rPr>
          <w:szCs w:val="24"/>
        </w:rPr>
        <w:t>A QSE must request termination of its ERS-only status in writing.  Termination of ERS-only status will be effective only upon ERCOT’s written confirmation that the QSE has satisfied all creditworthiness requirements applicable to QSEs.</w:t>
      </w:r>
    </w:p>
    <w:p w14:paraId="5A76A8F1" w14:textId="105521EC" w:rsidR="00233DE1" w:rsidRPr="00233DE1" w:rsidRDefault="00233DE1" w:rsidP="00D9080F">
      <w:pPr>
        <w:pStyle w:val="ListParagraph"/>
        <w:spacing w:after="240" w:line="240" w:lineRule="auto"/>
        <w:ind w:hanging="720"/>
        <w:contextualSpacing w:val="0"/>
        <w:rPr>
          <w:rFonts w:ascii="Times New Roman" w:hAnsi="Times New Roman"/>
          <w:sz w:val="24"/>
          <w:szCs w:val="24"/>
        </w:rPr>
      </w:pPr>
      <w:r w:rsidRPr="00233DE1">
        <w:rPr>
          <w:rFonts w:ascii="Times New Roman" w:hAnsi="Times New Roman"/>
          <w:sz w:val="24"/>
          <w:szCs w:val="24"/>
        </w:rPr>
        <w:t>(8)</w:t>
      </w:r>
      <w:r w:rsidRPr="00233DE1">
        <w:rPr>
          <w:rFonts w:ascii="Times New Roman" w:hAnsi="Times New Roman"/>
          <w:sz w:val="24"/>
          <w:szCs w:val="24"/>
        </w:rPr>
        <w:tab/>
        <w:t xml:space="preserve">Nothing in this </w:t>
      </w:r>
      <w:r w:rsidR="00A01AC4">
        <w:rPr>
          <w:rFonts w:ascii="Times New Roman" w:hAnsi="Times New Roman"/>
          <w:sz w:val="24"/>
          <w:szCs w:val="24"/>
        </w:rPr>
        <w:t>S</w:t>
      </w:r>
      <w:r w:rsidRPr="00233DE1">
        <w:rPr>
          <w:rFonts w:ascii="Times New Roman" w:hAnsi="Times New Roman"/>
          <w:sz w:val="24"/>
          <w:szCs w:val="24"/>
        </w:rPr>
        <w:t>ection affects an ERS-only QSE’s obligation under paragraph (</w:t>
      </w:r>
      <w:r w:rsidR="000475FE">
        <w:rPr>
          <w:rFonts w:ascii="Times New Roman" w:hAnsi="Times New Roman"/>
          <w:sz w:val="24"/>
          <w:szCs w:val="24"/>
        </w:rPr>
        <w:t>6</w:t>
      </w:r>
      <w:r w:rsidRPr="00233DE1">
        <w:rPr>
          <w:rFonts w:ascii="Times New Roman" w:hAnsi="Times New Roman"/>
          <w:sz w:val="24"/>
          <w:szCs w:val="24"/>
        </w:rPr>
        <w:t>) of Section 16.2.1, Criteria for Qualification as a Qualified Scheduling Entity, to provide ERCOT notice of any material change that could adversely affect the reliability or safety of the ERCOT System.  Additionally, ERCOT may at any time require any ERS-only QSE to demonstrate that its risk management policies and practices are sufficient to ensure that it will be capable of meeting its ERS performance requirements during any ERS Standard Contract Term for which it has submitted an offer or for which it is committed to provide ERS.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3B7BC8" w14:paraId="34E8D6EF" w14:textId="77777777" w:rsidTr="005716FA">
        <w:tc>
          <w:tcPr>
            <w:tcW w:w="9332" w:type="dxa"/>
            <w:shd w:val="pct12" w:color="auto" w:fill="auto"/>
          </w:tcPr>
          <w:p w14:paraId="153BFECB" w14:textId="22591FFA" w:rsidR="003B7BC8" w:rsidRPr="0002450E" w:rsidRDefault="003B7BC8" w:rsidP="001D1B26">
            <w:pPr>
              <w:pStyle w:val="Instructions"/>
              <w:spacing w:before="120"/>
              <w:rPr>
                <w:iCs/>
              </w:rPr>
            </w:pPr>
            <w:r w:rsidRPr="0002450E">
              <w:rPr>
                <w:iCs/>
              </w:rPr>
              <w:t>[NPRR</w:t>
            </w:r>
            <w:r>
              <w:rPr>
                <w:iCs/>
              </w:rPr>
              <w:t>857</w:t>
            </w:r>
            <w:r w:rsidRPr="0002450E">
              <w:rPr>
                <w:iCs/>
              </w:rPr>
              <w:t xml:space="preserve">:  </w:t>
            </w:r>
            <w:r>
              <w:rPr>
                <w:iCs/>
              </w:rPr>
              <w:t>Insert Section 16.18 below</w:t>
            </w:r>
            <w:r w:rsidRPr="0002450E">
              <w:rPr>
                <w:iCs/>
              </w:rPr>
              <w:t xml:space="preserve"> upon system implementation</w:t>
            </w:r>
            <w:r w:rsidR="00D611BB">
              <w:rPr>
                <w:iCs/>
              </w:rPr>
              <w:t xml:space="preserve"> </w:t>
            </w:r>
            <w:r w:rsidR="002C3748">
              <w:rPr>
                <w:iCs/>
              </w:rPr>
              <w:t xml:space="preserve">and </w:t>
            </w:r>
            <w:r w:rsidR="002C3748" w:rsidRPr="00060F77">
              <w:rPr>
                <w:iCs/>
              </w:rPr>
              <w:t xml:space="preserve">satisfying the following conditions: </w:t>
            </w:r>
            <w:r w:rsidR="002C3748">
              <w:rPr>
                <w:iCs/>
              </w:rPr>
              <w:t xml:space="preserve"> </w:t>
            </w:r>
            <w:r w:rsidR="002C3748" w:rsidRPr="00060F77">
              <w:rPr>
                <w:iCs/>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2C3748">
              <w:rPr>
                <w:iCs/>
              </w:rPr>
              <w:t xml:space="preserve">; </w:t>
            </w:r>
            <w:r w:rsidR="00D611BB">
              <w:rPr>
                <w:iCs/>
              </w:rPr>
              <w:t>and renumber accordingly</w:t>
            </w:r>
            <w:r w:rsidRPr="0002450E">
              <w:rPr>
                <w:iCs/>
              </w:rPr>
              <w:t xml:space="preserve">:] </w:t>
            </w:r>
          </w:p>
          <w:p w14:paraId="39AA7209" w14:textId="77777777" w:rsidR="003B7BC8" w:rsidRPr="00E55E72" w:rsidRDefault="003B7BC8" w:rsidP="003B7BC8">
            <w:pPr>
              <w:keepNext/>
              <w:tabs>
                <w:tab w:val="left" w:pos="900"/>
              </w:tabs>
              <w:spacing w:before="240" w:after="240"/>
              <w:ind w:left="900" w:hanging="900"/>
              <w:outlineLvl w:val="1"/>
              <w:rPr>
                <w:b/>
              </w:rPr>
            </w:pPr>
            <w:bookmarkStart w:id="766" w:name="_Toc10024122"/>
            <w:bookmarkStart w:id="767" w:name="_Toc11053083"/>
            <w:bookmarkStart w:id="768" w:name="_Toc34728550"/>
            <w:bookmarkStart w:id="769" w:name="_Toc44403983"/>
            <w:bookmarkStart w:id="770" w:name="_Toc54882179"/>
            <w:bookmarkStart w:id="771" w:name="_Toc54882284"/>
            <w:bookmarkStart w:id="772" w:name="_Toc85094726"/>
            <w:bookmarkStart w:id="773" w:name="_Toc91061042"/>
            <w:bookmarkStart w:id="774" w:name="_Toc134442892"/>
            <w:bookmarkStart w:id="775" w:name="_Toc146274833"/>
            <w:bookmarkStart w:id="776" w:name="_Toc175159207"/>
            <w:r w:rsidRPr="00E55E72">
              <w:rPr>
                <w:b/>
              </w:rPr>
              <w:t>16.1</w:t>
            </w:r>
            <w:r>
              <w:rPr>
                <w:b/>
              </w:rPr>
              <w:t>8</w:t>
            </w:r>
            <w:r w:rsidRPr="003B7BC8">
              <w:rPr>
                <w:b/>
              </w:rPr>
              <w:tab/>
            </w:r>
            <w:r w:rsidRPr="00E55E72">
              <w:rPr>
                <w:b/>
              </w:rPr>
              <w:t>Registration of a Direct Current Tie Operator</w:t>
            </w:r>
            <w:bookmarkEnd w:id="766"/>
            <w:bookmarkEnd w:id="767"/>
            <w:bookmarkEnd w:id="768"/>
            <w:bookmarkEnd w:id="769"/>
            <w:bookmarkEnd w:id="770"/>
            <w:bookmarkEnd w:id="771"/>
            <w:bookmarkEnd w:id="772"/>
            <w:bookmarkEnd w:id="773"/>
            <w:bookmarkEnd w:id="774"/>
            <w:bookmarkEnd w:id="775"/>
            <w:bookmarkEnd w:id="776"/>
          </w:p>
          <w:p w14:paraId="5AE59743" w14:textId="77777777" w:rsidR="003B7BC8" w:rsidRPr="008C7774" w:rsidRDefault="003B7BC8" w:rsidP="003B7BC8">
            <w:pPr>
              <w:spacing w:after="240"/>
              <w:ind w:left="720" w:hanging="720"/>
            </w:pPr>
            <w:r w:rsidRPr="00E55E72">
              <w:t>(1)</w:t>
            </w:r>
            <w:r w:rsidRPr="00E55E72">
              <w:tab/>
              <w:t xml:space="preserve">Each Entity that operates a Direct Current Tie </w:t>
            </w:r>
            <w:r>
              <w:t xml:space="preserve">(DC Tie) </w:t>
            </w:r>
            <w:r w:rsidRPr="00E55E72">
              <w:t xml:space="preserve">shall register as a Direct Current Tie Operator (DCTO) with ERCOT.  To register as a DCTO, an Entity must execute a Standard Form Market Participant Agreement (using the form provided in Section 22, Attachment A, Standard Form Market Participant Agreement), designate a DCTO Authorized Representative and contacts, confirm </w:t>
            </w:r>
            <w:r>
              <w:t>that it is either registered with ERCOT as a Transmission Service Provider (TSP) that is subject</w:t>
            </w:r>
            <w:r w:rsidRPr="00E55E72">
              <w:t xml:space="preserve"> to a Public Utility </w:t>
            </w:r>
            <w:r w:rsidRPr="00E55E72">
              <w:lastRenderedPageBreak/>
              <w:t>Commission of Texas (PUCT)-approved code of conduct or</w:t>
            </w:r>
            <w:r>
              <w:t xml:space="preserve"> is subject to</w:t>
            </w:r>
            <w:r w:rsidRPr="00E55E72">
              <w:t xml:space="preserve"> Federal Energy Regulatory Commission (FERC)-approved standards of conduct, and be capable of performing the functions of a DCTO, as applicable, as described in these Protocols.</w:t>
            </w:r>
          </w:p>
        </w:tc>
      </w:tr>
    </w:tbl>
    <w:p w14:paraId="7D0BC41E" w14:textId="7038486D" w:rsidR="005716FA" w:rsidRPr="009A08C4" w:rsidRDefault="005716FA" w:rsidP="00D611BB">
      <w:pPr>
        <w:pStyle w:val="H2"/>
        <w:spacing w:before="480"/>
      </w:pPr>
      <w:bookmarkStart w:id="777" w:name="_Toc70591679"/>
      <w:bookmarkStart w:id="778" w:name="_Toc148960916"/>
      <w:bookmarkStart w:id="779" w:name="_Toc175159208"/>
      <w:r w:rsidRPr="009A08C4">
        <w:lastRenderedPageBreak/>
        <w:t>16.1</w:t>
      </w:r>
      <w:r w:rsidR="00D611BB">
        <w:rPr>
          <w:lang w:val="en-US"/>
        </w:rPr>
        <w:t>8</w:t>
      </w:r>
      <w:r w:rsidRPr="009A08C4">
        <w:tab/>
        <w:t>Cybersecurity Incident Notification</w:t>
      </w:r>
      <w:bookmarkEnd w:id="777"/>
      <w:bookmarkEnd w:id="778"/>
      <w:bookmarkEnd w:id="779"/>
    </w:p>
    <w:p w14:paraId="476FB19A" w14:textId="77777777" w:rsidR="005716FA" w:rsidRDefault="005716FA" w:rsidP="005716FA">
      <w:pPr>
        <w:pStyle w:val="BodyText"/>
        <w:ind w:left="720" w:hanging="720"/>
      </w:pPr>
      <w:r>
        <w:rPr>
          <w:lang w:eastAsia="x-none"/>
        </w:rPr>
        <w:t>(1)</w:t>
      </w:r>
      <w:r>
        <w:rPr>
          <w:lang w:eastAsia="x-none"/>
        </w:rPr>
        <w:tab/>
        <w:t xml:space="preserve">Each Market Participant </w:t>
      </w:r>
      <w:r>
        <w:t>shall designate and maintain a Cybersecurity Contact for communications with ERCOT with respect to Cybersecurity Incidents.  Registered Market Participants shall use the Notice of Change of Information form, as provided for in Section 23, Form E, Notice of Change of Information, to designate a Cybersecurity Contact, and maintain updated Cybersecurity Contact information.</w:t>
      </w:r>
    </w:p>
    <w:p w14:paraId="12236532" w14:textId="77777777" w:rsidR="00067F7E" w:rsidRDefault="00067F7E" w:rsidP="00067F7E">
      <w:pPr>
        <w:pStyle w:val="BodyText"/>
        <w:ind w:left="720" w:hanging="720"/>
      </w:pPr>
      <w:r>
        <w:t>(2)</w:t>
      </w:r>
      <w:r>
        <w:tab/>
        <w:t>As soon as practicable upon determination of a Cybersecurity Incident on a Market Participant’s</w:t>
      </w:r>
      <w:r w:rsidRPr="000C5CB3">
        <w:t xml:space="preserve"> </w:t>
      </w:r>
      <w:r w:rsidRPr="004F3B65">
        <w:t>computer network or system that interfaces with an ERCOT computer network or system</w:t>
      </w:r>
      <w:r>
        <w:t>, the Market Participant shall notify ERCOT</w:t>
      </w:r>
      <w:r w:rsidRPr="004F3B65">
        <w:t xml:space="preserve">. </w:t>
      </w:r>
    </w:p>
    <w:p w14:paraId="72EDE496" w14:textId="5DF1DD16" w:rsidR="00067F7E" w:rsidRDefault="00067F7E" w:rsidP="00067F7E">
      <w:pPr>
        <w:pStyle w:val="BodyText"/>
        <w:ind w:left="720" w:hanging="720"/>
      </w:pPr>
      <w:r>
        <w:t>(3)</w:t>
      </w:r>
      <w:r>
        <w:tab/>
        <w:t xml:space="preserve">For purposes of this section, in the event a Market Participant delegates authority to an agent, the Market Participant shall ensure that the agent is obligated to notify the Market Participant, as soon as practicable, upon the agent’s discovery of a Cybersecurity Incident on the agent’s computer network or system that interfaces with an ERCOT computer network or system. </w:t>
      </w:r>
    </w:p>
    <w:p w14:paraId="2B673BE4" w14:textId="22BB73C7" w:rsidR="00067F7E" w:rsidRDefault="00067F7E" w:rsidP="00067F7E">
      <w:pPr>
        <w:pStyle w:val="BodyText"/>
        <w:ind w:left="720" w:hanging="720"/>
      </w:pPr>
      <w:r>
        <w:t>(4)</w:t>
      </w:r>
      <w:r>
        <w:tab/>
      </w:r>
      <w:r w:rsidRPr="004F3B65">
        <w:t xml:space="preserve">A Market Participant shall notify ERCOT, as soon as practicable, upon </w:t>
      </w:r>
      <w:r>
        <w:t>the agent’s notification to the Market Participant</w:t>
      </w:r>
      <w:r w:rsidRPr="004F3B65">
        <w:t xml:space="preserve"> of a Cybersecurity Incident on </w:t>
      </w:r>
      <w:r>
        <w:t>the</w:t>
      </w:r>
      <w:r w:rsidRPr="004F3B65">
        <w:t xml:space="preserve"> agent’s computer network or system that interfaces with an ERCOT computer network or system for the purpose of transacting with ERCOT on behalf of the Market Participant.</w:t>
      </w:r>
      <w:r>
        <w:t xml:space="preserve">  If a Market Participant’s agent is also registered with ERCOT as a Market Participant, only the agent is required to report a Cybersecurity Incident on its computer network or system that interfaces with an ERCOT computer network or system to ERCOT.  The failure of an agent to notify the Market Participant of a Cybersecurity Incident shall not constitute a violation of this section if the Market Participant can demonstrate that a reporting mandate exists in a contract between the Market Participant and its agent.</w:t>
      </w:r>
    </w:p>
    <w:p w14:paraId="327154CC" w14:textId="77777777" w:rsidR="00067F7E" w:rsidRDefault="00067F7E" w:rsidP="00067F7E">
      <w:pPr>
        <w:pStyle w:val="BodyText"/>
        <w:ind w:left="720" w:hanging="720"/>
        <w:rPr>
          <w:lang w:eastAsia="x-none"/>
        </w:rPr>
      </w:pPr>
      <w:r>
        <w:rPr>
          <w:lang w:eastAsia="x-none"/>
        </w:rPr>
        <w:t>(5)</w:t>
      </w:r>
      <w:r>
        <w:rPr>
          <w:lang w:eastAsia="x-none"/>
        </w:rPr>
        <w:tab/>
        <w:t>In order to notify ERCOT of a Cybersecurity Incident, Market Participants shall submit a Notice of Cybersecurity Incident</w:t>
      </w:r>
      <w:r w:rsidDel="00AC3DDC">
        <w:rPr>
          <w:lang w:eastAsia="x-none"/>
        </w:rPr>
        <w:t xml:space="preserve"> </w:t>
      </w:r>
      <w:r>
        <w:rPr>
          <w:lang w:eastAsia="x-none"/>
        </w:rPr>
        <w:t xml:space="preserve">(Section 23, Form O, Notice of Cybersecurity Incident) to </w:t>
      </w:r>
      <w:hyperlink r:id="rId22" w:history="1">
        <w:r w:rsidRPr="00574AB5">
          <w:rPr>
            <w:rStyle w:val="Hyperlink"/>
            <w:lang w:eastAsia="x-none"/>
          </w:rPr>
          <w:t>NCSI@ercot.com</w:t>
        </w:r>
      </w:hyperlink>
      <w:r>
        <w:rPr>
          <w:lang w:eastAsia="x-none"/>
        </w:rPr>
        <w:t>.  If, as a result of the Cybersecurity Incident, a Market Participant is unable to securely send the Notice of Cybersecurity Incident</w:t>
      </w:r>
      <w:r w:rsidDel="00AC3DDC">
        <w:rPr>
          <w:lang w:eastAsia="x-none"/>
        </w:rPr>
        <w:t xml:space="preserve"> </w:t>
      </w:r>
      <w:r>
        <w:rPr>
          <w:lang w:eastAsia="x-none"/>
        </w:rPr>
        <w:t xml:space="preserve">to ERCOT, the Market Participant shall call the ERCOT HelpDesk </w:t>
      </w:r>
      <w:r w:rsidRPr="006C6BC1">
        <w:rPr>
          <w:lang w:eastAsia="x-none"/>
        </w:rPr>
        <w:t>at (512) 248-6800</w:t>
      </w:r>
      <w:r>
        <w:rPr>
          <w:lang w:eastAsia="x-none"/>
        </w:rPr>
        <w:t xml:space="preserve"> and/or its Client Service Representative to request a secure means for sending the Notice of Cybersecurity Incident to ERCOT.</w:t>
      </w:r>
    </w:p>
    <w:p w14:paraId="40CEEE13" w14:textId="77777777" w:rsidR="00067F7E" w:rsidRDefault="00067F7E" w:rsidP="00067F7E">
      <w:pPr>
        <w:pStyle w:val="BodyText"/>
        <w:ind w:left="1440" w:hanging="720"/>
        <w:rPr>
          <w:lang w:eastAsia="x-none"/>
        </w:rPr>
      </w:pPr>
      <w:r>
        <w:rPr>
          <w:lang w:eastAsia="x-none"/>
        </w:rPr>
        <w:t>(a)</w:t>
      </w:r>
      <w:r>
        <w:rPr>
          <w:lang w:eastAsia="x-none"/>
        </w:rPr>
        <w:tab/>
        <w:t xml:space="preserve">A Market Participant </w:t>
      </w:r>
      <w:r w:rsidRPr="002031AC">
        <w:rPr>
          <w:lang w:eastAsia="x-none"/>
        </w:rPr>
        <w:t xml:space="preserve">may designate a temporary </w:t>
      </w:r>
      <w:r>
        <w:rPr>
          <w:lang w:eastAsia="x-none"/>
        </w:rPr>
        <w:t>cybersecurity c</w:t>
      </w:r>
      <w:r w:rsidRPr="002031AC">
        <w:rPr>
          <w:lang w:eastAsia="x-none"/>
        </w:rPr>
        <w:t xml:space="preserve">ontact for a particular </w:t>
      </w:r>
      <w:r>
        <w:rPr>
          <w:lang w:eastAsia="x-none"/>
        </w:rPr>
        <w:t>Cybersecurity Incident</w:t>
      </w:r>
      <w:r w:rsidDel="00AC3DDC">
        <w:rPr>
          <w:lang w:eastAsia="x-none"/>
        </w:rPr>
        <w:t xml:space="preserve"> </w:t>
      </w:r>
      <w:r w:rsidRPr="002031AC">
        <w:rPr>
          <w:lang w:eastAsia="x-none"/>
        </w:rPr>
        <w:t xml:space="preserve">by </w:t>
      </w:r>
      <w:r>
        <w:rPr>
          <w:lang w:eastAsia="x-none"/>
        </w:rPr>
        <w:t>providing contact information for such individual in the Notice of Cybersecurity Incident form submitted to ERCOT.</w:t>
      </w:r>
      <w:r w:rsidRPr="002031AC">
        <w:rPr>
          <w:lang w:eastAsia="x-none"/>
        </w:rPr>
        <w:t xml:space="preserve"> </w:t>
      </w:r>
      <w:r>
        <w:rPr>
          <w:lang w:eastAsia="x-none"/>
        </w:rPr>
        <w:t xml:space="preserve">Should a Market Participant designate a temporary cybersecurity contact in its </w:t>
      </w:r>
      <w:r>
        <w:rPr>
          <w:lang w:eastAsia="x-none"/>
        </w:rPr>
        <w:lastRenderedPageBreak/>
        <w:t xml:space="preserve">Notice of Cybersecurity Incident, </w:t>
      </w:r>
      <w:r w:rsidRPr="002031AC">
        <w:rPr>
          <w:lang w:eastAsia="x-none"/>
        </w:rPr>
        <w:t xml:space="preserve">ERCOT will direct communications </w:t>
      </w:r>
      <w:r>
        <w:rPr>
          <w:lang w:eastAsia="x-none"/>
        </w:rPr>
        <w:t>concerning that particular Cybersecurity Incident</w:t>
      </w:r>
      <w:r w:rsidDel="00AC3DDC">
        <w:rPr>
          <w:lang w:eastAsia="x-none"/>
        </w:rPr>
        <w:t xml:space="preserve"> </w:t>
      </w:r>
      <w:r>
        <w:rPr>
          <w:lang w:eastAsia="x-none"/>
        </w:rPr>
        <w:t>to the te</w:t>
      </w:r>
      <w:r w:rsidRPr="002031AC">
        <w:rPr>
          <w:lang w:eastAsia="x-none"/>
        </w:rPr>
        <w:t xml:space="preserve">mporary </w:t>
      </w:r>
      <w:r>
        <w:rPr>
          <w:lang w:eastAsia="x-none"/>
        </w:rPr>
        <w:t>cybersecurity c</w:t>
      </w:r>
      <w:r w:rsidRPr="002031AC">
        <w:rPr>
          <w:lang w:eastAsia="x-none"/>
        </w:rPr>
        <w:t>ontact.</w:t>
      </w:r>
    </w:p>
    <w:p w14:paraId="5D90322E" w14:textId="77777777" w:rsidR="00067F7E" w:rsidRDefault="00067F7E" w:rsidP="00067F7E">
      <w:pPr>
        <w:pStyle w:val="BodyText"/>
        <w:ind w:left="1440" w:hanging="720"/>
        <w:rPr>
          <w:lang w:eastAsia="x-none"/>
        </w:rPr>
      </w:pPr>
      <w:r>
        <w:t>(b)</w:t>
      </w:r>
      <w:r>
        <w:tab/>
        <w:t>Following initial notification, Market Participant shall provide ERCOT with updated information concerning the Cybersecurity</w:t>
      </w:r>
      <w:r>
        <w:rPr>
          <w:lang w:eastAsia="x-none"/>
        </w:rPr>
        <w:t xml:space="preserve"> Incident</w:t>
      </w:r>
      <w:r w:rsidDel="00AC3DDC">
        <w:t xml:space="preserve"> </w:t>
      </w:r>
      <w:r>
        <w:t>as it becomes available, and upon ERCOT’s request, until ERCOT provides notice to Market Participant that information regarding the Cybersecurity</w:t>
      </w:r>
      <w:r>
        <w:rPr>
          <w:lang w:eastAsia="x-none"/>
        </w:rPr>
        <w:t xml:space="preserve"> Incident</w:t>
      </w:r>
      <w:r w:rsidDel="00AC3DDC">
        <w:t xml:space="preserve"> </w:t>
      </w:r>
      <w:r>
        <w:t xml:space="preserve">is no longer needed.  To the extent practicable, the </w:t>
      </w:r>
      <w:r>
        <w:rPr>
          <w:lang w:eastAsia="x-none"/>
        </w:rPr>
        <w:t>Notice of Cybersecurity Incident</w:t>
      </w:r>
      <w:r w:rsidDel="00AC3DDC">
        <w:rPr>
          <w:lang w:eastAsia="x-none"/>
        </w:rPr>
        <w:t xml:space="preserve"> </w:t>
      </w:r>
      <w:r>
        <w:rPr>
          <w:lang w:eastAsia="x-none"/>
        </w:rPr>
        <w:t>form shall be used to provide ERCOT with updated information.</w:t>
      </w:r>
    </w:p>
    <w:p w14:paraId="22181D29" w14:textId="0B58E2AA" w:rsidR="00067F7E" w:rsidRDefault="00067F7E" w:rsidP="00067F7E">
      <w:pPr>
        <w:pStyle w:val="BodyText"/>
        <w:ind w:left="720" w:hanging="720"/>
      </w:pPr>
      <w:r w:rsidRPr="00E25D10">
        <w:t>(</w:t>
      </w:r>
      <w:r>
        <w:t>6</w:t>
      </w:r>
      <w:r w:rsidRPr="00E25D10">
        <w:t>)</w:t>
      </w:r>
      <w:r w:rsidRPr="00E25D10">
        <w:tab/>
        <w:t xml:space="preserve">In the event ERCOT determines that a Cybersecurity Incident </w:t>
      </w:r>
      <w:r>
        <w:t>may</w:t>
      </w:r>
      <w:r w:rsidRPr="00E25D10">
        <w:t xml:space="preserve"> </w:t>
      </w:r>
      <w:r>
        <w:t xml:space="preserve">materially </w:t>
      </w:r>
      <w:r w:rsidRPr="00E25D10">
        <w:t xml:space="preserve">impact computer networks or systems of ERCOT and/or Market Participants, ERCOT </w:t>
      </w:r>
      <w:r>
        <w:t>shall</w:t>
      </w:r>
      <w:r w:rsidRPr="00E25D10">
        <w:t xml:space="preserve"> issue a Market </w:t>
      </w:r>
      <w:r w:rsidRPr="0081684A">
        <w:rPr>
          <w:szCs w:val="24"/>
        </w:rPr>
        <w:t xml:space="preserve">Notice to all Market Participants with general information concerning the Cybersecurity Incident.  ERCOT may utilize the information contained in a Notice of </w:t>
      </w:r>
      <w:r w:rsidRPr="007D280D">
        <w:rPr>
          <w:szCs w:val="24"/>
        </w:rPr>
        <w:t xml:space="preserve">Cybersecurity Incident, except that in no event shall the Market Notice contain information identifiable to a specific Market Participant or </w:t>
      </w:r>
      <w:r w:rsidR="00E32319">
        <w:rPr>
          <w:szCs w:val="24"/>
        </w:rPr>
        <w:t xml:space="preserve">ERCOT </w:t>
      </w:r>
      <w:r w:rsidRPr="007D280D">
        <w:rPr>
          <w:szCs w:val="24"/>
        </w:rPr>
        <w:t>Critical Energy Infrastructure Information (</w:t>
      </w:r>
      <w:r w:rsidR="00E32319">
        <w:rPr>
          <w:szCs w:val="24"/>
        </w:rPr>
        <w:t>E</w:t>
      </w:r>
      <w:r w:rsidRPr="007D280D">
        <w:rPr>
          <w:szCs w:val="24"/>
        </w:rPr>
        <w:t>CEII).</w:t>
      </w:r>
    </w:p>
    <w:p w14:paraId="39FD7E6F" w14:textId="77777777" w:rsidR="006C277F" w:rsidRPr="006C277F" w:rsidRDefault="006C277F" w:rsidP="00974AFC">
      <w:pPr>
        <w:pStyle w:val="H2"/>
        <w:rPr>
          <w:b w:val="0"/>
          <w:bCs/>
          <w:snapToGrid w:val="0"/>
        </w:rPr>
      </w:pPr>
      <w:bookmarkStart w:id="780" w:name="_Toc175159209"/>
      <w:r w:rsidRPr="006C277F">
        <w:rPr>
          <w:bCs/>
          <w:snapToGrid w:val="0"/>
        </w:rPr>
        <w:t>16.19</w:t>
      </w:r>
      <w:r w:rsidRPr="006C277F">
        <w:rPr>
          <w:bCs/>
          <w:snapToGrid w:val="0"/>
        </w:rPr>
        <w:tab/>
      </w:r>
      <w:r w:rsidRPr="00974AFC">
        <w:t>Designation</w:t>
      </w:r>
      <w:r w:rsidRPr="006C277F">
        <w:rPr>
          <w:bCs/>
          <w:snapToGrid w:val="0"/>
        </w:rPr>
        <w:t xml:space="preserve"> of Transmission Operators</w:t>
      </w:r>
      <w:bookmarkEnd w:id="780"/>
      <w:r w:rsidRPr="006C277F">
        <w:rPr>
          <w:bCs/>
          <w:snapToGrid w:val="0"/>
        </w:rPr>
        <w:t xml:space="preserve"> </w:t>
      </w:r>
    </w:p>
    <w:p w14:paraId="4CE82F5B" w14:textId="0E564F23" w:rsidR="006C277F" w:rsidRPr="006C277F" w:rsidRDefault="006C277F" w:rsidP="006C277F">
      <w:pPr>
        <w:spacing w:after="240"/>
        <w:ind w:left="720" w:hanging="720"/>
        <w:rPr>
          <w:iCs/>
          <w:color w:val="000000"/>
          <w:szCs w:val="24"/>
        </w:rPr>
      </w:pPr>
      <w:r w:rsidRPr="006C277F">
        <w:rPr>
          <w:iCs/>
          <w:color w:val="000000"/>
          <w:szCs w:val="24"/>
        </w:rPr>
        <w:t>(1)</w:t>
      </w:r>
      <w:r w:rsidRPr="006C277F">
        <w:rPr>
          <w:iCs/>
          <w:color w:val="000000"/>
          <w:szCs w:val="24"/>
        </w:rPr>
        <w:tab/>
        <w:t>Each Transmission Service Provider (TSP) shall either register as a Transmission Operator (TO) or designate one or more other</w:t>
      </w:r>
      <w:r w:rsidR="00087B14" w:rsidRPr="006C277F">
        <w:rPr>
          <w:iCs/>
          <w:color w:val="000000"/>
          <w:szCs w:val="24"/>
        </w:rPr>
        <w:t xml:space="preserve"> </w:t>
      </w:r>
      <w:r w:rsidR="00087B14">
        <w:rPr>
          <w:iCs/>
          <w:color w:val="000000"/>
          <w:szCs w:val="24"/>
        </w:rPr>
        <w:t>Transmission and/or Distribution Service Providers (</w:t>
      </w:r>
      <w:r w:rsidR="00087B14" w:rsidRPr="006C277F">
        <w:rPr>
          <w:iCs/>
          <w:color w:val="000000"/>
          <w:szCs w:val="24"/>
        </w:rPr>
        <w:t>TDSPs</w:t>
      </w:r>
      <w:r w:rsidR="00087B14">
        <w:rPr>
          <w:iCs/>
          <w:color w:val="000000"/>
          <w:szCs w:val="24"/>
        </w:rPr>
        <w:t>)</w:t>
      </w:r>
      <w:r w:rsidR="00087B14" w:rsidRPr="006C277F">
        <w:rPr>
          <w:iCs/>
          <w:color w:val="000000"/>
          <w:szCs w:val="24"/>
        </w:rPr>
        <w:t xml:space="preserve"> </w:t>
      </w:r>
      <w:r w:rsidRPr="006C277F">
        <w:rPr>
          <w:iCs/>
          <w:color w:val="000000"/>
          <w:szCs w:val="24"/>
        </w:rPr>
        <w:t xml:space="preserve">as its TO for each Transmission Facility owned by the TSP.  Each DSP shall either register as a TO or designate another TDSP as its TO.  A TDSP shall designate another Entity as its TO only with the written consent of that other Entity.  </w:t>
      </w:r>
    </w:p>
    <w:p w14:paraId="026D9765" w14:textId="77777777" w:rsidR="006C277F" w:rsidRPr="006C277F" w:rsidRDefault="006C277F" w:rsidP="006C277F">
      <w:pPr>
        <w:spacing w:after="240"/>
        <w:ind w:left="720" w:hanging="720"/>
        <w:rPr>
          <w:iCs/>
          <w:color w:val="000000"/>
          <w:szCs w:val="24"/>
        </w:rPr>
      </w:pPr>
      <w:r w:rsidRPr="006C277F">
        <w:rPr>
          <w:iCs/>
          <w:color w:val="000000"/>
          <w:szCs w:val="24"/>
        </w:rPr>
        <w:t>(2)</w:t>
      </w:r>
      <w:r w:rsidRPr="006C277F">
        <w:rPr>
          <w:iCs/>
          <w:color w:val="000000"/>
          <w:szCs w:val="24"/>
        </w:rPr>
        <w:tab/>
        <w:t xml:space="preserve">A TO shall have full authority to act on behalf of the designating TDSP in the performance of all TO responsibilities provided in the ERCOT Protocols or Other Binding Documents, including effectuating any Load-shed that may be necessary during any Energy Emergency Alert (EEA) event, Under-Frequency Load Shed (UFLS) event, or Under-Voltage Load Shed (UVLS) event.  </w:t>
      </w:r>
    </w:p>
    <w:p w14:paraId="4155AF4B" w14:textId="127CA0CD" w:rsidR="006C277F" w:rsidRPr="006C277F" w:rsidRDefault="006C277F" w:rsidP="006C277F">
      <w:pPr>
        <w:spacing w:after="240"/>
        <w:ind w:left="720" w:hanging="720"/>
        <w:rPr>
          <w:iCs/>
          <w:color w:val="000000"/>
          <w:szCs w:val="24"/>
        </w:rPr>
      </w:pPr>
      <w:r w:rsidRPr="006C277F">
        <w:rPr>
          <w:iCs/>
          <w:color w:val="000000"/>
          <w:szCs w:val="24"/>
        </w:rPr>
        <w:t>(3)</w:t>
      </w:r>
      <w:r w:rsidRPr="006C277F">
        <w:rPr>
          <w:iCs/>
          <w:color w:val="000000"/>
          <w:szCs w:val="24"/>
        </w:rPr>
        <w:tab/>
        <w:t xml:space="preserve">To qualify for designation as a TO, a TDSP shall be connected to the ERCOT Wide Area Network (WAN) and maintain </w:t>
      </w:r>
      <w:r w:rsidR="00747E08" w:rsidRPr="000021D0">
        <w:t>24-hour, seven-day-per-</w:t>
      </w:r>
      <w:r w:rsidR="00747E08">
        <w:t>week</w:t>
      </w:r>
      <w:r w:rsidRPr="006C277F">
        <w:rPr>
          <w:iCs/>
          <w:color w:val="000000"/>
          <w:szCs w:val="24"/>
        </w:rPr>
        <w:t xml:space="preserve"> operations and Hotline communications with ERCOT. </w:t>
      </w:r>
      <w:r w:rsidR="00747E08">
        <w:rPr>
          <w:iCs/>
          <w:color w:val="000000"/>
          <w:szCs w:val="24"/>
        </w:rPr>
        <w:t xml:space="preserve"> </w:t>
      </w:r>
      <w:r w:rsidR="00747E08">
        <w:rPr>
          <w:iCs/>
          <w:color w:val="000000"/>
        </w:rPr>
        <w:t>A TO has a responsibility to answer each TO Hotline call.</w:t>
      </w:r>
    </w:p>
    <w:p w14:paraId="0F32B388" w14:textId="77777777" w:rsidR="006C277F" w:rsidRPr="006C277F" w:rsidRDefault="006C277F" w:rsidP="006C277F">
      <w:pPr>
        <w:spacing w:after="240"/>
        <w:ind w:left="720" w:hanging="720"/>
        <w:rPr>
          <w:iCs/>
          <w:color w:val="000000"/>
          <w:szCs w:val="24"/>
        </w:rPr>
      </w:pPr>
      <w:r w:rsidRPr="006C277F">
        <w:rPr>
          <w:iCs/>
          <w:color w:val="000000"/>
          <w:szCs w:val="24"/>
        </w:rPr>
        <w:t>(4)</w:t>
      </w:r>
      <w:r w:rsidRPr="006C277F">
        <w:rPr>
          <w:iCs/>
          <w:color w:val="000000"/>
          <w:szCs w:val="24"/>
        </w:rPr>
        <w:tab/>
        <w:t xml:space="preserve">A TSP shall enter a TO designation for each Transmission Facility it owns in the Network Operations Model.  Any designation or change to that designation shall be submitted to ERCOT within the time required for submitting physical changes to the Network Operations Model specified in paragraph (3) of Section 3.10.1, Time Line for Network Operations Model Changes.  </w:t>
      </w:r>
      <w:r w:rsidRPr="00087B14">
        <w:rPr>
          <w:szCs w:val="24"/>
        </w:rPr>
        <w:t xml:space="preserve">Any TSP designated as a TO for another TSP’s facilities may unilaterally reject or resign from that designation </w:t>
      </w:r>
      <w:r w:rsidRPr="006C277F">
        <w:rPr>
          <w:iCs/>
          <w:color w:val="000000"/>
          <w:szCs w:val="24"/>
        </w:rPr>
        <w:t xml:space="preserve">by providing written notice to the designating TSP and the TSP shall promptly update the TO designation in the Network Operations Model for the affected Transmission Facility.  </w:t>
      </w:r>
    </w:p>
    <w:p w14:paraId="271E2660" w14:textId="4EE450FC" w:rsidR="006C277F" w:rsidRPr="006C277F" w:rsidRDefault="006C277F" w:rsidP="006C277F">
      <w:pPr>
        <w:spacing w:after="240"/>
        <w:ind w:left="720" w:hanging="720"/>
        <w:rPr>
          <w:iCs/>
          <w:color w:val="000000"/>
          <w:szCs w:val="24"/>
        </w:rPr>
      </w:pPr>
      <w:r w:rsidRPr="006C277F">
        <w:rPr>
          <w:iCs/>
          <w:color w:val="000000"/>
          <w:szCs w:val="24"/>
        </w:rPr>
        <w:lastRenderedPageBreak/>
        <w:t>(5)</w:t>
      </w:r>
      <w:r w:rsidRPr="006C277F">
        <w:rPr>
          <w:iCs/>
          <w:color w:val="000000"/>
          <w:szCs w:val="24"/>
        </w:rPr>
        <w:tab/>
        <w:t xml:space="preserve">ERCOT shall post a Transmission Operator Designation Form on the ERCOT website.  </w:t>
      </w:r>
      <w:r w:rsidR="00087B14" w:rsidRPr="006C277F">
        <w:rPr>
          <w:iCs/>
          <w:color w:val="000000"/>
          <w:szCs w:val="24"/>
        </w:rPr>
        <w:t xml:space="preserve">A </w:t>
      </w:r>
      <w:r w:rsidR="00087B14">
        <w:rPr>
          <w:iCs/>
          <w:color w:val="000000"/>
          <w:szCs w:val="24"/>
        </w:rPr>
        <w:t>Distribution Service Provider (</w:t>
      </w:r>
      <w:r w:rsidR="00087B14" w:rsidRPr="006C277F">
        <w:rPr>
          <w:iCs/>
          <w:color w:val="000000"/>
          <w:szCs w:val="24"/>
        </w:rPr>
        <w:t>DSP</w:t>
      </w:r>
      <w:r w:rsidR="00087B14">
        <w:rPr>
          <w:iCs/>
          <w:color w:val="000000"/>
          <w:szCs w:val="24"/>
        </w:rPr>
        <w:t>)</w:t>
      </w:r>
      <w:r w:rsidR="00087B14" w:rsidRPr="006C277F">
        <w:rPr>
          <w:iCs/>
          <w:color w:val="000000"/>
          <w:szCs w:val="24"/>
        </w:rPr>
        <w:t xml:space="preserve"> </w:t>
      </w:r>
      <w:r w:rsidRPr="006C277F">
        <w:rPr>
          <w:iCs/>
          <w:color w:val="000000"/>
          <w:szCs w:val="24"/>
        </w:rPr>
        <w:t xml:space="preserve">may designate a TO or make any change to its designation, including revoking a TO designation, by properly completing the Transmission Operator Designation Form and submitting it via email to ERCOT with a copy provided to the TDSP designated as TO.  Any such change shall be submitted to ERCOT at least 30 days before the change becomes effective. </w:t>
      </w:r>
      <w:r>
        <w:rPr>
          <w:iCs/>
          <w:color w:val="000000"/>
          <w:szCs w:val="24"/>
        </w:rPr>
        <w:t xml:space="preserve"> </w:t>
      </w:r>
      <w:r w:rsidRPr="006C277F">
        <w:rPr>
          <w:iCs/>
          <w:color w:val="000000"/>
          <w:szCs w:val="24"/>
        </w:rPr>
        <w:t xml:space="preserve">The designation of a TO shall not be effective unless the Transmission Operator Designation Form has been signed by an officer or other Authorized Representative of the designating DSP and the TDSP designated as TO.  </w:t>
      </w:r>
    </w:p>
    <w:p w14:paraId="4AB2ECAB" w14:textId="77777777" w:rsidR="006C277F" w:rsidRPr="006C277F" w:rsidRDefault="006C277F" w:rsidP="006C277F">
      <w:pPr>
        <w:spacing w:after="240"/>
        <w:ind w:left="720" w:hanging="720"/>
        <w:rPr>
          <w:iCs/>
          <w:color w:val="000000"/>
          <w:szCs w:val="24"/>
        </w:rPr>
      </w:pPr>
      <w:r w:rsidRPr="006C277F">
        <w:rPr>
          <w:iCs/>
          <w:color w:val="000000"/>
          <w:szCs w:val="24"/>
        </w:rPr>
        <w:t>(6)</w:t>
      </w:r>
      <w:r w:rsidRPr="006C277F">
        <w:rPr>
          <w:iCs/>
          <w:color w:val="000000"/>
          <w:szCs w:val="24"/>
        </w:rPr>
        <w:tab/>
        <w:t xml:space="preserve">A TO for a DSP may unilaterally resign from a designation as TO by submitting a properly completed Transmission Operator Designation Form to ERCOT reflecting the TO’s resignation of its TO status at least 30 days before the resignation becomes effective.  The resigning TO shall provide simultaneous notice of the resignation to the DSP it represents.   </w:t>
      </w:r>
    </w:p>
    <w:p w14:paraId="4D2E3403" w14:textId="77777777" w:rsidR="006C277F" w:rsidRPr="006C277F" w:rsidRDefault="006C277F" w:rsidP="006C277F">
      <w:pPr>
        <w:spacing w:after="240"/>
        <w:ind w:left="720" w:hanging="720"/>
        <w:rPr>
          <w:iCs/>
          <w:color w:val="000000"/>
          <w:szCs w:val="24"/>
        </w:rPr>
      </w:pPr>
      <w:r w:rsidRPr="006C277F">
        <w:rPr>
          <w:iCs/>
          <w:color w:val="000000"/>
          <w:szCs w:val="24"/>
        </w:rPr>
        <w:t>(7)</w:t>
      </w:r>
      <w:r w:rsidRPr="006C277F">
        <w:rPr>
          <w:iCs/>
          <w:color w:val="000000"/>
          <w:szCs w:val="24"/>
        </w:rPr>
        <w:tab/>
        <w:t xml:space="preserve">On the effective date of a TO’s resignation, the DSP previously represented by the resigning TO shall be deemed its own TO and shall assume all TO responsibilities unless and until it has properly designated another TDSP as its TO.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6C277F" w:rsidRPr="006C277F" w14:paraId="28B6F8D7" w14:textId="77777777" w:rsidTr="006C277F">
        <w:trPr>
          <w:trHeight w:val="476"/>
        </w:trPr>
        <w:tc>
          <w:tcPr>
            <w:tcW w:w="9350" w:type="dxa"/>
            <w:tcBorders>
              <w:top w:val="single" w:sz="4" w:space="0" w:color="auto"/>
              <w:bottom w:val="single" w:sz="4" w:space="0" w:color="auto"/>
            </w:tcBorders>
            <w:shd w:val="clear" w:color="auto" w:fill="E0E0E0"/>
          </w:tcPr>
          <w:p w14:paraId="6A56C7DD" w14:textId="67BB3A5F" w:rsidR="006C277F" w:rsidRPr="006C277F" w:rsidRDefault="006C277F" w:rsidP="006C277F">
            <w:pPr>
              <w:spacing w:before="120" w:after="240"/>
              <w:rPr>
                <w:b/>
                <w:i/>
                <w:iCs/>
                <w:color w:val="000000"/>
                <w:szCs w:val="24"/>
              </w:rPr>
            </w:pPr>
            <w:r w:rsidRPr="006C277F">
              <w:rPr>
                <w:b/>
                <w:i/>
                <w:iCs/>
                <w:color w:val="000000"/>
                <w:szCs w:val="24"/>
              </w:rPr>
              <w:t>[NPRR1045:  Replace Section 16.19 above with the following upon system implementation of NPRR857:]</w:t>
            </w:r>
          </w:p>
          <w:p w14:paraId="1E3E5423" w14:textId="77777777" w:rsidR="006C277F" w:rsidRPr="006C277F" w:rsidRDefault="006C277F" w:rsidP="00974AFC">
            <w:pPr>
              <w:pStyle w:val="H2"/>
              <w:rPr>
                <w:b w:val="0"/>
                <w:bCs/>
                <w:snapToGrid w:val="0"/>
              </w:rPr>
            </w:pPr>
            <w:bookmarkStart w:id="781" w:name="_Toc70591681"/>
            <w:bookmarkStart w:id="782" w:name="_Toc91061045"/>
            <w:bookmarkStart w:id="783" w:name="_Toc134442895"/>
            <w:bookmarkStart w:id="784" w:name="_Toc146274836"/>
            <w:bookmarkStart w:id="785" w:name="_Toc148960918"/>
            <w:bookmarkStart w:id="786" w:name="_Toc175159210"/>
            <w:r w:rsidRPr="006C277F">
              <w:rPr>
                <w:bCs/>
                <w:snapToGrid w:val="0"/>
              </w:rPr>
              <w:t>16.19</w:t>
            </w:r>
            <w:r w:rsidRPr="006C277F">
              <w:rPr>
                <w:bCs/>
                <w:snapToGrid w:val="0"/>
              </w:rPr>
              <w:tab/>
              <w:t>Designation of Transmission Operators</w:t>
            </w:r>
            <w:bookmarkEnd w:id="781"/>
            <w:bookmarkEnd w:id="782"/>
            <w:bookmarkEnd w:id="783"/>
            <w:bookmarkEnd w:id="784"/>
            <w:bookmarkEnd w:id="785"/>
            <w:bookmarkEnd w:id="786"/>
            <w:r w:rsidRPr="006C277F">
              <w:rPr>
                <w:bCs/>
                <w:snapToGrid w:val="0"/>
              </w:rPr>
              <w:t xml:space="preserve"> </w:t>
            </w:r>
          </w:p>
          <w:p w14:paraId="582E8267" w14:textId="2DC9F832" w:rsidR="006C277F" w:rsidRPr="006C277F" w:rsidRDefault="006C277F" w:rsidP="006C277F">
            <w:pPr>
              <w:spacing w:after="240"/>
              <w:ind w:left="720" w:hanging="720"/>
              <w:rPr>
                <w:iCs/>
                <w:color w:val="000000"/>
                <w:szCs w:val="24"/>
              </w:rPr>
            </w:pPr>
            <w:r w:rsidRPr="006C277F">
              <w:rPr>
                <w:iCs/>
                <w:color w:val="000000"/>
                <w:szCs w:val="24"/>
              </w:rPr>
              <w:t>(1)</w:t>
            </w:r>
            <w:r w:rsidRPr="006C277F">
              <w:rPr>
                <w:iCs/>
                <w:color w:val="000000"/>
                <w:szCs w:val="24"/>
              </w:rPr>
              <w:tab/>
              <w:t xml:space="preserve">Each Transmission Service Provider (TSP) </w:t>
            </w:r>
            <w:r w:rsidR="00087B14" w:rsidRPr="006C277F">
              <w:rPr>
                <w:iCs/>
                <w:color w:val="000000"/>
                <w:szCs w:val="24"/>
              </w:rPr>
              <w:t xml:space="preserve">shall either register as a Transmission Operator (TO) or designate one or more other </w:t>
            </w:r>
            <w:r w:rsidR="00087B14">
              <w:rPr>
                <w:iCs/>
                <w:color w:val="000000"/>
                <w:szCs w:val="24"/>
              </w:rPr>
              <w:t>Transmission and/or Distribution Service Providers (</w:t>
            </w:r>
            <w:r w:rsidR="00087B14" w:rsidRPr="006C277F">
              <w:rPr>
                <w:iCs/>
                <w:color w:val="000000"/>
                <w:szCs w:val="24"/>
              </w:rPr>
              <w:t>TDSPs</w:t>
            </w:r>
            <w:r w:rsidR="00087B14">
              <w:rPr>
                <w:iCs/>
                <w:color w:val="000000"/>
                <w:szCs w:val="24"/>
              </w:rPr>
              <w:t>)</w:t>
            </w:r>
            <w:r w:rsidR="00087B14" w:rsidRPr="006C277F">
              <w:rPr>
                <w:iCs/>
                <w:color w:val="000000"/>
                <w:szCs w:val="24"/>
              </w:rPr>
              <w:t xml:space="preserve"> as its TO for each Transmission Facility owned by the TSP.  Each Direct Current Tie Operator (DCTO) shall designate a TDSP as its TO for each DC Tie it operates.  Each </w:t>
            </w:r>
            <w:r w:rsidR="00087B14">
              <w:rPr>
                <w:iCs/>
                <w:color w:val="000000"/>
                <w:szCs w:val="24"/>
              </w:rPr>
              <w:t>Distribution Service Provider (</w:t>
            </w:r>
            <w:r w:rsidR="00087B14" w:rsidRPr="006C277F">
              <w:rPr>
                <w:iCs/>
                <w:color w:val="000000"/>
                <w:szCs w:val="24"/>
              </w:rPr>
              <w:t>DSP</w:t>
            </w:r>
            <w:r w:rsidR="00087B14">
              <w:rPr>
                <w:iCs/>
                <w:color w:val="000000"/>
                <w:szCs w:val="24"/>
              </w:rPr>
              <w:t>)</w:t>
            </w:r>
            <w:r w:rsidR="00087B14" w:rsidRPr="006C277F">
              <w:rPr>
                <w:iCs/>
                <w:color w:val="000000"/>
                <w:szCs w:val="24"/>
              </w:rPr>
              <w:t xml:space="preserve"> shall either register as a TO or designate another TDSP as its TO.  A TDSP or DCTO shall designate another Entity as its TO only with the written consent of that other Entity.  </w:t>
            </w:r>
          </w:p>
          <w:p w14:paraId="0B4D9265" w14:textId="77777777" w:rsidR="006C277F" w:rsidRPr="006C277F" w:rsidRDefault="006C277F" w:rsidP="006C277F">
            <w:pPr>
              <w:spacing w:after="240"/>
              <w:ind w:left="720" w:hanging="720"/>
              <w:rPr>
                <w:iCs/>
                <w:color w:val="000000"/>
                <w:szCs w:val="24"/>
              </w:rPr>
            </w:pPr>
            <w:r w:rsidRPr="006C277F">
              <w:rPr>
                <w:iCs/>
                <w:color w:val="000000"/>
                <w:szCs w:val="24"/>
              </w:rPr>
              <w:t>(2)</w:t>
            </w:r>
            <w:r w:rsidRPr="006C277F">
              <w:rPr>
                <w:iCs/>
                <w:color w:val="000000"/>
                <w:szCs w:val="24"/>
              </w:rPr>
              <w:tab/>
              <w:t xml:space="preserve">A TO shall have full authority to act on behalf of the designating TDSP or DCTO in the performance of all TO responsibilities provided in the ERCOT Protocols or Other Binding Documents, including effectuating any Load-shed that may be necessary during any Energy Emergency Alert (EEA) event, Under-Frequency Load Shed (UFLS) event, or Under-Voltage Load Shed (UVLS) event.  </w:t>
            </w:r>
          </w:p>
          <w:p w14:paraId="39F5F286" w14:textId="5231A2A7" w:rsidR="006C277F" w:rsidRPr="006C277F" w:rsidRDefault="006C277F" w:rsidP="006C277F">
            <w:pPr>
              <w:spacing w:after="240"/>
              <w:ind w:left="720" w:hanging="720"/>
              <w:rPr>
                <w:iCs/>
                <w:color w:val="000000"/>
                <w:szCs w:val="24"/>
              </w:rPr>
            </w:pPr>
            <w:r w:rsidRPr="006C277F">
              <w:rPr>
                <w:iCs/>
                <w:color w:val="000000"/>
                <w:szCs w:val="24"/>
              </w:rPr>
              <w:t>(3)</w:t>
            </w:r>
            <w:r w:rsidRPr="006C277F">
              <w:rPr>
                <w:iCs/>
                <w:color w:val="000000"/>
                <w:szCs w:val="24"/>
              </w:rPr>
              <w:tab/>
              <w:t xml:space="preserve">To qualify for designation as a TO, a TDSP shall be connected to the ERCOT Wide Area Network (WAN) and maintain </w:t>
            </w:r>
            <w:r w:rsidR="00747E08" w:rsidRPr="000021D0">
              <w:t>24-hour, seven-day-per-</w:t>
            </w:r>
            <w:r w:rsidR="00747E08">
              <w:t>week</w:t>
            </w:r>
            <w:r w:rsidRPr="006C277F">
              <w:rPr>
                <w:iCs/>
                <w:color w:val="000000"/>
                <w:szCs w:val="24"/>
              </w:rPr>
              <w:t xml:space="preserve"> operations and Hotline communications with ERCOT.</w:t>
            </w:r>
            <w:r w:rsidR="00747E08">
              <w:rPr>
                <w:iCs/>
                <w:color w:val="000000"/>
              </w:rPr>
              <w:t xml:space="preserve">  A TO has a responsibility to answer each TO Hotline call.</w:t>
            </w:r>
            <w:r w:rsidRPr="006C277F">
              <w:rPr>
                <w:iCs/>
                <w:color w:val="000000"/>
                <w:szCs w:val="24"/>
              </w:rPr>
              <w:t xml:space="preserve"> </w:t>
            </w:r>
          </w:p>
          <w:p w14:paraId="2B65E39C" w14:textId="77777777" w:rsidR="006C277F" w:rsidRPr="006C277F" w:rsidRDefault="006C277F" w:rsidP="006C277F">
            <w:pPr>
              <w:spacing w:after="240"/>
              <w:ind w:left="720" w:hanging="720"/>
              <w:rPr>
                <w:iCs/>
                <w:color w:val="000000"/>
                <w:szCs w:val="24"/>
              </w:rPr>
            </w:pPr>
            <w:r w:rsidRPr="006C277F">
              <w:rPr>
                <w:iCs/>
                <w:color w:val="000000"/>
                <w:szCs w:val="24"/>
              </w:rPr>
              <w:t>(4)</w:t>
            </w:r>
            <w:r w:rsidRPr="006C277F">
              <w:rPr>
                <w:iCs/>
                <w:color w:val="000000"/>
                <w:szCs w:val="24"/>
              </w:rPr>
              <w:tab/>
              <w:t xml:space="preserve">A TSP or DCTO shall enter a TO designation for each Transmission Facility it owns in the Network Operations Model.  Any designation or change to that designation shall be </w:t>
            </w:r>
            <w:r w:rsidRPr="006C277F">
              <w:rPr>
                <w:iCs/>
                <w:color w:val="000000"/>
                <w:szCs w:val="24"/>
              </w:rPr>
              <w:lastRenderedPageBreak/>
              <w:t xml:space="preserve">submitted to ERCOT within the time required for submitting physical changes to the Network Operations Model specified in paragraph (3) of Section 3.10.1, Time Line for Network Operations Model Changes.  </w:t>
            </w:r>
            <w:r w:rsidRPr="00087B14">
              <w:rPr>
                <w:szCs w:val="24"/>
              </w:rPr>
              <w:t xml:space="preserve">Any TSP designated as a TO for another TSP or DCTO’s facilities may unilaterally reject or resign from that designation </w:t>
            </w:r>
            <w:r w:rsidRPr="006C277F">
              <w:rPr>
                <w:iCs/>
                <w:color w:val="000000"/>
                <w:szCs w:val="24"/>
              </w:rPr>
              <w:t xml:space="preserve">by providing written notice to the designating TSP and the TSP shall promptly update the TO designation in the Network Operations Model for the affected Transmission Facility.  </w:t>
            </w:r>
          </w:p>
          <w:p w14:paraId="7ED9A4D8" w14:textId="55991B82" w:rsidR="006C277F" w:rsidRPr="006C277F" w:rsidRDefault="006C277F" w:rsidP="006C277F">
            <w:pPr>
              <w:spacing w:after="240"/>
              <w:ind w:left="720" w:hanging="720"/>
              <w:rPr>
                <w:iCs/>
                <w:color w:val="000000"/>
                <w:szCs w:val="24"/>
              </w:rPr>
            </w:pPr>
            <w:r w:rsidRPr="006C277F">
              <w:rPr>
                <w:iCs/>
                <w:color w:val="000000"/>
                <w:szCs w:val="24"/>
              </w:rPr>
              <w:t>(5)</w:t>
            </w:r>
            <w:r w:rsidRPr="006C277F">
              <w:rPr>
                <w:iCs/>
                <w:color w:val="000000"/>
                <w:szCs w:val="24"/>
              </w:rPr>
              <w:tab/>
              <w:t xml:space="preserve">ERCOT shall post a Transmission Operator Designation Form on the ERCOT website.  A DSP may designate a TO or make any change to its designation, including revoking a TO designation, by properly completing the Transmission Operator Designation Form and submitting it via email to ERCOT with a copy provided to the TDSP designated as TO.  Any such change shall be submitted to ERCOT at least 30 days before the change becomes effective. </w:t>
            </w:r>
            <w:r>
              <w:rPr>
                <w:iCs/>
                <w:color w:val="000000"/>
                <w:szCs w:val="24"/>
              </w:rPr>
              <w:t xml:space="preserve"> </w:t>
            </w:r>
            <w:r w:rsidRPr="006C277F">
              <w:rPr>
                <w:iCs/>
                <w:color w:val="000000"/>
                <w:szCs w:val="24"/>
              </w:rPr>
              <w:t xml:space="preserve">The designation of a TO shall not be effective unless the Transmission Operator Designation Form has been signed by an officer or other Authorized Representative of the designating DSP or DCTO and the TDSP designated as TO.  </w:t>
            </w:r>
          </w:p>
          <w:p w14:paraId="7E95F61D" w14:textId="77777777" w:rsidR="006C277F" w:rsidRPr="006C277F" w:rsidRDefault="006C277F" w:rsidP="006C277F">
            <w:pPr>
              <w:spacing w:after="240"/>
              <w:ind w:left="720" w:hanging="720"/>
              <w:rPr>
                <w:iCs/>
                <w:color w:val="000000"/>
                <w:szCs w:val="24"/>
              </w:rPr>
            </w:pPr>
            <w:r w:rsidRPr="006C277F">
              <w:rPr>
                <w:iCs/>
                <w:color w:val="000000"/>
                <w:szCs w:val="24"/>
              </w:rPr>
              <w:t>(6)</w:t>
            </w:r>
            <w:r w:rsidRPr="006C277F">
              <w:rPr>
                <w:iCs/>
                <w:color w:val="000000"/>
                <w:szCs w:val="24"/>
              </w:rPr>
              <w:tab/>
              <w:t xml:space="preserve">A TO for a DSP may unilaterally resign from a designation as TO by submitting a properly completed Transmission Operator Designation Form to ERCOT reflecting the TO’s resignation of its TO status at least 30 days before the resignation becomes effective.  The resigning TO shall provide simultaneous notice of the resignation to the DSP it represents.   </w:t>
            </w:r>
          </w:p>
          <w:p w14:paraId="5A0FBC48" w14:textId="77777777" w:rsidR="006C277F" w:rsidRPr="006C277F" w:rsidRDefault="006C277F" w:rsidP="006C277F">
            <w:pPr>
              <w:spacing w:after="240"/>
              <w:ind w:left="720" w:hanging="720"/>
              <w:rPr>
                <w:iCs/>
                <w:color w:val="000000"/>
                <w:szCs w:val="24"/>
              </w:rPr>
            </w:pPr>
            <w:r w:rsidRPr="006C277F">
              <w:rPr>
                <w:iCs/>
                <w:color w:val="000000"/>
                <w:szCs w:val="24"/>
              </w:rPr>
              <w:t>(7)</w:t>
            </w:r>
            <w:r w:rsidRPr="006C277F">
              <w:rPr>
                <w:iCs/>
                <w:color w:val="000000"/>
                <w:szCs w:val="24"/>
              </w:rPr>
              <w:tab/>
              <w:t xml:space="preserve">On the effective date of a TO’s resignation, the DSP previously represented by the resigning TO shall be deemed its own TO and shall assume all TO responsibilities unless and until it has properly designated another TDSP as its TO.   </w:t>
            </w:r>
          </w:p>
        </w:tc>
      </w:tr>
    </w:tbl>
    <w:p w14:paraId="7E9177BE" w14:textId="77777777" w:rsidR="0081684A" w:rsidRDefault="0081684A" w:rsidP="00CC002A">
      <w:pPr>
        <w:pStyle w:val="BodyText"/>
      </w:pPr>
    </w:p>
    <w:sectPr w:rsidR="0081684A" w:rsidSect="00FC1C5F">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840CD" w14:textId="77777777" w:rsidR="000E65BB" w:rsidRDefault="000E65BB">
      <w:r>
        <w:separator/>
      </w:r>
    </w:p>
  </w:endnote>
  <w:endnote w:type="continuationSeparator" w:id="0">
    <w:p w14:paraId="1F7556DF" w14:textId="77777777" w:rsidR="000E65BB" w:rsidRDefault="000E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9A2F7" w14:textId="77777777" w:rsidR="00743263" w:rsidRDefault="007432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EDD457" w14:textId="77777777" w:rsidR="00743263" w:rsidRDefault="007432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4EAD" w14:textId="77777777" w:rsidR="00743263" w:rsidRDefault="00743263">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CC5E" w14:textId="77777777" w:rsidR="00743263" w:rsidRDefault="00743263">
    <w:pPr>
      <w:pStyle w:val="Footer"/>
      <w:tabs>
        <w:tab w:val="clear" w:pos="4680"/>
      </w:tabs>
    </w:pPr>
    <w:r>
      <w:t xml:space="preserve">ERCOT Nodal Protocols Draft – </w:t>
    </w:r>
    <w:smartTag w:uri="urn:schemas-microsoft-com:office:smarttags" w:element="date">
      <w:smartTagPr>
        <w:attr w:name="ls" w:val="trans"/>
        <w:attr w:name="Month" w:val="5"/>
        <w:attr w:name="Day" w:val="26"/>
        <w:attr w:name="Year" w:val="2004"/>
      </w:smartTagPr>
      <w:smartTag w:uri="urn:schemas-microsoft-com:office:smarttags" w:element="stockticker">
        <w:r>
          <w:t>May</w:t>
        </w:r>
      </w:smartTag>
      <w:r>
        <w:t xml:space="preserve"> 26, 2004</w:t>
      </w:r>
    </w:smartTag>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B75E" w14:textId="487F61F4" w:rsidR="00743263" w:rsidRDefault="00743263">
    <w:pPr>
      <w:pStyle w:val="Footer"/>
      <w:tabs>
        <w:tab w:val="right" w:pos="9450"/>
      </w:tabs>
      <w:spacing w:before="0" w:after="0"/>
    </w:pPr>
    <w:r>
      <w:t xml:space="preserve">ERCOT Nodal Protocols – </w:t>
    </w:r>
    <w:r w:rsidR="000E4B76">
      <w:t>October</w:t>
    </w:r>
    <w:r w:rsidR="00B55C27">
      <w:t xml:space="preserve"> 1</w:t>
    </w:r>
    <w:r>
      <w:t>, 202</w:t>
    </w:r>
    <w:r w:rsidR="001D1905">
      <w:t>4</w:t>
    </w:r>
  </w:p>
  <w:p w14:paraId="47D279AC" w14:textId="77777777" w:rsidR="00743263" w:rsidRDefault="00743263">
    <w:pPr>
      <w:pStyle w:val="Footer"/>
      <w:tabs>
        <w:tab w:val="right" w:pos="9450"/>
      </w:tabs>
      <w:spacing w:before="0" w:after="0"/>
      <w:jc w:val="center"/>
    </w:pPr>
    <w:r>
      <w:t>PUBLIC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3672" w14:textId="77777777" w:rsidR="00743263" w:rsidRDefault="00743263">
    <w:pPr>
      <w:pStyle w:val="Footer"/>
      <w:tabs>
        <w:tab w:val="clear" w:pos="4680"/>
      </w:tabs>
    </w:pPr>
    <w:r>
      <w:t xml:space="preserve">ERCOT Nodal Protocols Draft – </w:t>
    </w:r>
    <w:smartTag w:uri="urn:schemas-microsoft-com:office:smarttags" w:element="date">
      <w:smartTagPr>
        <w:attr w:name="ls" w:val="trans"/>
        <w:attr w:name="Month" w:val="5"/>
        <w:attr w:name="Day" w:val="26"/>
        <w:attr w:name="Year" w:val="2004"/>
      </w:smartTagPr>
      <w:smartTag w:uri="urn:schemas-microsoft-com:office:smarttags" w:element="stockticker">
        <w:r>
          <w:t>May</w:t>
        </w:r>
      </w:smartTag>
      <w:r>
        <w:t xml:space="preserve"> 26, 2004</w:t>
      </w:r>
    </w:smartTag>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178C" w14:textId="77777777" w:rsidR="00743263" w:rsidRDefault="007432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1725BC" w14:textId="77777777" w:rsidR="00743263" w:rsidRDefault="00743263">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23F6" w14:textId="46F8B452" w:rsidR="00743263" w:rsidRDefault="00743263">
    <w:pPr>
      <w:pStyle w:val="Footer"/>
      <w:tabs>
        <w:tab w:val="right" w:pos="9450"/>
      </w:tabs>
      <w:spacing w:before="0" w:after="0"/>
      <w:rPr>
        <w:rStyle w:val="PageNumber"/>
      </w:rPr>
    </w:pPr>
    <w:r>
      <w:t xml:space="preserve">ERCOT Nodal Protocols – </w:t>
    </w:r>
    <w:r w:rsidR="000E4B76">
      <w:t>October</w:t>
    </w:r>
    <w:r w:rsidR="00B55C27">
      <w:t xml:space="preserve"> 1</w:t>
    </w:r>
    <w:r>
      <w:t>, 202</w:t>
    </w:r>
    <w:r w:rsidR="001D1905">
      <w:t>4</w:t>
    </w:r>
    <w: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p w14:paraId="22C85721" w14:textId="77777777" w:rsidR="00743263" w:rsidRDefault="00743263">
    <w:pPr>
      <w:pStyle w:val="Footer"/>
      <w:tabs>
        <w:tab w:val="right" w:pos="9450"/>
      </w:tabs>
      <w:spacing w:before="0" w:after="0"/>
      <w:jc w:val="center"/>
    </w:pPr>
    <w:r>
      <w:rPr>
        <w:rStyle w:val="PageNumber"/>
      </w:rPr>
      <w:t>PUBLIC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5D31" w14:textId="77777777" w:rsidR="00743263" w:rsidRDefault="00743263">
    <w:pPr>
      <w:pStyle w:val="Footer"/>
      <w:framePr w:wrap="around" w:vAnchor="text" w:hAnchor="margin" w:xAlign="right" w:y="1"/>
      <w:rPr>
        <w:rStyle w:val="PageNumber"/>
      </w:rPr>
    </w:pPr>
  </w:p>
  <w:p w14:paraId="721CD2C6" w14:textId="77777777" w:rsidR="00743263" w:rsidRDefault="00743263">
    <w:pPr>
      <w:pStyle w:val="Footer"/>
    </w:pPr>
    <w:r>
      <w:t xml:space="preserve">ERCOT Nodal Protocols – Draft </w:t>
    </w:r>
    <w:smartTag w:uri="urn:schemas-microsoft-com:office:smarttags" w:element="date">
      <w:smartTagPr>
        <w:attr w:name="Year" w:val="2004"/>
        <w:attr w:name="Day" w:val="26"/>
        <w:attr w:name="Month" w:val="5"/>
        <w:attr w:name="ls" w:val="trans"/>
      </w:smartTagPr>
      <w:smartTag w:uri="urn:schemas-microsoft-com:office:smarttags" w:element="stockticker">
        <w:r>
          <w:t>May</w:t>
        </w:r>
      </w:smartTag>
      <w:r>
        <w:t xml:space="preserve"> 26, 2004</w:t>
      </w:r>
    </w:smartTag>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7506D" w14:textId="77777777" w:rsidR="000E65BB" w:rsidRDefault="000E65BB">
      <w:r>
        <w:separator/>
      </w:r>
    </w:p>
  </w:footnote>
  <w:footnote w:type="continuationSeparator" w:id="0">
    <w:p w14:paraId="45CB6CFE" w14:textId="77777777" w:rsidR="000E65BB" w:rsidRDefault="000E6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EF5A" w14:textId="77777777" w:rsidR="00743263" w:rsidRDefault="00743263">
    <w:pPr>
      <w:pStyle w:val="Header"/>
      <w:pBdr>
        <w:bottom w:val="none" w:sz="0" w:space="0" w:color="auto"/>
      </w:pBd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C7F8E" w14:textId="77777777" w:rsidR="00743263" w:rsidRDefault="00743263">
    <w:pPr>
      <w:pStyle w:val="Header"/>
    </w:pPr>
    <w:r>
      <w:t>Table of Contents:  Section 16</w:t>
    </w:r>
  </w:p>
  <w:p w14:paraId="1E6632AB" w14:textId="77777777" w:rsidR="00743263" w:rsidRDefault="00743263">
    <w:pPr>
      <w:pStyle w:val="Header"/>
      <w:pBdr>
        <w:bottom w:val="none" w:sz="0" w:space="0" w:color="auto"/>
      </w:pBd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6917" w14:textId="77777777" w:rsidR="00743263" w:rsidRDefault="00743263">
    <w:pPr>
      <w:pStyle w:val="Header"/>
    </w:pPr>
    <w:r>
      <w:t>Section 16:  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796F" w14:textId="77777777" w:rsidR="00743263" w:rsidRDefault="00743263">
    <w:pPr>
      <w:pStyle w:val="Header"/>
    </w:pPr>
    <w:r>
      <w:t xml:space="preserve">Section 16:  Registration </w:t>
    </w:r>
    <w:smartTag w:uri="urn:schemas-microsoft-com:office:smarttags" w:element="stockticker">
      <w:r>
        <w:t>and</w:t>
      </w:r>
    </w:smartTag>
    <w:r>
      <w:t xml:space="preserve"> qualification of Market Participants</w:t>
    </w:r>
  </w:p>
  <w:p w14:paraId="2F584375" w14:textId="77777777" w:rsidR="00743263" w:rsidRDefault="00743263">
    <w:pPr>
      <w:pStyle w:val="Header"/>
      <w:pBdr>
        <w:bottom w:val="none" w:sz="0" w:space="0" w:color="auto"/>
      </w:pBdr>
      <w:jc w:val="cent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CF2A" w14:textId="77777777" w:rsidR="00743263" w:rsidRDefault="00743263">
    <w:pPr>
      <w:pStyle w:val="Header"/>
    </w:pPr>
    <w:r>
      <w:t xml:space="preserve">Section 16:  Registration </w:t>
    </w:r>
    <w:smartTag w:uri="urn:schemas-microsoft-com:office:smarttags" w:element="stockticker">
      <w:r>
        <w:t>and</w:t>
      </w:r>
    </w:smartTag>
    <w:r>
      <w:t xml:space="preserve"> qualification of Market Participants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C13B6"/>
    <w:multiLevelType w:val="hybridMultilevel"/>
    <w:tmpl w:val="6A084DF6"/>
    <w:lvl w:ilvl="0" w:tplc="4838181C">
      <w:start w:val="4"/>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3"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6"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DBB4D88"/>
    <w:multiLevelType w:val="hybridMultilevel"/>
    <w:tmpl w:val="F38CEB40"/>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527F2A30"/>
    <w:multiLevelType w:val="hybridMultilevel"/>
    <w:tmpl w:val="D3CCD154"/>
    <w:lvl w:ilvl="0" w:tplc="59466434">
      <w:start w:val="1"/>
      <w:numFmt w:val="lowerLetter"/>
      <w:lvlText w:val="(%1)"/>
      <w:lvlJc w:val="left"/>
      <w:pPr>
        <w:ind w:left="720" w:hanging="360"/>
      </w:pPr>
      <w:rPr>
        <w:rFonts w:hint="default"/>
      </w:rPr>
    </w:lvl>
    <w:lvl w:ilvl="1" w:tplc="7A44FC6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ECA3D43"/>
    <w:multiLevelType w:val="hybridMultilevel"/>
    <w:tmpl w:val="B3A68CE2"/>
    <w:lvl w:ilvl="0" w:tplc="5A3E4E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66510064"/>
    <w:multiLevelType w:val="multilevel"/>
    <w:tmpl w:val="DBDC0E34"/>
    <w:lvl w:ilvl="0">
      <w:start w:val="16"/>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C326588"/>
    <w:multiLevelType w:val="hybridMultilevel"/>
    <w:tmpl w:val="A81600A0"/>
    <w:lvl w:ilvl="0" w:tplc="833400CC">
      <w:start w:val="4"/>
      <w:numFmt w:val="lowerLetter"/>
      <w:lvlText w:val="(%1)"/>
      <w:lvlJc w:val="left"/>
      <w:pPr>
        <w:ind w:left="720" w:hanging="360"/>
      </w:pPr>
      <w:rPr>
        <w:rFonts w:hint="default"/>
        <w:color w:val="auto"/>
        <w:spacing w:val="0"/>
        <w:w w:val="100"/>
        <w:kern w:val="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35801217">
    <w:abstractNumId w:val="17"/>
  </w:num>
  <w:num w:numId="2" w16cid:durableId="419064234">
    <w:abstractNumId w:val="19"/>
  </w:num>
  <w:num w:numId="3" w16cid:durableId="2028017912">
    <w:abstractNumId w:val="0"/>
  </w:num>
  <w:num w:numId="4" w16cid:durableId="1569226112">
    <w:abstractNumId w:val="14"/>
  </w:num>
  <w:num w:numId="5" w16cid:durableId="170871631">
    <w:abstractNumId w:val="13"/>
  </w:num>
  <w:num w:numId="6" w16cid:durableId="1075780549">
    <w:abstractNumId w:val="8"/>
  </w:num>
  <w:num w:numId="7" w16cid:durableId="1641105810">
    <w:abstractNumId w:val="7"/>
  </w:num>
  <w:num w:numId="8" w16cid:durableId="330304825">
    <w:abstractNumId w:val="16"/>
  </w:num>
  <w:num w:numId="9" w16cid:durableId="580021196">
    <w:abstractNumId w:val="15"/>
  </w:num>
  <w:num w:numId="10" w16cid:durableId="334505247">
    <w:abstractNumId w:val="22"/>
  </w:num>
  <w:num w:numId="11" w16cid:durableId="1778022888">
    <w:abstractNumId w:val="1"/>
  </w:num>
  <w:num w:numId="12" w16cid:durableId="953486547">
    <w:abstractNumId w:val="5"/>
  </w:num>
  <w:num w:numId="13" w16cid:durableId="1215700576">
    <w:abstractNumId w:val="11"/>
  </w:num>
  <w:num w:numId="14" w16cid:durableId="1919289813">
    <w:abstractNumId w:val="18"/>
  </w:num>
  <w:num w:numId="15" w16cid:durableId="2072922151">
    <w:abstractNumId w:val="3"/>
  </w:num>
  <w:num w:numId="16" w16cid:durableId="86195807">
    <w:abstractNumId w:val="4"/>
  </w:num>
  <w:num w:numId="17" w16cid:durableId="651912598">
    <w:abstractNumId w:val="6"/>
  </w:num>
  <w:num w:numId="18" w16cid:durableId="2030909065">
    <w:abstractNumId w:val="17"/>
  </w:num>
  <w:num w:numId="19" w16cid:durableId="1148211589">
    <w:abstractNumId w:val="21"/>
  </w:num>
  <w:num w:numId="20" w16cid:durableId="1941065261">
    <w:abstractNumId w:val="10"/>
  </w:num>
  <w:num w:numId="21" w16cid:durableId="665472804">
    <w:abstractNumId w:val="2"/>
  </w:num>
  <w:num w:numId="22" w16cid:durableId="866600187">
    <w:abstractNumId w:val="12"/>
  </w:num>
  <w:num w:numId="23" w16cid:durableId="161167462">
    <w:abstractNumId w:val="20"/>
  </w:num>
  <w:num w:numId="24" w16cid:durableId="758529171">
    <w:abstractNumId w:val="9"/>
  </w:num>
  <w:num w:numId="25" w16cid:durableId="308439206">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67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C5F"/>
    <w:rsid w:val="00000D77"/>
    <w:rsid w:val="00002A11"/>
    <w:rsid w:val="00002B03"/>
    <w:rsid w:val="00002F41"/>
    <w:rsid w:val="0000582A"/>
    <w:rsid w:val="000121AD"/>
    <w:rsid w:val="00013289"/>
    <w:rsid w:val="0001588A"/>
    <w:rsid w:val="000160E0"/>
    <w:rsid w:val="0001661E"/>
    <w:rsid w:val="00017145"/>
    <w:rsid w:val="00022A2E"/>
    <w:rsid w:val="00023149"/>
    <w:rsid w:val="000232E6"/>
    <w:rsid w:val="0002345B"/>
    <w:rsid w:val="00023D5B"/>
    <w:rsid w:val="0002450E"/>
    <w:rsid w:val="00024BE1"/>
    <w:rsid w:val="00026476"/>
    <w:rsid w:val="00027ABD"/>
    <w:rsid w:val="00030891"/>
    <w:rsid w:val="00030EC9"/>
    <w:rsid w:val="00032A46"/>
    <w:rsid w:val="00036EC4"/>
    <w:rsid w:val="000370C5"/>
    <w:rsid w:val="000376C9"/>
    <w:rsid w:val="00040698"/>
    <w:rsid w:val="00042D82"/>
    <w:rsid w:val="00046F88"/>
    <w:rsid w:val="000475FE"/>
    <w:rsid w:val="000479AE"/>
    <w:rsid w:val="00052835"/>
    <w:rsid w:val="00053F81"/>
    <w:rsid w:val="0005725D"/>
    <w:rsid w:val="00062400"/>
    <w:rsid w:val="00062769"/>
    <w:rsid w:val="00062C56"/>
    <w:rsid w:val="00062E50"/>
    <w:rsid w:val="00063CFE"/>
    <w:rsid w:val="0006626C"/>
    <w:rsid w:val="00067F7E"/>
    <w:rsid w:val="000723E8"/>
    <w:rsid w:val="00072418"/>
    <w:rsid w:val="00073866"/>
    <w:rsid w:val="00074C2B"/>
    <w:rsid w:val="00077067"/>
    <w:rsid w:val="0007756C"/>
    <w:rsid w:val="00077E23"/>
    <w:rsid w:val="000812B4"/>
    <w:rsid w:val="0008133B"/>
    <w:rsid w:val="00081A43"/>
    <w:rsid w:val="00082575"/>
    <w:rsid w:val="00082B5B"/>
    <w:rsid w:val="00086624"/>
    <w:rsid w:val="00087B14"/>
    <w:rsid w:val="00090786"/>
    <w:rsid w:val="00090BA5"/>
    <w:rsid w:val="000929F0"/>
    <w:rsid w:val="00093A94"/>
    <w:rsid w:val="00094062"/>
    <w:rsid w:val="00095419"/>
    <w:rsid w:val="00097EA5"/>
    <w:rsid w:val="000A063B"/>
    <w:rsid w:val="000A08CF"/>
    <w:rsid w:val="000A0A43"/>
    <w:rsid w:val="000A7B2B"/>
    <w:rsid w:val="000B23CB"/>
    <w:rsid w:val="000B27F0"/>
    <w:rsid w:val="000B3DA3"/>
    <w:rsid w:val="000B3F7F"/>
    <w:rsid w:val="000B55EF"/>
    <w:rsid w:val="000B5BEC"/>
    <w:rsid w:val="000B62AE"/>
    <w:rsid w:val="000B62BB"/>
    <w:rsid w:val="000B6F80"/>
    <w:rsid w:val="000B6FE0"/>
    <w:rsid w:val="000B7636"/>
    <w:rsid w:val="000C0A5D"/>
    <w:rsid w:val="000C22D2"/>
    <w:rsid w:val="000C3577"/>
    <w:rsid w:val="000C3CFF"/>
    <w:rsid w:val="000C5AE0"/>
    <w:rsid w:val="000C7043"/>
    <w:rsid w:val="000C7415"/>
    <w:rsid w:val="000C76A4"/>
    <w:rsid w:val="000D00F4"/>
    <w:rsid w:val="000D36D7"/>
    <w:rsid w:val="000D71F8"/>
    <w:rsid w:val="000E23B0"/>
    <w:rsid w:val="000E3528"/>
    <w:rsid w:val="000E49BB"/>
    <w:rsid w:val="000E4B76"/>
    <w:rsid w:val="000E65BB"/>
    <w:rsid w:val="000E695C"/>
    <w:rsid w:val="000E72B5"/>
    <w:rsid w:val="000E7458"/>
    <w:rsid w:val="000F0BE1"/>
    <w:rsid w:val="000F17D7"/>
    <w:rsid w:val="000F1E71"/>
    <w:rsid w:val="000F24BA"/>
    <w:rsid w:val="000F40DF"/>
    <w:rsid w:val="000F5E03"/>
    <w:rsid w:val="000F619B"/>
    <w:rsid w:val="001037E0"/>
    <w:rsid w:val="001067AB"/>
    <w:rsid w:val="001075EF"/>
    <w:rsid w:val="0011177E"/>
    <w:rsid w:val="00113057"/>
    <w:rsid w:val="001139F7"/>
    <w:rsid w:val="00115C4F"/>
    <w:rsid w:val="001168CD"/>
    <w:rsid w:val="00116F52"/>
    <w:rsid w:val="0011779D"/>
    <w:rsid w:val="00122597"/>
    <w:rsid w:val="001229DC"/>
    <w:rsid w:val="00122A47"/>
    <w:rsid w:val="00122AC9"/>
    <w:rsid w:val="0012314B"/>
    <w:rsid w:val="00125912"/>
    <w:rsid w:val="00126ABB"/>
    <w:rsid w:val="0012720F"/>
    <w:rsid w:val="001277A1"/>
    <w:rsid w:val="00130062"/>
    <w:rsid w:val="00130D6C"/>
    <w:rsid w:val="0013104B"/>
    <w:rsid w:val="00131A66"/>
    <w:rsid w:val="00135A5B"/>
    <w:rsid w:val="001414F9"/>
    <w:rsid w:val="00142152"/>
    <w:rsid w:val="00143445"/>
    <w:rsid w:val="00144199"/>
    <w:rsid w:val="001475C2"/>
    <w:rsid w:val="001525EC"/>
    <w:rsid w:val="00152E4B"/>
    <w:rsid w:val="00156B07"/>
    <w:rsid w:val="00160197"/>
    <w:rsid w:val="0016049E"/>
    <w:rsid w:val="001613F1"/>
    <w:rsid w:val="001617F7"/>
    <w:rsid w:val="00161E0E"/>
    <w:rsid w:val="001641C4"/>
    <w:rsid w:val="00164C18"/>
    <w:rsid w:val="00165F10"/>
    <w:rsid w:val="00170B18"/>
    <w:rsid w:val="00173006"/>
    <w:rsid w:val="001736B0"/>
    <w:rsid w:val="00173C35"/>
    <w:rsid w:val="00174B30"/>
    <w:rsid w:val="00174F6C"/>
    <w:rsid w:val="0017700F"/>
    <w:rsid w:val="00177995"/>
    <w:rsid w:val="001802C7"/>
    <w:rsid w:val="001805F6"/>
    <w:rsid w:val="0018288A"/>
    <w:rsid w:val="00183BC3"/>
    <w:rsid w:val="001856AB"/>
    <w:rsid w:val="001856C4"/>
    <w:rsid w:val="001868F9"/>
    <w:rsid w:val="00193BF2"/>
    <w:rsid w:val="00194EEE"/>
    <w:rsid w:val="001A085D"/>
    <w:rsid w:val="001A1224"/>
    <w:rsid w:val="001A1562"/>
    <w:rsid w:val="001A17DD"/>
    <w:rsid w:val="001A55B7"/>
    <w:rsid w:val="001A683A"/>
    <w:rsid w:val="001A738B"/>
    <w:rsid w:val="001A7AB9"/>
    <w:rsid w:val="001B30AF"/>
    <w:rsid w:val="001B3DAE"/>
    <w:rsid w:val="001B4A1F"/>
    <w:rsid w:val="001B5901"/>
    <w:rsid w:val="001C15BC"/>
    <w:rsid w:val="001C2322"/>
    <w:rsid w:val="001C2FDE"/>
    <w:rsid w:val="001C3D6D"/>
    <w:rsid w:val="001C46D9"/>
    <w:rsid w:val="001C6988"/>
    <w:rsid w:val="001C7165"/>
    <w:rsid w:val="001C739C"/>
    <w:rsid w:val="001D00A8"/>
    <w:rsid w:val="001D1905"/>
    <w:rsid w:val="001D1931"/>
    <w:rsid w:val="001D19E3"/>
    <w:rsid w:val="001D1B26"/>
    <w:rsid w:val="001D1D2D"/>
    <w:rsid w:val="001D374E"/>
    <w:rsid w:val="001D3EB6"/>
    <w:rsid w:val="001D554C"/>
    <w:rsid w:val="001D6445"/>
    <w:rsid w:val="001D6FDB"/>
    <w:rsid w:val="001E0A81"/>
    <w:rsid w:val="001E1629"/>
    <w:rsid w:val="001E2553"/>
    <w:rsid w:val="001E41FD"/>
    <w:rsid w:val="001E52BE"/>
    <w:rsid w:val="001E5A7E"/>
    <w:rsid w:val="001E6046"/>
    <w:rsid w:val="001F126B"/>
    <w:rsid w:val="001F13B8"/>
    <w:rsid w:val="001F44D0"/>
    <w:rsid w:val="001F775A"/>
    <w:rsid w:val="0020488A"/>
    <w:rsid w:val="00206023"/>
    <w:rsid w:val="00206C6A"/>
    <w:rsid w:val="0020706C"/>
    <w:rsid w:val="0020748E"/>
    <w:rsid w:val="002148BB"/>
    <w:rsid w:val="0021565F"/>
    <w:rsid w:val="00216388"/>
    <w:rsid w:val="002166E7"/>
    <w:rsid w:val="00216B4F"/>
    <w:rsid w:val="002206AD"/>
    <w:rsid w:val="00221C60"/>
    <w:rsid w:val="00222D7B"/>
    <w:rsid w:val="00230BAE"/>
    <w:rsid w:val="00233DE1"/>
    <w:rsid w:val="002349CD"/>
    <w:rsid w:val="00234DC8"/>
    <w:rsid w:val="002403C3"/>
    <w:rsid w:val="002424BD"/>
    <w:rsid w:val="002475CE"/>
    <w:rsid w:val="002534B1"/>
    <w:rsid w:val="00262EEB"/>
    <w:rsid w:val="002631D7"/>
    <w:rsid w:val="002635D3"/>
    <w:rsid w:val="002639A4"/>
    <w:rsid w:val="00264712"/>
    <w:rsid w:val="00267FB2"/>
    <w:rsid w:val="00270D6A"/>
    <w:rsid w:val="00271A97"/>
    <w:rsid w:val="00271ED3"/>
    <w:rsid w:val="00275EFD"/>
    <w:rsid w:val="00277384"/>
    <w:rsid w:val="00277F36"/>
    <w:rsid w:val="00280035"/>
    <w:rsid w:val="0028005C"/>
    <w:rsid w:val="002803BF"/>
    <w:rsid w:val="00280B6F"/>
    <w:rsid w:val="0028136E"/>
    <w:rsid w:val="0028363C"/>
    <w:rsid w:val="00284BF0"/>
    <w:rsid w:val="002864A5"/>
    <w:rsid w:val="002877C9"/>
    <w:rsid w:val="00290196"/>
    <w:rsid w:val="00296FC2"/>
    <w:rsid w:val="002A15C4"/>
    <w:rsid w:val="002A209E"/>
    <w:rsid w:val="002A20D9"/>
    <w:rsid w:val="002A5374"/>
    <w:rsid w:val="002A5591"/>
    <w:rsid w:val="002A61C4"/>
    <w:rsid w:val="002A6390"/>
    <w:rsid w:val="002A7728"/>
    <w:rsid w:val="002B06F8"/>
    <w:rsid w:val="002B0F9B"/>
    <w:rsid w:val="002B1C61"/>
    <w:rsid w:val="002B1F67"/>
    <w:rsid w:val="002B20DD"/>
    <w:rsid w:val="002B286A"/>
    <w:rsid w:val="002B2C07"/>
    <w:rsid w:val="002B3DDF"/>
    <w:rsid w:val="002B43B7"/>
    <w:rsid w:val="002B49F7"/>
    <w:rsid w:val="002B565A"/>
    <w:rsid w:val="002B668C"/>
    <w:rsid w:val="002B72D0"/>
    <w:rsid w:val="002C19E5"/>
    <w:rsid w:val="002C3290"/>
    <w:rsid w:val="002C3748"/>
    <w:rsid w:val="002C64F9"/>
    <w:rsid w:val="002C653A"/>
    <w:rsid w:val="002C787B"/>
    <w:rsid w:val="002D0B2E"/>
    <w:rsid w:val="002D0D49"/>
    <w:rsid w:val="002D20F3"/>
    <w:rsid w:val="002D23B1"/>
    <w:rsid w:val="002D2785"/>
    <w:rsid w:val="002D2799"/>
    <w:rsid w:val="002D332F"/>
    <w:rsid w:val="002D4566"/>
    <w:rsid w:val="002D6ABD"/>
    <w:rsid w:val="002E0A9C"/>
    <w:rsid w:val="002E0E66"/>
    <w:rsid w:val="002E18F8"/>
    <w:rsid w:val="002E1E52"/>
    <w:rsid w:val="002E2051"/>
    <w:rsid w:val="002E2641"/>
    <w:rsid w:val="002E68F9"/>
    <w:rsid w:val="002E6C8C"/>
    <w:rsid w:val="002E76DA"/>
    <w:rsid w:val="002F03A7"/>
    <w:rsid w:val="002F2328"/>
    <w:rsid w:val="002F2A6A"/>
    <w:rsid w:val="002F309C"/>
    <w:rsid w:val="002F409F"/>
    <w:rsid w:val="002F50F2"/>
    <w:rsid w:val="002F6EC9"/>
    <w:rsid w:val="002F7F47"/>
    <w:rsid w:val="0030023B"/>
    <w:rsid w:val="00300E30"/>
    <w:rsid w:val="00301E78"/>
    <w:rsid w:val="00304032"/>
    <w:rsid w:val="00305093"/>
    <w:rsid w:val="0030579C"/>
    <w:rsid w:val="0030612E"/>
    <w:rsid w:val="003062A3"/>
    <w:rsid w:val="00310113"/>
    <w:rsid w:val="0031049E"/>
    <w:rsid w:val="00311559"/>
    <w:rsid w:val="003126BC"/>
    <w:rsid w:val="00312F55"/>
    <w:rsid w:val="003135AE"/>
    <w:rsid w:val="00313674"/>
    <w:rsid w:val="00314DBD"/>
    <w:rsid w:val="0031594F"/>
    <w:rsid w:val="0031595F"/>
    <w:rsid w:val="003167F7"/>
    <w:rsid w:val="0032725A"/>
    <w:rsid w:val="00331248"/>
    <w:rsid w:val="003317F7"/>
    <w:rsid w:val="00331D8A"/>
    <w:rsid w:val="0033224D"/>
    <w:rsid w:val="0033404D"/>
    <w:rsid w:val="0033459A"/>
    <w:rsid w:val="00335647"/>
    <w:rsid w:val="003367E9"/>
    <w:rsid w:val="0033728C"/>
    <w:rsid w:val="0033760D"/>
    <w:rsid w:val="00340001"/>
    <w:rsid w:val="00341131"/>
    <w:rsid w:val="003430B1"/>
    <w:rsid w:val="00345245"/>
    <w:rsid w:val="00345584"/>
    <w:rsid w:val="00345E2E"/>
    <w:rsid w:val="00346051"/>
    <w:rsid w:val="00346CF6"/>
    <w:rsid w:val="003470FF"/>
    <w:rsid w:val="0034759E"/>
    <w:rsid w:val="00350FB0"/>
    <w:rsid w:val="003532D1"/>
    <w:rsid w:val="00355A24"/>
    <w:rsid w:val="00355D7A"/>
    <w:rsid w:val="003573E3"/>
    <w:rsid w:val="00360E2C"/>
    <w:rsid w:val="00362E3D"/>
    <w:rsid w:val="00363641"/>
    <w:rsid w:val="00364DE6"/>
    <w:rsid w:val="003651B3"/>
    <w:rsid w:val="00365293"/>
    <w:rsid w:val="00367720"/>
    <w:rsid w:val="00367889"/>
    <w:rsid w:val="003711E0"/>
    <w:rsid w:val="00373358"/>
    <w:rsid w:val="003747A8"/>
    <w:rsid w:val="00375C78"/>
    <w:rsid w:val="00375D5D"/>
    <w:rsid w:val="00380985"/>
    <w:rsid w:val="0038379B"/>
    <w:rsid w:val="00383F37"/>
    <w:rsid w:val="003845B8"/>
    <w:rsid w:val="00386628"/>
    <w:rsid w:val="00391A70"/>
    <w:rsid w:val="00394A28"/>
    <w:rsid w:val="003A234E"/>
    <w:rsid w:val="003A36DF"/>
    <w:rsid w:val="003A38A3"/>
    <w:rsid w:val="003A5AEB"/>
    <w:rsid w:val="003B0D6B"/>
    <w:rsid w:val="003B2CA7"/>
    <w:rsid w:val="003B2D6F"/>
    <w:rsid w:val="003B4253"/>
    <w:rsid w:val="003B4662"/>
    <w:rsid w:val="003B47DA"/>
    <w:rsid w:val="003B5A82"/>
    <w:rsid w:val="003B6728"/>
    <w:rsid w:val="003B76F6"/>
    <w:rsid w:val="003B7BC8"/>
    <w:rsid w:val="003B7CFE"/>
    <w:rsid w:val="003C0C18"/>
    <w:rsid w:val="003C1ED7"/>
    <w:rsid w:val="003C2CC8"/>
    <w:rsid w:val="003C2F8D"/>
    <w:rsid w:val="003C2F9B"/>
    <w:rsid w:val="003C371E"/>
    <w:rsid w:val="003C539E"/>
    <w:rsid w:val="003C6EAD"/>
    <w:rsid w:val="003C6F50"/>
    <w:rsid w:val="003D2D45"/>
    <w:rsid w:val="003D3A4F"/>
    <w:rsid w:val="003D76D8"/>
    <w:rsid w:val="003D7970"/>
    <w:rsid w:val="003E021A"/>
    <w:rsid w:val="003E09AF"/>
    <w:rsid w:val="003E1243"/>
    <w:rsid w:val="003E1CB9"/>
    <w:rsid w:val="003E3E50"/>
    <w:rsid w:val="003E475D"/>
    <w:rsid w:val="003E7FD4"/>
    <w:rsid w:val="003F13E9"/>
    <w:rsid w:val="003F1980"/>
    <w:rsid w:val="003F3142"/>
    <w:rsid w:val="003F41DA"/>
    <w:rsid w:val="003F5244"/>
    <w:rsid w:val="003F530B"/>
    <w:rsid w:val="003F5FE0"/>
    <w:rsid w:val="003F60BE"/>
    <w:rsid w:val="003F6E4E"/>
    <w:rsid w:val="003F77D3"/>
    <w:rsid w:val="004000C1"/>
    <w:rsid w:val="00400902"/>
    <w:rsid w:val="004011EC"/>
    <w:rsid w:val="004032AE"/>
    <w:rsid w:val="004033D4"/>
    <w:rsid w:val="00403872"/>
    <w:rsid w:val="00406383"/>
    <w:rsid w:val="0040645E"/>
    <w:rsid w:val="00406893"/>
    <w:rsid w:val="00406A47"/>
    <w:rsid w:val="004077E1"/>
    <w:rsid w:val="0041089D"/>
    <w:rsid w:val="00410F09"/>
    <w:rsid w:val="00413194"/>
    <w:rsid w:val="00413864"/>
    <w:rsid w:val="004171B4"/>
    <w:rsid w:val="00417FC4"/>
    <w:rsid w:val="00425EC8"/>
    <w:rsid w:val="00436ECE"/>
    <w:rsid w:val="004411CA"/>
    <w:rsid w:val="00443D81"/>
    <w:rsid w:val="0044531C"/>
    <w:rsid w:val="00445B12"/>
    <w:rsid w:val="00445EDD"/>
    <w:rsid w:val="00451058"/>
    <w:rsid w:val="0045278E"/>
    <w:rsid w:val="0045424F"/>
    <w:rsid w:val="00454BC0"/>
    <w:rsid w:val="004551DD"/>
    <w:rsid w:val="004569B6"/>
    <w:rsid w:val="00456C37"/>
    <w:rsid w:val="00461B44"/>
    <w:rsid w:val="004628C3"/>
    <w:rsid w:val="00462B48"/>
    <w:rsid w:val="00463FB0"/>
    <w:rsid w:val="00466B3B"/>
    <w:rsid w:val="00466F24"/>
    <w:rsid w:val="00470392"/>
    <w:rsid w:val="00470627"/>
    <w:rsid w:val="00471783"/>
    <w:rsid w:val="00471909"/>
    <w:rsid w:val="004770C1"/>
    <w:rsid w:val="00480102"/>
    <w:rsid w:val="004809A4"/>
    <w:rsid w:val="00483ECB"/>
    <w:rsid w:val="004842DD"/>
    <w:rsid w:val="00484E48"/>
    <w:rsid w:val="004855F1"/>
    <w:rsid w:val="00487B3A"/>
    <w:rsid w:val="00487D48"/>
    <w:rsid w:val="00490E71"/>
    <w:rsid w:val="00491D4C"/>
    <w:rsid w:val="00492866"/>
    <w:rsid w:val="004953FF"/>
    <w:rsid w:val="0049638D"/>
    <w:rsid w:val="00497503"/>
    <w:rsid w:val="00497B7E"/>
    <w:rsid w:val="004A13E5"/>
    <w:rsid w:val="004A1A20"/>
    <w:rsid w:val="004A233E"/>
    <w:rsid w:val="004A2C80"/>
    <w:rsid w:val="004A37B9"/>
    <w:rsid w:val="004A3EB0"/>
    <w:rsid w:val="004A403A"/>
    <w:rsid w:val="004A501E"/>
    <w:rsid w:val="004A51F6"/>
    <w:rsid w:val="004A65D8"/>
    <w:rsid w:val="004A6DF4"/>
    <w:rsid w:val="004A751B"/>
    <w:rsid w:val="004B0BDA"/>
    <w:rsid w:val="004B1A7F"/>
    <w:rsid w:val="004B1C32"/>
    <w:rsid w:val="004B638C"/>
    <w:rsid w:val="004B70A5"/>
    <w:rsid w:val="004B7458"/>
    <w:rsid w:val="004C1750"/>
    <w:rsid w:val="004C20EE"/>
    <w:rsid w:val="004C2D2E"/>
    <w:rsid w:val="004C4936"/>
    <w:rsid w:val="004C5640"/>
    <w:rsid w:val="004C627A"/>
    <w:rsid w:val="004D0BB6"/>
    <w:rsid w:val="004D10E4"/>
    <w:rsid w:val="004D245C"/>
    <w:rsid w:val="004D36E3"/>
    <w:rsid w:val="004D5E09"/>
    <w:rsid w:val="004E101F"/>
    <w:rsid w:val="004E20CE"/>
    <w:rsid w:val="004E2CBB"/>
    <w:rsid w:val="004E4491"/>
    <w:rsid w:val="004E450B"/>
    <w:rsid w:val="004E4F3F"/>
    <w:rsid w:val="004E5204"/>
    <w:rsid w:val="004E5434"/>
    <w:rsid w:val="004E603E"/>
    <w:rsid w:val="004E6267"/>
    <w:rsid w:val="004F1296"/>
    <w:rsid w:val="004F16FC"/>
    <w:rsid w:val="004F217C"/>
    <w:rsid w:val="004F25FC"/>
    <w:rsid w:val="004F59D3"/>
    <w:rsid w:val="004F5CBD"/>
    <w:rsid w:val="004F6C57"/>
    <w:rsid w:val="004F6DC4"/>
    <w:rsid w:val="0050013B"/>
    <w:rsid w:val="00500741"/>
    <w:rsid w:val="00502BFE"/>
    <w:rsid w:val="005045BA"/>
    <w:rsid w:val="00504E97"/>
    <w:rsid w:val="0050531A"/>
    <w:rsid w:val="00505AE3"/>
    <w:rsid w:val="0050618D"/>
    <w:rsid w:val="00510619"/>
    <w:rsid w:val="00510CB6"/>
    <w:rsid w:val="00511DFB"/>
    <w:rsid w:val="00512B05"/>
    <w:rsid w:val="00512B0E"/>
    <w:rsid w:val="00513648"/>
    <w:rsid w:val="00513A73"/>
    <w:rsid w:val="00513F1B"/>
    <w:rsid w:val="005146E7"/>
    <w:rsid w:val="00516305"/>
    <w:rsid w:val="00516719"/>
    <w:rsid w:val="005169F2"/>
    <w:rsid w:val="00520F89"/>
    <w:rsid w:val="00521FE5"/>
    <w:rsid w:val="005220DB"/>
    <w:rsid w:val="00522CB8"/>
    <w:rsid w:val="005250EA"/>
    <w:rsid w:val="005252C8"/>
    <w:rsid w:val="00526601"/>
    <w:rsid w:val="00530F8C"/>
    <w:rsid w:val="00532FED"/>
    <w:rsid w:val="00535550"/>
    <w:rsid w:val="00537326"/>
    <w:rsid w:val="00541022"/>
    <w:rsid w:val="00542F56"/>
    <w:rsid w:val="005444D9"/>
    <w:rsid w:val="005473F9"/>
    <w:rsid w:val="00547C9D"/>
    <w:rsid w:val="00554675"/>
    <w:rsid w:val="005548A2"/>
    <w:rsid w:val="005551AD"/>
    <w:rsid w:val="00556A2A"/>
    <w:rsid w:val="005610DA"/>
    <w:rsid w:val="00561BB7"/>
    <w:rsid w:val="00562641"/>
    <w:rsid w:val="00562B70"/>
    <w:rsid w:val="005672E5"/>
    <w:rsid w:val="00570A1E"/>
    <w:rsid w:val="005716FA"/>
    <w:rsid w:val="00572466"/>
    <w:rsid w:val="00573E18"/>
    <w:rsid w:val="00573F3C"/>
    <w:rsid w:val="00574116"/>
    <w:rsid w:val="00574F81"/>
    <w:rsid w:val="00575DA9"/>
    <w:rsid w:val="005760E6"/>
    <w:rsid w:val="0058051D"/>
    <w:rsid w:val="00583752"/>
    <w:rsid w:val="005839D0"/>
    <w:rsid w:val="005858F9"/>
    <w:rsid w:val="005874B4"/>
    <w:rsid w:val="005900F1"/>
    <w:rsid w:val="005918BE"/>
    <w:rsid w:val="00592980"/>
    <w:rsid w:val="00592FF0"/>
    <w:rsid w:val="00594F28"/>
    <w:rsid w:val="005962F1"/>
    <w:rsid w:val="00596FCF"/>
    <w:rsid w:val="005A2AD9"/>
    <w:rsid w:val="005A32AC"/>
    <w:rsid w:val="005A657E"/>
    <w:rsid w:val="005A6DFE"/>
    <w:rsid w:val="005B394D"/>
    <w:rsid w:val="005B3FC0"/>
    <w:rsid w:val="005B5D98"/>
    <w:rsid w:val="005B5E24"/>
    <w:rsid w:val="005B5F12"/>
    <w:rsid w:val="005B62E1"/>
    <w:rsid w:val="005B6316"/>
    <w:rsid w:val="005B6D42"/>
    <w:rsid w:val="005C0302"/>
    <w:rsid w:val="005C04D0"/>
    <w:rsid w:val="005C0D79"/>
    <w:rsid w:val="005C2B65"/>
    <w:rsid w:val="005C33FD"/>
    <w:rsid w:val="005C4DAF"/>
    <w:rsid w:val="005C5A94"/>
    <w:rsid w:val="005C655C"/>
    <w:rsid w:val="005C70BE"/>
    <w:rsid w:val="005C7370"/>
    <w:rsid w:val="005D0D2C"/>
    <w:rsid w:val="005D2A84"/>
    <w:rsid w:val="005D36D8"/>
    <w:rsid w:val="005D4020"/>
    <w:rsid w:val="005D6933"/>
    <w:rsid w:val="005E001D"/>
    <w:rsid w:val="005E2071"/>
    <w:rsid w:val="005E2523"/>
    <w:rsid w:val="005E2EB8"/>
    <w:rsid w:val="005E4854"/>
    <w:rsid w:val="005E6212"/>
    <w:rsid w:val="005E7DFD"/>
    <w:rsid w:val="005F0286"/>
    <w:rsid w:val="005F0794"/>
    <w:rsid w:val="005F0847"/>
    <w:rsid w:val="005F17D7"/>
    <w:rsid w:val="005F4AF1"/>
    <w:rsid w:val="005F7B90"/>
    <w:rsid w:val="006004A9"/>
    <w:rsid w:val="0060096C"/>
    <w:rsid w:val="006024F1"/>
    <w:rsid w:val="00604018"/>
    <w:rsid w:val="00605123"/>
    <w:rsid w:val="00605187"/>
    <w:rsid w:val="00605B1F"/>
    <w:rsid w:val="006075E4"/>
    <w:rsid w:val="00611264"/>
    <w:rsid w:val="006116EE"/>
    <w:rsid w:val="00613686"/>
    <w:rsid w:val="00613851"/>
    <w:rsid w:val="00614484"/>
    <w:rsid w:val="00622227"/>
    <w:rsid w:val="006228BB"/>
    <w:rsid w:val="006234E9"/>
    <w:rsid w:val="00624A1F"/>
    <w:rsid w:val="00624AEB"/>
    <w:rsid w:val="00624C96"/>
    <w:rsid w:val="006251B0"/>
    <w:rsid w:val="0062670A"/>
    <w:rsid w:val="00627A8D"/>
    <w:rsid w:val="00631551"/>
    <w:rsid w:val="00634F5C"/>
    <w:rsid w:val="00635A03"/>
    <w:rsid w:val="00636329"/>
    <w:rsid w:val="0064086E"/>
    <w:rsid w:val="00640B38"/>
    <w:rsid w:val="00642E33"/>
    <w:rsid w:val="00643A57"/>
    <w:rsid w:val="00644274"/>
    <w:rsid w:val="00644C98"/>
    <w:rsid w:val="0064702E"/>
    <w:rsid w:val="00650D06"/>
    <w:rsid w:val="00651F88"/>
    <w:rsid w:val="0065206B"/>
    <w:rsid w:val="006520F5"/>
    <w:rsid w:val="006623FA"/>
    <w:rsid w:val="00662A93"/>
    <w:rsid w:val="00662CE1"/>
    <w:rsid w:val="006646CD"/>
    <w:rsid w:val="00665DAD"/>
    <w:rsid w:val="00666351"/>
    <w:rsid w:val="006677AF"/>
    <w:rsid w:val="00673A1A"/>
    <w:rsid w:val="00677F98"/>
    <w:rsid w:val="006817E2"/>
    <w:rsid w:val="00681A79"/>
    <w:rsid w:val="006835F1"/>
    <w:rsid w:val="00683945"/>
    <w:rsid w:val="006847F4"/>
    <w:rsid w:val="006868C6"/>
    <w:rsid w:val="0068709B"/>
    <w:rsid w:val="006907B3"/>
    <w:rsid w:val="0069182F"/>
    <w:rsid w:val="006928C8"/>
    <w:rsid w:val="006962E1"/>
    <w:rsid w:val="00696404"/>
    <w:rsid w:val="00697EF2"/>
    <w:rsid w:val="006A0711"/>
    <w:rsid w:val="006A191D"/>
    <w:rsid w:val="006A535F"/>
    <w:rsid w:val="006A5D2B"/>
    <w:rsid w:val="006A6079"/>
    <w:rsid w:val="006B256F"/>
    <w:rsid w:val="006B2812"/>
    <w:rsid w:val="006B2E4D"/>
    <w:rsid w:val="006B3926"/>
    <w:rsid w:val="006B39C7"/>
    <w:rsid w:val="006B3C70"/>
    <w:rsid w:val="006B4520"/>
    <w:rsid w:val="006B4A4C"/>
    <w:rsid w:val="006B620C"/>
    <w:rsid w:val="006B7162"/>
    <w:rsid w:val="006C1BD3"/>
    <w:rsid w:val="006C2726"/>
    <w:rsid w:val="006C277F"/>
    <w:rsid w:val="006C2E36"/>
    <w:rsid w:val="006C31C7"/>
    <w:rsid w:val="006C461F"/>
    <w:rsid w:val="006D1063"/>
    <w:rsid w:val="006D15A4"/>
    <w:rsid w:val="006D661D"/>
    <w:rsid w:val="006D73AD"/>
    <w:rsid w:val="006D7B51"/>
    <w:rsid w:val="006E0440"/>
    <w:rsid w:val="006E388E"/>
    <w:rsid w:val="006E469D"/>
    <w:rsid w:val="006E497F"/>
    <w:rsid w:val="006E63A2"/>
    <w:rsid w:val="006F0344"/>
    <w:rsid w:val="006F1A53"/>
    <w:rsid w:val="006F1E0B"/>
    <w:rsid w:val="006F253D"/>
    <w:rsid w:val="006F2D2A"/>
    <w:rsid w:val="006F38FD"/>
    <w:rsid w:val="006F4056"/>
    <w:rsid w:val="006F4CA1"/>
    <w:rsid w:val="006F5322"/>
    <w:rsid w:val="006F5FAC"/>
    <w:rsid w:val="006F6630"/>
    <w:rsid w:val="006F689F"/>
    <w:rsid w:val="006F78AD"/>
    <w:rsid w:val="006F7F4A"/>
    <w:rsid w:val="007004EA"/>
    <w:rsid w:val="00700EE1"/>
    <w:rsid w:val="007015F3"/>
    <w:rsid w:val="00701639"/>
    <w:rsid w:val="0070362A"/>
    <w:rsid w:val="0070380B"/>
    <w:rsid w:val="0070469A"/>
    <w:rsid w:val="00705029"/>
    <w:rsid w:val="00705103"/>
    <w:rsid w:val="00705882"/>
    <w:rsid w:val="007066E2"/>
    <w:rsid w:val="00706CCB"/>
    <w:rsid w:val="00707317"/>
    <w:rsid w:val="00712065"/>
    <w:rsid w:val="00712AC3"/>
    <w:rsid w:val="00713B7A"/>
    <w:rsid w:val="00714287"/>
    <w:rsid w:val="007146EA"/>
    <w:rsid w:val="00720B51"/>
    <w:rsid w:val="00721DAB"/>
    <w:rsid w:val="00723F73"/>
    <w:rsid w:val="00725DCF"/>
    <w:rsid w:val="00727575"/>
    <w:rsid w:val="007276FC"/>
    <w:rsid w:val="00727761"/>
    <w:rsid w:val="00727E32"/>
    <w:rsid w:val="007349BB"/>
    <w:rsid w:val="00734DD3"/>
    <w:rsid w:val="00740809"/>
    <w:rsid w:val="00740987"/>
    <w:rsid w:val="00741340"/>
    <w:rsid w:val="00743192"/>
    <w:rsid w:val="00743263"/>
    <w:rsid w:val="007460BB"/>
    <w:rsid w:val="00747765"/>
    <w:rsid w:val="00747E08"/>
    <w:rsid w:val="00751D1C"/>
    <w:rsid w:val="00751EF0"/>
    <w:rsid w:val="00752123"/>
    <w:rsid w:val="00752418"/>
    <w:rsid w:val="00753977"/>
    <w:rsid w:val="0075410F"/>
    <w:rsid w:val="00755D31"/>
    <w:rsid w:val="00755FA0"/>
    <w:rsid w:val="00756282"/>
    <w:rsid w:val="007574C5"/>
    <w:rsid w:val="00757B8F"/>
    <w:rsid w:val="007615FC"/>
    <w:rsid w:val="00761805"/>
    <w:rsid w:val="00761894"/>
    <w:rsid w:val="00762BB5"/>
    <w:rsid w:val="00762CD1"/>
    <w:rsid w:val="00764109"/>
    <w:rsid w:val="007642DD"/>
    <w:rsid w:val="007642E6"/>
    <w:rsid w:val="00764928"/>
    <w:rsid w:val="007657EB"/>
    <w:rsid w:val="00765998"/>
    <w:rsid w:val="007661F6"/>
    <w:rsid w:val="00767EC3"/>
    <w:rsid w:val="00770ABB"/>
    <w:rsid w:val="00770F44"/>
    <w:rsid w:val="00771D6A"/>
    <w:rsid w:val="0077330E"/>
    <w:rsid w:val="00775F45"/>
    <w:rsid w:val="0078184C"/>
    <w:rsid w:val="007818FB"/>
    <w:rsid w:val="00782BD6"/>
    <w:rsid w:val="00783AD4"/>
    <w:rsid w:val="00784E29"/>
    <w:rsid w:val="00787E67"/>
    <w:rsid w:val="00790912"/>
    <w:rsid w:val="00791F39"/>
    <w:rsid w:val="007923E0"/>
    <w:rsid w:val="0079360E"/>
    <w:rsid w:val="0079442B"/>
    <w:rsid w:val="007952A8"/>
    <w:rsid w:val="00797281"/>
    <w:rsid w:val="007A2782"/>
    <w:rsid w:val="007A2A43"/>
    <w:rsid w:val="007A32E2"/>
    <w:rsid w:val="007A4FAF"/>
    <w:rsid w:val="007A687F"/>
    <w:rsid w:val="007B157A"/>
    <w:rsid w:val="007B2FC7"/>
    <w:rsid w:val="007B37EF"/>
    <w:rsid w:val="007B6516"/>
    <w:rsid w:val="007B6AF9"/>
    <w:rsid w:val="007B72E7"/>
    <w:rsid w:val="007C05DE"/>
    <w:rsid w:val="007C0CBF"/>
    <w:rsid w:val="007C0E99"/>
    <w:rsid w:val="007C0F43"/>
    <w:rsid w:val="007C6CFD"/>
    <w:rsid w:val="007D0909"/>
    <w:rsid w:val="007D1348"/>
    <w:rsid w:val="007D179C"/>
    <w:rsid w:val="007D222C"/>
    <w:rsid w:val="007D280D"/>
    <w:rsid w:val="007D2DA7"/>
    <w:rsid w:val="007D3565"/>
    <w:rsid w:val="007D37D4"/>
    <w:rsid w:val="007D6E02"/>
    <w:rsid w:val="007E08C9"/>
    <w:rsid w:val="007E15D9"/>
    <w:rsid w:val="007E1826"/>
    <w:rsid w:val="007E46F8"/>
    <w:rsid w:val="007E5719"/>
    <w:rsid w:val="007F2BD2"/>
    <w:rsid w:val="007F3EB6"/>
    <w:rsid w:val="007F6FDC"/>
    <w:rsid w:val="007F7012"/>
    <w:rsid w:val="00800210"/>
    <w:rsid w:val="008012E7"/>
    <w:rsid w:val="0080241C"/>
    <w:rsid w:val="00803167"/>
    <w:rsid w:val="00804491"/>
    <w:rsid w:val="00805649"/>
    <w:rsid w:val="00810680"/>
    <w:rsid w:val="008107C4"/>
    <w:rsid w:val="008115B2"/>
    <w:rsid w:val="00811E9B"/>
    <w:rsid w:val="008137B6"/>
    <w:rsid w:val="0081541F"/>
    <w:rsid w:val="008166F3"/>
    <w:rsid w:val="0081684A"/>
    <w:rsid w:val="00816A7E"/>
    <w:rsid w:val="00817BB0"/>
    <w:rsid w:val="00820087"/>
    <w:rsid w:val="00820FC4"/>
    <w:rsid w:val="0082163B"/>
    <w:rsid w:val="00822545"/>
    <w:rsid w:val="00823E5F"/>
    <w:rsid w:val="00825A48"/>
    <w:rsid w:val="00826ED4"/>
    <w:rsid w:val="00832389"/>
    <w:rsid w:val="00834D46"/>
    <w:rsid w:val="00835680"/>
    <w:rsid w:val="00835F1C"/>
    <w:rsid w:val="00836206"/>
    <w:rsid w:val="0083787A"/>
    <w:rsid w:val="00837E1E"/>
    <w:rsid w:val="00840653"/>
    <w:rsid w:val="0084081E"/>
    <w:rsid w:val="008421B7"/>
    <w:rsid w:val="008458E2"/>
    <w:rsid w:val="00846B94"/>
    <w:rsid w:val="00850E01"/>
    <w:rsid w:val="00851767"/>
    <w:rsid w:val="0085242C"/>
    <w:rsid w:val="00853D39"/>
    <w:rsid w:val="008552F8"/>
    <w:rsid w:val="00856F40"/>
    <w:rsid w:val="00857548"/>
    <w:rsid w:val="00857E15"/>
    <w:rsid w:val="008620A1"/>
    <w:rsid w:val="00862457"/>
    <w:rsid w:val="00865CBD"/>
    <w:rsid w:val="00866318"/>
    <w:rsid w:val="0086658E"/>
    <w:rsid w:val="00867654"/>
    <w:rsid w:val="00867A6A"/>
    <w:rsid w:val="008702CB"/>
    <w:rsid w:val="0087337F"/>
    <w:rsid w:val="008753D7"/>
    <w:rsid w:val="00875803"/>
    <w:rsid w:val="00875E25"/>
    <w:rsid w:val="008779D4"/>
    <w:rsid w:val="00877B2F"/>
    <w:rsid w:val="0088125F"/>
    <w:rsid w:val="008823C1"/>
    <w:rsid w:val="00886D05"/>
    <w:rsid w:val="0088783B"/>
    <w:rsid w:val="00891D7E"/>
    <w:rsid w:val="00892FC2"/>
    <w:rsid w:val="008932A4"/>
    <w:rsid w:val="00893FB4"/>
    <w:rsid w:val="00896D89"/>
    <w:rsid w:val="008A0E79"/>
    <w:rsid w:val="008A5859"/>
    <w:rsid w:val="008A585D"/>
    <w:rsid w:val="008B0E6A"/>
    <w:rsid w:val="008B25DB"/>
    <w:rsid w:val="008B3585"/>
    <w:rsid w:val="008B5EFD"/>
    <w:rsid w:val="008B7956"/>
    <w:rsid w:val="008B7E55"/>
    <w:rsid w:val="008C0679"/>
    <w:rsid w:val="008C0A8E"/>
    <w:rsid w:val="008C11BB"/>
    <w:rsid w:val="008C3EF7"/>
    <w:rsid w:val="008C5701"/>
    <w:rsid w:val="008C7774"/>
    <w:rsid w:val="008D1477"/>
    <w:rsid w:val="008D1D4A"/>
    <w:rsid w:val="008D26F3"/>
    <w:rsid w:val="008D3D7F"/>
    <w:rsid w:val="008D49E7"/>
    <w:rsid w:val="008D6749"/>
    <w:rsid w:val="008D69E1"/>
    <w:rsid w:val="008D727E"/>
    <w:rsid w:val="008E0107"/>
    <w:rsid w:val="008E158D"/>
    <w:rsid w:val="008E27A2"/>
    <w:rsid w:val="008E39D6"/>
    <w:rsid w:val="008E3E19"/>
    <w:rsid w:val="008E4318"/>
    <w:rsid w:val="008E7AC8"/>
    <w:rsid w:val="008F2B28"/>
    <w:rsid w:val="008F375D"/>
    <w:rsid w:val="008F39F8"/>
    <w:rsid w:val="008F414D"/>
    <w:rsid w:val="008F574B"/>
    <w:rsid w:val="008F6D05"/>
    <w:rsid w:val="008F6DDC"/>
    <w:rsid w:val="00900AF4"/>
    <w:rsid w:val="00900D4E"/>
    <w:rsid w:val="00900F5C"/>
    <w:rsid w:val="00900F8C"/>
    <w:rsid w:val="009017C8"/>
    <w:rsid w:val="009019FA"/>
    <w:rsid w:val="00902283"/>
    <w:rsid w:val="009028A4"/>
    <w:rsid w:val="009032A1"/>
    <w:rsid w:val="009033D0"/>
    <w:rsid w:val="00903C9D"/>
    <w:rsid w:val="009055A4"/>
    <w:rsid w:val="00906156"/>
    <w:rsid w:val="00907C05"/>
    <w:rsid w:val="009105EF"/>
    <w:rsid w:val="00910A0B"/>
    <w:rsid w:val="009123E8"/>
    <w:rsid w:val="00913629"/>
    <w:rsid w:val="009163B3"/>
    <w:rsid w:val="009178A1"/>
    <w:rsid w:val="009200FE"/>
    <w:rsid w:val="009209AF"/>
    <w:rsid w:val="00925CF6"/>
    <w:rsid w:val="009271FC"/>
    <w:rsid w:val="00927F43"/>
    <w:rsid w:val="00931BE1"/>
    <w:rsid w:val="00935C90"/>
    <w:rsid w:val="00936A27"/>
    <w:rsid w:val="00941154"/>
    <w:rsid w:val="00941CD9"/>
    <w:rsid w:val="009443BF"/>
    <w:rsid w:val="009453A8"/>
    <w:rsid w:val="0094627F"/>
    <w:rsid w:val="009462B9"/>
    <w:rsid w:val="00950BC6"/>
    <w:rsid w:val="00951B55"/>
    <w:rsid w:val="009561AA"/>
    <w:rsid w:val="0095675E"/>
    <w:rsid w:val="00961231"/>
    <w:rsid w:val="00962B19"/>
    <w:rsid w:val="00962B8D"/>
    <w:rsid w:val="00962CB3"/>
    <w:rsid w:val="00963894"/>
    <w:rsid w:val="00964743"/>
    <w:rsid w:val="009648F5"/>
    <w:rsid w:val="009661DF"/>
    <w:rsid w:val="009662DD"/>
    <w:rsid w:val="0097211A"/>
    <w:rsid w:val="00972A93"/>
    <w:rsid w:val="00972D5D"/>
    <w:rsid w:val="00972F74"/>
    <w:rsid w:val="00974936"/>
    <w:rsid w:val="00974AFC"/>
    <w:rsid w:val="00975194"/>
    <w:rsid w:val="009774A2"/>
    <w:rsid w:val="009822E2"/>
    <w:rsid w:val="00983313"/>
    <w:rsid w:val="0098663E"/>
    <w:rsid w:val="00997369"/>
    <w:rsid w:val="0099753C"/>
    <w:rsid w:val="009A04A4"/>
    <w:rsid w:val="009A0D56"/>
    <w:rsid w:val="009A1098"/>
    <w:rsid w:val="009A38CD"/>
    <w:rsid w:val="009A3985"/>
    <w:rsid w:val="009B0932"/>
    <w:rsid w:val="009B0BEE"/>
    <w:rsid w:val="009B33DC"/>
    <w:rsid w:val="009B3E4D"/>
    <w:rsid w:val="009B5939"/>
    <w:rsid w:val="009C0763"/>
    <w:rsid w:val="009C0D78"/>
    <w:rsid w:val="009C1272"/>
    <w:rsid w:val="009C364C"/>
    <w:rsid w:val="009C3708"/>
    <w:rsid w:val="009C4DA3"/>
    <w:rsid w:val="009C52ED"/>
    <w:rsid w:val="009C5641"/>
    <w:rsid w:val="009C6332"/>
    <w:rsid w:val="009C675A"/>
    <w:rsid w:val="009C6D50"/>
    <w:rsid w:val="009C7B52"/>
    <w:rsid w:val="009D1E16"/>
    <w:rsid w:val="009D3451"/>
    <w:rsid w:val="009D70F4"/>
    <w:rsid w:val="009E1360"/>
    <w:rsid w:val="009E21E3"/>
    <w:rsid w:val="009E5B83"/>
    <w:rsid w:val="009F0904"/>
    <w:rsid w:val="009F10FE"/>
    <w:rsid w:val="009F2C2F"/>
    <w:rsid w:val="009F38E1"/>
    <w:rsid w:val="009F3DDE"/>
    <w:rsid w:val="009F570E"/>
    <w:rsid w:val="009F5854"/>
    <w:rsid w:val="009F7255"/>
    <w:rsid w:val="009F7CCE"/>
    <w:rsid w:val="00A00163"/>
    <w:rsid w:val="00A00BC1"/>
    <w:rsid w:val="00A01AC4"/>
    <w:rsid w:val="00A04127"/>
    <w:rsid w:val="00A11D70"/>
    <w:rsid w:val="00A12D75"/>
    <w:rsid w:val="00A135F8"/>
    <w:rsid w:val="00A13EEA"/>
    <w:rsid w:val="00A15FCC"/>
    <w:rsid w:val="00A17206"/>
    <w:rsid w:val="00A2075E"/>
    <w:rsid w:val="00A2125F"/>
    <w:rsid w:val="00A214CD"/>
    <w:rsid w:val="00A23A1D"/>
    <w:rsid w:val="00A257BA"/>
    <w:rsid w:val="00A30349"/>
    <w:rsid w:val="00A325E3"/>
    <w:rsid w:val="00A327C2"/>
    <w:rsid w:val="00A34A95"/>
    <w:rsid w:val="00A35655"/>
    <w:rsid w:val="00A36A5A"/>
    <w:rsid w:val="00A37CA1"/>
    <w:rsid w:val="00A4088A"/>
    <w:rsid w:val="00A408BA"/>
    <w:rsid w:val="00A41575"/>
    <w:rsid w:val="00A439CB"/>
    <w:rsid w:val="00A44688"/>
    <w:rsid w:val="00A44D99"/>
    <w:rsid w:val="00A51DE4"/>
    <w:rsid w:val="00A52B9E"/>
    <w:rsid w:val="00A5311D"/>
    <w:rsid w:val="00A53560"/>
    <w:rsid w:val="00A55DAB"/>
    <w:rsid w:val="00A5763A"/>
    <w:rsid w:val="00A61A15"/>
    <w:rsid w:val="00A627EF"/>
    <w:rsid w:val="00A63004"/>
    <w:rsid w:val="00A64189"/>
    <w:rsid w:val="00A643DE"/>
    <w:rsid w:val="00A64F62"/>
    <w:rsid w:val="00A65B06"/>
    <w:rsid w:val="00A669A2"/>
    <w:rsid w:val="00A675A9"/>
    <w:rsid w:val="00A67E26"/>
    <w:rsid w:val="00A71039"/>
    <w:rsid w:val="00A723FE"/>
    <w:rsid w:val="00A7244B"/>
    <w:rsid w:val="00A81BF6"/>
    <w:rsid w:val="00A82DA2"/>
    <w:rsid w:val="00A8702E"/>
    <w:rsid w:val="00A9389C"/>
    <w:rsid w:val="00A93E8D"/>
    <w:rsid w:val="00A94A72"/>
    <w:rsid w:val="00A95E4E"/>
    <w:rsid w:val="00A95EE7"/>
    <w:rsid w:val="00A96B38"/>
    <w:rsid w:val="00A97A91"/>
    <w:rsid w:val="00A97D78"/>
    <w:rsid w:val="00AA207C"/>
    <w:rsid w:val="00AA270D"/>
    <w:rsid w:val="00AA3246"/>
    <w:rsid w:val="00AA3583"/>
    <w:rsid w:val="00AA42E8"/>
    <w:rsid w:val="00AA5406"/>
    <w:rsid w:val="00AA570A"/>
    <w:rsid w:val="00AA6CF6"/>
    <w:rsid w:val="00AA6D6D"/>
    <w:rsid w:val="00AA7675"/>
    <w:rsid w:val="00AA794D"/>
    <w:rsid w:val="00AA7C75"/>
    <w:rsid w:val="00AB089F"/>
    <w:rsid w:val="00AB1DA0"/>
    <w:rsid w:val="00AB2D05"/>
    <w:rsid w:val="00AB68CC"/>
    <w:rsid w:val="00AB6BAD"/>
    <w:rsid w:val="00AB727D"/>
    <w:rsid w:val="00AC0153"/>
    <w:rsid w:val="00AC0942"/>
    <w:rsid w:val="00AC20AA"/>
    <w:rsid w:val="00AC2765"/>
    <w:rsid w:val="00AC38AD"/>
    <w:rsid w:val="00AC443B"/>
    <w:rsid w:val="00AC6018"/>
    <w:rsid w:val="00AD2B49"/>
    <w:rsid w:val="00AE0436"/>
    <w:rsid w:val="00AE0C90"/>
    <w:rsid w:val="00AE2678"/>
    <w:rsid w:val="00AE5E12"/>
    <w:rsid w:val="00AE708C"/>
    <w:rsid w:val="00AF0019"/>
    <w:rsid w:val="00AF167A"/>
    <w:rsid w:val="00AF3110"/>
    <w:rsid w:val="00AF314F"/>
    <w:rsid w:val="00AF4579"/>
    <w:rsid w:val="00AF4A46"/>
    <w:rsid w:val="00AF599D"/>
    <w:rsid w:val="00AF7C38"/>
    <w:rsid w:val="00B01378"/>
    <w:rsid w:val="00B0223E"/>
    <w:rsid w:val="00B026BB"/>
    <w:rsid w:val="00B036F6"/>
    <w:rsid w:val="00B03731"/>
    <w:rsid w:val="00B042DD"/>
    <w:rsid w:val="00B067D7"/>
    <w:rsid w:val="00B07CBC"/>
    <w:rsid w:val="00B07CDB"/>
    <w:rsid w:val="00B10A5F"/>
    <w:rsid w:val="00B119EB"/>
    <w:rsid w:val="00B12ADA"/>
    <w:rsid w:val="00B13257"/>
    <w:rsid w:val="00B13782"/>
    <w:rsid w:val="00B172EA"/>
    <w:rsid w:val="00B22988"/>
    <w:rsid w:val="00B22CBC"/>
    <w:rsid w:val="00B262EF"/>
    <w:rsid w:val="00B274B8"/>
    <w:rsid w:val="00B307E7"/>
    <w:rsid w:val="00B32532"/>
    <w:rsid w:val="00B3490C"/>
    <w:rsid w:val="00B35117"/>
    <w:rsid w:val="00B35309"/>
    <w:rsid w:val="00B35DA1"/>
    <w:rsid w:val="00B37B79"/>
    <w:rsid w:val="00B44B8D"/>
    <w:rsid w:val="00B4755E"/>
    <w:rsid w:val="00B500DC"/>
    <w:rsid w:val="00B500F1"/>
    <w:rsid w:val="00B518E2"/>
    <w:rsid w:val="00B53ED7"/>
    <w:rsid w:val="00B54B1B"/>
    <w:rsid w:val="00B55518"/>
    <w:rsid w:val="00B557D2"/>
    <w:rsid w:val="00B55C27"/>
    <w:rsid w:val="00B55EFB"/>
    <w:rsid w:val="00B57E40"/>
    <w:rsid w:val="00B62928"/>
    <w:rsid w:val="00B63822"/>
    <w:rsid w:val="00B6428C"/>
    <w:rsid w:val="00B6693A"/>
    <w:rsid w:val="00B6750C"/>
    <w:rsid w:val="00B67540"/>
    <w:rsid w:val="00B7034E"/>
    <w:rsid w:val="00B707F4"/>
    <w:rsid w:val="00B70D89"/>
    <w:rsid w:val="00B70F31"/>
    <w:rsid w:val="00B72EDA"/>
    <w:rsid w:val="00B7359F"/>
    <w:rsid w:val="00B75303"/>
    <w:rsid w:val="00B76968"/>
    <w:rsid w:val="00B77A2A"/>
    <w:rsid w:val="00B80BB0"/>
    <w:rsid w:val="00B8113A"/>
    <w:rsid w:val="00B81B85"/>
    <w:rsid w:val="00B8248C"/>
    <w:rsid w:val="00B82E02"/>
    <w:rsid w:val="00B84002"/>
    <w:rsid w:val="00B84C5B"/>
    <w:rsid w:val="00B84D90"/>
    <w:rsid w:val="00B84F25"/>
    <w:rsid w:val="00B84F8F"/>
    <w:rsid w:val="00B85A78"/>
    <w:rsid w:val="00B90581"/>
    <w:rsid w:val="00B91B01"/>
    <w:rsid w:val="00B93AE0"/>
    <w:rsid w:val="00B93E20"/>
    <w:rsid w:val="00B96795"/>
    <w:rsid w:val="00B96953"/>
    <w:rsid w:val="00BA1BE1"/>
    <w:rsid w:val="00BA31A2"/>
    <w:rsid w:val="00BA4149"/>
    <w:rsid w:val="00BA4C23"/>
    <w:rsid w:val="00BA4CDE"/>
    <w:rsid w:val="00BA61CA"/>
    <w:rsid w:val="00BB1306"/>
    <w:rsid w:val="00BB13AF"/>
    <w:rsid w:val="00BB14B3"/>
    <w:rsid w:val="00BB20D2"/>
    <w:rsid w:val="00BB520F"/>
    <w:rsid w:val="00BC0078"/>
    <w:rsid w:val="00BC0B60"/>
    <w:rsid w:val="00BC0EAE"/>
    <w:rsid w:val="00BC3ACE"/>
    <w:rsid w:val="00BD36A5"/>
    <w:rsid w:val="00BD3713"/>
    <w:rsid w:val="00BD5225"/>
    <w:rsid w:val="00BD5D2E"/>
    <w:rsid w:val="00BD5E9D"/>
    <w:rsid w:val="00BD6527"/>
    <w:rsid w:val="00BD68F2"/>
    <w:rsid w:val="00BD7386"/>
    <w:rsid w:val="00BD75E2"/>
    <w:rsid w:val="00BE1878"/>
    <w:rsid w:val="00BE25B1"/>
    <w:rsid w:val="00BE2A8D"/>
    <w:rsid w:val="00BE3D6E"/>
    <w:rsid w:val="00BE4577"/>
    <w:rsid w:val="00BE523E"/>
    <w:rsid w:val="00BE5504"/>
    <w:rsid w:val="00BE61AA"/>
    <w:rsid w:val="00BE78C4"/>
    <w:rsid w:val="00BE7A46"/>
    <w:rsid w:val="00BF4143"/>
    <w:rsid w:val="00BF55F0"/>
    <w:rsid w:val="00BF5B1E"/>
    <w:rsid w:val="00BF6551"/>
    <w:rsid w:val="00BF70F1"/>
    <w:rsid w:val="00C01D93"/>
    <w:rsid w:val="00C0339E"/>
    <w:rsid w:val="00C0480F"/>
    <w:rsid w:val="00C07898"/>
    <w:rsid w:val="00C12A63"/>
    <w:rsid w:val="00C13694"/>
    <w:rsid w:val="00C13C33"/>
    <w:rsid w:val="00C14669"/>
    <w:rsid w:val="00C156FE"/>
    <w:rsid w:val="00C16582"/>
    <w:rsid w:val="00C20043"/>
    <w:rsid w:val="00C209D1"/>
    <w:rsid w:val="00C2117B"/>
    <w:rsid w:val="00C2150F"/>
    <w:rsid w:val="00C23651"/>
    <w:rsid w:val="00C23801"/>
    <w:rsid w:val="00C25DAF"/>
    <w:rsid w:val="00C2644C"/>
    <w:rsid w:val="00C27066"/>
    <w:rsid w:val="00C279DC"/>
    <w:rsid w:val="00C3054D"/>
    <w:rsid w:val="00C30CC0"/>
    <w:rsid w:val="00C31BC2"/>
    <w:rsid w:val="00C33516"/>
    <w:rsid w:val="00C34E9F"/>
    <w:rsid w:val="00C3582D"/>
    <w:rsid w:val="00C40F1B"/>
    <w:rsid w:val="00C418AC"/>
    <w:rsid w:val="00C420F0"/>
    <w:rsid w:val="00C42795"/>
    <w:rsid w:val="00C42CCF"/>
    <w:rsid w:val="00C44724"/>
    <w:rsid w:val="00C45FD3"/>
    <w:rsid w:val="00C5441E"/>
    <w:rsid w:val="00C553E7"/>
    <w:rsid w:val="00C558E8"/>
    <w:rsid w:val="00C62276"/>
    <w:rsid w:val="00C62706"/>
    <w:rsid w:val="00C65B25"/>
    <w:rsid w:val="00C70F2D"/>
    <w:rsid w:val="00C73E2F"/>
    <w:rsid w:val="00C74D7F"/>
    <w:rsid w:val="00C754FC"/>
    <w:rsid w:val="00C75C2A"/>
    <w:rsid w:val="00C776BD"/>
    <w:rsid w:val="00C779E6"/>
    <w:rsid w:val="00C77AE2"/>
    <w:rsid w:val="00C8011F"/>
    <w:rsid w:val="00C80236"/>
    <w:rsid w:val="00C8066C"/>
    <w:rsid w:val="00C84EA9"/>
    <w:rsid w:val="00C85E29"/>
    <w:rsid w:val="00C860C0"/>
    <w:rsid w:val="00C916AB"/>
    <w:rsid w:val="00C92875"/>
    <w:rsid w:val="00C934BD"/>
    <w:rsid w:val="00C9406C"/>
    <w:rsid w:val="00C944EA"/>
    <w:rsid w:val="00C978FB"/>
    <w:rsid w:val="00CA0057"/>
    <w:rsid w:val="00CA0CBA"/>
    <w:rsid w:val="00CA3CBB"/>
    <w:rsid w:val="00CA57B1"/>
    <w:rsid w:val="00CA5ACD"/>
    <w:rsid w:val="00CA61E0"/>
    <w:rsid w:val="00CA7018"/>
    <w:rsid w:val="00CA7D53"/>
    <w:rsid w:val="00CB0979"/>
    <w:rsid w:val="00CB2A95"/>
    <w:rsid w:val="00CB333A"/>
    <w:rsid w:val="00CB3E8F"/>
    <w:rsid w:val="00CB3ECD"/>
    <w:rsid w:val="00CB766B"/>
    <w:rsid w:val="00CB7F30"/>
    <w:rsid w:val="00CC002A"/>
    <w:rsid w:val="00CC1A7F"/>
    <w:rsid w:val="00CC2CAB"/>
    <w:rsid w:val="00CC511A"/>
    <w:rsid w:val="00CC5258"/>
    <w:rsid w:val="00CC7850"/>
    <w:rsid w:val="00CD1CCF"/>
    <w:rsid w:val="00CD1D2D"/>
    <w:rsid w:val="00CD360B"/>
    <w:rsid w:val="00CD51A8"/>
    <w:rsid w:val="00CE0790"/>
    <w:rsid w:val="00CE3055"/>
    <w:rsid w:val="00CE45A9"/>
    <w:rsid w:val="00CE5726"/>
    <w:rsid w:val="00CE612C"/>
    <w:rsid w:val="00CE7AEE"/>
    <w:rsid w:val="00CF0403"/>
    <w:rsid w:val="00CF08FB"/>
    <w:rsid w:val="00CF23D4"/>
    <w:rsid w:val="00CF2E53"/>
    <w:rsid w:val="00CF33FD"/>
    <w:rsid w:val="00CF5931"/>
    <w:rsid w:val="00CF5E19"/>
    <w:rsid w:val="00D0121A"/>
    <w:rsid w:val="00D01531"/>
    <w:rsid w:val="00D05976"/>
    <w:rsid w:val="00D05D25"/>
    <w:rsid w:val="00D06677"/>
    <w:rsid w:val="00D12B84"/>
    <w:rsid w:val="00D1459E"/>
    <w:rsid w:val="00D15697"/>
    <w:rsid w:val="00D1579B"/>
    <w:rsid w:val="00D169BA"/>
    <w:rsid w:val="00D20B3F"/>
    <w:rsid w:val="00D239AF"/>
    <w:rsid w:val="00D24867"/>
    <w:rsid w:val="00D24ED8"/>
    <w:rsid w:val="00D27228"/>
    <w:rsid w:val="00D30EDA"/>
    <w:rsid w:val="00D31ACE"/>
    <w:rsid w:val="00D31E07"/>
    <w:rsid w:val="00D329F1"/>
    <w:rsid w:val="00D339A9"/>
    <w:rsid w:val="00D33F03"/>
    <w:rsid w:val="00D34060"/>
    <w:rsid w:val="00D34CD1"/>
    <w:rsid w:val="00D35407"/>
    <w:rsid w:val="00D35C97"/>
    <w:rsid w:val="00D36347"/>
    <w:rsid w:val="00D36786"/>
    <w:rsid w:val="00D3712A"/>
    <w:rsid w:val="00D45B8F"/>
    <w:rsid w:val="00D47312"/>
    <w:rsid w:val="00D47AF7"/>
    <w:rsid w:val="00D524EF"/>
    <w:rsid w:val="00D53B21"/>
    <w:rsid w:val="00D54104"/>
    <w:rsid w:val="00D54B58"/>
    <w:rsid w:val="00D55672"/>
    <w:rsid w:val="00D56D45"/>
    <w:rsid w:val="00D56FC4"/>
    <w:rsid w:val="00D60B8F"/>
    <w:rsid w:val="00D611BB"/>
    <w:rsid w:val="00D629DE"/>
    <w:rsid w:val="00D62E7F"/>
    <w:rsid w:val="00D63194"/>
    <w:rsid w:val="00D63689"/>
    <w:rsid w:val="00D63F95"/>
    <w:rsid w:val="00D66A0A"/>
    <w:rsid w:val="00D729E3"/>
    <w:rsid w:val="00D74528"/>
    <w:rsid w:val="00D77426"/>
    <w:rsid w:val="00D77FC8"/>
    <w:rsid w:val="00D809AA"/>
    <w:rsid w:val="00D81C2C"/>
    <w:rsid w:val="00D85756"/>
    <w:rsid w:val="00D86381"/>
    <w:rsid w:val="00D867D9"/>
    <w:rsid w:val="00D868D3"/>
    <w:rsid w:val="00D9080F"/>
    <w:rsid w:val="00D90E72"/>
    <w:rsid w:val="00D9164C"/>
    <w:rsid w:val="00D91CDF"/>
    <w:rsid w:val="00D91E18"/>
    <w:rsid w:val="00D92BF8"/>
    <w:rsid w:val="00D93DB3"/>
    <w:rsid w:val="00D952FB"/>
    <w:rsid w:val="00DA00AA"/>
    <w:rsid w:val="00DA2867"/>
    <w:rsid w:val="00DA399A"/>
    <w:rsid w:val="00DA5D0A"/>
    <w:rsid w:val="00DA6EE1"/>
    <w:rsid w:val="00DB0C84"/>
    <w:rsid w:val="00DB0D79"/>
    <w:rsid w:val="00DB1C2A"/>
    <w:rsid w:val="00DB22C0"/>
    <w:rsid w:val="00DB4B8B"/>
    <w:rsid w:val="00DB6733"/>
    <w:rsid w:val="00DB7FFB"/>
    <w:rsid w:val="00DC25E1"/>
    <w:rsid w:val="00DC3589"/>
    <w:rsid w:val="00DC430D"/>
    <w:rsid w:val="00DC4643"/>
    <w:rsid w:val="00DC5294"/>
    <w:rsid w:val="00DC741B"/>
    <w:rsid w:val="00DD1960"/>
    <w:rsid w:val="00DD1F6F"/>
    <w:rsid w:val="00DD2208"/>
    <w:rsid w:val="00DD23A9"/>
    <w:rsid w:val="00DD32A5"/>
    <w:rsid w:val="00DD363C"/>
    <w:rsid w:val="00DD5BE9"/>
    <w:rsid w:val="00DE2134"/>
    <w:rsid w:val="00DE2B21"/>
    <w:rsid w:val="00DE2EAE"/>
    <w:rsid w:val="00DE3B6C"/>
    <w:rsid w:val="00DE5100"/>
    <w:rsid w:val="00DE5465"/>
    <w:rsid w:val="00DE694A"/>
    <w:rsid w:val="00DE715E"/>
    <w:rsid w:val="00DE7F3C"/>
    <w:rsid w:val="00DF0271"/>
    <w:rsid w:val="00DF0E16"/>
    <w:rsid w:val="00DF27BC"/>
    <w:rsid w:val="00DF298F"/>
    <w:rsid w:val="00DF3774"/>
    <w:rsid w:val="00DF67DA"/>
    <w:rsid w:val="00DF7125"/>
    <w:rsid w:val="00DF77BB"/>
    <w:rsid w:val="00E00BA1"/>
    <w:rsid w:val="00E019E9"/>
    <w:rsid w:val="00E01E12"/>
    <w:rsid w:val="00E02020"/>
    <w:rsid w:val="00E0227D"/>
    <w:rsid w:val="00E03A7D"/>
    <w:rsid w:val="00E06A3F"/>
    <w:rsid w:val="00E06DB2"/>
    <w:rsid w:val="00E1138C"/>
    <w:rsid w:val="00E11B09"/>
    <w:rsid w:val="00E12AFD"/>
    <w:rsid w:val="00E157A8"/>
    <w:rsid w:val="00E161E9"/>
    <w:rsid w:val="00E179DD"/>
    <w:rsid w:val="00E17FA1"/>
    <w:rsid w:val="00E218E6"/>
    <w:rsid w:val="00E2331B"/>
    <w:rsid w:val="00E272E8"/>
    <w:rsid w:val="00E27D3F"/>
    <w:rsid w:val="00E32319"/>
    <w:rsid w:val="00E34AA0"/>
    <w:rsid w:val="00E36324"/>
    <w:rsid w:val="00E36501"/>
    <w:rsid w:val="00E37B69"/>
    <w:rsid w:val="00E4228A"/>
    <w:rsid w:val="00E45A35"/>
    <w:rsid w:val="00E45FD4"/>
    <w:rsid w:val="00E46D62"/>
    <w:rsid w:val="00E471BC"/>
    <w:rsid w:val="00E510F4"/>
    <w:rsid w:val="00E511B2"/>
    <w:rsid w:val="00E529F6"/>
    <w:rsid w:val="00E53C77"/>
    <w:rsid w:val="00E53DA2"/>
    <w:rsid w:val="00E54D4B"/>
    <w:rsid w:val="00E5626D"/>
    <w:rsid w:val="00E6170C"/>
    <w:rsid w:val="00E61A60"/>
    <w:rsid w:val="00E627C9"/>
    <w:rsid w:val="00E636EE"/>
    <w:rsid w:val="00E64CAE"/>
    <w:rsid w:val="00E676B7"/>
    <w:rsid w:val="00E67AC3"/>
    <w:rsid w:val="00E67BE0"/>
    <w:rsid w:val="00E67C01"/>
    <w:rsid w:val="00E67CDF"/>
    <w:rsid w:val="00E67F1B"/>
    <w:rsid w:val="00E722AD"/>
    <w:rsid w:val="00E727D5"/>
    <w:rsid w:val="00E73EA2"/>
    <w:rsid w:val="00E76557"/>
    <w:rsid w:val="00E80589"/>
    <w:rsid w:val="00E80D94"/>
    <w:rsid w:val="00E8152E"/>
    <w:rsid w:val="00E8287D"/>
    <w:rsid w:val="00E8538E"/>
    <w:rsid w:val="00E90DE8"/>
    <w:rsid w:val="00E92CCF"/>
    <w:rsid w:val="00E94CD6"/>
    <w:rsid w:val="00E95B44"/>
    <w:rsid w:val="00E96474"/>
    <w:rsid w:val="00E97CAB"/>
    <w:rsid w:val="00E97D2C"/>
    <w:rsid w:val="00E97DBA"/>
    <w:rsid w:val="00EA02C7"/>
    <w:rsid w:val="00EA0E9B"/>
    <w:rsid w:val="00EA0EEB"/>
    <w:rsid w:val="00EA195D"/>
    <w:rsid w:val="00EA1A5F"/>
    <w:rsid w:val="00EA1F0A"/>
    <w:rsid w:val="00EA38A1"/>
    <w:rsid w:val="00EA57C1"/>
    <w:rsid w:val="00EA7776"/>
    <w:rsid w:val="00EB156E"/>
    <w:rsid w:val="00EB7546"/>
    <w:rsid w:val="00EC01AB"/>
    <w:rsid w:val="00EC2334"/>
    <w:rsid w:val="00EC3B71"/>
    <w:rsid w:val="00EC4F5C"/>
    <w:rsid w:val="00EC629B"/>
    <w:rsid w:val="00EC6DBF"/>
    <w:rsid w:val="00EC7099"/>
    <w:rsid w:val="00EC79AF"/>
    <w:rsid w:val="00ED1347"/>
    <w:rsid w:val="00ED1CA1"/>
    <w:rsid w:val="00ED2359"/>
    <w:rsid w:val="00ED35DE"/>
    <w:rsid w:val="00ED37D5"/>
    <w:rsid w:val="00ED39EF"/>
    <w:rsid w:val="00ED3F20"/>
    <w:rsid w:val="00ED47D9"/>
    <w:rsid w:val="00ED4D22"/>
    <w:rsid w:val="00ED5CBF"/>
    <w:rsid w:val="00ED611D"/>
    <w:rsid w:val="00ED741E"/>
    <w:rsid w:val="00ED7B00"/>
    <w:rsid w:val="00EE03E7"/>
    <w:rsid w:val="00EE1CAB"/>
    <w:rsid w:val="00EE4C28"/>
    <w:rsid w:val="00EE5E88"/>
    <w:rsid w:val="00EE65DD"/>
    <w:rsid w:val="00EE69C1"/>
    <w:rsid w:val="00EF495A"/>
    <w:rsid w:val="00EF56E0"/>
    <w:rsid w:val="00EF64C4"/>
    <w:rsid w:val="00F00E82"/>
    <w:rsid w:val="00F02F4A"/>
    <w:rsid w:val="00F03C07"/>
    <w:rsid w:val="00F05C29"/>
    <w:rsid w:val="00F05F16"/>
    <w:rsid w:val="00F06DB5"/>
    <w:rsid w:val="00F0741D"/>
    <w:rsid w:val="00F1166F"/>
    <w:rsid w:val="00F123D4"/>
    <w:rsid w:val="00F12D23"/>
    <w:rsid w:val="00F12E9A"/>
    <w:rsid w:val="00F13002"/>
    <w:rsid w:val="00F138AF"/>
    <w:rsid w:val="00F15E19"/>
    <w:rsid w:val="00F16E77"/>
    <w:rsid w:val="00F20B58"/>
    <w:rsid w:val="00F217E3"/>
    <w:rsid w:val="00F23066"/>
    <w:rsid w:val="00F23F00"/>
    <w:rsid w:val="00F2590E"/>
    <w:rsid w:val="00F2794E"/>
    <w:rsid w:val="00F27C53"/>
    <w:rsid w:val="00F303AC"/>
    <w:rsid w:val="00F3042D"/>
    <w:rsid w:val="00F325EB"/>
    <w:rsid w:val="00F36E83"/>
    <w:rsid w:val="00F37EEE"/>
    <w:rsid w:val="00F40DC7"/>
    <w:rsid w:val="00F44945"/>
    <w:rsid w:val="00F44BFC"/>
    <w:rsid w:val="00F45C96"/>
    <w:rsid w:val="00F46525"/>
    <w:rsid w:val="00F46B40"/>
    <w:rsid w:val="00F50D96"/>
    <w:rsid w:val="00F5272A"/>
    <w:rsid w:val="00F52CAC"/>
    <w:rsid w:val="00F5318F"/>
    <w:rsid w:val="00F544A8"/>
    <w:rsid w:val="00F557AB"/>
    <w:rsid w:val="00F563AA"/>
    <w:rsid w:val="00F563C1"/>
    <w:rsid w:val="00F56ABB"/>
    <w:rsid w:val="00F5754B"/>
    <w:rsid w:val="00F60B50"/>
    <w:rsid w:val="00F623D1"/>
    <w:rsid w:val="00F637D6"/>
    <w:rsid w:val="00F6594A"/>
    <w:rsid w:val="00F66DF8"/>
    <w:rsid w:val="00F66F3E"/>
    <w:rsid w:val="00F71A4D"/>
    <w:rsid w:val="00F7773B"/>
    <w:rsid w:val="00F80DFA"/>
    <w:rsid w:val="00F80EE9"/>
    <w:rsid w:val="00F85395"/>
    <w:rsid w:val="00F85523"/>
    <w:rsid w:val="00F85A6E"/>
    <w:rsid w:val="00F916A2"/>
    <w:rsid w:val="00F931A3"/>
    <w:rsid w:val="00F93749"/>
    <w:rsid w:val="00F95C4D"/>
    <w:rsid w:val="00F96AC4"/>
    <w:rsid w:val="00F97889"/>
    <w:rsid w:val="00FA18C9"/>
    <w:rsid w:val="00FA2BB8"/>
    <w:rsid w:val="00FA469C"/>
    <w:rsid w:val="00FA5D69"/>
    <w:rsid w:val="00FA6425"/>
    <w:rsid w:val="00FA7100"/>
    <w:rsid w:val="00FB1643"/>
    <w:rsid w:val="00FB1D0F"/>
    <w:rsid w:val="00FB1DA1"/>
    <w:rsid w:val="00FB61F7"/>
    <w:rsid w:val="00FB704A"/>
    <w:rsid w:val="00FC00E7"/>
    <w:rsid w:val="00FC07CD"/>
    <w:rsid w:val="00FC0F68"/>
    <w:rsid w:val="00FC13B1"/>
    <w:rsid w:val="00FC1C5F"/>
    <w:rsid w:val="00FC1E00"/>
    <w:rsid w:val="00FC39BA"/>
    <w:rsid w:val="00FC3BEC"/>
    <w:rsid w:val="00FC544E"/>
    <w:rsid w:val="00FC5682"/>
    <w:rsid w:val="00FC69C9"/>
    <w:rsid w:val="00FC6F25"/>
    <w:rsid w:val="00FC7AF1"/>
    <w:rsid w:val="00FD208C"/>
    <w:rsid w:val="00FD3CA3"/>
    <w:rsid w:val="00FD4AE0"/>
    <w:rsid w:val="00FD6B07"/>
    <w:rsid w:val="00FD7031"/>
    <w:rsid w:val="00FD7CF9"/>
    <w:rsid w:val="00FE0D99"/>
    <w:rsid w:val="00FE312D"/>
    <w:rsid w:val="00FE3617"/>
    <w:rsid w:val="00FE3E05"/>
    <w:rsid w:val="00FE413E"/>
    <w:rsid w:val="00FE4B56"/>
    <w:rsid w:val="00FE57D4"/>
    <w:rsid w:val="00FE610C"/>
    <w:rsid w:val="00FE6A71"/>
    <w:rsid w:val="00FE793F"/>
    <w:rsid w:val="00FF092F"/>
    <w:rsid w:val="00FF2317"/>
    <w:rsid w:val="00FF2844"/>
    <w:rsid w:val="00FF324B"/>
    <w:rsid w:val="00FF36D0"/>
    <w:rsid w:val="00FF4B5D"/>
    <w:rsid w:val="00FF5E09"/>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date"/>
  <w:smartTagType w:namespaceuri="urn:schemas-microsoft-com:office:smarttags" w:name="stockticker"/>
  <w:shapeDefaults>
    <o:shapedefaults v:ext="edit" spidmax="116737"/>
    <o:shapelayout v:ext="edit">
      <o:idmap v:ext="edit" data="1"/>
    </o:shapelayout>
  </w:shapeDefaults>
  <w:decimalSymbol w:val="."/>
  <w:listSeparator w:val=","/>
  <w14:docId w14:val="0FA22E11"/>
  <w15:chartTrackingRefBased/>
  <w15:docId w15:val="{F9466888-7762-4609-AA37-D2802668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D81"/>
    <w:rPr>
      <w:sz w:val="24"/>
    </w:rPr>
  </w:style>
  <w:style w:type="paragraph" w:styleId="Heading1">
    <w:name w:val="heading 1"/>
    <w:aliases w:val="h1"/>
    <w:basedOn w:val="Normal"/>
    <w:next w:val="BodyText"/>
    <w:qFormat/>
    <w:rsid w:val="00FC1C5F"/>
    <w:pPr>
      <w:keepNext/>
      <w:numPr>
        <w:numId w:val="1"/>
      </w:numPr>
      <w:spacing w:after="240"/>
      <w:outlineLvl w:val="0"/>
    </w:pPr>
    <w:rPr>
      <w:b/>
      <w:caps/>
    </w:rPr>
  </w:style>
  <w:style w:type="paragraph" w:styleId="Heading2">
    <w:name w:val="heading 2"/>
    <w:basedOn w:val="Normal"/>
    <w:next w:val="BodyText"/>
    <w:qFormat/>
    <w:rsid w:val="00FC1C5F"/>
    <w:pPr>
      <w:keepNext/>
      <w:numPr>
        <w:ilvl w:val="1"/>
        <w:numId w:val="1"/>
      </w:numPr>
      <w:tabs>
        <w:tab w:val="left" w:pos="720"/>
      </w:tabs>
      <w:spacing w:before="240" w:after="240"/>
      <w:outlineLvl w:val="1"/>
    </w:pPr>
    <w:rPr>
      <w:b/>
    </w:rPr>
  </w:style>
  <w:style w:type="paragraph" w:styleId="Heading3">
    <w:name w:val="heading 3"/>
    <w:basedOn w:val="Normal"/>
    <w:next w:val="BodyText"/>
    <w:link w:val="Heading3Char"/>
    <w:qFormat/>
    <w:rsid w:val="00FC1C5F"/>
    <w:pPr>
      <w:keepNext/>
      <w:numPr>
        <w:ilvl w:val="2"/>
        <w:numId w:val="1"/>
      </w:numPr>
      <w:tabs>
        <w:tab w:val="left" w:pos="1008"/>
      </w:tabs>
      <w:spacing w:before="240" w:after="240"/>
      <w:outlineLvl w:val="2"/>
    </w:pPr>
    <w:rPr>
      <w:b/>
      <w:bCs/>
      <w:i/>
    </w:rPr>
  </w:style>
  <w:style w:type="paragraph" w:styleId="Heading4">
    <w:name w:val="heading 4"/>
    <w:aliases w:val=" Char"/>
    <w:basedOn w:val="Normal"/>
    <w:next w:val="BodyText"/>
    <w:link w:val="Heading4Char"/>
    <w:qFormat/>
    <w:rsid w:val="00FC1C5F"/>
    <w:pPr>
      <w:keepNext/>
      <w:widowControl w:val="0"/>
      <w:numPr>
        <w:ilvl w:val="3"/>
        <w:numId w:val="1"/>
      </w:numPr>
      <w:tabs>
        <w:tab w:val="left" w:pos="1296"/>
      </w:tabs>
      <w:spacing w:before="240" w:after="240"/>
      <w:outlineLvl w:val="3"/>
    </w:pPr>
    <w:rPr>
      <w:b/>
      <w:bCs/>
      <w:snapToGrid w:val="0"/>
    </w:rPr>
  </w:style>
  <w:style w:type="paragraph" w:styleId="Heading5">
    <w:name w:val="heading 5"/>
    <w:basedOn w:val="Normal"/>
    <w:next w:val="BodyText"/>
    <w:qFormat/>
    <w:rsid w:val="00FC1C5F"/>
    <w:pPr>
      <w:keepNext/>
      <w:numPr>
        <w:ilvl w:val="4"/>
        <w:numId w:val="1"/>
      </w:numPr>
      <w:tabs>
        <w:tab w:val="left" w:pos="1440"/>
      </w:tabs>
      <w:spacing w:before="240" w:after="240"/>
      <w:outlineLvl w:val="4"/>
    </w:pPr>
    <w:rPr>
      <w:b/>
      <w:bCs/>
      <w:i/>
      <w:iCs/>
      <w:szCs w:val="26"/>
    </w:rPr>
  </w:style>
  <w:style w:type="paragraph" w:styleId="Heading6">
    <w:name w:val="heading 6"/>
    <w:basedOn w:val="Normal"/>
    <w:next w:val="BodyText"/>
    <w:qFormat/>
    <w:rsid w:val="00FC1C5F"/>
    <w:pPr>
      <w:keepNext/>
      <w:numPr>
        <w:ilvl w:val="5"/>
        <w:numId w:val="1"/>
      </w:numPr>
      <w:tabs>
        <w:tab w:val="left" w:pos="1584"/>
      </w:tabs>
      <w:spacing w:before="240" w:after="240"/>
      <w:outlineLvl w:val="5"/>
    </w:pPr>
    <w:rPr>
      <w:b/>
      <w:bCs/>
      <w:szCs w:val="22"/>
    </w:rPr>
  </w:style>
  <w:style w:type="paragraph" w:styleId="Heading7">
    <w:name w:val="heading 7"/>
    <w:basedOn w:val="Normal"/>
    <w:next w:val="BodyText"/>
    <w:qFormat/>
    <w:rsid w:val="00FC1C5F"/>
    <w:pPr>
      <w:keepNext/>
      <w:numPr>
        <w:ilvl w:val="6"/>
        <w:numId w:val="1"/>
      </w:numPr>
      <w:tabs>
        <w:tab w:val="left" w:pos="1728"/>
      </w:tabs>
      <w:spacing w:before="240" w:after="240"/>
      <w:outlineLvl w:val="6"/>
    </w:pPr>
    <w:rPr>
      <w:szCs w:val="24"/>
    </w:rPr>
  </w:style>
  <w:style w:type="paragraph" w:styleId="Heading8">
    <w:name w:val="heading 8"/>
    <w:basedOn w:val="Normal"/>
    <w:next w:val="BodyText"/>
    <w:qFormat/>
    <w:rsid w:val="00FC1C5F"/>
    <w:pPr>
      <w:keepNext/>
      <w:numPr>
        <w:ilvl w:val="7"/>
        <w:numId w:val="1"/>
      </w:numPr>
      <w:tabs>
        <w:tab w:val="left" w:pos="1872"/>
      </w:tabs>
      <w:spacing w:before="240" w:after="240"/>
      <w:outlineLvl w:val="7"/>
    </w:pPr>
    <w:rPr>
      <w:i/>
      <w:iCs/>
      <w:szCs w:val="24"/>
    </w:rPr>
  </w:style>
  <w:style w:type="paragraph" w:styleId="Heading9">
    <w:name w:val="heading 9"/>
    <w:basedOn w:val="Normal"/>
    <w:next w:val="BodyText"/>
    <w:qFormat/>
    <w:rsid w:val="00FC1C5F"/>
    <w:pPr>
      <w:keepNext/>
      <w:numPr>
        <w:ilvl w:val="8"/>
        <w:numId w:val="1"/>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1"/>
    <w:rsid w:val="00FC1C5F"/>
    <w:pPr>
      <w:spacing w:after="240"/>
    </w:pPr>
    <w:rPr>
      <w:iCs/>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FC1C5F"/>
    <w:rPr>
      <w:iCs/>
      <w:sz w:val="24"/>
      <w:lang w:val="en-US" w:eastAsia="en-US" w:bidi="ar-SA"/>
    </w:rPr>
  </w:style>
  <w:style w:type="character" w:customStyle="1" w:styleId="Heading4Char">
    <w:name w:val="Heading 4 Char"/>
    <w:aliases w:val=" Char Char"/>
    <w:link w:val="Heading4"/>
    <w:rsid w:val="00FC1C5F"/>
    <w:rPr>
      <w:b/>
      <w:bCs/>
      <w:snapToGrid w:val="0"/>
      <w:sz w:val="24"/>
      <w:lang w:val="en-US" w:eastAsia="en-US" w:bidi="ar-SA"/>
    </w:rPr>
  </w:style>
  <w:style w:type="paragraph" w:customStyle="1" w:styleId="Instructions">
    <w:name w:val="Instructions"/>
    <w:basedOn w:val="BodyText"/>
    <w:link w:val="InstructionsChar"/>
    <w:rsid w:val="00FC1C5F"/>
    <w:rPr>
      <w:b/>
      <w:i/>
      <w:iCs w:val="0"/>
      <w:szCs w:val="24"/>
    </w:rPr>
  </w:style>
  <w:style w:type="character" w:customStyle="1" w:styleId="InstructionsChar">
    <w:name w:val="Instructions Char"/>
    <w:link w:val="Instructions"/>
    <w:rsid w:val="00FC1C5F"/>
    <w:rPr>
      <w:b/>
      <w:i/>
      <w:iCs w:val="0"/>
      <w:sz w:val="24"/>
      <w:szCs w:val="24"/>
      <w:lang w:val="en-US" w:eastAsia="en-US" w:bidi="ar-SA"/>
    </w:rPr>
  </w:style>
  <w:style w:type="paragraph" w:styleId="List">
    <w:name w:val="List"/>
    <w:aliases w:val=" Char2 Char Char Char Char, Char2 Char"/>
    <w:basedOn w:val="Normal"/>
    <w:link w:val="ListChar"/>
    <w:rsid w:val="00FC1C5F"/>
    <w:pPr>
      <w:spacing w:after="240"/>
      <w:ind w:left="1440" w:hanging="720"/>
    </w:pPr>
  </w:style>
  <w:style w:type="character" w:customStyle="1" w:styleId="ListChar">
    <w:name w:val="List Char"/>
    <w:aliases w:val=" Char2 Char Char Char Char Char, Char2 Char Char"/>
    <w:link w:val="List"/>
    <w:rsid w:val="00FC1C5F"/>
    <w:rPr>
      <w:sz w:val="24"/>
      <w:lang w:val="en-US" w:eastAsia="en-US" w:bidi="ar-SA"/>
    </w:rPr>
  </w:style>
  <w:style w:type="paragraph" w:styleId="BodyTextIndent">
    <w:name w:val="Body Text Indent"/>
    <w:aliases w:val=" Char1"/>
    <w:basedOn w:val="Normal"/>
    <w:link w:val="BodyTextIndentChar"/>
    <w:rsid w:val="00FC1C5F"/>
    <w:pPr>
      <w:spacing w:after="240"/>
      <w:ind w:left="720"/>
    </w:pPr>
    <w:rPr>
      <w:iCs/>
    </w:rPr>
  </w:style>
  <w:style w:type="character" w:customStyle="1" w:styleId="BodyTextIndentChar">
    <w:name w:val="Body Text Indent Char"/>
    <w:aliases w:val=" Char1 Char"/>
    <w:link w:val="BodyTextIndent"/>
    <w:rsid w:val="00FC1C5F"/>
    <w:rPr>
      <w:iCs/>
      <w:sz w:val="24"/>
      <w:lang w:val="en-US" w:eastAsia="en-US" w:bidi="ar-SA"/>
    </w:rPr>
  </w:style>
  <w:style w:type="paragraph" w:customStyle="1" w:styleId="Bullet">
    <w:name w:val="Bullet"/>
    <w:basedOn w:val="Normal"/>
    <w:link w:val="BulletChar"/>
    <w:rsid w:val="00FC1C5F"/>
    <w:pPr>
      <w:tabs>
        <w:tab w:val="num" w:pos="1440"/>
      </w:tabs>
      <w:spacing w:after="180"/>
      <w:ind w:left="1440" w:hanging="360"/>
    </w:pPr>
  </w:style>
  <w:style w:type="character" w:customStyle="1" w:styleId="BulletChar">
    <w:name w:val="Bullet Char"/>
    <w:link w:val="Bullet"/>
    <w:rsid w:val="00FC1C5F"/>
    <w:rPr>
      <w:sz w:val="24"/>
      <w:lang w:val="en-US" w:eastAsia="en-US" w:bidi="ar-SA"/>
    </w:rPr>
  </w:style>
  <w:style w:type="paragraph" w:customStyle="1" w:styleId="BulletIndent">
    <w:name w:val="Bullet Indent"/>
    <w:basedOn w:val="Normal"/>
    <w:link w:val="BulletIndentChar"/>
    <w:rsid w:val="00FC1C5F"/>
    <w:pPr>
      <w:spacing w:after="180"/>
      <w:ind w:left="2340" w:hanging="547"/>
    </w:pPr>
  </w:style>
  <w:style w:type="character" w:customStyle="1" w:styleId="BulletIndentChar">
    <w:name w:val="Bullet Indent Char"/>
    <w:link w:val="BulletIndent"/>
    <w:rsid w:val="00FC1C5F"/>
    <w:rPr>
      <w:sz w:val="24"/>
      <w:lang w:val="en-US" w:eastAsia="en-US" w:bidi="ar-SA"/>
    </w:rPr>
  </w:style>
  <w:style w:type="paragraph" w:styleId="Footer">
    <w:name w:val="footer"/>
    <w:basedOn w:val="Normal"/>
    <w:rsid w:val="00FC1C5F"/>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link w:val="FootnoteTextChar"/>
    <w:rsid w:val="00FC1C5F"/>
    <w:rPr>
      <w:sz w:val="18"/>
    </w:rPr>
  </w:style>
  <w:style w:type="paragraph" w:styleId="Header">
    <w:name w:val="header"/>
    <w:basedOn w:val="Normal"/>
    <w:link w:val="HeaderChar"/>
    <w:rsid w:val="00FC1C5F"/>
    <w:pPr>
      <w:pBdr>
        <w:bottom w:val="single" w:sz="4" w:space="1" w:color="auto"/>
      </w:pBdr>
      <w:tabs>
        <w:tab w:val="center" w:pos="4680"/>
        <w:tab w:val="right" w:pos="9360"/>
      </w:tabs>
      <w:jc w:val="right"/>
    </w:pPr>
    <w:rPr>
      <w:smallCaps/>
      <w:sz w:val="20"/>
      <w:lang w:val="x-none" w:eastAsia="x-none"/>
    </w:rPr>
  </w:style>
  <w:style w:type="character" w:styleId="Hyperlink">
    <w:name w:val="Hyperlink"/>
    <w:uiPriority w:val="99"/>
    <w:rsid w:val="00FC1C5F"/>
    <w:rPr>
      <w:color w:val="0000FF"/>
      <w:u w:val="single"/>
    </w:rPr>
  </w:style>
  <w:style w:type="paragraph" w:styleId="TOC1">
    <w:name w:val="toc 1"/>
    <w:basedOn w:val="Normal"/>
    <w:next w:val="Normal"/>
    <w:autoRedefine/>
    <w:uiPriority w:val="39"/>
    <w:rsid w:val="00D31E07"/>
    <w:pPr>
      <w:tabs>
        <w:tab w:val="left" w:pos="540"/>
        <w:tab w:val="right" w:leader="dot" w:pos="9360"/>
      </w:tabs>
      <w:spacing w:before="120" w:after="120"/>
      <w:ind w:left="540" w:right="720" w:hanging="540"/>
    </w:pPr>
    <w:rPr>
      <w:b/>
      <w:bCs/>
      <w:noProof/>
      <w:szCs w:val="24"/>
    </w:rPr>
  </w:style>
  <w:style w:type="paragraph" w:styleId="TOC2">
    <w:name w:val="toc 2"/>
    <w:basedOn w:val="Normal"/>
    <w:next w:val="Normal"/>
    <w:autoRedefine/>
    <w:uiPriority w:val="39"/>
    <w:rsid w:val="00373358"/>
    <w:pPr>
      <w:tabs>
        <w:tab w:val="left" w:pos="1260"/>
        <w:tab w:val="right" w:leader="dot" w:pos="9360"/>
      </w:tabs>
      <w:ind w:left="1260" w:right="720" w:hanging="720"/>
    </w:pPr>
    <w:rPr>
      <w:noProof/>
      <w:sz w:val="20"/>
    </w:rPr>
  </w:style>
  <w:style w:type="paragraph" w:styleId="TOC3">
    <w:name w:val="toc 3"/>
    <w:basedOn w:val="Normal"/>
    <w:next w:val="Normal"/>
    <w:autoRedefine/>
    <w:uiPriority w:val="39"/>
    <w:rsid w:val="00E36324"/>
    <w:pPr>
      <w:tabs>
        <w:tab w:val="left" w:pos="1980"/>
        <w:tab w:val="right" w:leader="dot" w:pos="9360"/>
      </w:tabs>
      <w:ind w:left="1980" w:right="720" w:hanging="900"/>
    </w:pPr>
    <w:rPr>
      <w:i/>
      <w:iCs/>
      <w:sz w:val="20"/>
    </w:rPr>
  </w:style>
  <w:style w:type="character" w:styleId="PageNumber">
    <w:name w:val="page number"/>
    <w:basedOn w:val="DefaultParagraphFont"/>
    <w:rsid w:val="00FC1C5F"/>
  </w:style>
  <w:style w:type="table" w:styleId="TableGrid">
    <w:name w:val="Table Grid"/>
    <w:basedOn w:val="TableNormal"/>
    <w:rsid w:val="00FC1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F52CAC"/>
    <w:pPr>
      <w:tabs>
        <w:tab w:val="left" w:pos="2700"/>
        <w:tab w:val="right" w:leader="dot" w:pos="9360"/>
      </w:tabs>
      <w:ind w:left="2700" w:right="720" w:hanging="1080"/>
    </w:pPr>
    <w:rPr>
      <w:noProof/>
      <w:sz w:val="18"/>
      <w:szCs w:val="18"/>
    </w:rPr>
  </w:style>
  <w:style w:type="paragraph" w:styleId="TOC5">
    <w:name w:val="toc 5"/>
    <w:basedOn w:val="Normal"/>
    <w:next w:val="Normal"/>
    <w:autoRedefine/>
    <w:uiPriority w:val="39"/>
    <w:rsid w:val="0005725D"/>
    <w:pPr>
      <w:tabs>
        <w:tab w:val="left" w:pos="1440"/>
        <w:tab w:val="right" w:leader="dot" w:pos="9360"/>
      </w:tabs>
      <w:ind w:left="3614" w:right="720" w:hanging="1267"/>
    </w:pPr>
    <w:rPr>
      <w:i/>
      <w:noProof/>
      <w:sz w:val="18"/>
      <w:szCs w:val="24"/>
    </w:rPr>
  </w:style>
  <w:style w:type="paragraph" w:styleId="List2">
    <w:name w:val="List 2"/>
    <w:basedOn w:val="Normal"/>
    <w:rsid w:val="00FC1C5F"/>
    <w:pPr>
      <w:spacing w:after="240"/>
      <w:ind w:left="2160" w:hanging="720"/>
    </w:pPr>
  </w:style>
  <w:style w:type="paragraph" w:styleId="List3">
    <w:name w:val="List 3"/>
    <w:basedOn w:val="Normal"/>
    <w:rsid w:val="00FC1C5F"/>
    <w:pPr>
      <w:spacing w:after="240"/>
      <w:ind w:left="2880" w:hanging="720"/>
    </w:pPr>
  </w:style>
  <w:style w:type="paragraph" w:styleId="TOC6">
    <w:name w:val="toc 6"/>
    <w:basedOn w:val="Normal"/>
    <w:next w:val="Normal"/>
    <w:autoRedefine/>
    <w:uiPriority w:val="39"/>
    <w:rsid w:val="00FC1C5F"/>
    <w:pPr>
      <w:tabs>
        <w:tab w:val="left" w:pos="1260"/>
        <w:tab w:val="right" w:leader="dot" w:pos="9360"/>
      </w:tabs>
      <w:ind w:left="1260" w:right="720" w:hanging="1260"/>
    </w:pPr>
    <w:rPr>
      <w:b/>
      <w:szCs w:val="24"/>
    </w:rPr>
  </w:style>
  <w:style w:type="paragraph" w:styleId="TOC7">
    <w:name w:val="toc 7"/>
    <w:basedOn w:val="Normal"/>
    <w:next w:val="Normal"/>
    <w:autoRedefine/>
    <w:uiPriority w:val="39"/>
    <w:rsid w:val="00FC1C5F"/>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FC1C5F"/>
    <w:pPr>
      <w:ind w:left="1680"/>
    </w:pPr>
    <w:rPr>
      <w:sz w:val="18"/>
      <w:szCs w:val="18"/>
    </w:rPr>
  </w:style>
  <w:style w:type="paragraph" w:styleId="TOC9">
    <w:name w:val="toc 9"/>
    <w:basedOn w:val="Normal"/>
    <w:next w:val="Normal"/>
    <w:autoRedefine/>
    <w:uiPriority w:val="39"/>
    <w:rsid w:val="00FC1C5F"/>
    <w:pPr>
      <w:ind w:left="1920"/>
    </w:pPr>
    <w:rPr>
      <w:sz w:val="18"/>
      <w:szCs w:val="18"/>
    </w:rPr>
  </w:style>
  <w:style w:type="paragraph" w:customStyle="1" w:styleId="H5">
    <w:name w:val="H5"/>
    <w:basedOn w:val="Heading5"/>
    <w:next w:val="BodyText"/>
    <w:rsid w:val="00FC1C5F"/>
    <w:pPr>
      <w:numPr>
        <w:ilvl w:val="0"/>
        <w:numId w:val="0"/>
      </w:numPr>
      <w:tabs>
        <w:tab w:val="clear" w:pos="1440"/>
        <w:tab w:val="left" w:pos="1620"/>
      </w:tabs>
      <w:ind w:left="1620" w:hanging="1620"/>
    </w:pPr>
  </w:style>
  <w:style w:type="paragraph" w:customStyle="1" w:styleId="H2">
    <w:name w:val="H2"/>
    <w:basedOn w:val="Heading2"/>
    <w:next w:val="BodyText"/>
    <w:link w:val="H2Char"/>
    <w:rsid w:val="00FC1C5F"/>
    <w:pPr>
      <w:numPr>
        <w:ilvl w:val="0"/>
        <w:numId w:val="0"/>
      </w:numPr>
      <w:tabs>
        <w:tab w:val="clear" w:pos="720"/>
        <w:tab w:val="left" w:pos="900"/>
      </w:tabs>
      <w:ind w:left="900" w:hanging="900"/>
    </w:pPr>
    <w:rPr>
      <w:lang w:val="x-none" w:eastAsia="x-none"/>
    </w:rPr>
  </w:style>
  <w:style w:type="paragraph" w:customStyle="1" w:styleId="H3">
    <w:name w:val="H3"/>
    <w:basedOn w:val="Heading3"/>
    <w:next w:val="BodyText"/>
    <w:link w:val="H3Char1"/>
    <w:rsid w:val="00FC1C5F"/>
    <w:pPr>
      <w:numPr>
        <w:ilvl w:val="0"/>
        <w:numId w:val="0"/>
      </w:numPr>
      <w:tabs>
        <w:tab w:val="clear" w:pos="1008"/>
        <w:tab w:val="left" w:pos="1080"/>
      </w:tabs>
      <w:ind w:left="1080" w:hanging="1080"/>
    </w:pPr>
  </w:style>
  <w:style w:type="paragraph" w:customStyle="1" w:styleId="H4">
    <w:name w:val="H4"/>
    <w:basedOn w:val="Heading4"/>
    <w:next w:val="BodyText"/>
    <w:link w:val="H4Char"/>
    <w:rsid w:val="00FC1C5F"/>
    <w:pPr>
      <w:numPr>
        <w:ilvl w:val="0"/>
        <w:numId w:val="0"/>
      </w:numPr>
      <w:tabs>
        <w:tab w:val="clear" w:pos="1296"/>
        <w:tab w:val="left" w:pos="1260"/>
      </w:tabs>
      <w:ind w:left="1260" w:hanging="1260"/>
    </w:pPr>
    <w:rPr>
      <w:b w:val="0"/>
      <w:bCs w:val="0"/>
    </w:rPr>
  </w:style>
  <w:style w:type="character" w:customStyle="1" w:styleId="H4Char">
    <w:name w:val="H4 Char"/>
    <w:link w:val="H4"/>
    <w:rsid w:val="00FC1C5F"/>
    <w:rPr>
      <w:b w:val="0"/>
      <w:bCs w:val="0"/>
      <w:snapToGrid w:val="0"/>
      <w:sz w:val="24"/>
      <w:lang w:val="en-US" w:eastAsia="en-US" w:bidi="ar-SA"/>
    </w:rPr>
  </w:style>
  <w:style w:type="paragraph" w:customStyle="1" w:styleId="H6">
    <w:name w:val="H6"/>
    <w:basedOn w:val="Heading6"/>
    <w:next w:val="BodyText"/>
    <w:rsid w:val="00FC1C5F"/>
    <w:pPr>
      <w:numPr>
        <w:ilvl w:val="0"/>
        <w:numId w:val="0"/>
      </w:numPr>
      <w:tabs>
        <w:tab w:val="clear" w:pos="1584"/>
        <w:tab w:val="left" w:pos="1800"/>
      </w:tabs>
      <w:ind w:left="1800" w:hanging="1800"/>
    </w:pPr>
  </w:style>
  <w:style w:type="paragraph" w:customStyle="1" w:styleId="H7">
    <w:name w:val="H7"/>
    <w:basedOn w:val="Heading7"/>
    <w:next w:val="BodyText"/>
    <w:rsid w:val="00FC1C5F"/>
    <w:pPr>
      <w:numPr>
        <w:ilvl w:val="0"/>
        <w:numId w:val="0"/>
      </w:numPr>
      <w:tabs>
        <w:tab w:val="clear" w:pos="1728"/>
        <w:tab w:val="left" w:pos="1980"/>
      </w:tabs>
      <w:ind w:left="1980" w:hanging="1980"/>
    </w:pPr>
    <w:rPr>
      <w:b/>
      <w:i/>
    </w:rPr>
  </w:style>
  <w:style w:type="paragraph" w:customStyle="1" w:styleId="H8">
    <w:name w:val="H8"/>
    <w:basedOn w:val="Heading8"/>
    <w:next w:val="BodyText"/>
    <w:rsid w:val="00FC1C5F"/>
    <w:pPr>
      <w:numPr>
        <w:ilvl w:val="0"/>
        <w:numId w:val="0"/>
      </w:numPr>
      <w:tabs>
        <w:tab w:val="clear" w:pos="1872"/>
        <w:tab w:val="left" w:pos="2160"/>
      </w:tabs>
      <w:ind w:left="2160" w:hanging="2160"/>
    </w:pPr>
    <w:rPr>
      <w:b/>
      <w:i w:val="0"/>
    </w:rPr>
  </w:style>
  <w:style w:type="paragraph" w:customStyle="1" w:styleId="H9">
    <w:name w:val="H9"/>
    <w:basedOn w:val="Heading9"/>
    <w:next w:val="BodyText"/>
    <w:rsid w:val="00FC1C5F"/>
    <w:pPr>
      <w:numPr>
        <w:ilvl w:val="0"/>
        <w:numId w:val="0"/>
      </w:numPr>
      <w:tabs>
        <w:tab w:val="clear" w:pos="2160"/>
        <w:tab w:val="left" w:pos="2340"/>
      </w:tabs>
      <w:ind w:left="2340" w:hanging="2340"/>
    </w:pPr>
    <w:rPr>
      <w:i/>
    </w:rPr>
  </w:style>
  <w:style w:type="table" w:customStyle="1" w:styleId="BoxedLanguage">
    <w:name w:val="Boxed Language"/>
    <w:basedOn w:val="TableNormal"/>
    <w:rsid w:val="00FC1C5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FC1C5F"/>
  </w:style>
  <w:style w:type="paragraph" w:customStyle="1" w:styleId="ListIntroduction">
    <w:name w:val="List Introduction"/>
    <w:basedOn w:val="BodyText"/>
    <w:link w:val="ListIntroductionChar"/>
    <w:rsid w:val="00FC1C5F"/>
    <w:pPr>
      <w:keepNext/>
    </w:pPr>
    <w:rPr>
      <w:lang w:val="x-none" w:eastAsia="x-none"/>
    </w:rPr>
  </w:style>
  <w:style w:type="paragraph" w:customStyle="1" w:styleId="VariableDefinition">
    <w:name w:val="Variable Definition"/>
    <w:basedOn w:val="BodyTextIndent"/>
    <w:rsid w:val="00FC1C5F"/>
    <w:pPr>
      <w:tabs>
        <w:tab w:val="left" w:pos="2160"/>
      </w:tabs>
      <w:ind w:left="2160" w:hanging="1440"/>
      <w:contextualSpacing/>
    </w:pPr>
  </w:style>
  <w:style w:type="paragraph" w:customStyle="1" w:styleId="FormulaBold">
    <w:name w:val="Formula Bold"/>
    <w:basedOn w:val="Normal"/>
    <w:link w:val="FormulaBoldChar"/>
    <w:autoRedefine/>
    <w:rsid w:val="00FC1C5F"/>
    <w:pPr>
      <w:tabs>
        <w:tab w:val="left" w:pos="2340"/>
        <w:tab w:val="left" w:pos="2880"/>
      </w:tabs>
      <w:spacing w:after="240"/>
      <w:ind w:left="2880" w:hanging="1440"/>
    </w:pPr>
    <w:rPr>
      <w:b/>
      <w:bCs/>
      <w:szCs w:val="24"/>
    </w:rPr>
  </w:style>
  <w:style w:type="paragraph" w:customStyle="1" w:styleId="Formula">
    <w:name w:val="Formula"/>
    <w:basedOn w:val="Normal"/>
    <w:autoRedefine/>
    <w:rsid w:val="00FC1C5F"/>
    <w:pPr>
      <w:tabs>
        <w:tab w:val="left" w:pos="2340"/>
        <w:tab w:val="left" w:pos="3420"/>
      </w:tabs>
      <w:spacing w:after="240"/>
      <w:ind w:left="3420" w:hanging="2700"/>
    </w:pPr>
    <w:rPr>
      <w:bCs/>
      <w:szCs w:val="24"/>
    </w:rPr>
  </w:style>
  <w:style w:type="paragraph" w:customStyle="1" w:styleId="ListSub">
    <w:name w:val="List Sub"/>
    <w:basedOn w:val="List"/>
    <w:rsid w:val="00FC1C5F"/>
    <w:pPr>
      <w:ind w:firstLine="0"/>
    </w:pPr>
  </w:style>
  <w:style w:type="table" w:customStyle="1" w:styleId="VariableTable">
    <w:name w:val="Variable Table"/>
    <w:basedOn w:val="TableNormal"/>
    <w:rsid w:val="00FC1C5F"/>
    <w:tblPr/>
  </w:style>
  <w:style w:type="table" w:customStyle="1" w:styleId="FormulaVariableTable">
    <w:name w:val="Formula Variable Table"/>
    <w:basedOn w:val="TableNormal"/>
    <w:rsid w:val="00FC1C5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FC1C5F"/>
    <w:pPr>
      <w:keepNext/>
      <w:spacing w:before="240"/>
    </w:pPr>
    <w:rPr>
      <w:b/>
    </w:rPr>
  </w:style>
  <w:style w:type="paragraph" w:customStyle="1" w:styleId="TableBody">
    <w:name w:val="Table Body"/>
    <w:basedOn w:val="BodyText"/>
    <w:rsid w:val="00FC1C5F"/>
    <w:pPr>
      <w:spacing w:after="60"/>
    </w:pPr>
    <w:rPr>
      <w:sz w:val="20"/>
    </w:rPr>
  </w:style>
  <w:style w:type="paragraph" w:customStyle="1" w:styleId="TableHead">
    <w:name w:val="Table Head"/>
    <w:basedOn w:val="BodyText"/>
    <w:rsid w:val="00FC1C5F"/>
    <w:pPr>
      <w:spacing w:after="120"/>
    </w:pPr>
    <w:rPr>
      <w:b/>
      <w:sz w:val="20"/>
    </w:rPr>
  </w:style>
  <w:style w:type="paragraph" w:customStyle="1" w:styleId="TableBullet">
    <w:name w:val="Table Bullet"/>
    <w:basedOn w:val="TableBody"/>
    <w:rsid w:val="00FC1C5F"/>
    <w:pPr>
      <w:tabs>
        <w:tab w:val="num" w:pos="360"/>
      </w:tabs>
      <w:ind w:left="360" w:hanging="360"/>
    </w:pPr>
  </w:style>
  <w:style w:type="paragraph" w:styleId="BodyText2">
    <w:name w:val="Body Text 2"/>
    <w:basedOn w:val="Normal"/>
    <w:rsid w:val="00FC1C5F"/>
    <w:pPr>
      <w:spacing w:after="120" w:line="480" w:lineRule="auto"/>
      <w:ind w:left="1440" w:hanging="720"/>
    </w:pPr>
  </w:style>
  <w:style w:type="paragraph" w:customStyle="1" w:styleId="BodyTextNumbered">
    <w:name w:val="Body Text Numbered"/>
    <w:basedOn w:val="BodyText"/>
    <w:link w:val="BodyTextNumberedChar"/>
    <w:rsid w:val="00FC1C5F"/>
    <w:pPr>
      <w:ind w:left="720" w:hanging="720"/>
    </w:pPr>
  </w:style>
  <w:style w:type="character" w:customStyle="1" w:styleId="CharChar5">
    <w:name w:val="Char Char5"/>
    <w:rsid w:val="00FC1C5F"/>
    <w:rPr>
      <w:sz w:val="24"/>
      <w:lang w:val="en-US" w:eastAsia="en-US" w:bidi="ar-SA"/>
    </w:rPr>
  </w:style>
  <w:style w:type="paragraph" w:customStyle="1" w:styleId="Style1">
    <w:name w:val="Style1"/>
    <w:basedOn w:val="Formula"/>
    <w:rsid w:val="00FC1C5F"/>
    <w:pPr>
      <w:ind w:left="1440" w:hanging="720"/>
    </w:pPr>
  </w:style>
  <w:style w:type="character" w:customStyle="1" w:styleId="CharChar2">
    <w:name w:val="Char Char2"/>
    <w:rsid w:val="00FC1C5F"/>
    <w:rPr>
      <w:sz w:val="24"/>
      <w:lang w:val="en-US" w:eastAsia="en-US" w:bidi="ar-SA"/>
    </w:rPr>
  </w:style>
  <w:style w:type="character" w:customStyle="1" w:styleId="CharChar3">
    <w:name w:val="Char Char3"/>
    <w:rsid w:val="00FC1C5F"/>
    <w:rPr>
      <w:b/>
      <w:bCs/>
      <w:snapToGrid w:val="0"/>
      <w:sz w:val="24"/>
      <w:lang w:val="en-US" w:eastAsia="en-US" w:bidi="ar-SA"/>
    </w:rPr>
  </w:style>
  <w:style w:type="character" w:customStyle="1" w:styleId="CharChar1">
    <w:name w:val="Char Char1"/>
    <w:aliases w:val=" Char1 Char Char2"/>
    <w:rsid w:val="00FC1C5F"/>
    <w:rPr>
      <w:iCs/>
      <w:sz w:val="24"/>
      <w:lang w:val="en-US" w:eastAsia="en-US" w:bidi="ar-SA"/>
    </w:rPr>
  </w:style>
  <w:style w:type="character" w:customStyle="1" w:styleId="CharChar">
    <w:name w:val="Char Char"/>
    <w:aliases w:val=" Char1 Char Char1"/>
    <w:rsid w:val="00FC1C5F"/>
    <w:rPr>
      <w:iCs/>
      <w:sz w:val="24"/>
      <w:lang w:val="en-US" w:eastAsia="en-US" w:bidi="ar-SA"/>
    </w:rPr>
  </w:style>
  <w:style w:type="character" w:customStyle="1" w:styleId="newsummary">
    <w:name w:val="newsummary"/>
    <w:basedOn w:val="DefaultParagraphFont"/>
    <w:rsid w:val="00FC1C5F"/>
  </w:style>
  <w:style w:type="character" w:customStyle="1" w:styleId="CharCharCharChar1">
    <w:name w:val="Char Char Char Char1"/>
    <w:rsid w:val="00FC1C5F"/>
    <w:rPr>
      <w:sz w:val="24"/>
      <w:lang w:val="en-US" w:eastAsia="en-US" w:bidi="ar-SA"/>
    </w:rPr>
  </w:style>
  <w:style w:type="character" w:customStyle="1" w:styleId="BodyTextNumberedChar">
    <w:name w:val="Body Text Numbered Char"/>
    <w:link w:val="BodyTextNumbered"/>
    <w:rsid w:val="00FC1C5F"/>
    <w:rPr>
      <w:iCs/>
      <w:sz w:val="24"/>
      <w:lang w:val="en-US" w:eastAsia="en-US" w:bidi="ar-SA"/>
    </w:rPr>
  </w:style>
  <w:style w:type="character" w:styleId="CommentReference">
    <w:name w:val="annotation reference"/>
    <w:rsid w:val="00FC1C5F"/>
    <w:rPr>
      <w:sz w:val="16"/>
      <w:szCs w:val="16"/>
    </w:rPr>
  </w:style>
  <w:style w:type="paragraph" w:styleId="CommentText">
    <w:name w:val="annotation text"/>
    <w:basedOn w:val="Normal"/>
    <w:link w:val="CommentTextChar"/>
    <w:rsid w:val="00FC1C5F"/>
    <w:rPr>
      <w:sz w:val="20"/>
    </w:rPr>
  </w:style>
  <w:style w:type="paragraph" w:styleId="CommentSubject">
    <w:name w:val="annotation subject"/>
    <w:basedOn w:val="CommentText"/>
    <w:next w:val="CommentText"/>
    <w:rsid w:val="00FC1C5F"/>
    <w:rPr>
      <w:b/>
      <w:bCs/>
    </w:rPr>
  </w:style>
  <w:style w:type="paragraph" w:styleId="BalloonText">
    <w:name w:val="Balloon Text"/>
    <w:basedOn w:val="Normal"/>
    <w:rsid w:val="00FC1C5F"/>
    <w:rPr>
      <w:rFonts w:ascii="Tahoma" w:hAnsi="Tahoma" w:cs="Tahoma"/>
      <w:sz w:val="16"/>
      <w:szCs w:val="16"/>
    </w:rPr>
  </w:style>
  <w:style w:type="paragraph" w:customStyle="1" w:styleId="Style2">
    <w:name w:val="Style2"/>
    <w:basedOn w:val="BodyText2"/>
    <w:rsid w:val="00FC1C5F"/>
    <w:pPr>
      <w:tabs>
        <w:tab w:val="left" w:pos="1260"/>
      </w:tabs>
      <w:ind w:left="1260" w:hanging="1260"/>
    </w:pPr>
    <w:rPr>
      <w:b/>
    </w:rPr>
  </w:style>
  <w:style w:type="character" w:customStyle="1" w:styleId="CharCharCharCharCharChar">
    <w:name w:val="Char Char Char Char Char Char"/>
    <w:aliases w:val=" Char Char Char Char Char Char1, Char Char Char Char Char1, Char Char Char Char Char2"/>
    <w:rsid w:val="00FC1C5F"/>
    <w:rPr>
      <w:iCs/>
      <w:sz w:val="24"/>
      <w:lang w:val="en-US" w:eastAsia="en-US" w:bidi="ar-SA"/>
    </w:rPr>
  </w:style>
  <w:style w:type="character" w:customStyle="1" w:styleId="CharCharChar2">
    <w:name w:val="Char Char Char2"/>
    <w:rsid w:val="00FC1C5F"/>
    <w:rPr>
      <w:b/>
      <w:bCs/>
      <w:snapToGrid w:val="0"/>
      <w:sz w:val="24"/>
      <w:lang w:val="en-US" w:eastAsia="en-US" w:bidi="ar-SA"/>
    </w:rPr>
  </w:style>
  <w:style w:type="character" w:customStyle="1" w:styleId="CharCharChar1">
    <w:name w:val="Char Char Char1"/>
    <w:rsid w:val="00FC1C5F"/>
    <w:rPr>
      <w:sz w:val="24"/>
      <w:lang w:val="en-US" w:eastAsia="en-US" w:bidi="ar-SA"/>
    </w:rPr>
  </w:style>
  <w:style w:type="character" w:customStyle="1" w:styleId="H4CharChar">
    <w:name w:val="H4 Char Char"/>
    <w:rsid w:val="00FC1C5F"/>
    <w:rPr>
      <w:b w:val="0"/>
      <w:bCs w:val="0"/>
      <w:snapToGrid w:val="0"/>
      <w:sz w:val="24"/>
      <w:lang w:val="en-US" w:eastAsia="en-US" w:bidi="ar-SA"/>
    </w:rPr>
  </w:style>
  <w:style w:type="character" w:customStyle="1" w:styleId="Char1CharChar">
    <w:name w:val="Char1 Char Char"/>
    <w:rsid w:val="00FC1C5F"/>
    <w:rPr>
      <w:iCs/>
      <w:sz w:val="24"/>
      <w:lang w:val="en-US" w:eastAsia="en-US" w:bidi="ar-SA"/>
    </w:rPr>
  </w:style>
  <w:style w:type="paragraph" w:customStyle="1" w:styleId="NormalArial">
    <w:name w:val="Normal+Arial"/>
    <w:basedOn w:val="Normal"/>
    <w:link w:val="NormalArialChar"/>
    <w:rsid w:val="00FC1C5F"/>
    <w:rPr>
      <w:rFonts w:ascii="Arial" w:hAnsi="Arial"/>
      <w:szCs w:val="24"/>
    </w:rPr>
  </w:style>
  <w:style w:type="character" w:customStyle="1" w:styleId="BodyTextChar">
    <w:name w:val="Body Text Char"/>
    <w:aliases w:val=" Char Char Char Char,Body Text Char2 Char Char Char,Body Text Char2 Char Char Char Char Char Char Char Char Char Char Char Char,Body Text Char2 Char Char1"/>
    <w:rsid w:val="00FC1C5F"/>
    <w:rPr>
      <w:iCs/>
      <w:sz w:val="24"/>
      <w:lang w:val="en-US" w:eastAsia="en-US" w:bidi="ar-SA"/>
    </w:rPr>
  </w:style>
  <w:style w:type="character" w:customStyle="1" w:styleId="NormalArialChar">
    <w:name w:val="Normal+Arial Char"/>
    <w:link w:val="NormalArial"/>
    <w:rsid w:val="00FC1C5F"/>
    <w:rPr>
      <w:rFonts w:ascii="Arial" w:hAnsi="Arial"/>
      <w:sz w:val="24"/>
      <w:szCs w:val="24"/>
      <w:lang w:val="en-US" w:eastAsia="en-US" w:bidi="ar-SA"/>
    </w:rPr>
  </w:style>
  <w:style w:type="paragraph" w:styleId="DocumentMap">
    <w:name w:val="Document Map"/>
    <w:basedOn w:val="Normal"/>
    <w:rsid w:val="00FC1C5F"/>
    <w:pPr>
      <w:shd w:val="clear" w:color="auto" w:fill="000080"/>
    </w:pPr>
    <w:rPr>
      <w:rFonts w:ascii="Tahoma" w:hAnsi="Tahoma" w:cs="Tahoma"/>
      <w:sz w:val="20"/>
    </w:rPr>
  </w:style>
  <w:style w:type="character" w:customStyle="1" w:styleId="BodyTextNumberedChar1">
    <w:name w:val="Body Text Numbered Char1"/>
    <w:rsid w:val="00FC1C5F"/>
    <w:rPr>
      <w:sz w:val="24"/>
      <w:szCs w:val="24"/>
      <w:lang w:val="en-US" w:eastAsia="en-US" w:bidi="ar-SA"/>
    </w:rPr>
  </w:style>
  <w:style w:type="character" w:customStyle="1" w:styleId="Heading3Char">
    <w:name w:val="Heading 3 Char"/>
    <w:link w:val="Heading3"/>
    <w:rsid w:val="00FC1C5F"/>
    <w:rPr>
      <w:b/>
      <w:bCs/>
      <w:i/>
      <w:sz w:val="24"/>
      <w:lang w:val="en-US" w:eastAsia="en-US" w:bidi="ar-SA"/>
    </w:rPr>
  </w:style>
  <w:style w:type="paragraph" w:customStyle="1" w:styleId="Char3">
    <w:name w:val="Char3"/>
    <w:basedOn w:val="Normal"/>
    <w:rsid w:val="00FC1C5F"/>
    <w:pPr>
      <w:spacing w:after="160" w:line="240" w:lineRule="exact"/>
    </w:pPr>
    <w:rPr>
      <w:rFonts w:ascii="Verdana" w:hAnsi="Verdana"/>
      <w:sz w:val="16"/>
    </w:rPr>
  </w:style>
  <w:style w:type="character" w:customStyle="1" w:styleId="H3Char1">
    <w:name w:val="H3 Char1"/>
    <w:link w:val="H3"/>
    <w:rsid w:val="00FC1C5F"/>
    <w:rPr>
      <w:b/>
      <w:bCs/>
      <w:i/>
      <w:sz w:val="24"/>
      <w:lang w:val="en-US" w:eastAsia="en-US" w:bidi="ar-SA"/>
    </w:rPr>
  </w:style>
  <w:style w:type="character" w:customStyle="1" w:styleId="H2Char">
    <w:name w:val="H2 Char"/>
    <w:link w:val="H2"/>
    <w:rsid w:val="002B3DDF"/>
    <w:rPr>
      <w:b/>
      <w:sz w:val="24"/>
    </w:rPr>
  </w:style>
  <w:style w:type="character" w:customStyle="1" w:styleId="HeaderChar">
    <w:name w:val="Header Char"/>
    <w:link w:val="Header"/>
    <w:rsid w:val="00510CB6"/>
    <w:rPr>
      <w:smallCaps/>
    </w:rPr>
  </w:style>
  <w:style w:type="paragraph" w:styleId="Revision">
    <w:name w:val="Revision"/>
    <w:hidden/>
    <w:rsid w:val="00362E3D"/>
    <w:rPr>
      <w:sz w:val="24"/>
    </w:rPr>
  </w:style>
  <w:style w:type="paragraph" w:customStyle="1" w:styleId="TXUHeader">
    <w:name w:val="TXUHeader"/>
    <w:basedOn w:val="Normal"/>
    <w:rsid w:val="00AC2765"/>
    <w:pPr>
      <w:tabs>
        <w:tab w:val="right" w:pos="9360"/>
      </w:tabs>
    </w:pPr>
    <w:rPr>
      <w:noProof/>
      <w:sz w:val="16"/>
    </w:rPr>
  </w:style>
  <w:style w:type="character" w:customStyle="1" w:styleId="H3Char">
    <w:name w:val="H3 Char"/>
    <w:rsid w:val="00002B03"/>
    <w:rPr>
      <w:b/>
      <w:bCs/>
      <w:i/>
      <w:sz w:val="24"/>
      <w:lang w:val="en-US" w:eastAsia="en-US" w:bidi="ar-SA"/>
    </w:rPr>
  </w:style>
  <w:style w:type="paragraph" w:styleId="ListParagraph">
    <w:name w:val="List Paragraph"/>
    <w:basedOn w:val="Normal"/>
    <w:qFormat/>
    <w:rsid w:val="00002B03"/>
    <w:pPr>
      <w:spacing w:after="200" w:line="276" w:lineRule="auto"/>
      <w:ind w:left="720"/>
      <w:contextualSpacing/>
    </w:pPr>
    <w:rPr>
      <w:rFonts w:ascii="Calibri" w:hAnsi="Calibri"/>
      <w:sz w:val="22"/>
      <w:szCs w:val="22"/>
    </w:rPr>
  </w:style>
  <w:style w:type="paragraph" w:styleId="NoSpacing">
    <w:name w:val="No Spacing"/>
    <w:qFormat/>
    <w:rsid w:val="00002B03"/>
    <w:rPr>
      <w:rFonts w:ascii="Calibri" w:hAnsi="Calibri"/>
      <w:sz w:val="22"/>
      <w:szCs w:val="22"/>
    </w:rPr>
  </w:style>
  <w:style w:type="character" w:customStyle="1" w:styleId="ListIntroductionChar">
    <w:name w:val="List Introduction Char"/>
    <w:link w:val="ListIntroduction"/>
    <w:rsid w:val="004A751B"/>
    <w:rPr>
      <w:iCs/>
      <w:sz w:val="24"/>
    </w:rPr>
  </w:style>
  <w:style w:type="paragraph" w:customStyle="1" w:styleId="TXUSubject">
    <w:name w:val="TXUSubject"/>
    <w:basedOn w:val="Normal"/>
    <w:next w:val="Normal"/>
    <w:rsid w:val="002635D3"/>
    <w:pPr>
      <w:spacing w:after="240"/>
    </w:pPr>
    <w:rPr>
      <w:b/>
      <w:sz w:val="20"/>
    </w:rPr>
  </w:style>
  <w:style w:type="character" w:customStyle="1" w:styleId="FootnoteTextChar">
    <w:name w:val="Footnote Text Char"/>
    <w:link w:val="FootnoteText"/>
    <w:rsid w:val="0033404D"/>
    <w:rPr>
      <w:sz w:val="18"/>
    </w:rPr>
  </w:style>
  <w:style w:type="character" w:styleId="FootnoteReference">
    <w:name w:val="footnote reference"/>
    <w:rsid w:val="0033404D"/>
    <w:rPr>
      <w:vertAlign w:val="superscript"/>
    </w:rPr>
  </w:style>
  <w:style w:type="character" w:styleId="FollowedHyperlink">
    <w:name w:val="FollowedHyperlink"/>
    <w:rsid w:val="00D81C2C"/>
    <w:rPr>
      <w:color w:val="800080"/>
      <w:u w:val="single"/>
    </w:rPr>
  </w:style>
  <w:style w:type="character" w:customStyle="1" w:styleId="FormulaBoldChar">
    <w:name w:val="Formula Bold Char"/>
    <w:link w:val="FormulaBold"/>
    <w:rsid w:val="00823E5F"/>
    <w:rPr>
      <w:b/>
      <w:bCs/>
      <w:sz w:val="24"/>
      <w:szCs w:val="24"/>
    </w:rPr>
  </w:style>
  <w:style w:type="character" w:customStyle="1" w:styleId="CommentTextChar">
    <w:name w:val="Comment Text Char"/>
    <w:link w:val="CommentText"/>
    <w:rsid w:val="00972F74"/>
  </w:style>
  <w:style w:type="character" w:styleId="UnresolvedMention">
    <w:name w:val="Unresolved Mention"/>
    <w:basedOn w:val="DefaultParagraphFont"/>
    <w:uiPriority w:val="99"/>
    <w:semiHidden/>
    <w:unhideWhenUsed/>
    <w:rsid w:val="00F30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18272">
      <w:bodyDiv w:val="1"/>
      <w:marLeft w:val="0"/>
      <w:marRight w:val="0"/>
      <w:marTop w:val="0"/>
      <w:marBottom w:val="0"/>
      <w:divBdr>
        <w:top w:val="none" w:sz="0" w:space="0" w:color="auto"/>
        <w:left w:val="none" w:sz="0" w:space="0" w:color="auto"/>
        <w:bottom w:val="none" w:sz="0" w:space="0" w:color="auto"/>
        <w:right w:val="none" w:sz="0" w:space="0" w:color="auto"/>
      </w:divBdr>
    </w:div>
    <w:div w:id="1452936281">
      <w:bodyDiv w:val="1"/>
      <w:marLeft w:val="0"/>
      <w:marRight w:val="0"/>
      <w:marTop w:val="0"/>
      <w:marBottom w:val="0"/>
      <w:divBdr>
        <w:top w:val="none" w:sz="0" w:space="0" w:color="auto"/>
        <w:left w:val="none" w:sz="0" w:space="0" w:color="auto"/>
        <w:bottom w:val="none" w:sz="0" w:space="0" w:color="auto"/>
        <w:right w:val="none" w:sz="0" w:space="0" w:color="auto"/>
      </w:divBdr>
    </w:div>
    <w:div w:id="1854957093">
      <w:bodyDiv w:val="1"/>
      <w:marLeft w:val="0"/>
      <w:marRight w:val="0"/>
      <w:marTop w:val="0"/>
      <w:marBottom w:val="0"/>
      <w:divBdr>
        <w:top w:val="none" w:sz="0" w:space="0" w:color="auto"/>
        <w:left w:val="none" w:sz="0" w:space="0" w:color="auto"/>
        <w:bottom w:val="none" w:sz="0" w:space="0" w:color="auto"/>
        <w:right w:val="none" w:sz="0" w:space="0" w:color="auto"/>
      </w:divBdr>
    </w:div>
    <w:div w:id="1955556008">
      <w:bodyDiv w:val="1"/>
      <w:marLeft w:val="0"/>
      <w:marRight w:val="0"/>
      <w:marTop w:val="0"/>
      <w:marBottom w:val="0"/>
      <w:divBdr>
        <w:top w:val="none" w:sz="0" w:space="0" w:color="auto"/>
        <w:left w:val="none" w:sz="0" w:space="0" w:color="auto"/>
        <w:bottom w:val="none" w:sz="0" w:space="0" w:color="auto"/>
        <w:right w:val="none" w:sz="0" w:space="0" w:color="auto"/>
      </w:divBdr>
    </w:div>
    <w:div w:id="212750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oleObject" Target="embeddings/oleObject1.bin"/><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wmf"/><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ercot.com/mktrules/nprotocols/pir_process.html" TargetMode="External"/><Relationship Id="rId20" Type="http://schemas.openxmlformats.org/officeDocument/2006/relationships/oleObject" Target="embeddings/oleObject3.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mailto:NCSI@ercot.com" TargetMode="Externa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C4C19-5662-4ACF-8683-01CCCA545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1</TotalTime>
  <Pages>99</Pages>
  <Words>36700</Words>
  <Characters>209193</Characters>
  <Application>Microsoft Office Word</Application>
  <DocSecurity>0</DocSecurity>
  <Lines>1743</Lines>
  <Paragraphs>490</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245403</CharactersWithSpaces>
  <SharedDoc>false</SharedDoc>
  <HLinks>
    <vt:vector size="606" baseType="variant">
      <vt:variant>
        <vt:i4>1114170</vt:i4>
      </vt:variant>
      <vt:variant>
        <vt:i4>602</vt:i4>
      </vt:variant>
      <vt:variant>
        <vt:i4>0</vt:i4>
      </vt:variant>
      <vt:variant>
        <vt:i4>5</vt:i4>
      </vt:variant>
      <vt:variant>
        <vt:lpwstr/>
      </vt:variant>
      <vt:variant>
        <vt:lpwstr>_Toc11053082</vt:lpwstr>
      </vt:variant>
      <vt:variant>
        <vt:i4>1179706</vt:i4>
      </vt:variant>
      <vt:variant>
        <vt:i4>596</vt:i4>
      </vt:variant>
      <vt:variant>
        <vt:i4>0</vt:i4>
      </vt:variant>
      <vt:variant>
        <vt:i4>5</vt:i4>
      </vt:variant>
      <vt:variant>
        <vt:lpwstr/>
      </vt:variant>
      <vt:variant>
        <vt:lpwstr>_Toc11053081</vt:lpwstr>
      </vt:variant>
      <vt:variant>
        <vt:i4>1245242</vt:i4>
      </vt:variant>
      <vt:variant>
        <vt:i4>590</vt:i4>
      </vt:variant>
      <vt:variant>
        <vt:i4>0</vt:i4>
      </vt:variant>
      <vt:variant>
        <vt:i4>5</vt:i4>
      </vt:variant>
      <vt:variant>
        <vt:lpwstr/>
      </vt:variant>
      <vt:variant>
        <vt:lpwstr>_Toc11053080</vt:lpwstr>
      </vt:variant>
      <vt:variant>
        <vt:i4>1703989</vt:i4>
      </vt:variant>
      <vt:variant>
        <vt:i4>584</vt:i4>
      </vt:variant>
      <vt:variant>
        <vt:i4>0</vt:i4>
      </vt:variant>
      <vt:variant>
        <vt:i4>5</vt:i4>
      </vt:variant>
      <vt:variant>
        <vt:lpwstr/>
      </vt:variant>
      <vt:variant>
        <vt:lpwstr>_Toc11053079</vt:lpwstr>
      </vt:variant>
      <vt:variant>
        <vt:i4>1769525</vt:i4>
      </vt:variant>
      <vt:variant>
        <vt:i4>578</vt:i4>
      </vt:variant>
      <vt:variant>
        <vt:i4>0</vt:i4>
      </vt:variant>
      <vt:variant>
        <vt:i4>5</vt:i4>
      </vt:variant>
      <vt:variant>
        <vt:lpwstr/>
      </vt:variant>
      <vt:variant>
        <vt:lpwstr>_Toc11053078</vt:lpwstr>
      </vt:variant>
      <vt:variant>
        <vt:i4>1310773</vt:i4>
      </vt:variant>
      <vt:variant>
        <vt:i4>572</vt:i4>
      </vt:variant>
      <vt:variant>
        <vt:i4>0</vt:i4>
      </vt:variant>
      <vt:variant>
        <vt:i4>5</vt:i4>
      </vt:variant>
      <vt:variant>
        <vt:lpwstr/>
      </vt:variant>
      <vt:variant>
        <vt:lpwstr>_Toc11053077</vt:lpwstr>
      </vt:variant>
      <vt:variant>
        <vt:i4>1376309</vt:i4>
      </vt:variant>
      <vt:variant>
        <vt:i4>566</vt:i4>
      </vt:variant>
      <vt:variant>
        <vt:i4>0</vt:i4>
      </vt:variant>
      <vt:variant>
        <vt:i4>5</vt:i4>
      </vt:variant>
      <vt:variant>
        <vt:lpwstr/>
      </vt:variant>
      <vt:variant>
        <vt:lpwstr>_Toc11053076</vt:lpwstr>
      </vt:variant>
      <vt:variant>
        <vt:i4>1441845</vt:i4>
      </vt:variant>
      <vt:variant>
        <vt:i4>560</vt:i4>
      </vt:variant>
      <vt:variant>
        <vt:i4>0</vt:i4>
      </vt:variant>
      <vt:variant>
        <vt:i4>5</vt:i4>
      </vt:variant>
      <vt:variant>
        <vt:lpwstr/>
      </vt:variant>
      <vt:variant>
        <vt:lpwstr>_Toc11053075</vt:lpwstr>
      </vt:variant>
      <vt:variant>
        <vt:i4>1507381</vt:i4>
      </vt:variant>
      <vt:variant>
        <vt:i4>554</vt:i4>
      </vt:variant>
      <vt:variant>
        <vt:i4>0</vt:i4>
      </vt:variant>
      <vt:variant>
        <vt:i4>5</vt:i4>
      </vt:variant>
      <vt:variant>
        <vt:lpwstr/>
      </vt:variant>
      <vt:variant>
        <vt:lpwstr>_Toc11053074</vt:lpwstr>
      </vt:variant>
      <vt:variant>
        <vt:i4>1048629</vt:i4>
      </vt:variant>
      <vt:variant>
        <vt:i4>548</vt:i4>
      </vt:variant>
      <vt:variant>
        <vt:i4>0</vt:i4>
      </vt:variant>
      <vt:variant>
        <vt:i4>5</vt:i4>
      </vt:variant>
      <vt:variant>
        <vt:lpwstr/>
      </vt:variant>
      <vt:variant>
        <vt:lpwstr>_Toc11053073</vt:lpwstr>
      </vt:variant>
      <vt:variant>
        <vt:i4>1114165</vt:i4>
      </vt:variant>
      <vt:variant>
        <vt:i4>542</vt:i4>
      </vt:variant>
      <vt:variant>
        <vt:i4>0</vt:i4>
      </vt:variant>
      <vt:variant>
        <vt:i4>5</vt:i4>
      </vt:variant>
      <vt:variant>
        <vt:lpwstr/>
      </vt:variant>
      <vt:variant>
        <vt:lpwstr>_Toc11053072</vt:lpwstr>
      </vt:variant>
      <vt:variant>
        <vt:i4>1179701</vt:i4>
      </vt:variant>
      <vt:variant>
        <vt:i4>536</vt:i4>
      </vt:variant>
      <vt:variant>
        <vt:i4>0</vt:i4>
      </vt:variant>
      <vt:variant>
        <vt:i4>5</vt:i4>
      </vt:variant>
      <vt:variant>
        <vt:lpwstr/>
      </vt:variant>
      <vt:variant>
        <vt:lpwstr>_Toc11053071</vt:lpwstr>
      </vt:variant>
      <vt:variant>
        <vt:i4>1245237</vt:i4>
      </vt:variant>
      <vt:variant>
        <vt:i4>530</vt:i4>
      </vt:variant>
      <vt:variant>
        <vt:i4>0</vt:i4>
      </vt:variant>
      <vt:variant>
        <vt:i4>5</vt:i4>
      </vt:variant>
      <vt:variant>
        <vt:lpwstr/>
      </vt:variant>
      <vt:variant>
        <vt:lpwstr>_Toc11053070</vt:lpwstr>
      </vt:variant>
      <vt:variant>
        <vt:i4>1703988</vt:i4>
      </vt:variant>
      <vt:variant>
        <vt:i4>524</vt:i4>
      </vt:variant>
      <vt:variant>
        <vt:i4>0</vt:i4>
      </vt:variant>
      <vt:variant>
        <vt:i4>5</vt:i4>
      </vt:variant>
      <vt:variant>
        <vt:lpwstr/>
      </vt:variant>
      <vt:variant>
        <vt:lpwstr>_Toc11053069</vt:lpwstr>
      </vt:variant>
      <vt:variant>
        <vt:i4>1769524</vt:i4>
      </vt:variant>
      <vt:variant>
        <vt:i4>518</vt:i4>
      </vt:variant>
      <vt:variant>
        <vt:i4>0</vt:i4>
      </vt:variant>
      <vt:variant>
        <vt:i4>5</vt:i4>
      </vt:variant>
      <vt:variant>
        <vt:lpwstr/>
      </vt:variant>
      <vt:variant>
        <vt:lpwstr>_Toc11053068</vt:lpwstr>
      </vt:variant>
      <vt:variant>
        <vt:i4>1310772</vt:i4>
      </vt:variant>
      <vt:variant>
        <vt:i4>512</vt:i4>
      </vt:variant>
      <vt:variant>
        <vt:i4>0</vt:i4>
      </vt:variant>
      <vt:variant>
        <vt:i4>5</vt:i4>
      </vt:variant>
      <vt:variant>
        <vt:lpwstr/>
      </vt:variant>
      <vt:variant>
        <vt:lpwstr>_Toc11053067</vt:lpwstr>
      </vt:variant>
      <vt:variant>
        <vt:i4>1376308</vt:i4>
      </vt:variant>
      <vt:variant>
        <vt:i4>506</vt:i4>
      </vt:variant>
      <vt:variant>
        <vt:i4>0</vt:i4>
      </vt:variant>
      <vt:variant>
        <vt:i4>5</vt:i4>
      </vt:variant>
      <vt:variant>
        <vt:lpwstr/>
      </vt:variant>
      <vt:variant>
        <vt:lpwstr>_Toc11053066</vt:lpwstr>
      </vt:variant>
      <vt:variant>
        <vt:i4>1441844</vt:i4>
      </vt:variant>
      <vt:variant>
        <vt:i4>500</vt:i4>
      </vt:variant>
      <vt:variant>
        <vt:i4>0</vt:i4>
      </vt:variant>
      <vt:variant>
        <vt:i4>5</vt:i4>
      </vt:variant>
      <vt:variant>
        <vt:lpwstr/>
      </vt:variant>
      <vt:variant>
        <vt:lpwstr>_Toc11053065</vt:lpwstr>
      </vt:variant>
      <vt:variant>
        <vt:i4>1507380</vt:i4>
      </vt:variant>
      <vt:variant>
        <vt:i4>494</vt:i4>
      </vt:variant>
      <vt:variant>
        <vt:i4>0</vt:i4>
      </vt:variant>
      <vt:variant>
        <vt:i4>5</vt:i4>
      </vt:variant>
      <vt:variant>
        <vt:lpwstr/>
      </vt:variant>
      <vt:variant>
        <vt:lpwstr>_Toc11053064</vt:lpwstr>
      </vt:variant>
      <vt:variant>
        <vt:i4>1048628</vt:i4>
      </vt:variant>
      <vt:variant>
        <vt:i4>488</vt:i4>
      </vt:variant>
      <vt:variant>
        <vt:i4>0</vt:i4>
      </vt:variant>
      <vt:variant>
        <vt:i4>5</vt:i4>
      </vt:variant>
      <vt:variant>
        <vt:lpwstr/>
      </vt:variant>
      <vt:variant>
        <vt:lpwstr>_Toc11053063</vt:lpwstr>
      </vt:variant>
      <vt:variant>
        <vt:i4>1114164</vt:i4>
      </vt:variant>
      <vt:variant>
        <vt:i4>482</vt:i4>
      </vt:variant>
      <vt:variant>
        <vt:i4>0</vt:i4>
      </vt:variant>
      <vt:variant>
        <vt:i4>5</vt:i4>
      </vt:variant>
      <vt:variant>
        <vt:lpwstr/>
      </vt:variant>
      <vt:variant>
        <vt:lpwstr>_Toc11053062</vt:lpwstr>
      </vt:variant>
      <vt:variant>
        <vt:i4>1179700</vt:i4>
      </vt:variant>
      <vt:variant>
        <vt:i4>476</vt:i4>
      </vt:variant>
      <vt:variant>
        <vt:i4>0</vt:i4>
      </vt:variant>
      <vt:variant>
        <vt:i4>5</vt:i4>
      </vt:variant>
      <vt:variant>
        <vt:lpwstr/>
      </vt:variant>
      <vt:variant>
        <vt:lpwstr>_Toc11053061</vt:lpwstr>
      </vt:variant>
      <vt:variant>
        <vt:i4>1245236</vt:i4>
      </vt:variant>
      <vt:variant>
        <vt:i4>470</vt:i4>
      </vt:variant>
      <vt:variant>
        <vt:i4>0</vt:i4>
      </vt:variant>
      <vt:variant>
        <vt:i4>5</vt:i4>
      </vt:variant>
      <vt:variant>
        <vt:lpwstr/>
      </vt:variant>
      <vt:variant>
        <vt:lpwstr>_Toc11053060</vt:lpwstr>
      </vt:variant>
      <vt:variant>
        <vt:i4>1703991</vt:i4>
      </vt:variant>
      <vt:variant>
        <vt:i4>464</vt:i4>
      </vt:variant>
      <vt:variant>
        <vt:i4>0</vt:i4>
      </vt:variant>
      <vt:variant>
        <vt:i4>5</vt:i4>
      </vt:variant>
      <vt:variant>
        <vt:lpwstr/>
      </vt:variant>
      <vt:variant>
        <vt:lpwstr>_Toc11053059</vt:lpwstr>
      </vt:variant>
      <vt:variant>
        <vt:i4>1769527</vt:i4>
      </vt:variant>
      <vt:variant>
        <vt:i4>458</vt:i4>
      </vt:variant>
      <vt:variant>
        <vt:i4>0</vt:i4>
      </vt:variant>
      <vt:variant>
        <vt:i4>5</vt:i4>
      </vt:variant>
      <vt:variant>
        <vt:lpwstr/>
      </vt:variant>
      <vt:variant>
        <vt:lpwstr>_Toc11053058</vt:lpwstr>
      </vt:variant>
      <vt:variant>
        <vt:i4>1310775</vt:i4>
      </vt:variant>
      <vt:variant>
        <vt:i4>452</vt:i4>
      </vt:variant>
      <vt:variant>
        <vt:i4>0</vt:i4>
      </vt:variant>
      <vt:variant>
        <vt:i4>5</vt:i4>
      </vt:variant>
      <vt:variant>
        <vt:lpwstr/>
      </vt:variant>
      <vt:variant>
        <vt:lpwstr>_Toc11053057</vt:lpwstr>
      </vt:variant>
      <vt:variant>
        <vt:i4>1376311</vt:i4>
      </vt:variant>
      <vt:variant>
        <vt:i4>446</vt:i4>
      </vt:variant>
      <vt:variant>
        <vt:i4>0</vt:i4>
      </vt:variant>
      <vt:variant>
        <vt:i4>5</vt:i4>
      </vt:variant>
      <vt:variant>
        <vt:lpwstr/>
      </vt:variant>
      <vt:variant>
        <vt:lpwstr>_Toc11053056</vt:lpwstr>
      </vt:variant>
      <vt:variant>
        <vt:i4>1441847</vt:i4>
      </vt:variant>
      <vt:variant>
        <vt:i4>440</vt:i4>
      </vt:variant>
      <vt:variant>
        <vt:i4>0</vt:i4>
      </vt:variant>
      <vt:variant>
        <vt:i4>5</vt:i4>
      </vt:variant>
      <vt:variant>
        <vt:lpwstr/>
      </vt:variant>
      <vt:variant>
        <vt:lpwstr>_Toc11053055</vt:lpwstr>
      </vt:variant>
      <vt:variant>
        <vt:i4>1507383</vt:i4>
      </vt:variant>
      <vt:variant>
        <vt:i4>434</vt:i4>
      </vt:variant>
      <vt:variant>
        <vt:i4>0</vt:i4>
      </vt:variant>
      <vt:variant>
        <vt:i4>5</vt:i4>
      </vt:variant>
      <vt:variant>
        <vt:lpwstr/>
      </vt:variant>
      <vt:variant>
        <vt:lpwstr>_Toc11053054</vt:lpwstr>
      </vt:variant>
      <vt:variant>
        <vt:i4>1048631</vt:i4>
      </vt:variant>
      <vt:variant>
        <vt:i4>428</vt:i4>
      </vt:variant>
      <vt:variant>
        <vt:i4>0</vt:i4>
      </vt:variant>
      <vt:variant>
        <vt:i4>5</vt:i4>
      </vt:variant>
      <vt:variant>
        <vt:lpwstr/>
      </vt:variant>
      <vt:variant>
        <vt:lpwstr>_Toc11053053</vt:lpwstr>
      </vt:variant>
      <vt:variant>
        <vt:i4>1114167</vt:i4>
      </vt:variant>
      <vt:variant>
        <vt:i4>422</vt:i4>
      </vt:variant>
      <vt:variant>
        <vt:i4>0</vt:i4>
      </vt:variant>
      <vt:variant>
        <vt:i4>5</vt:i4>
      </vt:variant>
      <vt:variant>
        <vt:lpwstr/>
      </vt:variant>
      <vt:variant>
        <vt:lpwstr>_Toc11053052</vt:lpwstr>
      </vt:variant>
      <vt:variant>
        <vt:i4>1179703</vt:i4>
      </vt:variant>
      <vt:variant>
        <vt:i4>416</vt:i4>
      </vt:variant>
      <vt:variant>
        <vt:i4>0</vt:i4>
      </vt:variant>
      <vt:variant>
        <vt:i4>5</vt:i4>
      </vt:variant>
      <vt:variant>
        <vt:lpwstr/>
      </vt:variant>
      <vt:variant>
        <vt:lpwstr>_Toc11053051</vt:lpwstr>
      </vt:variant>
      <vt:variant>
        <vt:i4>1245239</vt:i4>
      </vt:variant>
      <vt:variant>
        <vt:i4>410</vt:i4>
      </vt:variant>
      <vt:variant>
        <vt:i4>0</vt:i4>
      </vt:variant>
      <vt:variant>
        <vt:i4>5</vt:i4>
      </vt:variant>
      <vt:variant>
        <vt:lpwstr/>
      </vt:variant>
      <vt:variant>
        <vt:lpwstr>_Toc11053050</vt:lpwstr>
      </vt:variant>
      <vt:variant>
        <vt:i4>1703990</vt:i4>
      </vt:variant>
      <vt:variant>
        <vt:i4>404</vt:i4>
      </vt:variant>
      <vt:variant>
        <vt:i4>0</vt:i4>
      </vt:variant>
      <vt:variant>
        <vt:i4>5</vt:i4>
      </vt:variant>
      <vt:variant>
        <vt:lpwstr/>
      </vt:variant>
      <vt:variant>
        <vt:lpwstr>_Toc11053049</vt:lpwstr>
      </vt:variant>
      <vt:variant>
        <vt:i4>1769526</vt:i4>
      </vt:variant>
      <vt:variant>
        <vt:i4>398</vt:i4>
      </vt:variant>
      <vt:variant>
        <vt:i4>0</vt:i4>
      </vt:variant>
      <vt:variant>
        <vt:i4>5</vt:i4>
      </vt:variant>
      <vt:variant>
        <vt:lpwstr/>
      </vt:variant>
      <vt:variant>
        <vt:lpwstr>_Toc11053048</vt:lpwstr>
      </vt:variant>
      <vt:variant>
        <vt:i4>1310774</vt:i4>
      </vt:variant>
      <vt:variant>
        <vt:i4>392</vt:i4>
      </vt:variant>
      <vt:variant>
        <vt:i4>0</vt:i4>
      </vt:variant>
      <vt:variant>
        <vt:i4>5</vt:i4>
      </vt:variant>
      <vt:variant>
        <vt:lpwstr/>
      </vt:variant>
      <vt:variant>
        <vt:lpwstr>_Toc11053047</vt:lpwstr>
      </vt:variant>
      <vt:variant>
        <vt:i4>1376310</vt:i4>
      </vt:variant>
      <vt:variant>
        <vt:i4>386</vt:i4>
      </vt:variant>
      <vt:variant>
        <vt:i4>0</vt:i4>
      </vt:variant>
      <vt:variant>
        <vt:i4>5</vt:i4>
      </vt:variant>
      <vt:variant>
        <vt:lpwstr/>
      </vt:variant>
      <vt:variant>
        <vt:lpwstr>_Toc11053046</vt:lpwstr>
      </vt:variant>
      <vt:variant>
        <vt:i4>1441846</vt:i4>
      </vt:variant>
      <vt:variant>
        <vt:i4>380</vt:i4>
      </vt:variant>
      <vt:variant>
        <vt:i4>0</vt:i4>
      </vt:variant>
      <vt:variant>
        <vt:i4>5</vt:i4>
      </vt:variant>
      <vt:variant>
        <vt:lpwstr/>
      </vt:variant>
      <vt:variant>
        <vt:lpwstr>_Toc11053045</vt:lpwstr>
      </vt:variant>
      <vt:variant>
        <vt:i4>1507382</vt:i4>
      </vt:variant>
      <vt:variant>
        <vt:i4>374</vt:i4>
      </vt:variant>
      <vt:variant>
        <vt:i4>0</vt:i4>
      </vt:variant>
      <vt:variant>
        <vt:i4>5</vt:i4>
      </vt:variant>
      <vt:variant>
        <vt:lpwstr/>
      </vt:variant>
      <vt:variant>
        <vt:lpwstr>_Toc11053044</vt:lpwstr>
      </vt:variant>
      <vt:variant>
        <vt:i4>1048630</vt:i4>
      </vt:variant>
      <vt:variant>
        <vt:i4>368</vt:i4>
      </vt:variant>
      <vt:variant>
        <vt:i4>0</vt:i4>
      </vt:variant>
      <vt:variant>
        <vt:i4>5</vt:i4>
      </vt:variant>
      <vt:variant>
        <vt:lpwstr/>
      </vt:variant>
      <vt:variant>
        <vt:lpwstr>_Toc11053043</vt:lpwstr>
      </vt:variant>
      <vt:variant>
        <vt:i4>1114166</vt:i4>
      </vt:variant>
      <vt:variant>
        <vt:i4>362</vt:i4>
      </vt:variant>
      <vt:variant>
        <vt:i4>0</vt:i4>
      </vt:variant>
      <vt:variant>
        <vt:i4>5</vt:i4>
      </vt:variant>
      <vt:variant>
        <vt:lpwstr/>
      </vt:variant>
      <vt:variant>
        <vt:lpwstr>_Toc11053042</vt:lpwstr>
      </vt:variant>
      <vt:variant>
        <vt:i4>1179702</vt:i4>
      </vt:variant>
      <vt:variant>
        <vt:i4>356</vt:i4>
      </vt:variant>
      <vt:variant>
        <vt:i4>0</vt:i4>
      </vt:variant>
      <vt:variant>
        <vt:i4>5</vt:i4>
      </vt:variant>
      <vt:variant>
        <vt:lpwstr/>
      </vt:variant>
      <vt:variant>
        <vt:lpwstr>_Toc11053041</vt:lpwstr>
      </vt:variant>
      <vt:variant>
        <vt:i4>1245238</vt:i4>
      </vt:variant>
      <vt:variant>
        <vt:i4>350</vt:i4>
      </vt:variant>
      <vt:variant>
        <vt:i4>0</vt:i4>
      </vt:variant>
      <vt:variant>
        <vt:i4>5</vt:i4>
      </vt:variant>
      <vt:variant>
        <vt:lpwstr/>
      </vt:variant>
      <vt:variant>
        <vt:lpwstr>_Toc11053040</vt:lpwstr>
      </vt:variant>
      <vt:variant>
        <vt:i4>1703985</vt:i4>
      </vt:variant>
      <vt:variant>
        <vt:i4>344</vt:i4>
      </vt:variant>
      <vt:variant>
        <vt:i4>0</vt:i4>
      </vt:variant>
      <vt:variant>
        <vt:i4>5</vt:i4>
      </vt:variant>
      <vt:variant>
        <vt:lpwstr/>
      </vt:variant>
      <vt:variant>
        <vt:lpwstr>_Toc11053039</vt:lpwstr>
      </vt:variant>
      <vt:variant>
        <vt:i4>1769521</vt:i4>
      </vt:variant>
      <vt:variant>
        <vt:i4>338</vt:i4>
      </vt:variant>
      <vt:variant>
        <vt:i4>0</vt:i4>
      </vt:variant>
      <vt:variant>
        <vt:i4>5</vt:i4>
      </vt:variant>
      <vt:variant>
        <vt:lpwstr/>
      </vt:variant>
      <vt:variant>
        <vt:lpwstr>_Toc11053038</vt:lpwstr>
      </vt:variant>
      <vt:variant>
        <vt:i4>1310769</vt:i4>
      </vt:variant>
      <vt:variant>
        <vt:i4>332</vt:i4>
      </vt:variant>
      <vt:variant>
        <vt:i4>0</vt:i4>
      </vt:variant>
      <vt:variant>
        <vt:i4>5</vt:i4>
      </vt:variant>
      <vt:variant>
        <vt:lpwstr/>
      </vt:variant>
      <vt:variant>
        <vt:lpwstr>_Toc11053037</vt:lpwstr>
      </vt:variant>
      <vt:variant>
        <vt:i4>1376305</vt:i4>
      </vt:variant>
      <vt:variant>
        <vt:i4>326</vt:i4>
      </vt:variant>
      <vt:variant>
        <vt:i4>0</vt:i4>
      </vt:variant>
      <vt:variant>
        <vt:i4>5</vt:i4>
      </vt:variant>
      <vt:variant>
        <vt:lpwstr/>
      </vt:variant>
      <vt:variant>
        <vt:lpwstr>_Toc11053036</vt:lpwstr>
      </vt:variant>
      <vt:variant>
        <vt:i4>1441841</vt:i4>
      </vt:variant>
      <vt:variant>
        <vt:i4>320</vt:i4>
      </vt:variant>
      <vt:variant>
        <vt:i4>0</vt:i4>
      </vt:variant>
      <vt:variant>
        <vt:i4>5</vt:i4>
      </vt:variant>
      <vt:variant>
        <vt:lpwstr/>
      </vt:variant>
      <vt:variant>
        <vt:lpwstr>_Toc11053035</vt:lpwstr>
      </vt:variant>
      <vt:variant>
        <vt:i4>1507377</vt:i4>
      </vt:variant>
      <vt:variant>
        <vt:i4>314</vt:i4>
      </vt:variant>
      <vt:variant>
        <vt:i4>0</vt:i4>
      </vt:variant>
      <vt:variant>
        <vt:i4>5</vt:i4>
      </vt:variant>
      <vt:variant>
        <vt:lpwstr/>
      </vt:variant>
      <vt:variant>
        <vt:lpwstr>_Toc11053034</vt:lpwstr>
      </vt:variant>
      <vt:variant>
        <vt:i4>1048625</vt:i4>
      </vt:variant>
      <vt:variant>
        <vt:i4>308</vt:i4>
      </vt:variant>
      <vt:variant>
        <vt:i4>0</vt:i4>
      </vt:variant>
      <vt:variant>
        <vt:i4>5</vt:i4>
      </vt:variant>
      <vt:variant>
        <vt:lpwstr/>
      </vt:variant>
      <vt:variant>
        <vt:lpwstr>_Toc11053033</vt:lpwstr>
      </vt:variant>
      <vt:variant>
        <vt:i4>1114161</vt:i4>
      </vt:variant>
      <vt:variant>
        <vt:i4>302</vt:i4>
      </vt:variant>
      <vt:variant>
        <vt:i4>0</vt:i4>
      </vt:variant>
      <vt:variant>
        <vt:i4>5</vt:i4>
      </vt:variant>
      <vt:variant>
        <vt:lpwstr/>
      </vt:variant>
      <vt:variant>
        <vt:lpwstr>_Toc11053032</vt:lpwstr>
      </vt:variant>
      <vt:variant>
        <vt:i4>1179697</vt:i4>
      </vt:variant>
      <vt:variant>
        <vt:i4>296</vt:i4>
      </vt:variant>
      <vt:variant>
        <vt:i4>0</vt:i4>
      </vt:variant>
      <vt:variant>
        <vt:i4>5</vt:i4>
      </vt:variant>
      <vt:variant>
        <vt:lpwstr/>
      </vt:variant>
      <vt:variant>
        <vt:lpwstr>_Toc11053031</vt:lpwstr>
      </vt:variant>
      <vt:variant>
        <vt:i4>1245233</vt:i4>
      </vt:variant>
      <vt:variant>
        <vt:i4>290</vt:i4>
      </vt:variant>
      <vt:variant>
        <vt:i4>0</vt:i4>
      </vt:variant>
      <vt:variant>
        <vt:i4>5</vt:i4>
      </vt:variant>
      <vt:variant>
        <vt:lpwstr/>
      </vt:variant>
      <vt:variant>
        <vt:lpwstr>_Toc11053030</vt:lpwstr>
      </vt:variant>
      <vt:variant>
        <vt:i4>1703984</vt:i4>
      </vt:variant>
      <vt:variant>
        <vt:i4>284</vt:i4>
      </vt:variant>
      <vt:variant>
        <vt:i4>0</vt:i4>
      </vt:variant>
      <vt:variant>
        <vt:i4>5</vt:i4>
      </vt:variant>
      <vt:variant>
        <vt:lpwstr/>
      </vt:variant>
      <vt:variant>
        <vt:lpwstr>_Toc11053029</vt:lpwstr>
      </vt:variant>
      <vt:variant>
        <vt:i4>1769520</vt:i4>
      </vt:variant>
      <vt:variant>
        <vt:i4>278</vt:i4>
      </vt:variant>
      <vt:variant>
        <vt:i4>0</vt:i4>
      </vt:variant>
      <vt:variant>
        <vt:i4>5</vt:i4>
      </vt:variant>
      <vt:variant>
        <vt:lpwstr/>
      </vt:variant>
      <vt:variant>
        <vt:lpwstr>_Toc11053028</vt:lpwstr>
      </vt:variant>
      <vt:variant>
        <vt:i4>1310768</vt:i4>
      </vt:variant>
      <vt:variant>
        <vt:i4>272</vt:i4>
      </vt:variant>
      <vt:variant>
        <vt:i4>0</vt:i4>
      </vt:variant>
      <vt:variant>
        <vt:i4>5</vt:i4>
      </vt:variant>
      <vt:variant>
        <vt:lpwstr/>
      </vt:variant>
      <vt:variant>
        <vt:lpwstr>_Toc11053027</vt:lpwstr>
      </vt:variant>
      <vt:variant>
        <vt:i4>1376304</vt:i4>
      </vt:variant>
      <vt:variant>
        <vt:i4>266</vt:i4>
      </vt:variant>
      <vt:variant>
        <vt:i4>0</vt:i4>
      </vt:variant>
      <vt:variant>
        <vt:i4>5</vt:i4>
      </vt:variant>
      <vt:variant>
        <vt:lpwstr/>
      </vt:variant>
      <vt:variant>
        <vt:lpwstr>_Toc11053026</vt:lpwstr>
      </vt:variant>
      <vt:variant>
        <vt:i4>1441840</vt:i4>
      </vt:variant>
      <vt:variant>
        <vt:i4>260</vt:i4>
      </vt:variant>
      <vt:variant>
        <vt:i4>0</vt:i4>
      </vt:variant>
      <vt:variant>
        <vt:i4>5</vt:i4>
      </vt:variant>
      <vt:variant>
        <vt:lpwstr/>
      </vt:variant>
      <vt:variant>
        <vt:lpwstr>_Toc11053025</vt:lpwstr>
      </vt:variant>
      <vt:variant>
        <vt:i4>1507376</vt:i4>
      </vt:variant>
      <vt:variant>
        <vt:i4>254</vt:i4>
      </vt:variant>
      <vt:variant>
        <vt:i4>0</vt:i4>
      </vt:variant>
      <vt:variant>
        <vt:i4>5</vt:i4>
      </vt:variant>
      <vt:variant>
        <vt:lpwstr/>
      </vt:variant>
      <vt:variant>
        <vt:lpwstr>_Toc11053024</vt:lpwstr>
      </vt:variant>
      <vt:variant>
        <vt:i4>1048624</vt:i4>
      </vt:variant>
      <vt:variant>
        <vt:i4>248</vt:i4>
      </vt:variant>
      <vt:variant>
        <vt:i4>0</vt:i4>
      </vt:variant>
      <vt:variant>
        <vt:i4>5</vt:i4>
      </vt:variant>
      <vt:variant>
        <vt:lpwstr/>
      </vt:variant>
      <vt:variant>
        <vt:lpwstr>_Toc11053023</vt:lpwstr>
      </vt:variant>
      <vt:variant>
        <vt:i4>1114160</vt:i4>
      </vt:variant>
      <vt:variant>
        <vt:i4>242</vt:i4>
      </vt:variant>
      <vt:variant>
        <vt:i4>0</vt:i4>
      </vt:variant>
      <vt:variant>
        <vt:i4>5</vt:i4>
      </vt:variant>
      <vt:variant>
        <vt:lpwstr/>
      </vt:variant>
      <vt:variant>
        <vt:lpwstr>_Toc11053022</vt:lpwstr>
      </vt:variant>
      <vt:variant>
        <vt:i4>1179696</vt:i4>
      </vt:variant>
      <vt:variant>
        <vt:i4>236</vt:i4>
      </vt:variant>
      <vt:variant>
        <vt:i4>0</vt:i4>
      </vt:variant>
      <vt:variant>
        <vt:i4>5</vt:i4>
      </vt:variant>
      <vt:variant>
        <vt:lpwstr/>
      </vt:variant>
      <vt:variant>
        <vt:lpwstr>_Toc11053021</vt:lpwstr>
      </vt:variant>
      <vt:variant>
        <vt:i4>1245232</vt:i4>
      </vt:variant>
      <vt:variant>
        <vt:i4>230</vt:i4>
      </vt:variant>
      <vt:variant>
        <vt:i4>0</vt:i4>
      </vt:variant>
      <vt:variant>
        <vt:i4>5</vt:i4>
      </vt:variant>
      <vt:variant>
        <vt:lpwstr/>
      </vt:variant>
      <vt:variant>
        <vt:lpwstr>_Toc11053020</vt:lpwstr>
      </vt:variant>
      <vt:variant>
        <vt:i4>1703987</vt:i4>
      </vt:variant>
      <vt:variant>
        <vt:i4>224</vt:i4>
      </vt:variant>
      <vt:variant>
        <vt:i4>0</vt:i4>
      </vt:variant>
      <vt:variant>
        <vt:i4>5</vt:i4>
      </vt:variant>
      <vt:variant>
        <vt:lpwstr/>
      </vt:variant>
      <vt:variant>
        <vt:lpwstr>_Toc11053019</vt:lpwstr>
      </vt:variant>
      <vt:variant>
        <vt:i4>1769523</vt:i4>
      </vt:variant>
      <vt:variant>
        <vt:i4>218</vt:i4>
      </vt:variant>
      <vt:variant>
        <vt:i4>0</vt:i4>
      </vt:variant>
      <vt:variant>
        <vt:i4>5</vt:i4>
      </vt:variant>
      <vt:variant>
        <vt:lpwstr/>
      </vt:variant>
      <vt:variant>
        <vt:lpwstr>_Toc11053018</vt:lpwstr>
      </vt:variant>
      <vt:variant>
        <vt:i4>1310771</vt:i4>
      </vt:variant>
      <vt:variant>
        <vt:i4>212</vt:i4>
      </vt:variant>
      <vt:variant>
        <vt:i4>0</vt:i4>
      </vt:variant>
      <vt:variant>
        <vt:i4>5</vt:i4>
      </vt:variant>
      <vt:variant>
        <vt:lpwstr/>
      </vt:variant>
      <vt:variant>
        <vt:lpwstr>_Toc11053017</vt:lpwstr>
      </vt:variant>
      <vt:variant>
        <vt:i4>1376307</vt:i4>
      </vt:variant>
      <vt:variant>
        <vt:i4>206</vt:i4>
      </vt:variant>
      <vt:variant>
        <vt:i4>0</vt:i4>
      </vt:variant>
      <vt:variant>
        <vt:i4>5</vt:i4>
      </vt:variant>
      <vt:variant>
        <vt:lpwstr/>
      </vt:variant>
      <vt:variant>
        <vt:lpwstr>_Toc11053016</vt:lpwstr>
      </vt:variant>
      <vt:variant>
        <vt:i4>1441843</vt:i4>
      </vt:variant>
      <vt:variant>
        <vt:i4>200</vt:i4>
      </vt:variant>
      <vt:variant>
        <vt:i4>0</vt:i4>
      </vt:variant>
      <vt:variant>
        <vt:i4>5</vt:i4>
      </vt:variant>
      <vt:variant>
        <vt:lpwstr/>
      </vt:variant>
      <vt:variant>
        <vt:lpwstr>_Toc11053015</vt:lpwstr>
      </vt:variant>
      <vt:variant>
        <vt:i4>1507379</vt:i4>
      </vt:variant>
      <vt:variant>
        <vt:i4>194</vt:i4>
      </vt:variant>
      <vt:variant>
        <vt:i4>0</vt:i4>
      </vt:variant>
      <vt:variant>
        <vt:i4>5</vt:i4>
      </vt:variant>
      <vt:variant>
        <vt:lpwstr/>
      </vt:variant>
      <vt:variant>
        <vt:lpwstr>_Toc11053014</vt:lpwstr>
      </vt:variant>
      <vt:variant>
        <vt:i4>1048627</vt:i4>
      </vt:variant>
      <vt:variant>
        <vt:i4>188</vt:i4>
      </vt:variant>
      <vt:variant>
        <vt:i4>0</vt:i4>
      </vt:variant>
      <vt:variant>
        <vt:i4>5</vt:i4>
      </vt:variant>
      <vt:variant>
        <vt:lpwstr/>
      </vt:variant>
      <vt:variant>
        <vt:lpwstr>_Toc11053013</vt:lpwstr>
      </vt:variant>
      <vt:variant>
        <vt:i4>1114163</vt:i4>
      </vt:variant>
      <vt:variant>
        <vt:i4>182</vt:i4>
      </vt:variant>
      <vt:variant>
        <vt:i4>0</vt:i4>
      </vt:variant>
      <vt:variant>
        <vt:i4>5</vt:i4>
      </vt:variant>
      <vt:variant>
        <vt:lpwstr/>
      </vt:variant>
      <vt:variant>
        <vt:lpwstr>_Toc11053012</vt:lpwstr>
      </vt:variant>
      <vt:variant>
        <vt:i4>1179699</vt:i4>
      </vt:variant>
      <vt:variant>
        <vt:i4>176</vt:i4>
      </vt:variant>
      <vt:variant>
        <vt:i4>0</vt:i4>
      </vt:variant>
      <vt:variant>
        <vt:i4>5</vt:i4>
      </vt:variant>
      <vt:variant>
        <vt:lpwstr/>
      </vt:variant>
      <vt:variant>
        <vt:lpwstr>_Toc11053011</vt:lpwstr>
      </vt:variant>
      <vt:variant>
        <vt:i4>1245235</vt:i4>
      </vt:variant>
      <vt:variant>
        <vt:i4>170</vt:i4>
      </vt:variant>
      <vt:variant>
        <vt:i4>0</vt:i4>
      </vt:variant>
      <vt:variant>
        <vt:i4>5</vt:i4>
      </vt:variant>
      <vt:variant>
        <vt:lpwstr/>
      </vt:variant>
      <vt:variant>
        <vt:lpwstr>_Toc11053010</vt:lpwstr>
      </vt:variant>
      <vt:variant>
        <vt:i4>1703986</vt:i4>
      </vt:variant>
      <vt:variant>
        <vt:i4>164</vt:i4>
      </vt:variant>
      <vt:variant>
        <vt:i4>0</vt:i4>
      </vt:variant>
      <vt:variant>
        <vt:i4>5</vt:i4>
      </vt:variant>
      <vt:variant>
        <vt:lpwstr/>
      </vt:variant>
      <vt:variant>
        <vt:lpwstr>_Toc11053009</vt:lpwstr>
      </vt:variant>
      <vt:variant>
        <vt:i4>1769522</vt:i4>
      </vt:variant>
      <vt:variant>
        <vt:i4>158</vt:i4>
      </vt:variant>
      <vt:variant>
        <vt:i4>0</vt:i4>
      </vt:variant>
      <vt:variant>
        <vt:i4>5</vt:i4>
      </vt:variant>
      <vt:variant>
        <vt:lpwstr/>
      </vt:variant>
      <vt:variant>
        <vt:lpwstr>_Toc11053008</vt:lpwstr>
      </vt:variant>
      <vt:variant>
        <vt:i4>1310770</vt:i4>
      </vt:variant>
      <vt:variant>
        <vt:i4>152</vt:i4>
      </vt:variant>
      <vt:variant>
        <vt:i4>0</vt:i4>
      </vt:variant>
      <vt:variant>
        <vt:i4>5</vt:i4>
      </vt:variant>
      <vt:variant>
        <vt:lpwstr/>
      </vt:variant>
      <vt:variant>
        <vt:lpwstr>_Toc11053007</vt:lpwstr>
      </vt:variant>
      <vt:variant>
        <vt:i4>1376306</vt:i4>
      </vt:variant>
      <vt:variant>
        <vt:i4>146</vt:i4>
      </vt:variant>
      <vt:variant>
        <vt:i4>0</vt:i4>
      </vt:variant>
      <vt:variant>
        <vt:i4>5</vt:i4>
      </vt:variant>
      <vt:variant>
        <vt:lpwstr/>
      </vt:variant>
      <vt:variant>
        <vt:lpwstr>_Toc11053006</vt:lpwstr>
      </vt:variant>
      <vt:variant>
        <vt:i4>1441842</vt:i4>
      </vt:variant>
      <vt:variant>
        <vt:i4>140</vt:i4>
      </vt:variant>
      <vt:variant>
        <vt:i4>0</vt:i4>
      </vt:variant>
      <vt:variant>
        <vt:i4>5</vt:i4>
      </vt:variant>
      <vt:variant>
        <vt:lpwstr/>
      </vt:variant>
      <vt:variant>
        <vt:lpwstr>_Toc11053005</vt:lpwstr>
      </vt:variant>
      <vt:variant>
        <vt:i4>1507378</vt:i4>
      </vt:variant>
      <vt:variant>
        <vt:i4>134</vt:i4>
      </vt:variant>
      <vt:variant>
        <vt:i4>0</vt:i4>
      </vt:variant>
      <vt:variant>
        <vt:i4>5</vt:i4>
      </vt:variant>
      <vt:variant>
        <vt:lpwstr/>
      </vt:variant>
      <vt:variant>
        <vt:lpwstr>_Toc11053004</vt:lpwstr>
      </vt:variant>
      <vt:variant>
        <vt:i4>1048626</vt:i4>
      </vt:variant>
      <vt:variant>
        <vt:i4>128</vt:i4>
      </vt:variant>
      <vt:variant>
        <vt:i4>0</vt:i4>
      </vt:variant>
      <vt:variant>
        <vt:i4>5</vt:i4>
      </vt:variant>
      <vt:variant>
        <vt:lpwstr/>
      </vt:variant>
      <vt:variant>
        <vt:lpwstr>_Toc11053003</vt:lpwstr>
      </vt:variant>
      <vt:variant>
        <vt:i4>1114162</vt:i4>
      </vt:variant>
      <vt:variant>
        <vt:i4>122</vt:i4>
      </vt:variant>
      <vt:variant>
        <vt:i4>0</vt:i4>
      </vt:variant>
      <vt:variant>
        <vt:i4>5</vt:i4>
      </vt:variant>
      <vt:variant>
        <vt:lpwstr/>
      </vt:variant>
      <vt:variant>
        <vt:lpwstr>_Toc11053002</vt:lpwstr>
      </vt:variant>
      <vt:variant>
        <vt:i4>1179698</vt:i4>
      </vt:variant>
      <vt:variant>
        <vt:i4>116</vt:i4>
      </vt:variant>
      <vt:variant>
        <vt:i4>0</vt:i4>
      </vt:variant>
      <vt:variant>
        <vt:i4>5</vt:i4>
      </vt:variant>
      <vt:variant>
        <vt:lpwstr/>
      </vt:variant>
      <vt:variant>
        <vt:lpwstr>_Toc11053001</vt:lpwstr>
      </vt:variant>
      <vt:variant>
        <vt:i4>1245234</vt:i4>
      </vt:variant>
      <vt:variant>
        <vt:i4>110</vt:i4>
      </vt:variant>
      <vt:variant>
        <vt:i4>0</vt:i4>
      </vt:variant>
      <vt:variant>
        <vt:i4>5</vt:i4>
      </vt:variant>
      <vt:variant>
        <vt:lpwstr/>
      </vt:variant>
      <vt:variant>
        <vt:lpwstr>_Toc11053000</vt:lpwstr>
      </vt:variant>
      <vt:variant>
        <vt:i4>1245242</vt:i4>
      </vt:variant>
      <vt:variant>
        <vt:i4>104</vt:i4>
      </vt:variant>
      <vt:variant>
        <vt:i4>0</vt:i4>
      </vt:variant>
      <vt:variant>
        <vt:i4>5</vt:i4>
      </vt:variant>
      <vt:variant>
        <vt:lpwstr/>
      </vt:variant>
      <vt:variant>
        <vt:lpwstr>_Toc11052999</vt:lpwstr>
      </vt:variant>
      <vt:variant>
        <vt:i4>1179706</vt:i4>
      </vt:variant>
      <vt:variant>
        <vt:i4>98</vt:i4>
      </vt:variant>
      <vt:variant>
        <vt:i4>0</vt:i4>
      </vt:variant>
      <vt:variant>
        <vt:i4>5</vt:i4>
      </vt:variant>
      <vt:variant>
        <vt:lpwstr/>
      </vt:variant>
      <vt:variant>
        <vt:lpwstr>_Toc11052998</vt:lpwstr>
      </vt:variant>
      <vt:variant>
        <vt:i4>1900602</vt:i4>
      </vt:variant>
      <vt:variant>
        <vt:i4>92</vt:i4>
      </vt:variant>
      <vt:variant>
        <vt:i4>0</vt:i4>
      </vt:variant>
      <vt:variant>
        <vt:i4>5</vt:i4>
      </vt:variant>
      <vt:variant>
        <vt:lpwstr/>
      </vt:variant>
      <vt:variant>
        <vt:lpwstr>_Toc11052997</vt:lpwstr>
      </vt:variant>
      <vt:variant>
        <vt:i4>1835066</vt:i4>
      </vt:variant>
      <vt:variant>
        <vt:i4>86</vt:i4>
      </vt:variant>
      <vt:variant>
        <vt:i4>0</vt:i4>
      </vt:variant>
      <vt:variant>
        <vt:i4>5</vt:i4>
      </vt:variant>
      <vt:variant>
        <vt:lpwstr/>
      </vt:variant>
      <vt:variant>
        <vt:lpwstr>_Toc11052996</vt:lpwstr>
      </vt:variant>
      <vt:variant>
        <vt:i4>2031674</vt:i4>
      </vt:variant>
      <vt:variant>
        <vt:i4>80</vt:i4>
      </vt:variant>
      <vt:variant>
        <vt:i4>0</vt:i4>
      </vt:variant>
      <vt:variant>
        <vt:i4>5</vt:i4>
      </vt:variant>
      <vt:variant>
        <vt:lpwstr/>
      </vt:variant>
      <vt:variant>
        <vt:lpwstr>_Toc11052995</vt:lpwstr>
      </vt:variant>
      <vt:variant>
        <vt:i4>1966138</vt:i4>
      </vt:variant>
      <vt:variant>
        <vt:i4>74</vt:i4>
      </vt:variant>
      <vt:variant>
        <vt:i4>0</vt:i4>
      </vt:variant>
      <vt:variant>
        <vt:i4>5</vt:i4>
      </vt:variant>
      <vt:variant>
        <vt:lpwstr/>
      </vt:variant>
      <vt:variant>
        <vt:lpwstr>_Toc11052994</vt:lpwstr>
      </vt:variant>
      <vt:variant>
        <vt:i4>1638458</vt:i4>
      </vt:variant>
      <vt:variant>
        <vt:i4>68</vt:i4>
      </vt:variant>
      <vt:variant>
        <vt:i4>0</vt:i4>
      </vt:variant>
      <vt:variant>
        <vt:i4>5</vt:i4>
      </vt:variant>
      <vt:variant>
        <vt:lpwstr/>
      </vt:variant>
      <vt:variant>
        <vt:lpwstr>_Toc11052993</vt:lpwstr>
      </vt:variant>
      <vt:variant>
        <vt:i4>1572922</vt:i4>
      </vt:variant>
      <vt:variant>
        <vt:i4>62</vt:i4>
      </vt:variant>
      <vt:variant>
        <vt:i4>0</vt:i4>
      </vt:variant>
      <vt:variant>
        <vt:i4>5</vt:i4>
      </vt:variant>
      <vt:variant>
        <vt:lpwstr/>
      </vt:variant>
      <vt:variant>
        <vt:lpwstr>_Toc11052992</vt:lpwstr>
      </vt:variant>
      <vt:variant>
        <vt:i4>1769530</vt:i4>
      </vt:variant>
      <vt:variant>
        <vt:i4>56</vt:i4>
      </vt:variant>
      <vt:variant>
        <vt:i4>0</vt:i4>
      </vt:variant>
      <vt:variant>
        <vt:i4>5</vt:i4>
      </vt:variant>
      <vt:variant>
        <vt:lpwstr/>
      </vt:variant>
      <vt:variant>
        <vt:lpwstr>_Toc11052991</vt:lpwstr>
      </vt:variant>
      <vt:variant>
        <vt:i4>1703994</vt:i4>
      </vt:variant>
      <vt:variant>
        <vt:i4>50</vt:i4>
      </vt:variant>
      <vt:variant>
        <vt:i4>0</vt:i4>
      </vt:variant>
      <vt:variant>
        <vt:i4>5</vt:i4>
      </vt:variant>
      <vt:variant>
        <vt:lpwstr/>
      </vt:variant>
      <vt:variant>
        <vt:lpwstr>_Toc11052990</vt:lpwstr>
      </vt:variant>
      <vt:variant>
        <vt:i4>1245243</vt:i4>
      </vt:variant>
      <vt:variant>
        <vt:i4>44</vt:i4>
      </vt:variant>
      <vt:variant>
        <vt:i4>0</vt:i4>
      </vt:variant>
      <vt:variant>
        <vt:i4>5</vt:i4>
      </vt:variant>
      <vt:variant>
        <vt:lpwstr/>
      </vt:variant>
      <vt:variant>
        <vt:lpwstr>_Toc11052989</vt:lpwstr>
      </vt:variant>
      <vt:variant>
        <vt:i4>1179707</vt:i4>
      </vt:variant>
      <vt:variant>
        <vt:i4>38</vt:i4>
      </vt:variant>
      <vt:variant>
        <vt:i4>0</vt:i4>
      </vt:variant>
      <vt:variant>
        <vt:i4>5</vt:i4>
      </vt:variant>
      <vt:variant>
        <vt:lpwstr/>
      </vt:variant>
      <vt:variant>
        <vt:lpwstr>_Toc11052988</vt:lpwstr>
      </vt:variant>
      <vt:variant>
        <vt:i4>1900603</vt:i4>
      </vt:variant>
      <vt:variant>
        <vt:i4>32</vt:i4>
      </vt:variant>
      <vt:variant>
        <vt:i4>0</vt:i4>
      </vt:variant>
      <vt:variant>
        <vt:i4>5</vt:i4>
      </vt:variant>
      <vt:variant>
        <vt:lpwstr/>
      </vt:variant>
      <vt:variant>
        <vt:lpwstr>_Toc11052987</vt:lpwstr>
      </vt:variant>
      <vt:variant>
        <vt:i4>1835067</vt:i4>
      </vt:variant>
      <vt:variant>
        <vt:i4>26</vt:i4>
      </vt:variant>
      <vt:variant>
        <vt:i4>0</vt:i4>
      </vt:variant>
      <vt:variant>
        <vt:i4>5</vt:i4>
      </vt:variant>
      <vt:variant>
        <vt:lpwstr/>
      </vt:variant>
      <vt:variant>
        <vt:lpwstr>_Toc11052986</vt:lpwstr>
      </vt:variant>
      <vt:variant>
        <vt:i4>2031675</vt:i4>
      </vt:variant>
      <vt:variant>
        <vt:i4>20</vt:i4>
      </vt:variant>
      <vt:variant>
        <vt:i4>0</vt:i4>
      </vt:variant>
      <vt:variant>
        <vt:i4>5</vt:i4>
      </vt:variant>
      <vt:variant>
        <vt:lpwstr/>
      </vt:variant>
      <vt:variant>
        <vt:lpwstr>_Toc11052985</vt:lpwstr>
      </vt:variant>
      <vt:variant>
        <vt:i4>1966139</vt:i4>
      </vt:variant>
      <vt:variant>
        <vt:i4>14</vt:i4>
      </vt:variant>
      <vt:variant>
        <vt:i4>0</vt:i4>
      </vt:variant>
      <vt:variant>
        <vt:i4>5</vt:i4>
      </vt:variant>
      <vt:variant>
        <vt:lpwstr/>
      </vt:variant>
      <vt:variant>
        <vt:lpwstr>_Toc11052984</vt:lpwstr>
      </vt:variant>
      <vt:variant>
        <vt:i4>1638459</vt:i4>
      </vt:variant>
      <vt:variant>
        <vt:i4>8</vt:i4>
      </vt:variant>
      <vt:variant>
        <vt:i4>0</vt:i4>
      </vt:variant>
      <vt:variant>
        <vt:i4>5</vt:i4>
      </vt:variant>
      <vt:variant>
        <vt:lpwstr/>
      </vt:variant>
      <vt:variant>
        <vt:lpwstr>_Toc11052983</vt:lpwstr>
      </vt:variant>
      <vt:variant>
        <vt:i4>1572923</vt:i4>
      </vt:variant>
      <vt:variant>
        <vt:i4>2</vt:i4>
      </vt:variant>
      <vt:variant>
        <vt:i4>0</vt:i4>
      </vt:variant>
      <vt:variant>
        <vt:i4>5</vt:i4>
      </vt:variant>
      <vt:variant>
        <vt:lpwstr/>
      </vt:variant>
      <vt:variant>
        <vt:lpwstr>_Toc11052982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CEHE</dc:creator>
  <cp:keywords/>
  <dc:description/>
  <cp:lastModifiedBy>ERCOT</cp:lastModifiedBy>
  <cp:revision>2</cp:revision>
  <cp:lastPrinted>2019-04-29T19:52:00Z</cp:lastPrinted>
  <dcterms:created xsi:type="dcterms:W3CDTF">2024-09-26T14:18:00Z</dcterms:created>
  <dcterms:modified xsi:type="dcterms:W3CDTF">2024-09-26T14:18:00Z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084cbda-52b8-46fb-a7b7-cb5bd465ed85_Enabled">
    <vt:lpwstr>true</vt:lpwstr>
  </property>
  <property fmtid="{D5CDD505-2E9C-101B-9397-08002B2CF9AE}" pid="4" name="MSIP_Label_7084cbda-52b8-46fb-a7b7-cb5bd465ed85_SetDate">
    <vt:lpwstr>2023-07-28T14:22:57Z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4bdf00fe-fb24-4ebf-9918-a28839dd2e38</vt:lpwstr>
  </property>
  <property fmtid="{D5CDD505-2E9C-101B-9397-08002B2CF9AE}" pid="9" name="MSIP_Label_7084cbda-52b8-46fb-a7b7-cb5bd465ed85_ContentBits">
    <vt:lpwstr>0</vt:lpwstr>
  </property>
</Properties>
</file>