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312"/>
        <w:gridCol w:w="937"/>
        <w:gridCol w:w="6211"/>
      </w:tblGrid>
      <w:tr w:rsidR="00152993" w14:paraId="3255882C" w14:textId="77777777" w:rsidTr="00FC54AC"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213EA1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576C7E74" w14:textId="2152A3A0" w:rsidR="00152993" w:rsidRDefault="00FC54AC">
            <w:pPr>
              <w:pStyle w:val="Header"/>
            </w:pPr>
            <w:hyperlink r:id="rId7" w:history="1">
              <w:r w:rsidR="00FE225F" w:rsidRPr="00FC54AC">
                <w:rPr>
                  <w:rStyle w:val="Hyperlink"/>
                </w:rPr>
                <w:t>1214</w:t>
              </w:r>
            </w:hyperlink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3C0B6B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14:paraId="328EFB90" w14:textId="58FA9F8D" w:rsidR="00152993" w:rsidRDefault="008F5C32">
            <w:pPr>
              <w:pStyle w:val="Header"/>
            </w:pPr>
            <w:r w:rsidRPr="00FE225F">
              <w:t>Reliability Deployment Price Adder Fix to Provide Locational Price Signals, Reduce Uplift and Risk</w:t>
            </w:r>
          </w:p>
        </w:tc>
      </w:tr>
      <w:tr w:rsidR="00152993" w14:paraId="744D0C96" w14:textId="77777777" w:rsidTr="00FC54AC">
        <w:trPr>
          <w:trHeight w:val="413"/>
        </w:trPr>
        <w:tc>
          <w:tcPr>
            <w:tcW w:w="2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5D70E" w14:textId="77777777" w:rsidR="00152993" w:rsidRDefault="00152993">
            <w:pPr>
              <w:pStyle w:val="NormalArial"/>
            </w:pP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7EA1B" w14:textId="77777777" w:rsidR="00152993" w:rsidRDefault="00152993">
            <w:pPr>
              <w:pStyle w:val="NormalArial"/>
            </w:pPr>
          </w:p>
        </w:tc>
      </w:tr>
      <w:tr w:rsidR="00152993" w14:paraId="4072C5AD" w14:textId="77777777" w:rsidTr="00FC54AC">
        <w:trPr>
          <w:trHeight w:val="440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BD3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861" w14:textId="5C4E68DA" w:rsidR="00152993" w:rsidRDefault="00FC54AC">
            <w:pPr>
              <w:pStyle w:val="NormalArial"/>
            </w:pPr>
            <w:r>
              <w:t xml:space="preserve">August 9, </w:t>
            </w:r>
            <w:r w:rsidR="008F5C32">
              <w:t>2024</w:t>
            </w:r>
          </w:p>
        </w:tc>
      </w:tr>
      <w:tr w:rsidR="00152993" w14:paraId="32616AF9" w14:textId="77777777" w:rsidTr="00FC54AC">
        <w:trPr>
          <w:trHeight w:val="467"/>
        </w:trPr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66208" w14:textId="77777777" w:rsidR="00152993" w:rsidRDefault="00152993">
            <w:pPr>
              <w:pStyle w:val="NormalArial"/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7AC4" w14:textId="77777777" w:rsidR="00152993" w:rsidRDefault="00152993">
            <w:pPr>
              <w:pStyle w:val="NormalArial"/>
            </w:pPr>
          </w:p>
        </w:tc>
      </w:tr>
      <w:tr w:rsidR="00152993" w14:paraId="7E8DCE4E" w14:textId="77777777" w:rsidTr="00FC54AC">
        <w:trPr>
          <w:trHeight w:val="440"/>
        </w:trPr>
        <w:tc>
          <w:tcPr>
            <w:tcW w:w="1014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1AE0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547E63B" w14:textId="77777777" w:rsidTr="00FC54AC">
        <w:trPr>
          <w:trHeight w:val="350"/>
        </w:trPr>
        <w:tc>
          <w:tcPr>
            <w:tcW w:w="2999" w:type="dxa"/>
            <w:gridSpan w:val="2"/>
            <w:shd w:val="clear" w:color="auto" w:fill="FFFFFF"/>
            <w:vAlign w:val="center"/>
          </w:tcPr>
          <w:p w14:paraId="21307408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148" w:type="dxa"/>
            <w:gridSpan w:val="2"/>
            <w:vAlign w:val="center"/>
          </w:tcPr>
          <w:p w14:paraId="5AE02DBF" w14:textId="5A680360" w:rsidR="00152993" w:rsidRDefault="00FE225F">
            <w:pPr>
              <w:pStyle w:val="NormalArial"/>
            </w:pPr>
            <w:r>
              <w:t>Ryan King</w:t>
            </w:r>
          </w:p>
        </w:tc>
      </w:tr>
      <w:tr w:rsidR="00152993" w14:paraId="5B374CDF" w14:textId="77777777" w:rsidTr="00FC54AC">
        <w:trPr>
          <w:trHeight w:val="350"/>
        </w:trPr>
        <w:tc>
          <w:tcPr>
            <w:tcW w:w="2999" w:type="dxa"/>
            <w:gridSpan w:val="2"/>
            <w:shd w:val="clear" w:color="auto" w:fill="FFFFFF"/>
            <w:vAlign w:val="center"/>
          </w:tcPr>
          <w:p w14:paraId="12584A37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148" w:type="dxa"/>
            <w:gridSpan w:val="2"/>
            <w:vAlign w:val="center"/>
          </w:tcPr>
          <w:p w14:paraId="6023DF38" w14:textId="437217B5" w:rsidR="00152993" w:rsidRDefault="004E01D6">
            <w:pPr>
              <w:pStyle w:val="NormalArial"/>
            </w:pPr>
            <w:hyperlink r:id="rId8" w:history="1">
              <w:r w:rsidR="00FE225F" w:rsidRPr="00D07846">
                <w:rPr>
                  <w:rStyle w:val="Hyperlink"/>
                </w:rPr>
                <w:t>Ryan.king@ercot.com</w:t>
              </w:r>
            </w:hyperlink>
          </w:p>
        </w:tc>
      </w:tr>
      <w:tr w:rsidR="00152993" w14:paraId="396C193A" w14:textId="77777777" w:rsidTr="00FC54AC">
        <w:trPr>
          <w:trHeight w:val="350"/>
        </w:trPr>
        <w:tc>
          <w:tcPr>
            <w:tcW w:w="2999" w:type="dxa"/>
            <w:gridSpan w:val="2"/>
            <w:shd w:val="clear" w:color="auto" w:fill="FFFFFF"/>
            <w:vAlign w:val="center"/>
          </w:tcPr>
          <w:p w14:paraId="738CE59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148" w:type="dxa"/>
            <w:gridSpan w:val="2"/>
            <w:vAlign w:val="center"/>
          </w:tcPr>
          <w:p w14:paraId="7F4FF4B7" w14:textId="53B0AF2D" w:rsidR="00152993" w:rsidRDefault="00FE225F">
            <w:pPr>
              <w:pStyle w:val="NormalArial"/>
            </w:pPr>
            <w:r>
              <w:t>ERCOT</w:t>
            </w:r>
          </w:p>
        </w:tc>
      </w:tr>
      <w:tr w:rsidR="00152993" w14:paraId="3CD16807" w14:textId="77777777" w:rsidTr="00FC54AC">
        <w:trPr>
          <w:trHeight w:val="350"/>
        </w:trPr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08C95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</w:tcBorders>
            <w:vAlign w:val="center"/>
          </w:tcPr>
          <w:p w14:paraId="2CEDE0AF" w14:textId="77777777" w:rsidR="00152993" w:rsidRDefault="00152993">
            <w:pPr>
              <w:pStyle w:val="NormalArial"/>
            </w:pPr>
          </w:p>
        </w:tc>
      </w:tr>
      <w:tr w:rsidR="00152993" w14:paraId="09EEAA4A" w14:textId="77777777" w:rsidTr="00FC54AC">
        <w:trPr>
          <w:trHeight w:val="350"/>
        </w:trPr>
        <w:tc>
          <w:tcPr>
            <w:tcW w:w="2999" w:type="dxa"/>
            <w:gridSpan w:val="2"/>
            <w:shd w:val="clear" w:color="auto" w:fill="FFFFFF"/>
            <w:vAlign w:val="center"/>
          </w:tcPr>
          <w:p w14:paraId="4890A5D7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148" w:type="dxa"/>
            <w:gridSpan w:val="2"/>
            <w:vAlign w:val="center"/>
          </w:tcPr>
          <w:p w14:paraId="70370604" w14:textId="7A202BE6" w:rsidR="00152993" w:rsidRDefault="00FE225F">
            <w:pPr>
              <w:pStyle w:val="NormalArial"/>
            </w:pPr>
            <w:r>
              <w:t>512-944-7706</w:t>
            </w:r>
          </w:p>
        </w:tc>
      </w:tr>
      <w:tr w:rsidR="00075A94" w14:paraId="64B5FC49" w14:textId="77777777" w:rsidTr="00FC54AC">
        <w:trPr>
          <w:trHeight w:val="413"/>
        </w:trPr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077C7A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</w:tcBorders>
            <w:vAlign w:val="center"/>
          </w:tcPr>
          <w:p w14:paraId="4E3F1283" w14:textId="1109BE6E" w:rsidR="00075A94" w:rsidRDefault="00FC54AC">
            <w:pPr>
              <w:pStyle w:val="NormalArial"/>
            </w:pPr>
            <w:r>
              <w:t>Not applicable</w:t>
            </w:r>
          </w:p>
        </w:tc>
      </w:tr>
    </w:tbl>
    <w:tbl>
      <w:tblPr>
        <w:tblpPr w:leftFromText="180" w:rightFromText="180" w:vertAnchor="text" w:horzAnchor="page" w:tblpX="1021" w:tblpY="174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5"/>
      </w:tblGrid>
      <w:tr w:rsidR="007E58DF" w:rsidRPr="00B5080A" w14:paraId="21375CA3" w14:textId="77777777" w:rsidTr="00FC54AC">
        <w:trPr>
          <w:trHeight w:val="422"/>
        </w:trPr>
        <w:tc>
          <w:tcPr>
            <w:tcW w:w="10165" w:type="dxa"/>
            <w:vAlign w:val="center"/>
          </w:tcPr>
          <w:p w14:paraId="11450E04" w14:textId="77777777" w:rsidR="007E58DF" w:rsidRPr="00075A94" w:rsidRDefault="007E58DF" w:rsidP="007E58DF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0DB4EA0" w14:textId="07CECBA2" w:rsidR="00FE225F" w:rsidRDefault="00FE225F" w:rsidP="00FC54AC">
      <w:pPr>
        <w:pStyle w:val="NormalArial"/>
        <w:spacing w:before="120" w:after="120"/>
        <w:jc w:val="both"/>
      </w:pPr>
      <w:r>
        <w:t xml:space="preserve">ERCOT has </w:t>
      </w:r>
      <w:r w:rsidR="00342974">
        <w:t xml:space="preserve">expressed concerns with </w:t>
      </w:r>
      <w:r w:rsidR="00FC54AC">
        <w:t>Nodal Protocol Revision Request (</w:t>
      </w:r>
      <w:r w:rsidR="00342974">
        <w:t>NPRR</w:t>
      </w:r>
      <w:r w:rsidR="00FC54AC">
        <w:t xml:space="preserve">) </w:t>
      </w:r>
      <w:r w:rsidR="323DF580">
        <w:t>1214,</w:t>
      </w:r>
      <w:r w:rsidR="00342974">
        <w:t xml:space="preserve"> as proposed,</w:t>
      </w:r>
      <w:r>
        <w:t xml:space="preserve"> in stakeholder forums and </w:t>
      </w:r>
      <w:r w:rsidR="00342974">
        <w:t>directly with the sponsor</w:t>
      </w:r>
      <w:r w:rsidR="2B41FF2F">
        <w:t>,</w:t>
      </w:r>
      <w:r w:rsidR="00342974">
        <w:t xml:space="preserve"> but also offers these</w:t>
      </w:r>
      <w:r>
        <w:t xml:space="preserve"> formal comments for the sake of transparency to all stakeholders and decision-makers.  </w:t>
      </w:r>
      <w:r w:rsidR="1B74091D">
        <w:t xml:space="preserve">As addressed below, </w:t>
      </w:r>
      <w:r w:rsidR="08AA3544">
        <w:t>t</w:t>
      </w:r>
      <w:r w:rsidR="3566F66F">
        <w:t>he</w:t>
      </w:r>
      <w:r>
        <w:t xml:space="preserve"> concerns relate </w:t>
      </w:r>
      <w:proofErr w:type="gramStart"/>
      <w:r>
        <w:t>to:</w:t>
      </w:r>
      <w:proofErr w:type="gramEnd"/>
      <w:r>
        <w:t xml:space="preserve"> 1) outstanding</w:t>
      </w:r>
      <w:r w:rsidR="00BD75EC">
        <w:t xml:space="preserve"> complex</w:t>
      </w:r>
      <w:r>
        <w:t xml:space="preserve"> policy and design issues</w:t>
      </w:r>
      <w:r w:rsidR="2DED9C48">
        <w:t>,</w:t>
      </w:r>
      <w:r>
        <w:t xml:space="preserve"> 2) </w:t>
      </w:r>
      <w:r w:rsidR="00342974">
        <w:t>analysis limitations</w:t>
      </w:r>
      <w:r w:rsidR="70968AF1">
        <w:t>,</w:t>
      </w:r>
      <w:r w:rsidR="00342974">
        <w:t xml:space="preserve"> </w:t>
      </w:r>
      <w:r>
        <w:t xml:space="preserve">and 3) timing considerations related to the </w:t>
      </w:r>
      <w:r w:rsidR="00A9741D">
        <w:t xml:space="preserve">implementation of </w:t>
      </w:r>
      <w:r w:rsidR="00342974">
        <w:t>the Real-Time Co-Optimization plus Batteries (</w:t>
      </w:r>
      <w:r>
        <w:t>RTC+</w:t>
      </w:r>
      <w:r w:rsidR="00A9741D">
        <w:t>B</w:t>
      </w:r>
      <w:r w:rsidR="00342974">
        <w:t xml:space="preserve">) </w:t>
      </w:r>
      <w:r w:rsidR="3D62587A">
        <w:t>initiative</w:t>
      </w:r>
      <w:r>
        <w:t>.</w:t>
      </w:r>
    </w:p>
    <w:p w14:paraId="513AA3A1" w14:textId="524A1188" w:rsidR="007453C5" w:rsidRPr="00342974" w:rsidRDefault="00BD75EC" w:rsidP="00FC54AC">
      <w:pPr>
        <w:pStyle w:val="NormalArial"/>
        <w:spacing w:before="120" w:after="120"/>
        <w:jc w:val="both"/>
        <w:rPr>
          <w:u w:val="single"/>
        </w:rPr>
      </w:pPr>
      <w:r>
        <w:rPr>
          <w:u w:val="single"/>
        </w:rPr>
        <w:t xml:space="preserve">Complex </w:t>
      </w:r>
      <w:r w:rsidR="007453C5" w:rsidRPr="00342974">
        <w:rPr>
          <w:u w:val="single"/>
        </w:rPr>
        <w:t>Policy and Design Issues</w:t>
      </w:r>
    </w:p>
    <w:p w14:paraId="5B8B4080" w14:textId="2D5F2BEF" w:rsidR="00342974" w:rsidRDefault="007453C5" w:rsidP="00FC54AC">
      <w:pPr>
        <w:pStyle w:val="NormalArial"/>
        <w:spacing w:before="120" w:after="120"/>
        <w:jc w:val="both"/>
      </w:pPr>
      <w:r>
        <w:t>NPRR</w:t>
      </w:r>
      <w:r w:rsidR="2B0D6C36">
        <w:t>1214</w:t>
      </w:r>
      <w:r>
        <w:t xml:space="preserve"> as currently drafted </w:t>
      </w:r>
      <w:r w:rsidR="00BD75EC">
        <w:t xml:space="preserve">contains </w:t>
      </w:r>
      <w:proofErr w:type="gramStart"/>
      <w:r w:rsidR="00BD75EC">
        <w:t>a number of</w:t>
      </w:r>
      <w:proofErr w:type="gramEnd"/>
      <w:r w:rsidR="00BD75EC">
        <w:t xml:space="preserve"> complex issues which </w:t>
      </w:r>
      <w:r>
        <w:t>require</w:t>
      </w:r>
      <w:r w:rsidR="00342974">
        <w:t xml:space="preserve"> review and development</w:t>
      </w:r>
      <w:r w:rsidR="50E2FFC2">
        <w:t>,</w:t>
      </w:r>
      <w:r w:rsidR="00342974">
        <w:t xml:space="preserve"> </w:t>
      </w:r>
      <w:r w:rsidR="00BD75EC">
        <w:t>particularly around pricing and settlement</w:t>
      </w:r>
      <w:r w:rsidR="75A42FF6">
        <w:t>,</w:t>
      </w:r>
      <w:r w:rsidR="00BD75EC">
        <w:t xml:space="preserve"> including:</w:t>
      </w:r>
    </w:p>
    <w:p w14:paraId="22192793" w14:textId="27970956" w:rsidR="00342974" w:rsidRDefault="00342974" w:rsidP="00FC54AC">
      <w:pPr>
        <w:pStyle w:val="NormalArial"/>
        <w:numPr>
          <w:ilvl w:val="0"/>
          <w:numId w:val="5"/>
        </w:numPr>
        <w:spacing w:before="120" w:after="120"/>
        <w:jc w:val="both"/>
      </w:pPr>
      <w:r>
        <w:t>F</w:t>
      </w:r>
      <w:r w:rsidR="007453C5">
        <w:t xml:space="preserve">urther consideration </w:t>
      </w:r>
      <w:r w:rsidR="1249D5BC">
        <w:t>of</w:t>
      </w:r>
      <w:r w:rsidR="007453C5">
        <w:t xml:space="preserve"> the treatment </w:t>
      </w:r>
      <w:r w:rsidR="00A75305">
        <w:t>of</w:t>
      </w:r>
      <w:r w:rsidR="00BD75EC">
        <w:t xml:space="preserve"> </w:t>
      </w:r>
      <w:r w:rsidR="007453C5">
        <w:t>Energy Storage Resources (ESRs)</w:t>
      </w:r>
      <w:r w:rsidR="05E6C280">
        <w:t>, including:</w:t>
      </w:r>
      <w:r w:rsidR="007453C5">
        <w:t xml:space="preserve">  </w:t>
      </w:r>
    </w:p>
    <w:p w14:paraId="34651C0D" w14:textId="4AFF77F7" w:rsidR="00410CB8" w:rsidRDefault="00FC54AC" w:rsidP="00FC54AC">
      <w:pPr>
        <w:pStyle w:val="NormalArial"/>
        <w:numPr>
          <w:ilvl w:val="1"/>
          <w:numId w:val="5"/>
        </w:numPr>
        <w:spacing w:before="60" w:after="60"/>
        <w:jc w:val="both"/>
      </w:pPr>
      <w:r>
        <w:t>O</w:t>
      </w:r>
      <w:r w:rsidR="00410CB8">
        <w:t>utstanding design questions around the indifference payment</w:t>
      </w:r>
      <w:r w:rsidR="711360E2">
        <w:t>,</w:t>
      </w:r>
      <w:r w:rsidR="00466347">
        <w:t xml:space="preserve"> </w:t>
      </w:r>
      <w:r w:rsidR="711360E2">
        <w:t>specifically the determination of the quantity and</w:t>
      </w:r>
      <w:r w:rsidR="00466347">
        <w:t xml:space="preserve"> the treatment of ESRs</w:t>
      </w:r>
      <w:r w:rsidR="5BDAA826">
        <w:t>;</w:t>
      </w:r>
    </w:p>
    <w:p w14:paraId="594DB65A" w14:textId="2AD93B10" w:rsidR="005C42AE" w:rsidRDefault="00FC54AC" w:rsidP="00FC54AC">
      <w:pPr>
        <w:pStyle w:val="NormalArial"/>
        <w:numPr>
          <w:ilvl w:val="1"/>
          <w:numId w:val="5"/>
        </w:numPr>
        <w:spacing w:before="60" w:after="60"/>
      </w:pPr>
      <w:r>
        <w:t>L</w:t>
      </w:r>
      <w:r w:rsidR="005C42AE">
        <w:t xml:space="preserve">anguage in Section 6.9.1 </w:t>
      </w:r>
      <w:r w:rsidR="592A0F08">
        <w:t xml:space="preserve">that </w:t>
      </w:r>
      <w:r w:rsidR="005C42AE">
        <w:t>only refers to Generation Resources and Controllable Load Resources</w:t>
      </w:r>
      <w:r w:rsidR="002A5D67">
        <w:t xml:space="preserve"> </w:t>
      </w:r>
      <w:r w:rsidR="002A6C35">
        <w:t>(CLRs)</w:t>
      </w:r>
      <w:r w:rsidR="002A5D67">
        <w:t xml:space="preserve"> but not </w:t>
      </w:r>
      <w:r w:rsidR="003B7B45">
        <w:t>ESR</w:t>
      </w:r>
      <w:r w:rsidR="002A5D67">
        <w:t>s</w:t>
      </w:r>
      <w:r w:rsidR="45813472">
        <w:t>;</w:t>
      </w:r>
    </w:p>
    <w:p w14:paraId="18C79527" w14:textId="4DC4AA3D" w:rsidR="002A5D67" w:rsidRDefault="00A75305" w:rsidP="00FC54AC">
      <w:pPr>
        <w:pStyle w:val="NormalArial"/>
        <w:numPr>
          <w:ilvl w:val="1"/>
          <w:numId w:val="5"/>
        </w:numPr>
        <w:spacing w:before="60" w:after="60"/>
      </w:pPr>
      <w:r>
        <w:t>Further consideration</w:t>
      </w:r>
      <w:r w:rsidR="007453C5">
        <w:t xml:space="preserve"> of</w:t>
      </w:r>
      <w:r>
        <w:t xml:space="preserve"> the impacts from</w:t>
      </w:r>
      <w:r w:rsidR="007453C5">
        <w:t xml:space="preserve"> NPRR1188</w:t>
      </w:r>
      <w:r w:rsidR="027CAB19">
        <w:t>,</w:t>
      </w:r>
      <w:r w:rsidR="007453C5">
        <w:t xml:space="preserve"> </w:t>
      </w:r>
      <w:r w:rsidR="00FC54AC" w:rsidRPr="00FC54AC">
        <w:t>Implement Nodal Dispatch and Energy Settlement for Controllable Load Resources</w:t>
      </w:r>
      <w:r w:rsidR="00FC54AC">
        <w:t xml:space="preserve">, </w:t>
      </w:r>
      <w:r w:rsidR="00774215">
        <w:t xml:space="preserve">which </w:t>
      </w:r>
      <w:r w:rsidR="007453C5">
        <w:t xml:space="preserve">introduces nodal </w:t>
      </w:r>
      <w:r w:rsidR="00FC54AC">
        <w:t>S</w:t>
      </w:r>
      <w:r w:rsidR="007453C5">
        <w:t>ettlement for CLRs</w:t>
      </w:r>
      <w:r w:rsidR="1A1EF452">
        <w:t>.</w:t>
      </w:r>
      <w:r w:rsidR="0B062B68">
        <w:t xml:space="preserve">  </w:t>
      </w:r>
      <w:r w:rsidR="00E812D6">
        <w:t>T</w:t>
      </w:r>
      <w:r w:rsidR="00D15E33">
        <w:t xml:space="preserve">his relates to the </w:t>
      </w:r>
      <w:r w:rsidR="00EC1AD6">
        <w:t>S</w:t>
      </w:r>
      <w:r w:rsidR="002A6C35">
        <w:t>ettlement Point Price</w:t>
      </w:r>
      <w:r w:rsidR="00EC1AD6">
        <w:t xml:space="preserve"> that the indifference payment would </w:t>
      </w:r>
      <w:proofErr w:type="gramStart"/>
      <w:r w:rsidR="00EC1AD6">
        <w:t>use:</w:t>
      </w:r>
      <w:proofErr w:type="gramEnd"/>
      <w:r w:rsidR="00EC1AD6">
        <w:t xml:space="preserve"> pre-</w:t>
      </w:r>
      <w:r w:rsidR="5E07065B">
        <w:t>NPRR</w:t>
      </w:r>
      <w:r w:rsidR="00EC1AD6">
        <w:t xml:space="preserve">1188 would require zonal prices </w:t>
      </w:r>
      <w:r w:rsidR="00060D86">
        <w:t>and post-</w:t>
      </w:r>
      <w:r w:rsidR="0E5CC1CC">
        <w:t>NPRR</w:t>
      </w:r>
      <w:r w:rsidR="00060D86">
        <w:t>1188 would require nodal prices</w:t>
      </w:r>
      <w:r w:rsidR="75DE01D2">
        <w:t>;</w:t>
      </w:r>
    </w:p>
    <w:p w14:paraId="74CDC1F8" w14:textId="248DF935" w:rsidR="00F02890" w:rsidRDefault="00F02890" w:rsidP="00FC54AC">
      <w:pPr>
        <w:pStyle w:val="NormalArial"/>
        <w:numPr>
          <w:ilvl w:val="0"/>
          <w:numId w:val="5"/>
        </w:numPr>
        <w:spacing w:before="120" w:after="120"/>
        <w:jc w:val="both"/>
      </w:pPr>
      <w:r>
        <w:t>The i</w:t>
      </w:r>
      <w:r w:rsidRPr="00F02890">
        <w:t xml:space="preserve">mpacts of </w:t>
      </w:r>
      <w:r w:rsidR="00117D96">
        <w:t>L</w:t>
      </w:r>
      <w:r w:rsidRPr="00F02890">
        <w:t xml:space="preserve">oad </w:t>
      </w:r>
      <w:r w:rsidR="00117D96">
        <w:t>R</w:t>
      </w:r>
      <w:r w:rsidRPr="00F02890">
        <w:t xml:space="preserve">esource deployments, </w:t>
      </w:r>
      <w:r w:rsidR="00117D96">
        <w:t>B</w:t>
      </w:r>
      <w:r>
        <w:t xml:space="preserve">lock </w:t>
      </w:r>
      <w:r w:rsidR="00117D96">
        <w:t>L</w:t>
      </w:r>
      <w:r>
        <w:t xml:space="preserve">oad </w:t>
      </w:r>
      <w:r w:rsidR="00117D96">
        <w:t>T</w:t>
      </w:r>
      <w:r>
        <w:t>ransfers</w:t>
      </w:r>
      <w:r w:rsidR="00FC54AC">
        <w:t xml:space="preserve"> (BLTs)</w:t>
      </w:r>
      <w:r w:rsidRPr="00F02890">
        <w:t xml:space="preserve">, </w:t>
      </w:r>
      <w:r>
        <w:t>and utility</w:t>
      </w:r>
      <w:r w:rsidRPr="00F02890">
        <w:t xml:space="preserve"> programs are</w:t>
      </w:r>
      <w:r>
        <w:t xml:space="preserve"> not </w:t>
      </w:r>
      <w:r w:rsidRPr="00F02890">
        <w:t>properly accounted for nor are impacts of other actions including H</w:t>
      </w:r>
      <w:r>
        <w:t>igh Dispatch Limit (H</w:t>
      </w:r>
      <w:r w:rsidRPr="00F02890">
        <w:t>DL</w:t>
      </w:r>
      <w:r>
        <w:t>)</w:t>
      </w:r>
      <w:r w:rsidRPr="00F02890">
        <w:t xml:space="preserve"> overrides</w:t>
      </w:r>
      <w:r w:rsidR="00567C06">
        <w:t>;</w:t>
      </w:r>
      <w:r w:rsidR="03E14321">
        <w:t xml:space="preserve"> and</w:t>
      </w:r>
    </w:p>
    <w:p w14:paraId="32E5DD47" w14:textId="130D11FE" w:rsidR="00A9741D" w:rsidRDefault="00BD75EC" w:rsidP="00FC54AC">
      <w:pPr>
        <w:pStyle w:val="NormalArial"/>
        <w:numPr>
          <w:ilvl w:val="0"/>
          <w:numId w:val="5"/>
        </w:numPr>
        <w:spacing w:before="120" w:after="120"/>
        <w:jc w:val="both"/>
      </w:pPr>
      <w:r>
        <w:t>Modelling of D</w:t>
      </w:r>
      <w:r w:rsidR="00FC54AC">
        <w:t xml:space="preserve">irect </w:t>
      </w:r>
      <w:r>
        <w:t>C</w:t>
      </w:r>
      <w:r w:rsidR="00FC54AC">
        <w:t>urrent T</w:t>
      </w:r>
      <w:r>
        <w:t>ie</w:t>
      </w:r>
      <w:r w:rsidR="00FC54AC">
        <w:t xml:space="preserve"> (DC Tie)</w:t>
      </w:r>
      <w:r>
        <w:t xml:space="preserve"> curtailments</w:t>
      </w:r>
      <w:r w:rsidR="00A9741D">
        <w:t xml:space="preserve"> also requires further </w:t>
      </w:r>
      <w:r>
        <w:t>consideration</w:t>
      </w:r>
      <w:r w:rsidR="00A9741D">
        <w:t>.</w:t>
      </w:r>
    </w:p>
    <w:p w14:paraId="78E2946E" w14:textId="523897A6" w:rsidR="00A9741D" w:rsidRPr="00342974" w:rsidRDefault="00A9741D" w:rsidP="00FC54AC">
      <w:pPr>
        <w:pStyle w:val="NormalArial"/>
        <w:spacing w:before="120" w:after="120"/>
        <w:jc w:val="both"/>
        <w:rPr>
          <w:u w:val="single"/>
        </w:rPr>
      </w:pPr>
      <w:r w:rsidRPr="00342974">
        <w:rPr>
          <w:u w:val="single"/>
        </w:rPr>
        <w:t>Analysis Limitations</w:t>
      </w:r>
    </w:p>
    <w:p w14:paraId="1C9ABDAE" w14:textId="50785A9E" w:rsidR="00A9741D" w:rsidRDefault="00A9741D" w:rsidP="00FC54AC">
      <w:pPr>
        <w:pStyle w:val="NormalArial"/>
        <w:spacing w:before="120" w:after="120"/>
        <w:jc w:val="both"/>
      </w:pPr>
      <w:r>
        <w:lastRenderedPageBreak/>
        <w:t xml:space="preserve">Some of the pricing run data requested to help evaluate the impact of the NPRR is not available in any existing database nor is it straightforward to pull together in a programmatic way from a large set of </w:t>
      </w:r>
      <w:r w:rsidR="00FC54AC">
        <w:t>save cases</w:t>
      </w:r>
      <w:r>
        <w:t>.  Given several other current priorities, ERCOT is not able to commit to providing this data on a date</w:t>
      </w:r>
      <w:r w:rsidR="00FC54AC">
        <w:t>-</w:t>
      </w:r>
      <w:r>
        <w:t>certain basis.  This data will be available and easier to access after implementation of RTC+B.</w:t>
      </w:r>
    </w:p>
    <w:p w14:paraId="10ED76E0" w14:textId="6D938EAA" w:rsidR="00A9741D" w:rsidRPr="00342974" w:rsidRDefault="00A9741D" w:rsidP="00FC54AC">
      <w:pPr>
        <w:pStyle w:val="NormalArial"/>
        <w:spacing w:before="120" w:after="120"/>
        <w:jc w:val="both"/>
        <w:rPr>
          <w:u w:val="single"/>
        </w:rPr>
      </w:pPr>
      <w:r w:rsidRPr="3D65ABFB">
        <w:rPr>
          <w:u w:val="single"/>
        </w:rPr>
        <w:t xml:space="preserve">Timing </w:t>
      </w:r>
      <w:r w:rsidR="77DEFC21" w:rsidRPr="3D65ABFB">
        <w:rPr>
          <w:u w:val="single"/>
        </w:rPr>
        <w:t>C</w:t>
      </w:r>
      <w:r w:rsidRPr="3D65ABFB">
        <w:rPr>
          <w:u w:val="single"/>
        </w:rPr>
        <w:t>onsiderations</w:t>
      </w:r>
      <w:r w:rsidR="5613D091" w:rsidRPr="3D65ABFB">
        <w:rPr>
          <w:u w:val="single"/>
        </w:rPr>
        <w:t xml:space="preserve"> Relative to RTC+B</w:t>
      </w:r>
    </w:p>
    <w:p w14:paraId="094B114B" w14:textId="50D4EF71" w:rsidR="00A9741D" w:rsidRDefault="00774215" w:rsidP="00FC54AC">
      <w:pPr>
        <w:pStyle w:val="NormalArial"/>
        <w:spacing w:before="120" w:after="120"/>
        <w:jc w:val="both"/>
      </w:pPr>
      <w:r>
        <w:t>ERCOT teams are working toward implementation o</w:t>
      </w:r>
      <w:r w:rsidR="00BD75EC">
        <w:t>f RTC+B; a</w:t>
      </w:r>
      <w:r>
        <w:t>bsent a specific policy direction, no new market change initiatives are being considered prior to RTC</w:t>
      </w:r>
      <w:r w:rsidR="00650B60">
        <w:t>+B</w:t>
      </w:r>
      <w:r>
        <w:t xml:space="preserve"> implementation.  </w:t>
      </w:r>
      <w:r w:rsidR="00BD75EC">
        <w:t xml:space="preserve">Some </w:t>
      </w:r>
      <w:r w:rsidR="00AA58F9">
        <w:t>aspects of</w:t>
      </w:r>
      <w:r>
        <w:t xml:space="preserve"> NPRR1214 would not be applicable post-RTC</w:t>
      </w:r>
      <w:r w:rsidR="0CEADF20">
        <w:t>,</w:t>
      </w:r>
      <w:r w:rsidR="00BD75EC">
        <w:t xml:space="preserve"> which raises further concerns as to the efficacy of considering this project given other priorities</w:t>
      </w:r>
      <w:r>
        <w:t>.</w:t>
      </w:r>
    </w:p>
    <w:p w14:paraId="1EE3BF22" w14:textId="343946E0" w:rsidR="00BD7258" w:rsidRDefault="00774215" w:rsidP="00FC54AC">
      <w:pPr>
        <w:pStyle w:val="NormalArial"/>
        <w:spacing w:before="120" w:after="120"/>
        <w:jc w:val="both"/>
      </w:pPr>
      <w:r>
        <w:t xml:space="preserve">Given the </w:t>
      </w:r>
      <w:r w:rsidR="00AA58F9">
        <w:t>concerns</w:t>
      </w:r>
      <w:r>
        <w:t xml:space="preserve"> noted above, ERCOT does not believe it is practical to support NPRR1214 at this time.  ERCOT </w:t>
      </w:r>
      <w:r w:rsidR="005E7A84">
        <w:t>would re</w:t>
      </w:r>
      <w:r>
        <w:t>commend revisiting this issue post-RTC</w:t>
      </w:r>
      <w:r w:rsidR="005E7A84">
        <w:t>+B</w:t>
      </w:r>
      <w:r>
        <w:t xml:space="preserve"> </w:t>
      </w:r>
      <w:r w:rsidR="00A178D4">
        <w:t xml:space="preserve">implementation </w:t>
      </w:r>
      <w:r>
        <w:t>when the</w:t>
      </w:r>
      <w:r w:rsidR="00A178D4">
        <w:t xml:space="preserve">se issues </w:t>
      </w:r>
      <w:r>
        <w:t xml:space="preserve">can be </w:t>
      </w:r>
      <w:r w:rsidR="00A178D4">
        <w:t xml:space="preserve">reviewed, </w:t>
      </w:r>
      <w:r>
        <w:t>discussed</w:t>
      </w:r>
      <w:r w:rsidR="52D8F535">
        <w:t>,</w:t>
      </w:r>
      <w:r>
        <w:t xml:space="preserve"> and addressed in a</w:t>
      </w:r>
      <w:r w:rsidR="005E7A84">
        <w:t xml:space="preserve"> more</w:t>
      </w:r>
      <w:r>
        <w:t xml:space="preserve"> holistic </w:t>
      </w:r>
      <w:r w:rsidR="61BBECD2">
        <w:t>manner</w:t>
      </w:r>
      <w:r>
        <w:t xml:space="preserve"> in a future NPRR.</w:t>
      </w:r>
    </w:p>
    <w:tbl>
      <w:tblPr>
        <w:tblW w:w="10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BD7258" w14:paraId="7C1A7B5B" w14:textId="77777777" w:rsidTr="00FC54AC">
        <w:trPr>
          <w:trHeight w:val="350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838DF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C18BFD9" w14:textId="39A1DD22" w:rsidR="00BD7258" w:rsidRDefault="00FC54AC" w:rsidP="00FC54AC">
      <w:pPr>
        <w:pStyle w:val="NormalArial"/>
        <w:spacing w:before="120" w:after="120"/>
      </w:pPr>
      <w:r>
        <w:t>None</w:t>
      </w:r>
    </w:p>
    <w:tbl>
      <w:tblPr>
        <w:tblW w:w="10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152993" w14:paraId="4D8DA391" w14:textId="77777777" w:rsidTr="00FC54AC">
        <w:trPr>
          <w:trHeight w:val="350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4CBDD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D61FF8A" w14:textId="77936003" w:rsidR="00152993" w:rsidRDefault="00FC54AC" w:rsidP="00FC54AC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3847" w14:textId="77777777" w:rsidR="00E61BB5" w:rsidRDefault="00E61BB5">
      <w:r>
        <w:separator/>
      </w:r>
    </w:p>
  </w:endnote>
  <w:endnote w:type="continuationSeparator" w:id="0">
    <w:p w14:paraId="48570CAA" w14:textId="77777777" w:rsidR="00E61BB5" w:rsidRDefault="00E61BB5">
      <w:r>
        <w:continuationSeparator/>
      </w:r>
    </w:p>
  </w:endnote>
  <w:endnote w:type="continuationNotice" w:id="1">
    <w:p w14:paraId="2BF5597F" w14:textId="77777777" w:rsidR="00E61BB5" w:rsidRDefault="00E61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9DA8" w14:textId="2415E2F2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C54AC">
      <w:rPr>
        <w:rFonts w:ascii="Arial" w:hAnsi="Arial"/>
        <w:noProof/>
        <w:sz w:val="18"/>
      </w:rPr>
      <w:t>1214NPRR-06 ERCOT Comments 080924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C3313B2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7234" w14:textId="77777777" w:rsidR="00E61BB5" w:rsidRDefault="00E61BB5">
      <w:r>
        <w:separator/>
      </w:r>
    </w:p>
  </w:footnote>
  <w:footnote w:type="continuationSeparator" w:id="0">
    <w:p w14:paraId="1B8746B2" w14:textId="77777777" w:rsidR="00E61BB5" w:rsidRDefault="00E61BB5">
      <w:r>
        <w:continuationSeparator/>
      </w:r>
    </w:p>
  </w:footnote>
  <w:footnote w:type="continuationNotice" w:id="1">
    <w:p w14:paraId="0B46D5EB" w14:textId="77777777" w:rsidR="00E61BB5" w:rsidRDefault="00E61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32BD" w14:textId="099C0B48" w:rsidR="00EE6681" w:rsidRPr="00FC54AC" w:rsidRDefault="00EE6681" w:rsidP="00FC54AC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0CA3057"/>
    <w:multiLevelType w:val="hybridMultilevel"/>
    <w:tmpl w:val="8334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09C0"/>
    <w:multiLevelType w:val="hybridMultilevel"/>
    <w:tmpl w:val="9840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7DC0"/>
    <w:multiLevelType w:val="hybridMultilevel"/>
    <w:tmpl w:val="E65C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47231662">
    <w:abstractNumId w:val="0"/>
  </w:num>
  <w:num w:numId="2" w16cid:durableId="346100475">
    <w:abstractNumId w:val="4"/>
  </w:num>
  <w:num w:numId="3" w16cid:durableId="1254582343">
    <w:abstractNumId w:val="2"/>
  </w:num>
  <w:num w:numId="4" w16cid:durableId="622813801">
    <w:abstractNumId w:val="2"/>
  </w:num>
  <w:num w:numId="5" w16cid:durableId="2044481184">
    <w:abstractNumId w:val="1"/>
  </w:num>
  <w:num w:numId="6" w16cid:durableId="17342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34A"/>
    <w:rsid w:val="00002B4B"/>
    <w:rsid w:val="00002E9B"/>
    <w:rsid w:val="00003D14"/>
    <w:rsid w:val="00013C11"/>
    <w:rsid w:val="00025B38"/>
    <w:rsid w:val="000303C4"/>
    <w:rsid w:val="00031CBC"/>
    <w:rsid w:val="00032A7E"/>
    <w:rsid w:val="00033B81"/>
    <w:rsid w:val="00037668"/>
    <w:rsid w:val="00050AF0"/>
    <w:rsid w:val="0005272D"/>
    <w:rsid w:val="00057AF1"/>
    <w:rsid w:val="0006093B"/>
    <w:rsid w:val="00060D86"/>
    <w:rsid w:val="00070803"/>
    <w:rsid w:val="00075A94"/>
    <w:rsid w:val="00085794"/>
    <w:rsid w:val="00094761"/>
    <w:rsid w:val="000A6CE0"/>
    <w:rsid w:val="000A7975"/>
    <w:rsid w:val="000B332A"/>
    <w:rsid w:val="000D7E81"/>
    <w:rsid w:val="000E2EAB"/>
    <w:rsid w:val="000F56C9"/>
    <w:rsid w:val="000F60FB"/>
    <w:rsid w:val="00100AF2"/>
    <w:rsid w:val="00111200"/>
    <w:rsid w:val="00113815"/>
    <w:rsid w:val="00115C4B"/>
    <w:rsid w:val="00117D96"/>
    <w:rsid w:val="0012660D"/>
    <w:rsid w:val="00132855"/>
    <w:rsid w:val="0013760F"/>
    <w:rsid w:val="00150CD6"/>
    <w:rsid w:val="001511CE"/>
    <w:rsid w:val="00152993"/>
    <w:rsid w:val="00165DE1"/>
    <w:rsid w:val="00170297"/>
    <w:rsid w:val="00176347"/>
    <w:rsid w:val="001870BD"/>
    <w:rsid w:val="00192C2E"/>
    <w:rsid w:val="001A0B48"/>
    <w:rsid w:val="001A0DFB"/>
    <w:rsid w:val="001A227D"/>
    <w:rsid w:val="001A26E4"/>
    <w:rsid w:val="001A3376"/>
    <w:rsid w:val="001A62A1"/>
    <w:rsid w:val="001B13A9"/>
    <w:rsid w:val="001B644C"/>
    <w:rsid w:val="001B6623"/>
    <w:rsid w:val="001D2121"/>
    <w:rsid w:val="001D550A"/>
    <w:rsid w:val="001E2032"/>
    <w:rsid w:val="001E3443"/>
    <w:rsid w:val="001F55BE"/>
    <w:rsid w:val="00226934"/>
    <w:rsid w:val="00255D62"/>
    <w:rsid w:val="00263D96"/>
    <w:rsid w:val="00267C37"/>
    <w:rsid w:val="00273CB3"/>
    <w:rsid w:val="00285E46"/>
    <w:rsid w:val="00293713"/>
    <w:rsid w:val="002A1A4D"/>
    <w:rsid w:val="002A5D67"/>
    <w:rsid w:val="002A6C35"/>
    <w:rsid w:val="002B5B45"/>
    <w:rsid w:val="002D0633"/>
    <w:rsid w:val="002D686C"/>
    <w:rsid w:val="002E6499"/>
    <w:rsid w:val="002F4739"/>
    <w:rsid w:val="003010C0"/>
    <w:rsid w:val="00301209"/>
    <w:rsid w:val="003016AD"/>
    <w:rsid w:val="003061DF"/>
    <w:rsid w:val="0031334B"/>
    <w:rsid w:val="00332504"/>
    <w:rsid w:val="00332A97"/>
    <w:rsid w:val="00334049"/>
    <w:rsid w:val="00342974"/>
    <w:rsid w:val="00350C00"/>
    <w:rsid w:val="00353D34"/>
    <w:rsid w:val="00356D8F"/>
    <w:rsid w:val="00366113"/>
    <w:rsid w:val="00397F03"/>
    <w:rsid w:val="003B1F04"/>
    <w:rsid w:val="003B7284"/>
    <w:rsid w:val="003B7B45"/>
    <w:rsid w:val="003C270C"/>
    <w:rsid w:val="003C28E1"/>
    <w:rsid w:val="003C39AE"/>
    <w:rsid w:val="003D0994"/>
    <w:rsid w:val="003F61E4"/>
    <w:rsid w:val="00410CB8"/>
    <w:rsid w:val="00411A76"/>
    <w:rsid w:val="00413D8A"/>
    <w:rsid w:val="00416448"/>
    <w:rsid w:val="00423824"/>
    <w:rsid w:val="0043567D"/>
    <w:rsid w:val="004579A0"/>
    <w:rsid w:val="004609A8"/>
    <w:rsid w:val="00466347"/>
    <w:rsid w:val="00475E84"/>
    <w:rsid w:val="00483833"/>
    <w:rsid w:val="00486209"/>
    <w:rsid w:val="00487371"/>
    <w:rsid w:val="00497D55"/>
    <w:rsid w:val="004A5D75"/>
    <w:rsid w:val="004A74B1"/>
    <w:rsid w:val="004B2D80"/>
    <w:rsid w:val="004B2F55"/>
    <w:rsid w:val="004B7B90"/>
    <w:rsid w:val="004C3199"/>
    <w:rsid w:val="004C541C"/>
    <w:rsid w:val="004C7AC3"/>
    <w:rsid w:val="004D4B2C"/>
    <w:rsid w:val="004E01D6"/>
    <w:rsid w:val="004E2C19"/>
    <w:rsid w:val="004E397E"/>
    <w:rsid w:val="004F548B"/>
    <w:rsid w:val="004F793B"/>
    <w:rsid w:val="005026BE"/>
    <w:rsid w:val="005050CA"/>
    <w:rsid w:val="0051269D"/>
    <w:rsid w:val="00514767"/>
    <w:rsid w:val="0053283C"/>
    <w:rsid w:val="0054219D"/>
    <w:rsid w:val="0056491D"/>
    <w:rsid w:val="00566F8A"/>
    <w:rsid w:val="00567C06"/>
    <w:rsid w:val="00586079"/>
    <w:rsid w:val="0058665C"/>
    <w:rsid w:val="0059278F"/>
    <w:rsid w:val="00594112"/>
    <w:rsid w:val="00594E99"/>
    <w:rsid w:val="00595010"/>
    <w:rsid w:val="005A52C3"/>
    <w:rsid w:val="005A5B36"/>
    <w:rsid w:val="005B28C6"/>
    <w:rsid w:val="005C1F22"/>
    <w:rsid w:val="005C4191"/>
    <w:rsid w:val="005C42AE"/>
    <w:rsid w:val="005D000A"/>
    <w:rsid w:val="005D284C"/>
    <w:rsid w:val="005E0A29"/>
    <w:rsid w:val="005E2738"/>
    <w:rsid w:val="005E54DE"/>
    <w:rsid w:val="005E7A84"/>
    <w:rsid w:val="005F1763"/>
    <w:rsid w:val="005F441A"/>
    <w:rsid w:val="005F6A2A"/>
    <w:rsid w:val="006033F6"/>
    <w:rsid w:val="00604512"/>
    <w:rsid w:val="006115FB"/>
    <w:rsid w:val="0061542F"/>
    <w:rsid w:val="0061639A"/>
    <w:rsid w:val="0062773D"/>
    <w:rsid w:val="00633704"/>
    <w:rsid w:val="00633E23"/>
    <w:rsid w:val="006361C7"/>
    <w:rsid w:val="006435E5"/>
    <w:rsid w:val="006466AC"/>
    <w:rsid w:val="00650B60"/>
    <w:rsid w:val="00652C89"/>
    <w:rsid w:val="0065357D"/>
    <w:rsid w:val="00673B94"/>
    <w:rsid w:val="00680AC6"/>
    <w:rsid w:val="00682FE0"/>
    <w:rsid w:val="006835D8"/>
    <w:rsid w:val="00690313"/>
    <w:rsid w:val="00695D5A"/>
    <w:rsid w:val="006A1715"/>
    <w:rsid w:val="006A5E8C"/>
    <w:rsid w:val="006B2CC7"/>
    <w:rsid w:val="006C316E"/>
    <w:rsid w:val="006C497C"/>
    <w:rsid w:val="006D0F7C"/>
    <w:rsid w:val="006D217D"/>
    <w:rsid w:val="006E310C"/>
    <w:rsid w:val="007112E3"/>
    <w:rsid w:val="007115C0"/>
    <w:rsid w:val="00711ACE"/>
    <w:rsid w:val="00725744"/>
    <w:rsid w:val="00725A6A"/>
    <w:rsid w:val="007269C4"/>
    <w:rsid w:val="007327F2"/>
    <w:rsid w:val="00733144"/>
    <w:rsid w:val="0074209E"/>
    <w:rsid w:val="00744DCE"/>
    <w:rsid w:val="007453C5"/>
    <w:rsid w:val="00754969"/>
    <w:rsid w:val="00756474"/>
    <w:rsid w:val="00773C8E"/>
    <w:rsid w:val="00774215"/>
    <w:rsid w:val="00781628"/>
    <w:rsid w:val="00793D95"/>
    <w:rsid w:val="00794F77"/>
    <w:rsid w:val="007A1115"/>
    <w:rsid w:val="007A57C8"/>
    <w:rsid w:val="007E58DF"/>
    <w:rsid w:val="007E6485"/>
    <w:rsid w:val="007F091A"/>
    <w:rsid w:val="007F2CA8"/>
    <w:rsid w:val="007F7161"/>
    <w:rsid w:val="00803B61"/>
    <w:rsid w:val="0080749F"/>
    <w:rsid w:val="00835BCA"/>
    <w:rsid w:val="00841A14"/>
    <w:rsid w:val="00844984"/>
    <w:rsid w:val="0085559E"/>
    <w:rsid w:val="00862B1E"/>
    <w:rsid w:val="00870713"/>
    <w:rsid w:val="008841C5"/>
    <w:rsid w:val="008855AC"/>
    <w:rsid w:val="0089606E"/>
    <w:rsid w:val="00896B1B"/>
    <w:rsid w:val="008D1262"/>
    <w:rsid w:val="008E559E"/>
    <w:rsid w:val="008F5C32"/>
    <w:rsid w:val="009132CE"/>
    <w:rsid w:val="00916080"/>
    <w:rsid w:val="00920E4F"/>
    <w:rsid w:val="00921A68"/>
    <w:rsid w:val="009326DA"/>
    <w:rsid w:val="0093736E"/>
    <w:rsid w:val="00940618"/>
    <w:rsid w:val="009478E1"/>
    <w:rsid w:val="009523CD"/>
    <w:rsid w:val="00955919"/>
    <w:rsid w:val="0097299D"/>
    <w:rsid w:val="0097347C"/>
    <w:rsid w:val="00981D00"/>
    <w:rsid w:val="00983DE6"/>
    <w:rsid w:val="00985F38"/>
    <w:rsid w:val="00996202"/>
    <w:rsid w:val="0099776F"/>
    <w:rsid w:val="009A39B1"/>
    <w:rsid w:val="009B5CE5"/>
    <w:rsid w:val="009E1485"/>
    <w:rsid w:val="009E69E5"/>
    <w:rsid w:val="00A015C4"/>
    <w:rsid w:val="00A12C96"/>
    <w:rsid w:val="00A133EC"/>
    <w:rsid w:val="00A15172"/>
    <w:rsid w:val="00A178D4"/>
    <w:rsid w:val="00A2195E"/>
    <w:rsid w:val="00A23914"/>
    <w:rsid w:val="00A25458"/>
    <w:rsid w:val="00A3143E"/>
    <w:rsid w:val="00A32078"/>
    <w:rsid w:val="00A42421"/>
    <w:rsid w:val="00A424E9"/>
    <w:rsid w:val="00A463CC"/>
    <w:rsid w:val="00A715BE"/>
    <w:rsid w:val="00A74B21"/>
    <w:rsid w:val="00A75305"/>
    <w:rsid w:val="00A82901"/>
    <w:rsid w:val="00A84242"/>
    <w:rsid w:val="00A9160C"/>
    <w:rsid w:val="00A93F06"/>
    <w:rsid w:val="00A94EE7"/>
    <w:rsid w:val="00A9741D"/>
    <w:rsid w:val="00AA5213"/>
    <w:rsid w:val="00AA58F9"/>
    <w:rsid w:val="00AC28FF"/>
    <w:rsid w:val="00AC7F5E"/>
    <w:rsid w:val="00AE7096"/>
    <w:rsid w:val="00AF2EEB"/>
    <w:rsid w:val="00B017DF"/>
    <w:rsid w:val="00B01A89"/>
    <w:rsid w:val="00B03BDB"/>
    <w:rsid w:val="00B2033D"/>
    <w:rsid w:val="00B25225"/>
    <w:rsid w:val="00B341E9"/>
    <w:rsid w:val="00B50309"/>
    <w:rsid w:val="00B5080A"/>
    <w:rsid w:val="00B5232F"/>
    <w:rsid w:val="00B53909"/>
    <w:rsid w:val="00B62CA8"/>
    <w:rsid w:val="00B81303"/>
    <w:rsid w:val="00B943AE"/>
    <w:rsid w:val="00BB3468"/>
    <w:rsid w:val="00BC2992"/>
    <w:rsid w:val="00BC694B"/>
    <w:rsid w:val="00BD0970"/>
    <w:rsid w:val="00BD7258"/>
    <w:rsid w:val="00BD75EC"/>
    <w:rsid w:val="00BE0272"/>
    <w:rsid w:val="00BE154F"/>
    <w:rsid w:val="00BE2FEC"/>
    <w:rsid w:val="00BF21C6"/>
    <w:rsid w:val="00BF7723"/>
    <w:rsid w:val="00C01749"/>
    <w:rsid w:val="00C0598D"/>
    <w:rsid w:val="00C11422"/>
    <w:rsid w:val="00C11956"/>
    <w:rsid w:val="00C139F6"/>
    <w:rsid w:val="00C176B0"/>
    <w:rsid w:val="00C20E90"/>
    <w:rsid w:val="00C32652"/>
    <w:rsid w:val="00C443DF"/>
    <w:rsid w:val="00C5324B"/>
    <w:rsid w:val="00C602E5"/>
    <w:rsid w:val="00C615D0"/>
    <w:rsid w:val="00C625FD"/>
    <w:rsid w:val="00C748FD"/>
    <w:rsid w:val="00C76FF3"/>
    <w:rsid w:val="00C83003"/>
    <w:rsid w:val="00C94336"/>
    <w:rsid w:val="00CB0532"/>
    <w:rsid w:val="00CB44A2"/>
    <w:rsid w:val="00CB627A"/>
    <w:rsid w:val="00CC057A"/>
    <w:rsid w:val="00CC2CA8"/>
    <w:rsid w:val="00CE22F4"/>
    <w:rsid w:val="00CE4E02"/>
    <w:rsid w:val="00CE4F01"/>
    <w:rsid w:val="00D1529F"/>
    <w:rsid w:val="00D15E33"/>
    <w:rsid w:val="00D22711"/>
    <w:rsid w:val="00D30636"/>
    <w:rsid w:val="00D4046E"/>
    <w:rsid w:val="00D4362F"/>
    <w:rsid w:val="00D44C57"/>
    <w:rsid w:val="00D6008B"/>
    <w:rsid w:val="00D61694"/>
    <w:rsid w:val="00D73DDF"/>
    <w:rsid w:val="00D80428"/>
    <w:rsid w:val="00DB1F08"/>
    <w:rsid w:val="00DB2B49"/>
    <w:rsid w:val="00DB5D6B"/>
    <w:rsid w:val="00DD4739"/>
    <w:rsid w:val="00DE3D9B"/>
    <w:rsid w:val="00DE5F33"/>
    <w:rsid w:val="00DF3CCE"/>
    <w:rsid w:val="00DF5D16"/>
    <w:rsid w:val="00DF64C4"/>
    <w:rsid w:val="00E07B54"/>
    <w:rsid w:val="00E11F78"/>
    <w:rsid w:val="00E22DA3"/>
    <w:rsid w:val="00E2338E"/>
    <w:rsid w:val="00E26216"/>
    <w:rsid w:val="00E344FD"/>
    <w:rsid w:val="00E37C8F"/>
    <w:rsid w:val="00E43F8F"/>
    <w:rsid w:val="00E57B36"/>
    <w:rsid w:val="00E61510"/>
    <w:rsid w:val="00E61BB5"/>
    <w:rsid w:val="00E621E1"/>
    <w:rsid w:val="00E812D6"/>
    <w:rsid w:val="00E8425F"/>
    <w:rsid w:val="00E935F9"/>
    <w:rsid w:val="00E94390"/>
    <w:rsid w:val="00EA1C32"/>
    <w:rsid w:val="00EA60BF"/>
    <w:rsid w:val="00EB14B8"/>
    <w:rsid w:val="00EB2128"/>
    <w:rsid w:val="00EC1AD6"/>
    <w:rsid w:val="00EC5551"/>
    <w:rsid w:val="00EC55B3"/>
    <w:rsid w:val="00ED2A70"/>
    <w:rsid w:val="00ED43B9"/>
    <w:rsid w:val="00ED5EE6"/>
    <w:rsid w:val="00EE3320"/>
    <w:rsid w:val="00EE6681"/>
    <w:rsid w:val="00EF1BF6"/>
    <w:rsid w:val="00EF2E88"/>
    <w:rsid w:val="00EF416A"/>
    <w:rsid w:val="00F02890"/>
    <w:rsid w:val="00F17003"/>
    <w:rsid w:val="00F17C4B"/>
    <w:rsid w:val="00F22173"/>
    <w:rsid w:val="00F364A6"/>
    <w:rsid w:val="00F47045"/>
    <w:rsid w:val="00F4780C"/>
    <w:rsid w:val="00F52361"/>
    <w:rsid w:val="00F54DD1"/>
    <w:rsid w:val="00F607BC"/>
    <w:rsid w:val="00F76851"/>
    <w:rsid w:val="00F956E9"/>
    <w:rsid w:val="00F96FB2"/>
    <w:rsid w:val="00FA39D7"/>
    <w:rsid w:val="00FB4708"/>
    <w:rsid w:val="00FB51D8"/>
    <w:rsid w:val="00FC54AC"/>
    <w:rsid w:val="00FC74C3"/>
    <w:rsid w:val="00FC7B33"/>
    <w:rsid w:val="00FD06E7"/>
    <w:rsid w:val="00FD08E8"/>
    <w:rsid w:val="00FD2A4B"/>
    <w:rsid w:val="00FD7641"/>
    <w:rsid w:val="00FE225F"/>
    <w:rsid w:val="00FE3E10"/>
    <w:rsid w:val="00FF01C0"/>
    <w:rsid w:val="027CAB19"/>
    <w:rsid w:val="0309F51A"/>
    <w:rsid w:val="03E14321"/>
    <w:rsid w:val="03EE1FC0"/>
    <w:rsid w:val="05E6C280"/>
    <w:rsid w:val="067249FA"/>
    <w:rsid w:val="079EBA1D"/>
    <w:rsid w:val="08AA3544"/>
    <w:rsid w:val="09D31E19"/>
    <w:rsid w:val="0B055DB2"/>
    <w:rsid w:val="0B062B68"/>
    <w:rsid w:val="0CEADF20"/>
    <w:rsid w:val="0E5CC1CC"/>
    <w:rsid w:val="0E78A063"/>
    <w:rsid w:val="10F9863A"/>
    <w:rsid w:val="117EC5D6"/>
    <w:rsid w:val="1249D5BC"/>
    <w:rsid w:val="139D441D"/>
    <w:rsid w:val="161A4936"/>
    <w:rsid w:val="197818B9"/>
    <w:rsid w:val="1A1EF452"/>
    <w:rsid w:val="1B74091D"/>
    <w:rsid w:val="1BFF39B3"/>
    <w:rsid w:val="1E200E2C"/>
    <w:rsid w:val="20476F6E"/>
    <w:rsid w:val="20E4D6E0"/>
    <w:rsid w:val="224FE6DC"/>
    <w:rsid w:val="22D38AF7"/>
    <w:rsid w:val="28694CBD"/>
    <w:rsid w:val="29FDE65E"/>
    <w:rsid w:val="2B0D6C36"/>
    <w:rsid w:val="2B41FF2F"/>
    <w:rsid w:val="2DED9C48"/>
    <w:rsid w:val="2FD989F6"/>
    <w:rsid w:val="314C6439"/>
    <w:rsid w:val="323DF580"/>
    <w:rsid w:val="32B0EC9C"/>
    <w:rsid w:val="34CBB3B3"/>
    <w:rsid w:val="34FF0E63"/>
    <w:rsid w:val="3566F66F"/>
    <w:rsid w:val="358DE3B7"/>
    <w:rsid w:val="3738A6E4"/>
    <w:rsid w:val="37E584BC"/>
    <w:rsid w:val="37F15B3B"/>
    <w:rsid w:val="38BAE95E"/>
    <w:rsid w:val="3CFBE230"/>
    <w:rsid w:val="3D4ECB2D"/>
    <w:rsid w:val="3D62587A"/>
    <w:rsid w:val="3D65ABFB"/>
    <w:rsid w:val="3DD48B81"/>
    <w:rsid w:val="3E27B532"/>
    <w:rsid w:val="3F4BA826"/>
    <w:rsid w:val="3F6353E7"/>
    <w:rsid w:val="3F637E9B"/>
    <w:rsid w:val="40F13138"/>
    <w:rsid w:val="41CA978D"/>
    <w:rsid w:val="41D852BC"/>
    <w:rsid w:val="45813472"/>
    <w:rsid w:val="46B7E964"/>
    <w:rsid w:val="4C1F962E"/>
    <w:rsid w:val="4D7958D6"/>
    <w:rsid w:val="4DDB4C5B"/>
    <w:rsid w:val="5042A7C1"/>
    <w:rsid w:val="50E2FFC2"/>
    <w:rsid w:val="510629BE"/>
    <w:rsid w:val="52D8F535"/>
    <w:rsid w:val="54B6BD20"/>
    <w:rsid w:val="5613D091"/>
    <w:rsid w:val="5651B66D"/>
    <w:rsid w:val="56DA746D"/>
    <w:rsid w:val="56FE649F"/>
    <w:rsid w:val="592A0F08"/>
    <w:rsid w:val="59C57BDD"/>
    <w:rsid w:val="5BDAA826"/>
    <w:rsid w:val="5E07065B"/>
    <w:rsid w:val="5E1235E7"/>
    <w:rsid w:val="61BBECD2"/>
    <w:rsid w:val="631DC329"/>
    <w:rsid w:val="6360B97A"/>
    <w:rsid w:val="660BEF79"/>
    <w:rsid w:val="66253205"/>
    <w:rsid w:val="664121B4"/>
    <w:rsid w:val="6693A1D6"/>
    <w:rsid w:val="68A716C2"/>
    <w:rsid w:val="699E5F50"/>
    <w:rsid w:val="69C0D1A2"/>
    <w:rsid w:val="6C3A247B"/>
    <w:rsid w:val="6C86B6B9"/>
    <w:rsid w:val="6CA9B625"/>
    <w:rsid w:val="6FBBC23D"/>
    <w:rsid w:val="7072F7C1"/>
    <w:rsid w:val="70968AF1"/>
    <w:rsid w:val="70A7C21E"/>
    <w:rsid w:val="70C6B055"/>
    <w:rsid w:val="711360E2"/>
    <w:rsid w:val="7197162F"/>
    <w:rsid w:val="7269837A"/>
    <w:rsid w:val="7364C15F"/>
    <w:rsid w:val="73FD22C4"/>
    <w:rsid w:val="747BC353"/>
    <w:rsid w:val="75A42FF6"/>
    <w:rsid w:val="75DE01D2"/>
    <w:rsid w:val="77DEFC21"/>
    <w:rsid w:val="7C931E8C"/>
    <w:rsid w:val="7D8E433D"/>
    <w:rsid w:val="7DD8117F"/>
    <w:rsid w:val="7E2B43F2"/>
    <w:rsid w:val="7F839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E493"/>
  <w15:chartTrackingRefBased/>
  <w15:docId w15:val="{DB59A250-3137-4948-A0DA-FE6571B5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22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53C5"/>
    <w:pPr>
      <w:ind w:left="720"/>
    </w:pPr>
    <w:rPr>
      <w:rFonts w:ascii="Aptos" w:eastAsia="Calibri" w:hAnsi="Aptos" w:cs="Calibri"/>
      <w:sz w:val="22"/>
      <w:szCs w:val="22"/>
    </w:rPr>
  </w:style>
  <w:style w:type="paragraph" w:styleId="Revision">
    <w:name w:val="Revision"/>
    <w:hidden/>
    <w:uiPriority w:val="99"/>
    <w:semiHidden/>
    <w:rsid w:val="005C4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king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Links>
    <vt:vector size="6" baseType="variant"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mailto:Ryan.king@ercot.com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2001-06-20T14:28:00Z</cp:lastPrinted>
  <dcterms:created xsi:type="dcterms:W3CDTF">2024-08-09T17:44:00Z</dcterms:created>
  <dcterms:modified xsi:type="dcterms:W3CDTF">2024-08-09T17:51:00Z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2024-08-01T18:19:56Z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a18c796b-6f8a-428c-9e36-5fe60f556303</vt:lpwstr>
  </property>
  <property fmtid="{D5CDD505-2E9C-101B-9397-08002B2CF9AE}" pid="8" name="MSIP_Label_7084cbda-52b8-46fb-a7b7-cb5bd465ed85_ContentBits">
    <vt:lpwstr>0</vt:lpwstr>
  </property>
</Properties>
</file>