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FE1FD6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C8056A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A848422" w14:textId="0AF607F1" w:rsidR="00152993" w:rsidRDefault="00AE0BCB">
            <w:pPr>
              <w:pStyle w:val="Header"/>
            </w:pPr>
            <w:hyperlink r:id="rId8" w:history="1">
              <w:r w:rsidRPr="00AE0BCB">
                <w:rPr>
                  <w:rStyle w:val="Hyperlink"/>
                </w:rPr>
                <w:t>1230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CDD0E9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AD45C34" w14:textId="076806C5" w:rsidR="00152993" w:rsidRDefault="00AE0BCB">
            <w:pPr>
              <w:pStyle w:val="Header"/>
            </w:pPr>
            <w:r w:rsidRPr="00AE0BCB">
              <w:t>Methodology for Setting Transmission Shadow Price Caps for an IROL in SCED</w:t>
            </w:r>
          </w:p>
        </w:tc>
      </w:tr>
      <w:tr w:rsidR="00152993" w14:paraId="2DE1D2F1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308F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C06E9" w14:textId="77777777" w:rsidR="00152993" w:rsidRDefault="00152993">
            <w:pPr>
              <w:pStyle w:val="NormalArial"/>
            </w:pPr>
          </w:p>
        </w:tc>
      </w:tr>
      <w:tr w:rsidR="00152993" w14:paraId="00BBF2A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72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5844" w14:textId="77777777" w:rsidR="00152993" w:rsidRDefault="003C12B1">
            <w:pPr>
              <w:pStyle w:val="NormalArial"/>
            </w:pPr>
            <w:r>
              <w:t>August 12, 2024</w:t>
            </w:r>
          </w:p>
        </w:tc>
      </w:tr>
      <w:tr w:rsidR="00152993" w14:paraId="1D3480CC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58FB9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87A32" w14:textId="77777777" w:rsidR="00152993" w:rsidRDefault="00152993">
            <w:pPr>
              <w:pStyle w:val="NormalArial"/>
            </w:pPr>
          </w:p>
        </w:tc>
      </w:tr>
      <w:tr w:rsidR="00152993" w14:paraId="16285BCD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23DC12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DE6FBE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567E66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23BDF02" w14:textId="6119989E" w:rsidR="00152993" w:rsidRDefault="00AE0BCB">
            <w:pPr>
              <w:pStyle w:val="NormalArial"/>
            </w:pPr>
            <w:r>
              <w:t>Keith Collins</w:t>
            </w:r>
          </w:p>
        </w:tc>
      </w:tr>
      <w:tr w:rsidR="00152993" w14:paraId="2D95003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15BE01C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CB16C50" w14:textId="4EEDE780" w:rsidR="00152993" w:rsidRDefault="00AE0BCB">
            <w:pPr>
              <w:pStyle w:val="NormalArial"/>
            </w:pPr>
            <w:hyperlink r:id="rId9" w:history="1">
              <w:r w:rsidRPr="00B92EF6">
                <w:rPr>
                  <w:rStyle w:val="Hyperlink"/>
                </w:rPr>
                <w:t>keith.collins@ercot.com</w:t>
              </w:r>
            </w:hyperlink>
          </w:p>
        </w:tc>
      </w:tr>
      <w:tr w:rsidR="00152993" w14:paraId="64060F9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3739CB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9B0F079" w14:textId="2A0653AD" w:rsidR="00152993" w:rsidRDefault="00AE0BCB">
            <w:pPr>
              <w:pStyle w:val="NormalArial"/>
            </w:pPr>
            <w:r>
              <w:t>ERCOT</w:t>
            </w:r>
          </w:p>
        </w:tc>
      </w:tr>
      <w:tr w:rsidR="00152993" w14:paraId="6D91AA58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923368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ECB0529" w14:textId="582DA935" w:rsidR="00152993" w:rsidRDefault="00AE0BCB">
            <w:pPr>
              <w:pStyle w:val="NormalArial"/>
            </w:pPr>
            <w:r w:rsidRPr="00AE0BCB">
              <w:t>512-248-6707</w:t>
            </w:r>
          </w:p>
        </w:tc>
      </w:tr>
      <w:tr w:rsidR="00152993" w14:paraId="7E87B4F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40D182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39B20C1E" w14:textId="77777777" w:rsidR="00152993" w:rsidRDefault="00152993">
            <w:pPr>
              <w:pStyle w:val="NormalArial"/>
            </w:pPr>
          </w:p>
        </w:tc>
      </w:tr>
      <w:tr w:rsidR="00075A94" w14:paraId="31B63BC6" w14:textId="77777777" w:rsidTr="00AE0BCB">
        <w:trPr>
          <w:trHeight w:val="413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3627F2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3A73C04" w14:textId="22754B13" w:rsidR="00075A94" w:rsidRDefault="00AE0BCB">
            <w:pPr>
              <w:pStyle w:val="NormalArial"/>
            </w:pPr>
            <w:r>
              <w:t>Not applicable</w:t>
            </w:r>
          </w:p>
        </w:tc>
      </w:tr>
    </w:tbl>
    <w:p w14:paraId="5BAE2CE6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E0BCB" w14:paraId="5B55E074" w14:textId="77777777" w:rsidTr="008F57D0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B71B5" w14:textId="24D88F1E" w:rsidR="00AE0BCB" w:rsidRDefault="00AE0BCB" w:rsidP="008F57D0">
            <w:pPr>
              <w:pStyle w:val="Header"/>
              <w:jc w:val="center"/>
            </w:pPr>
            <w:r>
              <w:t>Comments</w:t>
            </w:r>
          </w:p>
        </w:tc>
      </w:tr>
    </w:tbl>
    <w:p w14:paraId="2733DF50" w14:textId="22F7266D" w:rsidR="009456EF" w:rsidRPr="007A186E" w:rsidRDefault="009456EF" w:rsidP="00AE0BCB">
      <w:pPr>
        <w:pStyle w:val="NormalArial"/>
        <w:spacing w:before="120" w:after="120"/>
      </w:pPr>
      <w:r>
        <w:t>ERCOT submits these comments to provide additional data for the Reliability &amp; Markets (R&amp;M) Committee and ERCOT Board of Directors</w:t>
      </w:r>
      <w:r w:rsidR="00DC6DDC">
        <w:t>’</w:t>
      </w:r>
      <w:r>
        <w:t xml:space="preserve"> consideration of Nodal Protocol Revision Request (NPRR) 1230</w:t>
      </w:r>
      <w:r w:rsidRPr="007A186E">
        <w:t xml:space="preserve">. The NPRR was recommended for approval by the Technical Advisory Committee (TAC) on </w:t>
      </w:r>
      <w:r>
        <w:t>July 31</w:t>
      </w:r>
      <w:r w:rsidRPr="007A186E">
        <w:t>, 2024.  As indicated at TAC, ERCOT supports NPRR</w:t>
      </w:r>
      <w:r>
        <w:t>1230</w:t>
      </w:r>
      <w:r w:rsidRPr="007A186E">
        <w:t>.</w:t>
      </w:r>
    </w:p>
    <w:p w14:paraId="545B0DBC" w14:textId="09D8BE70" w:rsidR="00AF621E" w:rsidRDefault="00E969EB" w:rsidP="00AE0BCB">
      <w:pPr>
        <w:pStyle w:val="NormalArial"/>
        <w:spacing w:before="120" w:after="120"/>
      </w:pPr>
      <w:r>
        <w:t xml:space="preserve">NPRR1230 was filed to allow ERCOT to raise the </w:t>
      </w:r>
      <w:r w:rsidR="00AE0BCB">
        <w:t>S</w:t>
      </w:r>
      <w:r>
        <w:t xml:space="preserve">hadow </w:t>
      </w:r>
      <w:r w:rsidR="00AE0BCB">
        <w:t>P</w:t>
      </w:r>
      <w:r>
        <w:t xml:space="preserve">rice cap on certain </w:t>
      </w:r>
      <w:r w:rsidR="0062340E">
        <w:t xml:space="preserve">transmission </w:t>
      </w:r>
      <w:r>
        <w:t>constraints whose exceedance would be a high reliability risk to the</w:t>
      </w:r>
      <w:r w:rsidR="009456EF">
        <w:t xml:space="preserve"> s</w:t>
      </w:r>
      <w:r>
        <w:t>ystem</w:t>
      </w:r>
      <w:r w:rsidR="00DC6DDC">
        <w:t>. Such constraints are</w:t>
      </w:r>
      <w:r w:rsidR="0062340E">
        <w:t xml:space="preserve"> called Interconnection Reliability Operating Limits (IROLs)</w:t>
      </w:r>
      <w:r>
        <w:t xml:space="preserve">.  Under normal conditions, the current </w:t>
      </w:r>
      <w:r w:rsidR="00AE0BCB">
        <w:t>S</w:t>
      </w:r>
      <w:r>
        <w:t xml:space="preserve">hadow </w:t>
      </w:r>
      <w:r w:rsidR="00AE0BCB">
        <w:t>P</w:t>
      </w:r>
      <w:r>
        <w:t>rice caps are sufficient to allow S</w:t>
      </w:r>
      <w:r w:rsidR="00DC6DDC">
        <w:t>ecurity</w:t>
      </w:r>
      <w:r w:rsidR="00AE0BCB">
        <w:t>-</w:t>
      </w:r>
      <w:r w:rsidR="00DC6DDC">
        <w:t>Constrained Economic Dispatch (S</w:t>
      </w:r>
      <w:r>
        <w:t>CED</w:t>
      </w:r>
      <w:r w:rsidR="00DC6DDC">
        <w:t>)</w:t>
      </w:r>
      <w:r>
        <w:t xml:space="preserve"> to manage flows under transmission limits </w:t>
      </w:r>
      <w:r w:rsidR="0062340E">
        <w:t>(where there is a</w:t>
      </w:r>
      <w:r>
        <w:t xml:space="preserve"> feasible dispatch solution</w:t>
      </w:r>
      <w:r w:rsidR="0062340E">
        <w:t>)</w:t>
      </w:r>
      <w:r>
        <w:t xml:space="preserve">.  </w:t>
      </w:r>
      <w:r w:rsidR="0062340E">
        <w:t>However, in some cases, especially during near-scarcity conditions when system prices are very high</w:t>
      </w:r>
      <w:r w:rsidR="00DB70B6">
        <w:t xml:space="preserve"> (either due to scarcity pricing or very high offers for remaining Resources)</w:t>
      </w:r>
      <w:r w:rsidR="0062340E">
        <w:t xml:space="preserve">, the current </w:t>
      </w:r>
      <w:r w:rsidR="00AE0BCB">
        <w:t>S</w:t>
      </w:r>
      <w:r w:rsidR="0062340E">
        <w:t xml:space="preserve">hadow </w:t>
      </w:r>
      <w:r w:rsidR="00AE0BCB">
        <w:t>P</w:t>
      </w:r>
      <w:r w:rsidR="0062340E">
        <w:t xml:space="preserve">rice caps may not be sufficient to allow SCED to use all available Resources to resolve exceedances of some IROLs.  Because of the risk </w:t>
      </w:r>
      <w:r w:rsidR="00DB70B6">
        <w:t xml:space="preserve">to the entire </w:t>
      </w:r>
      <w:r w:rsidR="009456EF">
        <w:t>s</w:t>
      </w:r>
      <w:r w:rsidR="00DB70B6">
        <w:t xml:space="preserve">ystem </w:t>
      </w:r>
      <w:r w:rsidR="0062340E">
        <w:t xml:space="preserve">associated with </w:t>
      </w:r>
      <w:r w:rsidR="00DC6DDC">
        <w:t xml:space="preserve">exceeding </w:t>
      </w:r>
      <w:r w:rsidR="0062340E">
        <w:t xml:space="preserve">these IROLs, ERCOT must take manual actions to </w:t>
      </w:r>
      <w:r w:rsidR="0038469F">
        <w:t xml:space="preserve">either </w:t>
      </w:r>
      <w:r w:rsidR="0062340E">
        <w:t>chang</w:t>
      </w:r>
      <w:r w:rsidR="00AF621E">
        <w:t>e</w:t>
      </w:r>
      <w:r w:rsidR="0062340E">
        <w:t xml:space="preserve"> the output of </w:t>
      </w:r>
      <w:r w:rsidR="00AF621E">
        <w:t xml:space="preserve">these Resources </w:t>
      </w:r>
      <w:r w:rsidR="0038469F">
        <w:t>or</w:t>
      </w:r>
      <w:r w:rsidR="00DC6DDC">
        <w:t>,</w:t>
      </w:r>
      <w:r w:rsidR="0038469F">
        <w:t xml:space="preserve"> in some cases</w:t>
      </w:r>
      <w:r w:rsidR="00DC6DDC">
        <w:t>,</w:t>
      </w:r>
      <w:r w:rsidR="0038469F">
        <w:t xml:space="preserve"> shed load</w:t>
      </w:r>
      <w:r w:rsidR="00AF621E">
        <w:t xml:space="preserve"> to avoid these exceedances.  </w:t>
      </w:r>
      <w:r w:rsidR="00AF621E" w:rsidRPr="0038469F">
        <w:t>However, raising</w:t>
      </w:r>
      <w:r w:rsidR="00AF621E">
        <w:t xml:space="preserve"> the shadow price cap on this type of transmission constraint, as proposed in NPRR1230, would allow SCED to go further in resolving the exceedances in an automated and efficient manner.</w:t>
      </w:r>
    </w:p>
    <w:p w14:paraId="3649DB05" w14:textId="7A7A75BC" w:rsidR="00AF621E" w:rsidRDefault="003D42F0" w:rsidP="00AE0BCB">
      <w:pPr>
        <w:pStyle w:val="NormalArial"/>
        <w:spacing w:before="120" w:after="120"/>
      </w:pPr>
      <w:r>
        <w:t xml:space="preserve">Because </w:t>
      </w:r>
      <w:r w:rsidR="00AF621E">
        <w:t xml:space="preserve">the </w:t>
      </w:r>
      <w:r w:rsidR="003C12B1">
        <w:t xml:space="preserve">initial known </w:t>
      </w:r>
      <w:r w:rsidR="00AF621E">
        <w:t xml:space="preserve">use of the higher </w:t>
      </w:r>
      <w:r w:rsidR="00AE0BCB">
        <w:t>S</w:t>
      </w:r>
      <w:r w:rsidR="00AF621E">
        <w:t xml:space="preserve">hadow </w:t>
      </w:r>
      <w:r w:rsidR="00AE0BCB">
        <w:t>P</w:t>
      </w:r>
      <w:r w:rsidR="00AF621E">
        <w:t xml:space="preserve">rice cap under NPRR1230 </w:t>
      </w:r>
      <w:r w:rsidR="003C12B1">
        <w:t xml:space="preserve">would be </w:t>
      </w:r>
      <w:r w:rsidR="00AF621E">
        <w:t xml:space="preserve">associated with the new South Texas Export limit, TAC asked ERCOT to perform a backcast of the impact of this NPRR on several days </w:t>
      </w:r>
      <w:r w:rsidR="008E1833">
        <w:t xml:space="preserve">(20) when this limit was </w:t>
      </w:r>
      <w:r w:rsidR="00BD4A0D">
        <w:t xml:space="preserve">violated </w:t>
      </w:r>
      <w:r w:rsidR="00AF621E">
        <w:t>last summer.  ERCOT presented the results of that analysis at the July 31, 2024 TAC meeting.</w:t>
      </w:r>
    </w:p>
    <w:p w14:paraId="7B98D351" w14:textId="7BFF5636" w:rsidR="00E969EB" w:rsidRDefault="003D42F0" w:rsidP="00AE0BCB">
      <w:pPr>
        <w:pStyle w:val="NormalArial"/>
        <w:spacing w:before="120" w:after="120"/>
      </w:pPr>
      <w:r>
        <w:lastRenderedPageBreak/>
        <w:t xml:space="preserve">There are some </w:t>
      </w:r>
      <w:r w:rsidR="00AF621E">
        <w:t xml:space="preserve">caveats </w:t>
      </w:r>
      <w:r w:rsidR="0038469F">
        <w:t>for</w:t>
      </w:r>
      <w:r w:rsidR="00AF621E">
        <w:t xml:space="preserve"> this backcast analysis</w:t>
      </w:r>
      <w:r w:rsidR="00343FBA">
        <w:t xml:space="preserve">.  The South Texas Export limit was not an IROL during summer 2023 and the system would have been operated differently </w:t>
      </w:r>
      <w:r w:rsidR="004A772F">
        <w:t>if it had been an</w:t>
      </w:r>
      <w:r w:rsidR="00343FBA">
        <w:t xml:space="preserve"> IROL.  </w:t>
      </w:r>
      <w:r w:rsidR="004A772F">
        <w:t>The Transmission Operator</w:t>
      </w:r>
      <w:r w:rsidR="00AE0BCB">
        <w:t xml:space="preserve"> (TO)</w:t>
      </w:r>
      <w:r w:rsidR="004A772F">
        <w:t xml:space="preserve"> of one of the key </w:t>
      </w:r>
      <w:r w:rsidR="0081794C">
        <w:t xml:space="preserve">transmission </w:t>
      </w:r>
      <w:r w:rsidR="004A772F">
        <w:t>lines has instituted a dynamic rating that was not in place in 2023 and it</w:t>
      </w:r>
      <w:r w:rsidR="0038469F">
        <w:t xml:space="preserve"> is not possible to replicate th</w:t>
      </w:r>
      <w:r w:rsidR="004A772F">
        <w:t xml:space="preserve">is new </w:t>
      </w:r>
      <w:r w:rsidR="0038469F">
        <w:t xml:space="preserve">dynamic </w:t>
      </w:r>
      <w:r w:rsidR="0081794C">
        <w:t xml:space="preserve">rating </w:t>
      </w:r>
      <w:r w:rsidR="0038469F">
        <w:t>limit in the backcast analysis.</w:t>
      </w:r>
      <w:r w:rsidR="00343FBA">
        <w:t xml:space="preserve">  </w:t>
      </w:r>
      <w:r w:rsidR="004A772F">
        <w:t>The</w:t>
      </w:r>
      <w:r w:rsidR="00343FBA">
        <w:t xml:space="preserve"> </w:t>
      </w:r>
      <w:r w:rsidR="0038469F">
        <w:t xml:space="preserve">backcast </w:t>
      </w:r>
      <w:r w:rsidR="00343FBA">
        <w:t xml:space="preserve">analysis uses </w:t>
      </w:r>
      <w:r w:rsidR="002F0658">
        <w:t>the calculated limits from March</w:t>
      </w:r>
      <w:r>
        <w:t xml:space="preserve"> to </w:t>
      </w:r>
      <w:r w:rsidR="002F0658">
        <w:t>June 2024</w:t>
      </w:r>
      <w:r w:rsidR="00DC6DDC">
        <w:t>, once the IROL was implemented on the South Texas Export limit</w:t>
      </w:r>
      <w:r w:rsidR="00343FBA">
        <w:t xml:space="preserve">.  </w:t>
      </w:r>
      <w:r>
        <w:t xml:space="preserve">Additionally, there </w:t>
      </w:r>
      <w:r w:rsidR="00343FBA">
        <w:t xml:space="preserve">have been other plans developed to improve the limit that </w:t>
      </w:r>
      <w:r w:rsidR="0081794C">
        <w:t>w</w:t>
      </w:r>
      <w:r w:rsidR="003C12B1">
        <w:t>ere</w:t>
      </w:r>
      <w:r w:rsidR="0081794C">
        <w:t xml:space="preserve"> </w:t>
      </w:r>
      <w:r w:rsidR="00343FBA">
        <w:t xml:space="preserve">not in place in 2023.    </w:t>
      </w:r>
      <w:r w:rsidR="00AF621E">
        <w:t xml:space="preserve"> </w:t>
      </w:r>
      <w:r w:rsidR="0062340E">
        <w:t xml:space="preserve">     </w:t>
      </w:r>
    </w:p>
    <w:p w14:paraId="7A8530EC" w14:textId="1CBF1973" w:rsidR="002F0658" w:rsidRDefault="002F0658" w:rsidP="00AE0BCB">
      <w:pPr>
        <w:pStyle w:val="NormalArial"/>
        <w:spacing w:before="120" w:after="120"/>
      </w:pPr>
      <w:r>
        <w:t xml:space="preserve">ERCOT reran SCED </w:t>
      </w:r>
      <w:r w:rsidR="008E1833">
        <w:t xml:space="preserve">for </w:t>
      </w:r>
      <w:r w:rsidR="008E1833" w:rsidRPr="002F0658">
        <w:t xml:space="preserve">intervals where the South Texas </w:t>
      </w:r>
      <w:r w:rsidR="008E1833">
        <w:t xml:space="preserve">Export limit </w:t>
      </w:r>
      <w:r w:rsidR="008E1833" w:rsidRPr="002F0658">
        <w:t xml:space="preserve">was violated </w:t>
      </w:r>
      <w:r w:rsidR="008E1833">
        <w:t xml:space="preserve">during summer 2023 </w:t>
      </w:r>
      <w:r>
        <w:t xml:space="preserve">with the </w:t>
      </w:r>
      <w:r w:rsidRPr="002F0658">
        <w:t xml:space="preserve">Shadow Price </w:t>
      </w:r>
      <w:r w:rsidR="00AE0BCB">
        <w:t>c</w:t>
      </w:r>
      <w:r w:rsidRPr="002F0658">
        <w:t xml:space="preserve">ap set at $19,751/MW for the </w:t>
      </w:r>
      <w:r>
        <w:t>South Texas Export constraint for two scenarios:</w:t>
      </w:r>
    </w:p>
    <w:p w14:paraId="0250CDF8" w14:textId="4D92A354" w:rsidR="002F0658" w:rsidRPr="002F0658" w:rsidRDefault="002F0658" w:rsidP="00AE0BCB">
      <w:pPr>
        <w:pStyle w:val="NormalArial"/>
        <w:numPr>
          <w:ilvl w:val="0"/>
          <w:numId w:val="4"/>
        </w:numPr>
        <w:spacing w:before="60" w:after="60"/>
      </w:pPr>
      <w:r w:rsidRPr="002F0658">
        <w:rPr>
          <w:b/>
          <w:bCs/>
        </w:rPr>
        <w:t>Scenario 1</w:t>
      </w:r>
      <w:r w:rsidRPr="002F0658">
        <w:t xml:space="preserve"> – Average historical limits of South Texas Export IROLs in </w:t>
      </w:r>
      <w:r w:rsidR="00AE0BCB">
        <w:t>R</w:t>
      </w:r>
      <w:r w:rsidR="00BD4A0D">
        <w:t>eal-</w:t>
      </w:r>
      <w:r w:rsidR="00AE0BCB">
        <w:t>T</w:t>
      </w:r>
      <w:r w:rsidR="00BD4A0D">
        <w:t>ime</w:t>
      </w:r>
      <w:r w:rsidR="00BD4A0D" w:rsidRPr="002F0658">
        <w:t xml:space="preserve"> </w:t>
      </w:r>
      <w:r w:rsidRPr="002F0658">
        <w:t>(March – June 2024) when binding</w:t>
      </w:r>
      <w:r w:rsidR="008E1833">
        <w:t>.</w:t>
      </w:r>
    </w:p>
    <w:p w14:paraId="70FA4B1A" w14:textId="1DDC3CDD" w:rsidR="002F0658" w:rsidRDefault="002F0658" w:rsidP="00AE0BCB">
      <w:pPr>
        <w:pStyle w:val="NormalArial"/>
        <w:numPr>
          <w:ilvl w:val="0"/>
          <w:numId w:val="4"/>
        </w:numPr>
        <w:spacing w:before="60" w:after="60"/>
      </w:pPr>
      <w:r w:rsidRPr="002F0658">
        <w:rPr>
          <w:b/>
          <w:bCs/>
        </w:rPr>
        <w:t xml:space="preserve">Scenario 2 </w:t>
      </w:r>
      <w:r w:rsidRPr="002F0658">
        <w:t>– 25</w:t>
      </w:r>
      <w:r w:rsidRPr="002F0658">
        <w:rPr>
          <w:vertAlign w:val="superscript"/>
        </w:rPr>
        <w:t>th</w:t>
      </w:r>
      <w:r w:rsidRPr="002F0658">
        <w:t xml:space="preserve"> percentile of limits on South Texas Export IROLs in </w:t>
      </w:r>
      <w:r w:rsidR="00AE0BCB">
        <w:t>R</w:t>
      </w:r>
      <w:r w:rsidR="00BD4A0D">
        <w:t>eal-</w:t>
      </w:r>
      <w:r w:rsidR="00AE0BCB">
        <w:t>T</w:t>
      </w:r>
      <w:r w:rsidR="00BD4A0D">
        <w:t xml:space="preserve">ime </w:t>
      </w:r>
      <w:r w:rsidRPr="002F0658">
        <w:t>(March – June 2024) when binding; illustrates impacts of operating to more conservative limits</w:t>
      </w:r>
      <w:r w:rsidR="008E1833">
        <w:t>.</w:t>
      </w:r>
    </w:p>
    <w:p w14:paraId="65251D3C" w14:textId="38E3BBA9" w:rsidR="002F0658" w:rsidRDefault="002F0658" w:rsidP="00AE0BCB">
      <w:pPr>
        <w:pStyle w:val="NormalArial"/>
        <w:spacing w:before="120" w:after="120"/>
      </w:pPr>
      <w:r w:rsidRPr="002F0658">
        <w:t xml:space="preserve">For each scenario, </w:t>
      </w:r>
      <w:r w:rsidR="003D42F0">
        <w:t xml:space="preserve">the analysis computes </w:t>
      </w:r>
      <w:r w:rsidRPr="002F0658">
        <w:t xml:space="preserve">a corresponding baseline based on the current Shadow Price </w:t>
      </w:r>
      <w:r w:rsidR="00AE0BCB">
        <w:t>c</w:t>
      </w:r>
      <w:r w:rsidRPr="002F0658">
        <w:t>ap of $5,251/MW and respective limits defined for the scenario</w:t>
      </w:r>
      <w:r w:rsidR="008E1833">
        <w:t xml:space="preserve">.  </w:t>
      </w:r>
      <w:r w:rsidRPr="002F0658">
        <w:t>This approach isolate</w:t>
      </w:r>
      <w:r w:rsidR="00BD4A0D">
        <w:t>s</w:t>
      </w:r>
      <w:r w:rsidRPr="002F0658">
        <w:t xml:space="preserve"> the specific impact of changing the </w:t>
      </w:r>
      <w:r w:rsidR="00DC6DDC">
        <w:t>s</w:t>
      </w:r>
      <w:r w:rsidRPr="002F0658">
        <w:t xml:space="preserve">hadow </w:t>
      </w:r>
      <w:r w:rsidR="00DC6DDC">
        <w:t>p</w:t>
      </w:r>
      <w:r w:rsidRPr="002F0658">
        <w:t xml:space="preserve">rice </w:t>
      </w:r>
      <w:r w:rsidR="00DC6DDC">
        <w:t>c</w:t>
      </w:r>
      <w:r w:rsidRPr="002F0658">
        <w:t>ap (i.e., NPRR1230), as opposed to capturing any impacts from simply having the new IROLs in place.</w:t>
      </w:r>
      <w:r w:rsidR="008E1833">
        <w:t xml:space="preserve">  For these reruns, the release of </w:t>
      </w:r>
      <w:r w:rsidR="0081794C">
        <w:t>A</w:t>
      </w:r>
      <w:r w:rsidR="008E1833">
        <w:t xml:space="preserve">ncillary </w:t>
      </w:r>
      <w:r w:rsidR="0081794C">
        <w:t>S</w:t>
      </w:r>
      <w:r w:rsidR="008E1833">
        <w:t xml:space="preserve">ervices was not </w:t>
      </w:r>
      <w:r w:rsidR="0081794C">
        <w:t>adjusted,</w:t>
      </w:r>
      <w:r w:rsidR="008E1833">
        <w:t xml:space="preserve"> and the manual deployments of generation were reversed.</w:t>
      </w:r>
    </w:p>
    <w:p w14:paraId="2919FEDF" w14:textId="6AAC43AB" w:rsidR="008E1833" w:rsidRDefault="008E1833" w:rsidP="008E1833">
      <w:pPr>
        <w:pStyle w:val="NormalArial"/>
      </w:pPr>
      <w:r>
        <w:t xml:space="preserve">The results of these runs show that the increase in the </w:t>
      </w:r>
      <w:r w:rsidR="00AE0BCB">
        <w:t>S</w:t>
      </w:r>
      <w:r>
        <w:t xml:space="preserve">hadow </w:t>
      </w:r>
      <w:r w:rsidR="00AE0BCB">
        <w:t>P</w:t>
      </w:r>
      <w:r>
        <w:t xml:space="preserve">rice cap for this constraint significantly reduces the </w:t>
      </w:r>
      <w:r w:rsidR="00BD4A0D">
        <w:t xml:space="preserve">magnitude and frequency of </w:t>
      </w:r>
      <w:r>
        <w:t>violations of the IROL, as shown in the graph below.</w:t>
      </w:r>
    </w:p>
    <w:p w14:paraId="655383BB" w14:textId="77777777" w:rsidR="008E1833" w:rsidRDefault="008E1833" w:rsidP="008E1833">
      <w:pPr>
        <w:pStyle w:val="NormalArial"/>
      </w:pPr>
    </w:p>
    <w:p w14:paraId="2CDFFBBB" w14:textId="77777777" w:rsidR="00B934F4" w:rsidRDefault="00E02B48" w:rsidP="00B934F4">
      <w:pPr>
        <w:pStyle w:val="NormalArial"/>
        <w:jc w:val="center"/>
      </w:pPr>
      <w:r w:rsidRPr="00A03027">
        <w:rPr>
          <w:noProof/>
        </w:rPr>
        <w:drawing>
          <wp:inline distT="0" distB="0" distL="0" distR="0" wp14:anchorId="666C50B6" wp14:editId="4216C068">
            <wp:extent cx="4143375" cy="3086100"/>
            <wp:effectExtent l="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4386E" w14:textId="73A570A9" w:rsidR="00A03027" w:rsidRDefault="00001041" w:rsidP="00B934F4">
      <w:pPr>
        <w:pStyle w:val="NormalArial"/>
        <w:spacing w:before="120" w:after="120"/>
      </w:pPr>
      <w:r>
        <w:lastRenderedPageBreak/>
        <w:t xml:space="preserve">The reduction in the number of violations </w:t>
      </w:r>
      <w:r w:rsidR="0081794C">
        <w:t>is</w:t>
      </w:r>
      <w:r>
        <w:t xml:space="preserve"> significant</w:t>
      </w:r>
      <w:r w:rsidR="004A772F">
        <w:t xml:space="preserve">.  If </w:t>
      </w:r>
      <w:r w:rsidR="00A03027">
        <w:t xml:space="preserve">the other mitigation plans </w:t>
      </w:r>
      <w:r w:rsidR="004A772F">
        <w:t>that</w:t>
      </w:r>
      <w:r w:rsidR="00A03027">
        <w:t xml:space="preserve"> have </w:t>
      </w:r>
      <w:r w:rsidR="0081794C">
        <w:t xml:space="preserve">been </w:t>
      </w:r>
      <w:r w:rsidR="00A03027">
        <w:t>put in place since last summer are not sufficient to mitigate the remaining violations</w:t>
      </w:r>
      <w:r>
        <w:t>, under</w:t>
      </w:r>
      <w:r w:rsidR="00A03027">
        <w:t xml:space="preserve"> similar conditions</w:t>
      </w:r>
      <w:r>
        <w:t>,</w:t>
      </w:r>
      <w:r w:rsidR="00A03027">
        <w:t xml:space="preserve"> ERCOT would have to shed </w:t>
      </w:r>
      <w:r w:rsidR="00B934F4">
        <w:t>L</w:t>
      </w:r>
      <w:r w:rsidR="00A03027">
        <w:t>oad to avoid any remaining exceedances.</w:t>
      </w:r>
    </w:p>
    <w:p w14:paraId="61E4D035" w14:textId="0DC22153" w:rsidR="00A03027" w:rsidRDefault="00A03027" w:rsidP="00B934F4">
      <w:pPr>
        <w:pStyle w:val="NormalArial"/>
        <w:spacing w:before="120" w:after="120"/>
      </w:pPr>
      <w:r>
        <w:t xml:space="preserve">The backcast analysis also provides an estimate of </w:t>
      </w:r>
      <w:r w:rsidR="00001041">
        <w:t xml:space="preserve">the impact of </w:t>
      </w:r>
      <w:r>
        <w:t xml:space="preserve">increasing the </w:t>
      </w:r>
      <w:r w:rsidR="00B934F4">
        <w:t>S</w:t>
      </w:r>
      <w:r>
        <w:t xml:space="preserve">hadow </w:t>
      </w:r>
      <w:r w:rsidR="00B934F4">
        <w:t>P</w:t>
      </w:r>
      <w:r>
        <w:t xml:space="preserve">rice cap on </w:t>
      </w:r>
      <w:r w:rsidR="00DC6DDC">
        <w:t xml:space="preserve">the value of energy resulting from </w:t>
      </w:r>
      <w:r>
        <w:t>system dispatch</w:t>
      </w:r>
      <w:r w:rsidR="00BD4A0D">
        <w:t xml:space="preserve">, which is a function of </w:t>
      </w:r>
      <w:r w:rsidR="00B934F4">
        <w:t>R</w:t>
      </w:r>
      <w:r w:rsidR="00BD4A0D">
        <w:t>eal-</w:t>
      </w:r>
      <w:r w:rsidR="00B934F4">
        <w:t>T</w:t>
      </w:r>
      <w:r w:rsidR="00BD4A0D">
        <w:t xml:space="preserve">ime </w:t>
      </w:r>
      <w:r w:rsidR="00B934F4">
        <w:t>L</w:t>
      </w:r>
      <w:r w:rsidR="00BD4A0D">
        <w:t xml:space="preserve">oad and </w:t>
      </w:r>
      <w:r w:rsidR="00B934F4">
        <w:t>S</w:t>
      </w:r>
      <w:r w:rsidR="00BD4A0D">
        <w:t>ettlement prices for each zone</w:t>
      </w:r>
      <w:r w:rsidR="00931351">
        <w:t>.</w:t>
      </w:r>
      <w:r w:rsidR="00BD4A0D">
        <w:rPr>
          <w:rStyle w:val="FootnoteReference"/>
        </w:rPr>
        <w:footnoteReference w:id="2"/>
      </w:r>
      <w:r w:rsidR="00931351">
        <w:t xml:space="preserve">  </w:t>
      </w:r>
      <w:r w:rsidR="00C13122">
        <w:t xml:space="preserve">The analysis calculates prices and energy values </w:t>
      </w:r>
      <w:r>
        <w:t xml:space="preserve">relative to </w:t>
      </w:r>
      <w:r w:rsidRPr="00A03027">
        <w:t xml:space="preserve">the baseline scenario for intervals </w:t>
      </w:r>
      <w:r w:rsidR="00DC6DDC">
        <w:t xml:space="preserve">in which the limit was violated </w:t>
      </w:r>
      <w:r w:rsidRPr="00A03027">
        <w:t>for the respective Operating Day.</w:t>
      </w:r>
      <w:r>
        <w:t xml:space="preserve">  </w:t>
      </w:r>
    </w:p>
    <w:p w14:paraId="0627A928" w14:textId="0FBF9E23" w:rsidR="00C13122" w:rsidRDefault="00C13122" w:rsidP="00B934F4">
      <w:pPr>
        <w:pStyle w:val="NormalArial"/>
        <w:spacing w:before="120" w:after="120"/>
      </w:pPr>
      <w:r>
        <w:t xml:space="preserve">While both scenarios increase </w:t>
      </w:r>
      <w:r w:rsidR="00E63813">
        <w:t xml:space="preserve">the value of energy </w:t>
      </w:r>
      <w:r>
        <w:t xml:space="preserve">relative to the baseline when viewed at both the systemwide and </w:t>
      </w:r>
      <w:r w:rsidR="0081794C">
        <w:t>L</w:t>
      </w:r>
      <w:r>
        <w:t xml:space="preserve">oad </w:t>
      </w:r>
      <w:r w:rsidR="0081794C">
        <w:t>Z</w:t>
      </w:r>
      <w:r>
        <w:t xml:space="preserve">one levels, this result is expected given that </w:t>
      </w:r>
      <w:r w:rsidR="00E63813">
        <w:t>SCED</w:t>
      </w:r>
      <w:r>
        <w:t xml:space="preserve"> will have more opportunity to provide an economic solution.  </w:t>
      </w:r>
      <w:r w:rsidR="00E63813">
        <w:t>Notwithstanding the increase in the value of energy, b</w:t>
      </w:r>
      <w:r>
        <w:t xml:space="preserve">oth ERCOT and the IMM support </w:t>
      </w:r>
      <w:r w:rsidR="00E63813">
        <w:t xml:space="preserve">the </w:t>
      </w:r>
      <w:r w:rsidR="00BD4A0D">
        <w:t xml:space="preserve">methodology proposed in NPRR1230 and its </w:t>
      </w:r>
      <w:r w:rsidR="00E63813">
        <w:t>adoption</w:t>
      </w:r>
      <w:r w:rsidR="003C12B1">
        <w:t xml:space="preserve"> as a market-based, more-efficient solution to manage these transmission constraints</w:t>
      </w:r>
      <w:r>
        <w:t>.</w:t>
      </w:r>
    </w:p>
    <w:p w14:paraId="3A9113F0" w14:textId="77777777" w:rsidR="00A03027" w:rsidRDefault="00A03027" w:rsidP="00A03027">
      <w:pPr>
        <w:pStyle w:val="NormalArial"/>
      </w:pPr>
    </w:p>
    <w:p w14:paraId="6AB69EB3" w14:textId="77777777" w:rsidR="00A03027" w:rsidRDefault="00A03027" w:rsidP="00931351">
      <w:pPr>
        <w:pStyle w:val="NormalArial"/>
        <w:keepNext/>
      </w:pPr>
      <w:r>
        <w:t>Systemwide:</w:t>
      </w:r>
    </w:p>
    <w:p w14:paraId="7AF321EC" w14:textId="5D978AAB" w:rsidR="00A03027" w:rsidRDefault="00E02B48" w:rsidP="00A03027">
      <w:pPr>
        <w:pStyle w:val="NormalArial"/>
        <w:jc w:val="center"/>
      </w:pPr>
      <w:r w:rsidRPr="00A03027">
        <w:rPr>
          <w:noProof/>
        </w:rPr>
        <w:drawing>
          <wp:inline distT="0" distB="0" distL="0" distR="0" wp14:anchorId="64614F50" wp14:editId="63BE7211">
            <wp:extent cx="4133850" cy="2847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96653" w14:textId="7BCD39AC" w:rsidR="00A03027" w:rsidRDefault="00A03027" w:rsidP="00E02B48">
      <w:pPr>
        <w:pStyle w:val="NormalArial"/>
        <w:keepNext/>
      </w:pPr>
      <w:r>
        <w:lastRenderedPageBreak/>
        <w:t>By Load Zone:</w:t>
      </w:r>
    </w:p>
    <w:p w14:paraId="2F91E290" w14:textId="363E4800" w:rsidR="00A03027" w:rsidRDefault="00E02B48" w:rsidP="00A03027">
      <w:pPr>
        <w:pStyle w:val="NormalArial"/>
        <w:jc w:val="center"/>
      </w:pPr>
      <w:r w:rsidRPr="00A03027">
        <w:rPr>
          <w:noProof/>
        </w:rPr>
        <w:drawing>
          <wp:inline distT="0" distB="0" distL="0" distR="0" wp14:anchorId="042C9585" wp14:editId="36B95EBB">
            <wp:extent cx="4305300" cy="3371850"/>
            <wp:effectExtent l="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8B01" w14:textId="77777777" w:rsidR="002F0658" w:rsidRDefault="00A03027" w:rsidP="00BD7258">
      <w:pPr>
        <w:pStyle w:val="NormalArial"/>
      </w:pPr>
      <w: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6081F8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84412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663E51C8" w14:textId="438E7E4E" w:rsidR="00BD7258" w:rsidRDefault="00132ABF" w:rsidP="00132AB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29880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D45E10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3240438D" w14:textId="2D044BE3" w:rsidR="00152993" w:rsidRDefault="00132ABF" w:rsidP="00132ABF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6741" w14:textId="77777777" w:rsidR="00E02B48" w:rsidRDefault="00E02B48">
      <w:r>
        <w:separator/>
      </w:r>
    </w:p>
  </w:endnote>
  <w:endnote w:type="continuationSeparator" w:id="0">
    <w:p w14:paraId="2879175E" w14:textId="77777777" w:rsidR="00E02B48" w:rsidRDefault="00E02B48">
      <w:r>
        <w:continuationSeparator/>
      </w:r>
    </w:p>
  </w:endnote>
  <w:endnote w:type="continuationNotice" w:id="1">
    <w:p w14:paraId="692F7C67" w14:textId="77777777" w:rsidR="00E02B48" w:rsidRDefault="00E02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7B97" w14:textId="300926B6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E0BCB">
      <w:rPr>
        <w:rFonts w:ascii="Arial" w:hAnsi="Arial"/>
        <w:noProof/>
        <w:sz w:val="18"/>
      </w:rPr>
      <w:t>1230NPRR-11 ERCOT Comments 081224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3F9C2B92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1EC6" w14:textId="77777777" w:rsidR="00E02B48" w:rsidRDefault="00E02B48">
      <w:r>
        <w:separator/>
      </w:r>
    </w:p>
  </w:footnote>
  <w:footnote w:type="continuationSeparator" w:id="0">
    <w:p w14:paraId="2C5DFF4B" w14:textId="77777777" w:rsidR="00E02B48" w:rsidRDefault="00E02B48">
      <w:r>
        <w:continuationSeparator/>
      </w:r>
    </w:p>
  </w:footnote>
  <w:footnote w:type="continuationNotice" w:id="1">
    <w:p w14:paraId="047BD986" w14:textId="77777777" w:rsidR="00E02B48" w:rsidRDefault="00E02B48"/>
  </w:footnote>
  <w:footnote w:id="2">
    <w:p w14:paraId="51C65C27" w14:textId="77777777" w:rsidR="00BD4A0D" w:rsidRPr="00E02B48" w:rsidRDefault="00BD4A0D">
      <w:pPr>
        <w:pStyle w:val="FootnoteText"/>
        <w:rPr>
          <w:rFonts w:ascii="Arial" w:hAnsi="Arial" w:cs="Arial"/>
        </w:rPr>
      </w:pPr>
      <w:r w:rsidRPr="00E02B48">
        <w:rPr>
          <w:rStyle w:val="FootnoteReference"/>
          <w:rFonts w:ascii="Arial" w:hAnsi="Arial" w:cs="Arial"/>
        </w:rPr>
        <w:footnoteRef/>
      </w:r>
      <w:r w:rsidRPr="00E02B48">
        <w:rPr>
          <w:rFonts w:ascii="Arial" w:hAnsi="Arial" w:cs="Arial"/>
        </w:rPr>
        <w:t xml:space="preserve"> Load Zone value of energy is defined as the product of the 15-minute Load Zone Settlement Point Price in the Real-Time Market and its associated Real-Time Adjusted Metered Load.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FFA2" w14:textId="30F5CB4F" w:rsidR="00EE6681" w:rsidRPr="00AE0BCB" w:rsidRDefault="00EE6681" w:rsidP="00AE0BCB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CA27AA5"/>
    <w:multiLevelType w:val="hybridMultilevel"/>
    <w:tmpl w:val="AFA6F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C5763"/>
    <w:multiLevelType w:val="hybridMultilevel"/>
    <w:tmpl w:val="94C27140"/>
    <w:lvl w:ilvl="0" w:tplc="10AA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C1D3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45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DAD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E5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AA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C6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C7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B0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6590559">
    <w:abstractNumId w:val="0"/>
  </w:num>
  <w:num w:numId="2" w16cid:durableId="252011784">
    <w:abstractNumId w:val="3"/>
  </w:num>
  <w:num w:numId="3" w16cid:durableId="689602544">
    <w:abstractNumId w:val="2"/>
  </w:num>
  <w:num w:numId="4" w16cid:durableId="212207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1041"/>
    <w:rsid w:val="00037668"/>
    <w:rsid w:val="00075A94"/>
    <w:rsid w:val="00132855"/>
    <w:rsid w:val="00132ABF"/>
    <w:rsid w:val="00152993"/>
    <w:rsid w:val="00152B59"/>
    <w:rsid w:val="00170297"/>
    <w:rsid w:val="001A227D"/>
    <w:rsid w:val="001E2032"/>
    <w:rsid w:val="002F0658"/>
    <w:rsid w:val="003010C0"/>
    <w:rsid w:val="003313D8"/>
    <w:rsid w:val="00332A97"/>
    <w:rsid w:val="00343FBA"/>
    <w:rsid w:val="00350C00"/>
    <w:rsid w:val="00366113"/>
    <w:rsid w:val="0038469F"/>
    <w:rsid w:val="003C12B1"/>
    <w:rsid w:val="003C270C"/>
    <w:rsid w:val="003C3137"/>
    <w:rsid w:val="003D0994"/>
    <w:rsid w:val="003D42F0"/>
    <w:rsid w:val="003D7603"/>
    <w:rsid w:val="003F35E4"/>
    <w:rsid w:val="00423824"/>
    <w:rsid w:val="0043567D"/>
    <w:rsid w:val="004A772F"/>
    <w:rsid w:val="004B7B90"/>
    <w:rsid w:val="004E2C19"/>
    <w:rsid w:val="00555151"/>
    <w:rsid w:val="005D284C"/>
    <w:rsid w:val="00604512"/>
    <w:rsid w:val="0062340E"/>
    <w:rsid w:val="00633E23"/>
    <w:rsid w:val="00673B94"/>
    <w:rsid w:val="00680AC6"/>
    <w:rsid w:val="006835D8"/>
    <w:rsid w:val="006C316E"/>
    <w:rsid w:val="006D055A"/>
    <w:rsid w:val="006D0F7C"/>
    <w:rsid w:val="006E5664"/>
    <w:rsid w:val="006F7F98"/>
    <w:rsid w:val="007269C4"/>
    <w:rsid w:val="0074209E"/>
    <w:rsid w:val="00742454"/>
    <w:rsid w:val="00756160"/>
    <w:rsid w:val="007D7D50"/>
    <w:rsid w:val="007E5E49"/>
    <w:rsid w:val="007F2CA8"/>
    <w:rsid w:val="007F554B"/>
    <w:rsid w:val="007F7161"/>
    <w:rsid w:val="0081794C"/>
    <w:rsid w:val="0085559E"/>
    <w:rsid w:val="00896B1B"/>
    <w:rsid w:val="008E1833"/>
    <w:rsid w:val="008E559E"/>
    <w:rsid w:val="009038D4"/>
    <w:rsid w:val="00916080"/>
    <w:rsid w:val="00921A68"/>
    <w:rsid w:val="00931351"/>
    <w:rsid w:val="009456EF"/>
    <w:rsid w:val="00955179"/>
    <w:rsid w:val="00960FF5"/>
    <w:rsid w:val="009C4996"/>
    <w:rsid w:val="00A015C4"/>
    <w:rsid w:val="00A03027"/>
    <w:rsid w:val="00A15172"/>
    <w:rsid w:val="00AE0BCB"/>
    <w:rsid w:val="00AF621E"/>
    <w:rsid w:val="00B5080A"/>
    <w:rsid w:val="00B934F4"/>
    <w:rsid w:val="00B943AE"/>
    <w:rsid w:val="00BD4A0D"/>
    <w:rsid w:val="00BD7258"/>
    <w:rsid w:val="00C0598D"/>
    <w:rsid w:val="00C11956"/>
    <w:rsid w:val="00C13122"/>
    <w:rsid w:val="00C602E5"/>
    <w:rsid w:val="00C748FD"/>
    <w:rsid w:val="00C7526C"/>
    <w:rsid w:val="00CB6589"/>
    <w:rsid w:val="00D4046E"/>
    <w:rsid w:val="00D4362F"/>
    <w:rsid w:val="00D854A2"/>
    <w:rsid w:val="00DB70B6"/>
    <w:rsid w:val="00DC6DDC"/>
    <w:rsid w:val="00DD4739"/>
    <w:rsid w:val="00DE5F33"/>
    <w:rsid w:val="00E02B48"/>
    <w:rsid w:val="00E07B54"/>
    <w:rsid w:val="00E11F78"/>
    <w:rsid w:val="00E621E1"/>
    <w:rsid w:val="00E63813"/>
    <w:rsid w:val="00E969EB"/>
    <w:rsid w:val="00EB3D47"/>
    <w:rsid w:val="00EC55B3"/>
    <w:rsid w:val="00EE6681"/>
    <w:rsid w:val="00F047C2"/>
    <w:rsid w:val="00F33A4C"/>
    <w:rsid w:val="00F61E13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724AB"/>
  <w15:chartTrackingRefBased/>
  <w15:docId w15:val="{CE16AE1B-7F40-48C6-8D4E-439AC320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3D42F0"/>
    <w:rPr>
      <w:sz w:val="24"/>
      <w:szCs w:val="24"/>
    </w:rPr>
  </w:style>
  <w:style w:type="paragraph" w:styleId="FootnoteText">
    <w:name w:val="footnote text"/>
    <w:basedOn w:val="Normal"/>
    <w:link w:val="FootnoteTextChar"/>
    <w:rsid w:val="00BD4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4A0D"/>
  </w:style>
  <w:style w:type="character" w:styleId="FootnoteReference">
    <w:name w:val="footnote reference"/>
    <w:rsid w:val="00BD4A0D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3C1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75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5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4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9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7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1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2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53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92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23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keith.collins@ercot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C1A4-05DE-491C-A409-BB9BAE5F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2024-08-12T14:59:00Z</dcterms:created>
  <dcterms:modified xsi:type="dcterms:W3CDTF">2024-08-12T15:12:00Z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2024-08-09T23:00:00Z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044e690c-95b6-449a-a4fb-bd999c740691</vt:lpwstr>
  </property>
  <property fmtid="{D5CDD505-2E9C-101B-9397-08002B2CF9AE}" pid="8" name="MSIP_Label_7084cbda-52b8-46fb-a7b7-cb5bd465ed85_ContentBits">
    <vt:lpwstr>0</vt:lpwstr>
  </property>
</Properties>
</file>