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1A93C02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B0ADF" w14:textId="5EE5AFD5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>RR</w:t>
            </w:r>
            <w:r w:rsidR="001020DA">
              <w:t xml:space="preserve">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7CF96E" w14:textId="77777777" w:rsidR="00152993" w:rsidRDefault="008A58B7" w:rsidP="008A5F9F">
            <w:pPr>
              <w:pStyle w:val="Header"/>
              <w:jc w:val="center"/>
            </w:pPr>
            <w:hyperlink r:id="rId10" w:history="1">
              <w:r w:rsidR="008A5F9F" w:rsidRPr="008A58B7">
                <w:rPr>
                  <w:rStyle w:val="Hyperlink"/>
                </w:rPr>
                <w:t>245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79EACB" w14:textId="4A1C8B99" w:rsidR="00152993" w:rsidRDefault="00D825C5">
            <w:pPr>
              <w:pStyle w:val="Header"/>
            </w:pPr>
            <w:r>
              <w:t>NOG</w:t>
            </w:r>
            <w:r w:rsidR="00C158EE">
              <w:t>RR</w:t>
            </w:r>
            <w:r w:rsidR="001020DA">
              <w:t xml:space="preserve">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3154EC" w14:textId="256BDF0A" w:rsidR="00152993" w:rsidRDefault="008A5F9F">
            <w:pPr>
              <w:pStyle w:val="Header"/>
            </w:pPr>
            <w:r w:rsidRPr="008A5F9F">
              <w:t>Inverter-Based</w:t>
            </w:r>
            <w:r w:rsidR="001020DA">
              <w:t xml:space="preserve"> </w:t>
            </w:r>
            <w:r w:rsidRPr="008A5F9F">
              <w:t>Resource</w:t>
            </w:r>
            <w:r w:rsidR="001020DA">
              <w:t xml:space="preserve"> </w:t>
            </w:r>
            <w:r w:rsidRPr="008A5F9F">
              <w:t>(IBR)</w:t>
            </w:r>
            <w:r w:rsidR="001020DA">
              <w:t xml:space="preserve"> </w:t>
            </w:r>
            <w:r w:rsidRPr="008A5F9F">
              <w:t>Ride-Through</w:t>
            </w:r>
            <w:r w:rsidR="001020DA">
              <w:t xml:space="preserve"> </w:t>
            </w:r>
            <w:r w:rsidRPr="008A5F9F">
              <w:t>Requirements</w:t>
            </w:r>
          </w:p>
        </w:tc>
      </w:tr>
    </w:tbl>
    <w:p w14:paraId="313F2030" w14:textId="77777777" w:rsidR="002771E6" w:rsidRDefault="002771E6"/>
    <w:p w14:paraId="5DC2959F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07288164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D9D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E838" w14:textId="49BDBB4F" w:rsidR="00152993" w:rsidRDefault="008A5F9F">
            <w:pPr>
              <w:pStyle w:val="NormalArial"/>
            </w:pPr>
            <w:r>
              <w:t>August</w:t>
            </w:r>
            <w:r w:rsidR="001020DA">
              <w:t xml:space="preserve"> </w:t>
            </w:r>
            <w:r>
              <w:t>16,</w:t>
            </w:r>
            <w:r w:rsidR="001020DA">
              <w:t xml:space="preserve"> </w:t>
            </w:r>
            <w:r>
              <w:t>2024</w:t>
            </w:r>
          </w:p>
        </w:tc>
      </w:tr>
    </w:tbl>
    <w:p w14:paraId="37F89306" w14:textId="77777777" w:rsidR="002771E6" w:rsidRDefault="002771E6"/>
    <w:p w14:paraId="562D21C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390EC74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75858B" w14:textId="1E56BF3E" w:rsidR="00152993" w:rsidRDefault="00152993">
            <w:pPr>
              <w:pStyle w:val="Header"/>
              <w:jc w:val="center"/>
            </w:pPr>
            <w:r>
              <w:t>Submitter’s</w:t>
            </w:r>
            <w:r w:rsidR="001020DA">
              <w:t xml:space="preserve"> </w:t>
            </w:r>
            <w:r>
              <w:t>Information</w:t>
            </w:r>
          </w:p>
        </w:tc>
      </w:tr>
      <w:tr w:rsidR="008A5F9F" w14:paraId="5FDC5CE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CBF881" w14:textId="77777777" w:rsidR="008A5F9F" w:rsidRPr="00EC55B3" w:rsidRDefault="008A5F9F" w:rsidP="008A5F9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310948F4" w14:textId="64F9EA89" w:rsidR="008A5F9F" w:rsidRDefault="008A5F9F" w:rsidP="008A5F9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</w:t>
            </w:r>
            <w:r w:rsidR="001020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Commenters</w:t>
            </w:r>
            <w:r w:rsidR="001020DA">
              <w:rPr>
                <w:rFonts w:ascii="Arial" w:hAnsi="Arial" w:cs="Arial"/>
              </w:rPr>
              <w:t xml:space="preserve"> </w:t>
            </w:r>
          </w:p>
          <w:p w14:paraId="4C40752F" w14:textId="365ACE57" w:rsidR="008A5F9F" w:rsidRDefault="008A5F9F" w:rsidP="008A5F9F">
            <w:pPr>
              <w:pStyle w:val="NormalArial"/>
            </w:pPr>
            <w:r>
              <w:rPr>
                <w:rFonts w:cs="Arial"/>
              </w:rPr>
              <w:t>(Dav</w:t>
            </w:r>
            <w:r w:rsidR="00FF4E99">
              <w:rPr>
                <w:rFonts w:cs="Arial"/>
              </w:rPr>
              <w:t>id</w:t>
            </w:r>
            <w:r w:rsidR="001020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Azari;</w:t>
            </w:r>
            <w:r w:rsidR="001020DA">
              <w:rPr>
                <w:rFonts w:cs="Arial"/>
              </w:rPr>
              <w:t xml:space="preserve"> </w:t>
            </w:r>
            <w:r w:rsidR="00AE021F" w:rsidRPr="0039093E">
              <w:rPr>
                <w:rFonts w:cs="Arial"/>
              </w:rPr>
              <w:t>Carrie</w:t>
            </w:r>
            <w:r w:rsidR="001020DA">
              <w:rPr>
                <w:rFonts w:cs="Arial"/>
              </w:rPr>
              <w:t xml:space="preserve"> </w:t>
            </w:r>
            <w:r w:rsidR="00AE021F" w:rsidRPr="0039093E">
              <w:rPr>
                <w:rFonts w:cs="Arial"/>
              </w:rPr>
              <w:t>Bivens</w:t>
            </w:r>
            <w:r w:rsidR="00AE021F">
              <w:rPr>
                <w:rFonts w:cs="Arial"/>
              </w:rPr>
              <w:t>;</w:t>
            </w:r>
            <w:r w:rsidR="001020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Chase</w:t>
            </w:r>
            <w:r w:rsidR="001020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Smith;</w:t>
            </w:r>
            <w:r w:rsidR="001020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Thresa</w:t>
            </w:r>
            <w:r w:rsidR="001020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Allen;</w:t>
            </w:r>
            <w:r w:rsidR="001020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Hannah</w:t>
            </w:r>
            <w:r w:rsidR="001020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Muller)</w:t>
            </w:r>
          </w:p>
        </w:tc>
      </w:tr>
      <w:tr w:rsidR="008A5F9F" w14:paraId="513270D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3E5A333" w14:textId="62BBA6F8" w:rsidR="008A5F9F" w:rsidRPr="00EC55B3" w:rsidRDefault="008A5F9F" w:rsidP="008A5F9F">
            <w:pPr>
              <w:pStyle w:val="Header"/>
            </w:pPr>
            <w:r w:rsidRPr="00EC55B3">
              <w:t>E-mail</w:t>
            </w:r>
            <w:r w:rsidR="001020DA">
              <w:t xml:space="preserve"> </w:t>
            </w:r>
            <w:r w:rsidRPr="00EC55B3">
              <w:t>Address</w:t>
            </w:r>
          </w:p>
        </w:tc>
        <w:tc>
          <w:tcPr>
            <w:tcW w:w="7560" w:type="dxa"/>
            <w:vAlign w:val="center"/>
          </w:tcPr>
          <w:p w14:paraId="3BB2B0B9" w14:textId="22384D04" w:rsidR="008A5F9F" w:rsidRDefault="008A58B7" w:rsidP="008A5F9F">
            <w:pPr>
              <w:pStyle w:val="NormalArial"/>
            </w:pPr>
            <w:hyperlink r:id="rId11" w:history="1">
              <w:r w:rsidR="008A5F9F">
                <w:rPr>
                  <w:rStyle w:val="Hyperlink"/>
                  <w:rFonts w:cs="Arial"/>
                </w:rPr>
                <w:t>dazari@invenergy.com</w:t>
              </w:r>
            </w:hyperlink>
            <w:r w:rsidR="008A5F9F">
              <w:rPr>
                <w:rFonts w:cs="Arial"/>
              </w:rPr>
              <w:t>;</w:t>
            </w:r>
            <w:r w:rsidR="001020DA">
              <w:rPr>
                <w:rFonts w:cs="Arial"/>
              </w:rPr>
              <w:t xml:space="preserve"> </w:t>
            </w:r>
            <w:hyperlink r:id="rId12" w:history="1">
              <w:r w:rsidR="00AE021F" w:rsidRPr="0039093E">
                <w:rPr>
                  <w:rStyle w:val="Hyperlink"/>
                  <w:rFonts w:cs="Arial"/>
                </w:rPr>
                <w:t>Carrie.Bivens@nexteraenergy.com</w:t>
              </w:r>
            </w:hyperlink>
            <w:r w:rsidR="00AE021F" w:rsidRPr="0039093E">
              <w:rPr>
                <w:rFonts w:cs="Arial"/>
              </w:rPr>
              <w:t>;</w:t>
            </w:r>
            <w:r w:rsidR="001020DA">
              <w:rPr>
                <w:rFonts w:cs="Arial"/>
              </w:rPr>
              <w:t xml:space="preserve"> </w:t>
            </w:r>
            <w:hyperlink r:id="rId13" w:history="1">
              <w:r w:rsidR="008A5F9F">
                <w:rPr>
                  <w:rStyle w:val="Hyperlink"/>
                  <w:rFonts w:cs="Arial"/>
                </w:rPr>
                <w:t>bcsmi@southernco.com</w:t>
              </w:r>
            </w:hyperlink>
            <w:r w:rsidR="008A5F9F">
              <w:rPr>
                <w:rFonts w:cs="Arial"/>
              </w:rPr>
              <w:t>;</w:t>
            </w:r>
            <w:r w:rsidR="001020DA">
              <w:rPr>
                <w:rFonts w:cs="Arial"/>
              </w:rPr>
              <w:t xml:space="preserve"> </w:t>
            </w:r>
            <w:hyperlink r:id="rId14" w:history="1">
              <w:r w:rsidR="008A5F9F">
                <w:rPr>
                  <w:rStyle w:val="Hyperlink"/>
                  <w:rFonts w:cs="Arial"/>
                </w:rPr>
                <w:t>thresa.allen@avangrid.com</w:t>
              </w:r>
            </w:hyperlink>
            <w:r w:rsidR="008A5F9F">
              <w:rPr>
                <w:rFonts w:cs="Arial"/>
              </w:rPr>
              <w:t>;</w:t>
            </w:r>
            <w:r w:rsidR="001020DA">
              <w:rPr>
                <w:rFonts w:cs="Arial"/>
              </w:rPr>
              <w:t xml:space="preserve"> </w:t>
            </w:r>
            <w:hyperlink r:id="rId15" w:history="1">
              <w:r w:rsidR="008A5F9F" w:rsidRPr="00BD2F57">
                <w:rPr>
                  <w:rStyle w:val="Hyperlink"/>
                  <w:rFonts w:cs="Arial"/>
                </w:rPr>
                <w:t>hannah.muller@clearwayenergy.com</w:t>
              </w:r>
            </w:hyperlink>
            <w:r w:rsidR="001020DA">
              <w:rPr>
                <w:rFonts w:cs="Arial"/>
              </w:rPr>
              <w:t xml:space="preserve"> </w:t>
            </w:r>
          </w:p>
        </w:tc>
      </w:tr>
      <w:tr w:rsidR="008A5F9F" w14:paraId="53FF099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71FB476" w14:textId="77777777" w:rsidR="008A5F9F" w:rsidRPr="00EC55B3" w:rsidRDefault="008A5F9F" w:rsidP="008A5F9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365AC9DE" w14:textId="74394E57" w:rsidR="008A5F9F" w:rsidRDefault="008A5F9F" w:rsidP="008A5F9F">
            <w:pPr>
              <w:pStyle w:val="NormalArial"/>
            </w:pPr>
            <w:r w:rsidRPr="000E1D49">
              <w:rPr>
                <w:rFonts w:cs="Arial"/>
                <w:color w:val="000000"/>
              </w:rPr>
              <w:t>Invenergy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Energy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Management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LLC;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="00AE021F" w:rsidRPr="0039093E">
              <w:rPr>
                <w:rFonts w:cs="Arial"/>
              </w:rPr>
              <w:t>NextEra</w:t>
            </w:r>
            <w:r w:rsidR="001020DA">
              <w:rPr>
                <w:rFonts w:cs="Arial"/>
              </w:rPr>
              <w:t xml:space="preserve"> </w:t>
            </w:r>
            <w:r w:rsidR="00AE021F" w:rsidRPr="0039093E">
              <w:rPr>
                <w:rFonts w:cs="Arial"/>
              </w:rPr>
              <w:t>Energy</w:t>
            </w:r>
            <w:r w:rsidR="001020DA">
              <w:rPr>
                <w:rFonts w:cs="Arial"/>
              </w:rPr>
              <w:t xml:space="preserve"> </w:t>
            </w:r>
            <w:r w:rsidR="00AE021F" w:rsidRPr="0039093E">
              <w:rPr>
                <w:rFonts w:cs="Arial"/>
              </w:rPr>
              <w:t>Resources</w:t>
            </w:r>
            <w:r w:rsidR="001020DA">
              <w:rPr>
                <w:rFonts w:cs="Arial"/>
              </w:rPr>
              <w:t xml:space="preserve"> </w:t>
            </w:r>
            <w:r w:rsidR="00AE021F" w:rsidRPr="0039093E">
              <w:rPr>
                <w:rFonts w:cs="Arial"/>
              </w:rPr>
              <w:t>LLC</w:t>
            </w:r>
            <w:r w:rsidR="00AE021F">
              <w:rPr>
                <w:rFonts w:cs="Arial"/>
                <w:color w:val="000000"/>
              </w:rPr>
              <w:t>;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Southern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Power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Company;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Avangrid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Renewables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LLC;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Clearway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Renew</w:t>
            </w:r>
            <w:r w:rsidR="00AE021F">
              <w:rPr>
                <w:rFonts w:cs="Arial"/>
                <w:color w:val="000000"/>
              </w:rPr>
              <w:t>,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LLC</w:t>
            </w:r>
          </w:p>
        </w:tc>
      </w:tr>
      <w:tr w:rsidR="008A5F9F" w14:paraId="74C52EF5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1EB0D3" w14:textId="0E63C9CD" w:rsidR="008A5F9F" w:rsidRPr="00EC55B3" w:rsidRDefault="008A5F9F" w:rsidP="008A5F9F">
            <w:pPr>
              <w:pStyle w:val="Header"/>
            </w:pPr>
            <w:r w:rsidRPr="00EC55B3">
              <w:t>Phone</w:t>
            </w:r>
            <w:r w:rsidR="001020DA">
              <w:t xml:space="preserve"> </w:t>
            </w:r>
            <w:r w:rsidRPr="00EC55B3">
              <w:t>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67294DA" w14:textId="0CEBCF3B" w:rsidR="008A5F9F" w:rsidRDefault="008A5F9F" w:rsidP="008A5F9F">
            <w:pPr>
              <w:pStyle w:val="NormalArial"/>
            </w:pPr>
            <w:r w:rsidRPr="000E1D49">
              <w:rPr>
                <w:rFonts w:cs="Arial"/>
                <w:color w:val="000000"/>
              </w:rPr>
              <w:t>312-582-1533;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="007461EE">
              <w:rPr>
                <w:rFonts w:cs="Arial"/>
                <w:color w:val="000000"/>
              </w:rPr>
              <w:t>512-879-7971</w:t>
            </w:r>
            <w:r w:rsidR="00DF2157">
              <w:rPr>
                <w:rFonts w:cs="Arial"/>
                <w:color w:val="000000"/>
              </w:rPr>
              <w:t xml:space="preserve">; </w:t>
            </w:r>
            <w:r w:rsidRPr="000E1D49">
              <w:rPr>
                <w:rFonts w:cs="Arial"/>
                <w:color w:val="000000"/>
              </w:rPr>
              <w:t>205-992-0145;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281-217-4764;</w:t>
            </w:r>
            <w:r w:rsidR="001020DA">
              <w:rPr>
                <w:rFonts w:cs="Arial"/>
                <w:color w:val="000000"/>
              </w:rPr>
              <w:t xml:space="preserve"> </w:t>
            </w:r>
            <w:r w:rsidRPr="000E1D49">
              <w:rPr>
                <w:rFonts w:cs="Arial"/>
                <w:color w:val="000000"/>
              </w:rPr>
              <w:t>607-431-8811</w:t>
            </w:r>
          </w:p>
        </w:tc>
      </w:tr>
      <w:tr w:rsidR="008A5F9F" w14:paraId="61CA69F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BA75CF2" w14:textId="630762A5" w:rsidR="008A5F9F" w:rsidRPr="00EC55B3" w:rsidRDefault="008A5F9F" w:rsidP="008A5F9F">
            <w:pPr>
              <w:pStyle w:val="Header"/>
            </w:pPr>
            <w:r>
              <w:t>Cell</w:t>
            </w:r>
            <w:r w:rsidR="001020DA">
              <w:t xml:space="preserve"> </w:t>
            </w:r>
            <w:r w:rsidRPr="00EC55B3">
              <w:t>Number</w:t>
            </w:r>
          </w:p>
        </w:tc>
        <w:tc>
          <w:tcPr>
            <w:tcW w:w="7560" w:type="dxa"/>
            <w:vAlign w:val="center"/>
          </w:tcPr>
          <w:p w14:paraId="6EA59823" w14:textId="77777777" w:rsidR="008A5F9F" w:rsidRDefault="008A5F9F" w:rsidP="008A5F9F">
            <w:pPr>
              <w:pStyle w:val="NormalArial"/>
            </w:pPr>
            <w:r>
              <w:rPr>
                <w:rFonts w:cs="Arial"/>
              </w:rPr>
              <w:t>N/A</w:t>
            </w:r>
          </w:p>
        </w:tc>
      </w:tr>
      <w:tr w:rsidR="008A5F9F" w14:paraId="15B4C6E5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4F9D91" w14:textId="5FE86AE2" w:rsidR="008A5F9F" w:rsidRPr="00EC55B3" w:rsidDel="00075A94" w:rsidRDefault="008A5F9F" w:rsidP="008A5F9F">
            <w:pPr>
              <w:pStyle w:val="Header"/>
            </w:pPr>
            <w:r>
              <w:t>Market</w:t>
            </w:r>
            <w:r w:rsidR="001020DA">
              <w:t xml:space="preserve"> </w:t>
            </w:r>
            <w:r>
              <w:t>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5C9B0A" w14:textId="680196D4" w:rsidR="008A5F9F" w:rsidRDefault="008A5F9F" w:rsidP="008A5F9F">
            <w:pPr>
              <w:pStyle w:val="NormalArial"/>
            </w:pPr>
            <w:r>
              <w:rPr>
                <w:rFonts w:cs="Arial"/>
                <w:color w:val="000000"/>
              </w:rPr>
              <w:t>Independent</w:t>
            </w:r>
            <w:r w:rsidR="001020D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Generators</w:t>
            </w:r>
          </w:p>
        </w:tc>
      </w:tr>
    </w:tbl>
    <w:p w14:paraId="533F071F" w14:textId="77777777" w:rsidR="00152993" w:rsidRDefault="00152993">
      <w:pPr>
        <w:pStyle w:val="NormalArial"/>
      </w:pPr>
    </w:p>
    <w:p w14:paraId="3401187D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2F50184C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2915404A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2EC0E50A" w14:textId="77777777" w:rsidR="00F3275C" w:rsidRDefault="00F3275C" w:rsidP="00F3275C">
      <w:pPr>
        <w:pStyle w:val="NormalArial"/>
        <w:jc w:val="both"/>
      </w:pPr>
    </w:p>
    <w:p w14:paraId="391F8AC6" w14:textId="2C0A005A" w:rsidR="00F3275C" w:rsidRDefault="00F3275C" w:rsidP="00880A4F">
      <w:pPr>
        <w:pStyle w:val="NormalArial"/>
        <w:jc w:val="both"/>
        <w:rPr>
          <w:rFonts w:eastAsia="Calibri" w:cs="Arial"/>
        </w:rPr>
      </w:pPr>
      <w:r>
        <w:t>NextEra</w:t>
      </w:r>
      <w:r w:rsidR="001020DA">
        <w:t xml:space="preserve"> </w:t>
      </w:r>
      <w:r>
        <w:t>Energy</w:t>
      </w:r>
      <w:r w:rsidR="001020DA">
        <w:t xml:space="preserve"> </w:t>
      </w:r>
      <w:r>
        <w:t>Resources,</w:t>
      </w:r>
      <w:r w:rsidR="001020DA">
        <w:t xml:space="preserve"> </w:t>
      </w:r>
      <w:r w:rsidRPr="008E042F">
        <w:rPr>
          <w:rFonts w:cs="Arial"/>
        </w:rPr>
        <w:t>Invenergy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Energy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Management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LLC,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Southern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Power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Company,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Avangrid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Renewables</w:t>
      </w:r>
      <w:r>
        <w:rPr>
          <w:rFonts w:cs="Arial"/>
        </w:rPr>
        <w:t>,</w:t>
      </w:r>
      <w:r w:rsidR="001020DA">
        <w:rPr>
          <w:rFonts w:cs="Arial"/>
        </w:rPr>
        <w:t xml:space="preserve"> </w:t>
      </w:r>
      <w:r w:rsidRPr="008E042F">
        <w:rPr>
          <w:rFonts w:cs="Arial"/>
        </w:rPr>
        <w:t>LLC</w:t>
      </w:r>
      <w:r>
        <w:rPr>
          <w:rFonts w:cs="Arial"/>
        </w:rPr>
        <w:t>,</w:t>
      </w:r>
      <w:r w:rsidR="001020DA">
        <w:rPr>
          <w:rFonts w:cs="Arial"/>
        </w:rPr>
        <w:t xml:space="preserve"> </w:t>
      </w:r>
      <w:r>
        <w:rPr>
          <w:rFonts w:cs="Arial"/>
        </w:rPr>
        <w:t>and</w:t>
      </w:r>
      <w:r w:rsidR="001020DA">
        <w:rPr>
          <w:rFonts w:cs="Arial"/>
        </w:rPr>
        <w:t xml:space="preserve"> </w:t>
      </w:r>
      <w:r>
        <w:rPr>
          <w:rFonts w:cs="Arial"/>
        </w:rPr>
        <w:t>Clearway</w:t>
      </w:r>
      <w:r w:rsidR="001020DA">
        <w:rPr>
          <w:rFonts w:cs="Arial"/>
        </w:rPr>
        <w:t xml:space="preserve"> </w:t>
      </w:r>
      <w:r>
        <w:rPr>
          <w:rFonts w:cs="Arial"/>
        </w:rPr>
        <w:t>Renew,</w:t>
      </w:r>
      <w:r w:rsidR="001020DA">
        <w:rPr>
          <w:rFonts w:cs="Arial"/>
        </w:rPr>
        <w:t xml:space="preserve"> </w:t>
      </w:r>
      <w:r>
        <w:rPr>
          <w:rFonts w:cs="Arial"/>
        </w:rPr>
        <w:t>LLC</w:t>
      </w:r>
      <w:r w:rsidR="001020DA">
        <w:t xml:space="preserve"> </w:t>
      </w:r>
      <w:r>
        <w:t>(collectively,</w:t>
      </w:r>
      <w:r w:rsidR="001020DA">
        <w:t xml:space="preserve"> </w:t>
      </w:r>
      <w:r>
        <w:t>Joint</w:t>
      </w:r>
      <w:r w:rsidR="001020DA">
        <w:t xml:space="preserve"> </w:t>
      </w:r>
      <w:r>
        <w:t>Commenters)</w:t>
      </w:r>
      <w:r w:rsidR="001020DA">
        <w:t xml:space="preserve"> </w:t>
      </w:r>
      <w:r>
        <w:t>appreciate</w:t>
      </w:r>
      <w:r w:rsidR="001020DA">
        <w:t xml:space="preserve"> </w:t>
      </w:r>
      <w:r>
        <w:t>the</w:t>
      </w:r>
      <w:r w:rsidR="001020DA">
        <w:t xml:space="preserve"> </w:t>
      </w:r>
      <w:r>
        <w:t>opportunity</w:t>
      </w:r>
      <w:r w:rsidR="001020DA">
        <w:t xml:space="preserve"> </w:t>
      </w:r>
      <w:r>
        <w:t>to</w:t>
      </w:r>
      <w:r w:rsidR="001020DA">
        <w:t xml:space="preserve"> </w:t>
      </w:r>
      <w:r>
        <w:t>submit</w:t>
      </w:r>
      <w:r w:rsidR="001020DA">
        <w:t xml:space="preserve"> </w:t>
      </w:r>
      <w:r>
        <w:t>these</w:t>
      </w:r>
      <w:r w:rsidR="001020DA">
        <w:t xml:space="preserve"> </w:t>
      </w:r>
      <w:r w:rsidR="00F646A8">
        <w:t>c</w:t>
      </w:r>
      <w:r>
        <w:t>omments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regarding</w:t>
      </w:r>
      <w:r w:rsidR="001020DA">
        <w:rPr>
          <w:rFonts w:eastAsia="Calibri" w:cs="Arial"/>
        </w:rPr>
        <w:t xml:space="preserve"> </w:t>
      </w:r>
      <w:r w:rsidRPr="00B26175">
        <w:t>Nodal</w:t>
      </w:r>
      <w:r w:rsidR="001020DA">
        <w:t xml:space="preserve"> </w:t>
      </w:r>
      <w:r w:rsidRPr="00B26175">
        <w:t>Operating</w:t>
      </w:r>
      <w:r w:rsidR="001020DA">
        <w:t xml:space="preserve"> </w:t>
      </w:r>
      <w:r w:rsidRPr="00B26175">
        <w:t>Guide</w:t>
      </w:r>
      <w:r w:rsidR="001020DA">
        <w:t xml:space="preserve"> </w:t>
      </w:r>
      <w:r w:rsidRPr="00B26175">
        <w:t>Revision</w:t>
      </w:r>
      <w:r w:rsidR="001020DA">
        <w:t xml:space="preserve"> </w:t>
      </w:r>
      <w:r w:rsidRPr="00B26175">
        <w:t>Request</w:t>
      </w:r>
      <w:r w:rsidR="001020DA">
        <w:t xml:space="preserve"> </w:t>
      </w:r>
      <w:r w:rsidRPr="00B26175">
        <w:t>(NOGRR)</w:t>
      </w:r>
      <w:r w:rsidR="001020DA">
        <w:t xml:space="preserve"> </w:t>
      </w:r>
      <w:r w:rsidRPr="00B26175">
        <w:t>245</w:t>
      </w:r>
      <w:r w:rsidR="001020DA">
        <w:t xml:space="preserve"> </w:t>
      </w:r>
      <w:r>
        <w:t>in</w:t>
      </w:r>
      <w:r w:rsidR="001020DA">
        <w:t xml:space="preserve"> </w:t>
      </w:r>
      <w:r>
        <w:t>anticipation</w:t>
      </w:r>
      <w:r w:rsidR="001020DA">
        <w:t xml:space="preserve"> </w:t>
      </w:r>
      <w:r>
        <w:t>of</w:t>
      </w:r>
      <w:r w:rsidR="001020DA">
        <w:t xml:space="preserve"> </w:t>
      </w:r>
      <w:r w:rsidR="005A5F31">
        <w:t>consideration</w:t>
      </w:r>
      <w:r w:rsidR="001020DA">
        <w:t xml:space="preserve"> </w:t>
      </w:r>
      <w:r w:rsidR="005A5F31">
        <w:t>by</w:t>
      </w:r>
      <w:r w:rsidR="001020DA">
        <w:t xml:space="preserve"> </w:t>
      </w:r>
      <w:r>
        <w:t>the</w:t>
      </w:r>
      <w:r w:rsidR="001020DA">
        <w:t xml:space="preserve"> </w:t>
      </w:r>
      <w:r w:rsidRPr="008E042F">
        <w:rPr>
          <w:rFonts w:eastAsia="Calibri" w:cs="Arial"/>
        </w:rPr>
        <w:t>ERCOT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Board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of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Directors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(ERCOT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Board)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on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August</w:t>
      </w:r>
      <w:r w:rsidR="001020DA">
        <w:rPr>
          <w:rFonts w:eastAsia="Calibri" w:cs="Arial"/>
        </w:rPr>
        <w:t xml:space="preserve"> </w:t>
      </w:r>
      <w:r w:rsidR="005A5F31">
        <w:rPr>
          <w:rFonts w:eastAsia="Calibri" w:cs="Arial"/>
        </w:rPr>
        <w:t>19</w:t>
      </w:r>
      <w:r w:rsidR="001020DA">
        <w:rPr>
          <w:rFonts w:eastAsia="Calibri" w:cs="Arial"/>
        </w:rPr>
        <w:t xml:space="preserve"> </w:t>
      </w:r>
      <w:r w:rsidR="005A5F31"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20,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2024</w:t>
      </w:r>
      <w:r w:rsidRPr="00B26175">
        <w:t>.</w:t>
      </w:r>
      <w:r w:rsidR="001020DA">
        <w:t xml:space="preserve"> </w:t>
      </w:r>
      <w:r w:rsidRPr="008E042F">
        <w:rPr>
          <w:rFonts w:eastAsia="Calibri" w:cs="Arial"/>
        </w:rPr>
        <w:t>Joint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Commenters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continue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to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strongly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actively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support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efforts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to</w:t>
      </w:r>
      <w:r w:rsidR="001020DA">
        <w:rPr>
          <w:rFonts w:eastAsia="Calibri" w:cs="Arial"/>
        </w:rPr>
        <w:t xml:space="preserve"> </w:t>
      </w:r>
      <w:r w:rsidR="0087087E">
        <w:rPr>
          <w:rFonts w:eastAsia="Calibri" w:cs="Arial"/>
        </w:rPr>
        <w:t>en</w:t>
      </w:r>
      <w:r>
        <w:rPr>
          <w:rFonts w:eastAsia="Calibri" w:cs="Arial"/>
        </w:rPr>
        <w:t>sure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the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reliability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adequacy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of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the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Texas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grid,</w:t>
      </w:r>
      <w:r>
        <w:rPr>
          <w:rStyle w:val="FootnoteReference"/>
          <w:rFonts w:eastAsia="Calibri" w:cs="Arial"/>
        </w:rPr>
        <w:footnoteReference w:id="2"/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recognize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the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value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in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securing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a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degree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of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regulatory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certainty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by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having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in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place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the</w:t>
      </w:r>
      <w:r w:rsidR="001020DA">
        <w:rPr>
          <w:rFonts w:eastAsia="Calibri" w:cs="Arial"/>
        </w:rPr>
        <w:t xml:space="preserve"> </w:t>
      </w:r>
      <w:r w:rsidRPr="009D12AA">
        <w:rPr>
          <w:rFonts w:eastAsia="Calibri" w:cs="Arial"/>
        </w:rPr>
        <w:t>software,</w:t>
      </w:r>
      <w:r w:rsidR="001020DA">
        <w:rPr>
          <w:rFonts w:eastAsia="Calibri" w:cs="Arial"/>
        </w:rPr>
        <w:t xml:space="preserve"> </w:t>
      </w:r>
      <w:r w:rsidRPr="009D12AA">
        <w:rPr>
          <w:rFonts w:eastAsia="Calibri" w:cs="Arial"/>
        </w:rPr>
        <w:t>firmware,</w:t>
      </w:r>
      <w:r w:rsidR="001020DA">
        <w:rPr>
          <w:rFonts w:eastAsia="Calibri" w:cs="Arial"/>
        </w:rPr>
        <w:t xml:space="preserve"> </w:t>
      </w:r>
      <w:proofErr w:type="gramStart"/>
      <w:r w:rsidRPr="009D12AA">
        <w:rPr>
          <w:rFonts w:eastAsia="Calibri" w:cs="Arial"/>
        </w:rPr>
        <w:t>settings</w:t>
      </w:r>
      <w:proofErr w:type="gramEnd"/>
      <w:r w:rsidR="001020DA">
        <w:rPr>
          <w:rFonts w:eastAsia="Calibri" w:cs="Arial"/>
        </w:rPr>
        <w:t xml:space="preserve"> </w:t>
      </w:r>
      <w:r w:rsidRPr="009D12AA"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 w:rsidRPr="009D12AA">
        <w:rPr>
          <w:rFonts w:eastAsia="Calibri" w:cs="Arial"/>
        </w:rPr>
        <w:t>parameterization</w:t>
      </w:r>
      <w:r w:rsidR="001020DA">
        <w:rPr>
          <w:rFonts w:eastAsia="Calibri" w:cs="Arial"/>
        </w:rPr>
        <w:t xml:space="preserve"> </w:t>
      </w:r>
      <w:r w:rsidRPr="009D12AA">
        <w:rPr>
          <w:rFonts w:eastAsia="Calibri" w:cs="Arial"/>
        </w:rPr>
        <w:t>modification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requirements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for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Inverter-Based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Resources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(IBRs)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certain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types</w:t>
      </w:r>
      <w:r w:rsidR="001020DA">
        <w:rPr>
          <w:rFonts w:eastAsia="Calibri" w:cs="Arial"/>
        </w:rPr>
        <w:t xml:space="preserve"> </w:t>
      </w:r>
      <w:r>
        <w:rPr>
          <w:rFonts w:eastAsia="Calibri" w:cs="Arial"/>
        </w:rPr>
        <w:t>of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Wind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Generation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Resources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(WGRs)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(collectively,</w:t>
      </w:r>
      <w:r w:rsidR="001020DA">
        <w:rPr>
          <w:rFonts w:eastAsia="Calibri" w:cs="Arial"/>
        </w:rPr>
        <w:t xml:space="preserve"> </w:t>
      </w:r>
      <w:r w:rsidRPr="008E042F">
        <w:rPr>
          <w:rFonts w:eastAsia="Calibri" w:cs="Arial"/>
        </w:rPr>
        <w:t>IBRs/WGRs)</w:t>
      </w:r>
      <w:r>
        <w:rPr>
          <w:rFonts w:eastAsia="Calibri" w:cs="Arial"/>
        </w:rPr>
        <w:t>.</w:t>
      </w:r>
      <w:r w:rsidR="001020DA">
        <w:rPr>
          <w:rFonts w:eastAsia="Calibri" w:cs="Arial"/>
        </w:rPr>
        <w:t xml:space="preserve"> </w:t>
      </w:r>
    </w:p>
    <w:p w14:paraId="0A1B951D" w14:textId="77777777" w:rsidR="00F3275C" w:rsidRDefault="00F3275C" w:rsidP="00880A4F">
      <w:pPr>
        <w:pStyle w:val="NormalArial"/>
        <w:jc w:val="both"/>
        <w:rPr>
          <w:rFonts w:eastAsia="Calibri" w:cs="Arial"/>
        </w:rPr>
      </w:pPr>
    </w:p>
    <w:p w14:paraId="5F344270" w14:textId="6CED3A94" w:rsidR="00F3275C" w:rsidRDefault="004D6A7C" w:rsidP="00880A4F">
      <w:pPr>
        <w:pStyle w:val="NormalArial"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 xml:space="preserve">Joint Commenters do not oppose ERCOT’s most recent comments filed on August 16, 2024. </w:t>
      </w:r>
      <w:r w:rsidR="005A5F31">
        <w:rPr>
          <w:rFonts w:eastAsia="Calibri" w:cs="Arial"/>
        </w:rPr>
        <w:t>To</w:t>
      </w:r>
      <w:r w:rsidR="001020DA">
        <w:rPr>
          <w:rFonts w:eastAsia="Calibri" w:cs="Arial"/>
        </w:rPr>
        <w:t xml:space="preserve"> </w:t>
      </w:r>
      <w:r w:rsidR="005A5F31">
        <w:rPr>
          <w:rFonts w:eastAsia="Calibri" w:cs="Arial"/>
        </w:rPr>
        <w:t>that</w:t>
      </w:r>
      <w:r w:rsidR="001020DA">
        <w:rPr>
          <w:rFonts w:eastAsia="Calibri" w:cs="Arial"/>
        </w:rPr>
        <w:t xml:space="preserve"> </w:t>
      </w:r>
      <w:r w:rsidR="005A5F31">
        <w:rPr>
          <w:rFonts w:eastAsia="Calibri" w:cs="Arial"/>
        </w:rPr>
        <w:t>end,</w:t>
      </w:r>
      <w:r w:rsidR="001020DA">
        <w:rPr>
          <w:rFonts w:eastAsia="Calibri" w:cs="Arial"/>
        </w:rPr>
        <w:t xml:space="preserve"> </w:t>
      </w:r>
      <w:r w:rsidR="005A5F31">
        <w:rPr>
          <w:rFonts w:eastAsia="Calibri" w:cs="Arial"/>
        </w:rPr>
        <w:t>these</w:t>
      </w:r>
      <w:r w:rsidR="001020DA">
        <w:rPr>
          <w:rFonts w:eastAsia="Calibri" w:cs="Arial"/>
        </w:rPr>
        <w:t xml:space="preserve"> </w:t>
      </w:r>
      <w:r w:rsidR="005A5F31">
        <w:rPr>
          <w:rFonts w:eastAsia="Calibri" w:cs="Arial"/>
        </w:rPr>
        <w:t>comments</w:t>
      </w:r>
      <w:r w:rsidR="001020DA">
        <w:rPr>
          <w:rFonts w:eastAsia="Calibri" w:cs="Arial"/>
        </w:rPr>
        <w:t xml:space="preserve"> </w:t>
      </w:r>
      <w:r w:rsidR="005A5F31">
        <w:rPr>
          <w:rFonts w:eastAsia="Calibri" w:cs="Arial"/>
        </w:rPr>
        <w:t>are</w:t>
      </w:r>
      <w:r w:rsidR="001020DA">
        <w:rPr>
          <w:rFonts w:eastAsia="Calibri" w:cs="Arial"/>
        </w:rPr>
        <w:t xml:space="preserve"> </w:t>
      </w:r>
      <w:r w:rsidR="005A5F31">
        <w:rPr>
          <w:rFonts w:eastAsia="Calibri" w:cs="Arial"/>
        </w:rPr>
        <w:t>intended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to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memorialize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the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extensive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collaboration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between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Joint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Commenters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ERCOT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that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has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occurred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particularly since the Board</w:t>
      </w:r>
      <w:r w:rsidR="001F7A65">
        <w:rPr>
          <w:rFonts w:eastAsia="Calibri" w:cs="Arial"/>
        </w:rPr>
        <w:t>’s action to table NOGRR245 to allow for the</w:t>
      </w:r>
      <w:r w:rsidR="00F3275C">
        <w:rPr>
          <w:rFonts w:eastAsia="Calibri" w:cs="Arial"/>
        </w:rPr>
        <w:t xml:space="preserve"> bifurcat</w:t>
      </w:r>
      <w:r w:rsidR="001F7A65">
        <w:rPr>
          <w:rFonts w:eastAsia="Calibri" w:cs="Arial"/>
        </w:rPr>
        <w:t>ion</w:t>
      </w:r>
      <w:r w:rsidR="001020DA">
        <w:rPr>
          <w:rFonts w:eastAsia="Calibri" w:cs="Arial"/>
        </w:rPr>
        <w:t xml:space="preserve"> </w:t>
      </w:r>
      <w:r w:rsidR="001F7A65">
        <w:rPr>
          <w:rFonts w:eastAsia="Calibri" w:cs="Arial"/>
        </w:rPr>
        <w:t xml:space="preserve">of </w:t>
      </w:r>
      <w:r w:rsidR="00F3275C">
        <w:rPr>
          <w:rFonts w:eastAsia="Calibri" w:cs="Arial"/>
        </w:rPr>
        <w:t>the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hardware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modification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requirements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exemption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standards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and</w:t>
      </w:r>
      <w:r w:rsidR="001020DA">
        <w:rPr>
          <w:rFonts w:eastAsia="Calibri" w:cs="Arial"/>
        </w:rPr>
        <w:t xml:space="preserve"> </w:t>
      </w:r>
      <w:r w:rsidR="00D217C1">
        <w:rPr>
          <w:rFonts w:eastAsia="Calibri" w:cs="Arial"/>
        </w:rPr>
        <w:t>processes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into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a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subsequent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NOGRR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(</w:t>
      </w:r>
      <w:r w:rsidR="00F3275C" w:rsidRPr="00767C09">
        <w:rPr>
          <w:rFonts w:eastAsia="Calibri" w:cs="Arial"/>
          <w:i/>
          <w:iCs/>
        </w:rPr>
        <w:t>i.e.</w:t>
      </w:r>
      <w:r w:rsidR="00F3275C" w:rsidRPr="008E042F">
        <w:rPr>
          <w:rFonts w:eastAsia="Calibri" w:cs="Arial"/>
        </w:rPr>
        <w:t>,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Phase</w:t>
      </w:r>
      <w:r w:rsidR="001020DA">
        <w:rPr>
          <w:rFonts w:eastAsia="Calibri" w:cs="Arial"/>
        </w:rPr>
        <w:t xml:space="preserve"> </w:t>
      </w:r>
      <w:r w:rsidR="00F3275C" w:rsidRPr="008E042F">
        <w:rPr>
          <w:rFonts w:eastAsia="Calibri" w:cs="Arial"/>
        </w:rPr>
        <w:t>II)</w:t>
      </w:r>
      <w:r w:rsidR="001F7A65">
        <w:rPr>
          <w:rFonts w:eastAsia="Calibri" w:cs="Arial"/>
        </w:rPr>
        <w:t>, among other things</w:t>
      </w:r>
      <w:r w:rsidR="00F3275C" w:rsidRPr="008E042F">
        <w:rPr>
          <w:rFonts w:eastAsia="Calibri" w:cs="Arial"/>
        </w:rPr>
        <w:t>.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Additionally,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as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further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detailed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below,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Joint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Comment</w:t>
      </w:r>
      <w:r w:rsidR="00FF4E99">
        <w:rPr>
          <w:rFonts w:eastAsia="Calibri" w:cs="Arial"/>
        </w:rPr>
        <w:t>er</w:t>
      </w:r>
      <w:r w:rsidR="00F3275C">
        <w:rPr>
          <w:rFonts w:eastAsia="Calibri" w:cs="Arial"/>
        </w:rPr>
        <w:t>s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note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some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key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concerns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that</w:t>
      </w:r>
      <w:r w:rsidR="001020DA">
        <w:rPr>
          <w:rFonts w:eastAsia="Calibri" w:cs="Arial"/>
        </w:rPr>
        <w:t xml:space="preserve"> </w:t>
      </w:r>
      <w:r w:rsidR="00D217C1">
        <w:rPr>
          <w:rFonts w:eastAsia="Calibri" w:cs="Arial"/>
        </w:rPr>
        <w:t>carry</w:t>
      </w:r>
      <w:r w:rsidR="001020DA">
        <w:rPr>
          <w:rFonts w:eastAsia="Calibri" w:cs="Arial"/>
        </w:rPr>
        <w:t xml:space="preserve"> </w:t>
      </w:r>
      <w:r w:rsidR="00D217C1">
        <w:rPr>
          <w:rFonts w:eastAsia="Calibri" w:cs="Arial"/>
        </w:rPr>
        <w:t>significant</w:t>
      </w:r>
      <w:r w:rsidR="001020DA">
        <w:rPr>
          <w:rFonts w:eastAsia="Calibri" w:cs="Arial"/>
        </w:rPr>
        <w:t xml:space="preserve"> </w:t>
      </w:r>
      <w:r w:rsidR="00D217C1">
        <w:rPr>
          <w:rFonts w:eastAsia="Calibri" w:cs="Arial"/>
        </w:rPr>
        <w:t>impacts</w:t>
      </w:r>
      <w:r w:rsidR="001020DA">
        <w:rPr>
          <w:rFonts w:eastAsia="Calibri" w:cs="Arial"/>
        </w:rPr>
        <w:t xml:space="preserve"> </w:t>
      </w:r>
      <w:r w:rsidR="00D217C1">
        <w:rPr>
          <w:rFonts w:eastAsia="Calibri" w:cs="Arial"/>
        </w:rPr>
        <w:t>to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IBR</w:t>
      </w:r>
      <w:r w:rsidR="00D217C1">
        <w:rPr>
          <w:rFonts w:eastAsia="Calibri" w:cs="Arial"/>
        </w:rPr>
        <w:t>s</w:t>
      </w:r>
      <w:r w:rsidR="00F3275C">
        <w:rPr>
          <w:rFonts w:eastAsia="Calibri" w:cs="Arial"/>
        </w:rPr>
        <w:t>/WGR</w:t>
      </w:r>
      <w:r w:rsidR="00D217C1">
        <w:rPr>
          <w:rFonts w:eastAsia="Calibri" w:cs="Arial"/>
        </w:rPr>
        <w:t>s</w:t>
      </w:r>
      <w:r w:rsidR="00B32115">
        <w:rPr>
          <w:rFonts w:eastAsia="Calibri" w:cs="Arial"/>
        </w:rPr>
        <w:t xml:space="preserve"> as the development and implementation of new IBR/WGR ride through standards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continues, including with respect to the bifurcated Phase</w:t>
      </w:r>
      <w:r w:rsidR="001020DA">
        <w:rPr>
          <w:rFonts w:eastAsia="Calibri" w:cs="Arial"/>
        </w:rPr>
        <w:t xml:space="preserve"> </w:t>
      </w:r>
      <w:r w:rsidR="00F3275C">
        <w:rPr>
          <w:rFonts w:eastAsia="Calibri" w:cs="Arial"/>
        </w:rPr>
        <w:t>II.</w:t>
      </w:r>
    </w:p>
    <w:p w14:paraId="5DB34FA2" w14:textId="77777777" w:rsidR="00F3275C" w:rsidRDefault="00F3275C" w:rsidP="00880A4F">
      <w:pPr>
        <w:pStyle w:val="NormalArial"/>
        <w:jc w:val="both"/>
      </w:pPr>
    </w:p>
    <w:p w14:paraId="4B5A1AF3" w14:textId="5AC8B285" w:rsidR="00B32115" w:rsidRDefault="00B32115" w:rsidP="00880A4F">
      <w:pPr>
        <w:pStyle w:val="NormalArial"/>
        <w:jc w:val="both"/>
      </w:pPr>
      <w:r w:rsidRPr="00DD138B">
        <w:rPr>
          <w:b/>
          <w:bCs/>
          <w:i/>
          <w:iCs/>
        </w:rPr>
        <w:t>Joint Commenters</w:t>
      </w:r>
      <w:r w:rsidR="00F646A8">
        <w:rPr>
          <w:b/>
          <w:bCs/>
          <w:i/>
          <w:iCs/>
        </w:rPr>
        <w:t>’</w:t>
      </w:r>
      <w:r w:rsidRPr="00DD138B">
        <w:rPr>
          <w:b/>
          <w:bCs/>
          <w:i/>
          <w:iCs/>
        </w:rPr>
        <w:t xml:space="preserve"> Good Faith Efforts in Collaborating with ERCOT</w:t>
      </w:r>
    </w:p>
    <w:p w14:paraId="574B41F3" w14:textId="77777777" w:rsidR="00DD138B" w:rsidRDefault="00DD138B" w:rsidP="00880A4F">
      <w:pPr>
        <w:pStyle w:val="NormalArial"/>
        <w:jc w:val="both"/>
      </w:pPr>
    </w:p>
    <w:p w14:paraId="6F9EEBE5" w14:textId="63ED3E65" w:rsidR="00FF4E99" w:rsidRDefault="00FF4E99" w:rsidP="00880A4F">
      <w:pPr>
        <w:pStyle w:val="NormalArial"/>
        <w:jc w:val="both"/>
      </w:pPr>
      <w:r>
        <w:t>Over the last several months, ERCOT and Joint Commenters have collaborated on key issues regarding both new and existing</w:t>
      </w:r>
      <w:r w:rsidR="00B32115">
        <w:t xml:space="preserve"> IBR/WGR</w:t>
      </w:r>
      <w:r>
        <w:t xml:space="preserve"> Resources. We thank ERCOT for its leadership during this time and believe that a reasonable compromise has been obtained in this NOGRR. We look forward to working together with ERCOT </w:t>
      </w:r>
      <w:r w:rsidR="00372BA4">
        <w:t xml:space="preserve">and other interested stakeholders </w:t>
      </w:r>
      <w:r>
        <w:t xml:space="preserve">on future NOGRRs. </w:t>
      </w:r>
    </w:p>
    <w:p w14:paraId="04D70DE0" w14:textId="77777777" w:rsidR="00B32115" w:rsidRDefault="00B32115" w:rsidP="00880A4F">
      <w:pPr>
        <w:pStyle w:val="NormalArial"/>
        <w:jc w:val="both"/>
      </w:pPr>
    </w:p>
    <w:p w14:paraId="0EDAC89C" w14:textId="78455EEB" w:rsidR="00A45DC3" w:rsidRDefault="001020DA" w:rsidP="00880A4F">
      <w:pPr>
        <w:pStyle w:val="NormalArial"/>
        <w:jc w:val="both"/>
      </w:pPr>
      <w:r>
        <w:rPr>
          <w:b/>
          <w:bCs/>
          <w:i/>
          <w:iCs/>
        </w:rPr>
        <w:t xml:space="preserve">Timing for Reporting and Submitting Models </w:t>
      </w:r>
    </w:p>
    <w:p w14:paraId="3942DEDD" w14:textId="77777777" w:rsidR="001020DA" w:rsidRDefault="001020DA" w:rsidP="00880A4F">
      <w:pPr>
        <w:pStyle w:val="NormalArial"/>
        <w:jc w:val="both"/>
      </w:pPr>
    </w:p>
    <w:p w14:paraId="1472F8C9" w14:textId="1F7F81A2" w:rsidR="00F3275C" w:rsidRDefault="001020DA" w:rsidP="00880A4F">
      <w:pPr>
        <w:pStyle w:val="NormalArial"/>
        <w:jc w:val="both"/>
      </w:pPr>
      <w:r>
        <w:t>I</w:t>
      </w:r>
      <w:r w:rsidR="008814B3">
        <w:t>t</w:t>
      </w:r>
      <w:r>
        <w:t xml:space="preserve"> </w:t>
      </w:r>
      <w:r w:rsidR="00425B54">
        <w:t>will be</w:t>
      </w:r>
      <w:r w:rsidR="00E25587">
        <w:t xml:space="preserve"> </w:t>
      </w:r>
      <w:r w:rsidR="008814B3">
        <w:t>a</w:t>
      </w:r>
      <w:r>
        <w:t xml:space="preserve"> </w:t>
      </w:r>
      <w:r w:rsidR="008814B3">
        <w:t>significant</w:t>
      </w:r>
      <w:r>
        <w:t xml:space="preserve"> </w:t>
      </w:r>
      <w:r w:rsidR="008814B3">
        <w:t>undertaking</w:t>
      </w:r>
      <w:r>
        <w:t xml:space="preserve"> for IBRs/WGRs </w:t>
      </w:r>
      <w:r w:rsidR="008814B3">
        <w:t>to</w:t>
      </w:r>
      <w:r>
        <w:t xml:space="preserve"> </w:t>
      </w:r>
      <w:r w:rsidR="008814B3">
        <w:t>meet</w:t>
      </w:r>
      <w:r>
        <w:t xml:space="preserve"> </w:t>
      </w:r>
      <w:r w:rsidR="008814B3">
        <w:t>the</w:t>
      </w:r>
      <w:r>
        <w:t xml:space="preserve"> </w:t>
      </w:r>
      <w:r w:rsidR="008814B3">
        <w:t>April</w:t>
      </w:r>
      <w:r>
        <w:t xml:space="preserve"> </w:t>
      </w:r>
      <w:r w:rsidR="008814B3">
        <w:t>1,</w:t>
      </w:r>
      <w:r>
        <w:t xml:space="preserve"> </w:t>
      </w:r>
      <w:r w:rsidR="008814B3">
        <w:t>2025,</w:t>
      </w:r>
      <w:r>
        <w:t xml:space="preserve"> </w:t>
      </w:r>
      <w:r w:rsidR="008814B3">
        <w:t>deadline</w:t>
      </w:r>
      <w:r>
        <w:t xml:space="preserve"> </w:t>
      </w:r>
      <w:r w:rsidR="00B32115">
        <w:t xml:space="preserve">specified </w:t>
      </w:r>
      <w:r w:rsidR="008814B3">
        <w:t>in the NOGRR.</w:t>
      </w:r>
      <w:r>
        <w:t xml:space="preserve"> </w:t>
      </w:r>
      <w:r w:rsidR="00CE7A5B">
        <w:t>D</w:t>
      </w:r>
      <w:r w:rsidR="008814B3">
        <w:t>espite</w:t>
      </w:r>
      <w:r>
        <w:t xml:space="preserve"> </w:t>
      </w:r>
      <w:r w:rsidR="00192AFD">
        <w:t xml:space="preserve">their </w:t>
      </w:r>
      <w:r w:rsidR="008814B3">
        <w:t>best</w:t>
      </w:r>
      <w:r>
        <w:t xml:space="preserve"> </w:t>
      </w:r>
      <w:r w:rsidR="008814B3">
        <w:t>efforts</w:t>
      </w:r>
      <w:r>
        <w:t xml:space="preserve"> </w:t>
      </w:r>
      <w:r w:rsidR="008814B3">
        <w:t>to</w:t>
      </w:r>
      <w:r>
        <w:t xml:space="preserve"> </w:t>
      </w:r>
      <w:r w:rsidR="00192AFD">
        <w:t xml:space="preserve">ensure </w:t>
      </w:r>
      <w:r w:rsidR="00C16B3D">
        <w:t>models</w:t>
      </w:r>
      <w:r w:rsidR="00B32115">
        <w:t xml:space="preserve"> are updated</w:t>
      </w:r>
      <w:r w:rsidR="008814B3">
        <w:t>,</w:t>
      </w:r>
      <w:r>
        <w:t xml:space="preserve"> </w:t>
      </w:r>
      <w:r w:rsidR="00CE7A5B">
        <w:t>Resource</w:t>
      </w:r>
      <w:r>
        <w:t xml:space="preserve"> </w:t>
      </w:r>
      <w:r w:rsidR="008814B3">
        <w:t>owners</w:t>
      </w:r>
      <w:r>
        <w:t xml:space="preserve"> </w:t>
      </w:r>
      <w:r w:rsidR="00C16B3D">
        <w:t xml:space="preserve">do not have control </w:t>
      </w:r>
      <w:r w:rsidR="008814B3">
        <w:t>in</w:t>
      </w:r>
      <w:r>
        <w:t xml:space="preserve"> </w:t>
      </w:r>
      <w:r w:rsidR="008814B3">
        <w:t>timely</w:t>
      </w:r>
      <w:r>
        <w:t xml:space="preserve"> </w:t>
      </w:r>
      <w:r w:rsidR="008814B3">
        <w:t>obtaining</w:t>
      </w:r>
      <w:r>
        <w:t xml:space="preserve"> </w:t>
      </w:r>
      <w:r w:rsidR="008814B3">
        <w:t>all</w:t>
      </w:r>
      <w:r>
        <w:t xml:space="preserve"> </w:t>
      </w:r>
      <w:r w:rsidR="00346ED4">
        <w:t>services, data, and</w:t>
      </w:r>
      <w:r>
        <w:t xml:space="preserve"> </w:t>
      </w:r>
      <w:r w:rsidR="00B32115">
        <w:t xml:space="preserve">input </w:t>
      </w:r>
      <w:r w:rsidR="00CE7A5B">
        <w:t xml:space="preserve">from third-party </w:t>
      </w:r>
      <w:r w:rsidR="00563186">
        <w:t>Original Equipment Manufacturers (</w:t>
      </w:r>
      <w:r w:rsidR="00CE7A5B">
        <w:t>OEMs</w:t>
      </w:r>
      <w:r w:rsidR="00563186">
        <w:t>)</w:t>
      </w:r>
      <w:r w:rsidR="00346ED4">
        <w:t xml:space="preserve"> and external consultants needed in order to develop and complete an updated model</w:t>
      </w:r>
      <w:r w:rsidR="008814B3">
        <w:t>.</w:t>
      </w:r>
      <w:r w:rsidR="004975C8">
        <w:t xml:space="preserve"> </w:t>
      </w:r>
      <w:r w:rsidR="00702E56">
        <w:t xml:space="preserve"> The </w:t>
      </w:r>
      <w:r w:rsidR="00563186">
        <w:t xml:space="preserve">Joint Commenters </w:t>
      </w:r>
      <w:r w:rsidR="00732533">
        <w:t xml:space="preserve">will endeavor to work with ERCOT and third parties to accomplish the necessary modeling updates. </w:t>
      </w:r>
      <w:r w:rsidR="00DD138B">
        <w:t>Joint Commenters anticipate it may be</w:t>
      </w:r>
      <w:r w:rsidR="00702E56">
        <w:t xml:space="preserve"> necessary to </w:t>
      </w:r>
      <w:r w:rsidR="00563186">
        <w:t>consider</w:t>
      </w:r>
      <w:r w:rsidR="00626E8F">
        <w:t xml:space="preserve"> more</w:t>
      </w:r>
      <w:r>
        <w:t xml:space="preserve"> </w:t>
      </w:r>
      <w:r w:rsidR="00702E56">
        <w:t xml:space="preserve">specifications regarding </w:t>
      </w:r>
      <w:r w:rsidR="00346ED4">
        <w:t xml:space="preserve">updated </w:t>
      </w:r>
      <w:r w:rsidR="00702E56">
        <w:t xml:space="preserve">model </w:t>
      </w:r>
      <w:r w:rsidR="00F3275C">
        <w:t>s</w:t>
      </w:r>
      <w:r w:rsidR="00346ED4">
        <w:t>ubmissions</w:t>
      </w:r>
      <w:r>
        <w:t xml:space="preserve"> </w:t>
      </w:r>
      <w:r w:rsidR="00702E56">
        <w:t xml:space="preserve">in </w:t>
      </w:r>
      <w:r w:rsidR="00626E8F">
        <w:t>Phase II</w:t>
      </w:r>
      <w:r w:rsidR="00F3275C">
        <w:t>.</w:t>
      </w:r>
    </w:p>
    <w:p w14:paraId="69C7A44A" w14:textId="77777777" w:rsidR="001E3F13" w:rsidRDefault="001E3F13" w:rsidP="00880A4F">
      <w:pPr>
        <w:pStyle w:val="NormalArial"/>
        <w:jc w:val="both"/>
      </w:pPr>
    </w:p>
    <w:p w14:paraId="2AF68F5D" w14:textId="73E2F47E" w:rsidR="001E3F13" w:rsidRPr="00DD138B" w:rsidRDefault="001E3F13" w:rsidP="00880A4F">
      <w:pPr>
        <w:pStyle w:val="NormalArial"/>
        <w:jc w:val="both"/>
        <w:rPr>
          <w:b/>
          <w:i/>
        </w:rPr>
      </w:pPr>
      <w:r w:rsidRPr="00DD138B">
        <w:rPr>
          <w:b/>
          <w:i/>
        </w:rPr>
        <w:t>Transient</w:t>
      </w:r>
      <w:r w:rsidR="001020DA" w:rsidRPr="00DD138B">
        <w:rPr>
          <w:b/>
          <w:i/>
        </w:rPr>
        <w:t xml:space="preserve"> </w:t>
      </w:r>
      <w:r w:rsidRPr="00DD138B">
        <w:rPr>
          <w:b/>
          <w:i/>
        </w:rPr>
        <w:t>Overvoltage</w:t>
      </w:r>
      <w:r w:rsidR="001020DA" w:rsidRPr="00DD138B">
        <w:rPr>
          <w:b/>
          <w:i/>
        </w:rPr>
        <w:t xml:space="preserve"> </w:t>
      </w:r>
      <w:r w:rsidRPr="00DD138B">
        <w:rPr>
          <w:b/>
          <w:i/>
        </w:rPr>
        <w:t>Requirements</w:t>
      </w:r>
      <w:r w:rsidR="001020DA" w:rsidRPr="00DD138B">
        <w:rPr>
          <w:b/>
          <w:i/>
        </w:rPr>
        <w:t xml:space="preserve"> </w:t>
      </w:r>
      <w:r w:rsidR="00E64223" w:rsidRPr="00E64223">
        <w:rPr>
          <w:b/>
          <w:bCs/>
          <w:i/>
          <w:iCs/>
        </w:rPr>
        <w:t>Could Damage Equipment</w:t>
      </w:r>
    </w:p>
    <w:p w14:paraId="4FE6AC84" w14:textId="77777777" w:rsidR="001E3F13" w:rsidRDefault="001E3F13" w:rsidP="00880A4F">
      <w:pPr>
        <w:pStyle w:val="NormalArial"/>
        <w:jc w:val="both"/>
      </w:pPr>
    </w:p>
    <w:p w14:paraId="5F75139A" w14:textId="414F810B" w:rsidR="001E3F13" w:rsidRDefault="00346ED4" w:rsidP="00880A4F">
      <w:pPr>
        <w:pStyle w:val="NormalArial"/>
        <w:jc w:val="both"/>
      </w:pPr>
      <w:r>
        <w:t xml:space="preserve">Additionally, </w:t>
      </w:r>
      <w:r w:rsidR="001E3F13">
        <w:t>OEMs</w:t>
      </w:r>
      <w:r w:rsidR="001020DA">
        <w:t xml:space="preserve"> </w:t>
      </w:r>
      <w:r w:rsidR="001E3F13">
        <w:t>have</w:t>
      </w:r>
      <w:r w:rsidR="001020DA">
        <w:t xml:space="preserve"> </w:t>
      </w:r>
      <w:r w:rsidR="00E64223">
        <w:t>indicated that</w:t>
      </w:r>
      <w:r w:rsidR="001020DA">
        <w:t xml:space="preserve"> </w:t>
      </w:r>
      <w:r w:rsidR="00E64223">
        <w:t>the</w:t>
      </w:r>
      <w:r w:rsidR="001020DA">
        <w:t xml:space="preserve"> </w:t>
      </w:r>
      <w:r w:rsidR="001E3F13">
        <w:t>transient</w:t>
      </w:r>
      <w:r w:rsidR="001020DA">
        <w:t xml:space="preserve"> </w:t>
      </w:r>
      <w:r w:rsidR="001E3F13">
        <w:t>overvoltage</w:t>
      </w:r>
      <w:r w:rsidR="001020DA">
        <w:t xml:space="preserve"> </w:t>
      </w:r>
      <w:r w:rsidR="001E3F13">
        <w:t>protection</w:t>
      </w:r>
      <w:r w:rsidR="001020DA">
        <w:t xml:space="preserve"> </w:t>
      </w:r>
      <w:r w:rsidR="001E3F13">
        <w:t>requirement</w:t>
      </w:r>
      <w:r w:rsidR="00E64223">
        <w:t xml:space="preserve"> in NOGRR245</w:t>
      </w:r>
      <w:r w:rsidR="001E3F13">
        <w:t>,</w:t>
      </w:r>
      <w:r w:rsidR="001020DA">
        <w:t xml:space="preserve"> </w:t>
      </w:r>
      <w:r w:rsidR="001E3F13">
        <w:t>which</w:t>
      </w:r>
      <w:r w:rsidR="001020DA">
        <w:t xml:space="preserve"> </w:t>
      </w:r>
      <w:r w:rsidR="009B1067">
        <w:t xml:space="preserve">could be construed as being </w:t>
      </w:r>
      <w:r w:rsidR="001E3F13">
        <w:t>at</w:t>
      </w:r>
      <w:r w:rsidR="001020DA">
        <w:t xml:space="preserve"> </w:t>
      </w:r>
      <w:r w:rsidR="001E3F13">
        <w:t>the</w:t>
      </w:r>
      <w:r w:rsidR="001020DA">
        <w:t xml:space="preserve"> </w:t>
      </w:r>
      <w:r w:rsidR="001E3F13">
        <w:t>inverter/turbine</w:t>
      </w:r>
      <w:r w:rsidR="001020DA">
        <w:t xml:space="preserve"> </w:t>
      </w:r>
      <w:r w:rsidR="001E3F13">
        <w:t>level</w:t>
      </w:r>
      <w:r w:rsidR="001020DA">
        <w:t xml:space="preserve"> </w:t>
      </w:r>
      <w:r w:rsidR="001E3F13">
        <w:t>(as</w:t>
      </w:r>
      <w:r w:rsidR="001020DA">
        <w:t xml:space="preserve"> </w:t>
      </w:r>
      <w:r w:rsidR="001E3F13">
        <w:t>opposed</w:t>
      </w:r>
      <w:r w:rsidR="001020DA">
        <w:t xml:space="preserve"> </w:t>
      </w:r>
      <w:r w:rsidR="001E3F13">
        <w:t>to</w:t>
      </w:r>
      <w:r w:rsidR="001020DA">
        <w:t xml:space="preserve"> </w:t>
      </w:r>
      <w:r w:rsidR="001E3F13">
        <w:t>plant</w:t>
      </w:r>
      <w:r w:rsidR="001020DA">
        <w:t xml:space="preserve"> </w:t>
      </w:r>
      <w:r w:rsidR="001E3F13">
        <w:t>level),</w:t>
      </w:r>
      <w:r w:rsidR="001020DA">
        <w:t xml:space="preserve"> </w:t>
      </w:r>
      <w:r w:rsidR="009B1067">
        <w:t>could</w:t>
      </w:r>
      <w:r w:rsidR="001020DA">
        <w:t xml:space="preserve"> </w:t>
      </w:r>
      <w:r w:rsidR="001E3F13">
        <w:t>result</w:t>
      </w:r>
      <w:r w:rsidR="001020DA">
        <w:t xml:space="preserve"> </w:t>
      </w:r>
      <w:r w:rsidR="001E3F13">
        <w:t>in</w:t>
      </w:r>
      <w:r w:rsidR="001020DA">
        <w:t xml:space="preserve"> </w:t>
      </w:r>
      <w:r w:rsidR="001E3F13">
        <w:t>equipment</w:t>
      </w:r>
      <w:r w:rsidR="001020DA">
        <w:t xml:space="preserve"> </w:t>
      </w:r>
      <w:r w:rsidR="001E3F13">
        <w:t>damage.</w:t>
      </w:r>
      <w:r w:rsidR="001020DA">
        <w:t xml:space="preserve"> </w:t>
      </w:r>
      <w:r w:rsidR="009B1067">
        <w:t xml:space="preserve">To the extent this language is </w:t>
      </w:r>
      <w:r w:rsidR="00994DE2">
        <w:t>determined</w:t>
      </w:r>
      <w:r w:rsidR="009B1067">
        <w:t xml:space="preserve"> to apply </w:t>
      </w:r>
      <w:r w:rsidR="001E3F13">
        <w:t>at</w:t>
      </w:r>
      <w:r w:rsidR="001020DA">
        <w:t xml:space="preserve"> </w:t>
      </w:r>
      <w:r w:rsidR="001E3F13">
        <w:t>the</w:t>
      </w:r>
      <w:r w:rsidR="001020DA">
        <w:t xml:space="preserve"> </w:t>
      </w:r>
      <w:r w:rsidR="001E3F13">
        <w:t>inverter</w:t>
      </w:r>
      <w:r w:rsidR="001020DA">
        <w:t xml:space="preserve"> </w:t>
      </w:r>
      <w:r w:rsidR="001E3F13">
        <w:t>level</w:t>
      </w:r>
      <w:r w:rsidR="001020DA">
        <w:t xml:space="preserve"> </w:t>
      </w:r>
      <w:r w:rsidR="009B1067">
        <w:t>for some resources</w:t>
      </w:r>
      <w:r w:rsidR="00DD138B">
        <w:t xml:space="preserve"> it</w:t>
      </w:r>
      <w:r w:rsidR="009B1067">
        <w:t xml:space="preserve"> </w:t>
      </w:r>
      <w:r w:rsidR="001E3F13">
        <w:t>differs</w:t>
      </w:r>
      <w:r w:rsidR="001020DA">
        <w:t xml:space="preserve"> </w:t>
      </w:r>
      <w:r w:rsidR="001E3F13">
        <w:t>from</w:t>
      </w:r>
      <w:r w:rsidR="001020DA">
        <w:t xml:space="preserve"> </w:t>
      </w:r>
      <w:r w:rsidR="001E3F13">
        <w:t>the</w:t>
      </w:r>
      <w:r w:rsidR="001020DA">
        <w:t xml:space="preserve"> </w:t>
      </w:r>
      <w:r w:rsidR="001E3F13">
        <w:t>IEEE</w:t>
      </w:r>
      <w:r w:rsidR="001020DA">
        <w:t xml:space="preserve"> </w:t>
      </w:r>
      <w:r w:rsidR="001E3F13">
        <w:t>2800</w:t>
      </w:r>
      <w:r w:rsidR="001020DA">
        <w:t xml:space="preserve"> </w:t>
      </w:r>
      <w:r w:rsidR="001E3F13">
        <w:t>standards</w:t>
      </w:r>
      <w:r w:rsidR="00DD138B">
        <w:t xml:space="preserve"> </w:t>
      </w:r>
      <w:r>
        <w:t xml:space="preserve">and/or </w:t>
      </w:r>
      <w:r w:rsidR="00107B5D">
        <w:t>conflict</w:t>
      </w:r>
      <w:r>
        <w:t>s with</w:t>
      </w:r>
      <w:r w:rsidR="001020DA">
        <w:t xml:space="preserve"> </w:t>
      </w:r>
      <w:r w:rsidR="001E3F13">
        <w:t>PUC</w:t>
      </w:r>
      <w:r w:rsidR="001020DA">
        <w:t xml:space="preserve"> </w:t>
      </w:r>
      <w:r w:rsidR="001E3F13">
        <w:t>Subst.</w:t>
      </w:r>
      <w:r w:rsidR="001020DA">
        <w:t xml:space="preserve"> </w:t>
      </w:r>
      <w:r w:rsidR="001E3F13">
        <w:t>R.</w:t>
      </w:r>
      <w:r w:rsidR="001020DA">
        <w:t xml:space="preserve"> </w:t>
      </w:r>
      <w:r w:rsidR="001E3F13">
        <w:t>§</w:t>
      </w:r>
      <w:r w:rsidR="001020DA">
        <w:t xml:space="preserve"> </w:t>
      </w:r>
      <w:r w:rsidR="001E3F13">
        <w:t>25.503(f)(2)(C)</w:t>
      </w:r>
      <w:r w:rsidR="00DD138B">
        <w:t>. T</w:t>
      </w:r>
      <w:r>
        <w:t>hese specifications</w:t>
      </w:r>
      <w:r w:rsidR="00107B5D">
        <w:t xml:space="preserve"> </w:t>
      </w:r>
      <w:r w:rsidR="009B1067">
        <w:t xml:space="preserve">may need to </w:t>
      </w:r>
      <w:r w:rsidR="00107B5D">
        <w:t>be reconsidered in Phase II.</w:t>
      </w:r>
    </w:p>
    <w:p w14:paraId="297DD802" w14:textId="77777777" w:rsidR="001E3F13" w:rsidRDefault="001E3F13" w:rsidP="00880A4F">
      <w:pPr>
        <w:pStyle w:val="NormalArial"/>
        <w:jc w:val="both"/>
      </w:pPr>
    </w:p>
    <w:p w14:paraId="0EF52026" w14:textId="079F48D0" w:rsidR="00C46F27" w:rsidRPr="00DD138B" w:rsidRDefault="00C46F27" w:rsidP="00880A4F">
      <w:pPr>
        <w:pStyle w:val="NormalArial"/>
        <w:spacing w:line="256" w:lineRule="auto"/>
        <w:jc w:val="both"/>
        <w:rPr>
          <w:b/>
          <w:bCs/>
          <w:i/>
          <w:iCs/>
        </w:rPr>
      </w:pPr>
      <w:r w:rsidRPr="00DD138B">
        <w:rPr>
          <w:b/>
          <w:bCs/>
          <w:i/>
          <w:iCs/>
        </w:rPr>
        <w:t xml:space="preserve">Resource Entity’s Officers </w:t>
      </w:r>
      <w:r w:rsidR="00F646A8">
        <w:rPr>
          <w:b/>
          <w:bCs/>
          <w:i/>
          <w:iCs/>
        </w:rPr>
        <w:t>o</w:t>
      </w:r>
      <w:r w:rsidR="00F646A8" w:rsidRPr="00DD138B">
        <w:rPr>
          <w:b/>
          <w:bCs/>
          <w:i/>
          <w:iCs/>
        </w:rPr>
        <w:t xml:space="preserve">r </w:t>
      </w:r>
      <w:r w:rsidRPr="00DD138B">
        <w:rPr>
          <w:b/>
          <w:bCs/>
          <w:i/>
          <w:iCs/>
        </w:rPr>
        <w:t xml:space="preserve">Executives </w:t>
      </w:r>
      <w:r w:rsidR="00F646A8" w:rsidRPr="00DD138B">
        <w:rPr>
          <w:b/>
          <w:bCs/>
          <w:i/>
          <w:iCs/>
        </w:rPr>
        <w:t xml:space="preserve">Will Be Able </w:t>
      </w:r>
      <w:r w:rsidR="00F646A8">
        <w:rPr>
          <w:b/>
          <w:bCs/>
          <w:i/>
          <w:iCs/>
        </w:rPr>
        <w:t>t</w:t>
      </w:r>
      <w:r w:rsidR="00F646A8" w:rsidRPr="00DD138B">
        <w:rPr>
          <w:b/>
          <w:bCs/>
          <w:i/>
          <w:iCs/>
        </w:rPr>
        <w:t>o Provide Necessary Attestations</w:t>
      </w:r>
    </w:p>
    <w:p w14:paraId="2978398B" w14:textId="77777777" w:rsidR="00C46F27" w:rsidRDefault="00C46F27" w:rsidP="00880A4F">
      <w:pPr>
        <w:ind w:left="360"/>
        <w:jc w:val="both"/>
        <w:rPr>
          <w:rFonts w:ascii="Arial" w:hAnsi="Arial" w:cs="Arial"/>
        </w:rPr>
      </w:pPr>
    </w:p>
    <w:p w14:paraId="00DE542D" w14:textId="380DCF50" w:rsidR="00C46F27" w:rsidRPr="00C46F27" w:rsidRDefault="00C46F27" w:rsidP="00880A4F">
      <w:pPr>
        <w:jc w:val="both"/>
        <w:rPr>
          <w:sz w:val="22"/>
          <w:szCs w:val="22"/>
        </w:rPr>
      </w:pPr>
      <w:r w:rsidRPr="00DD138B">
        <w:rPr>
          <w:rFonts w:ascii="Arial" w:hAnsi="Arial" w:cs="Arial"/>
        </w:rPr>
        <w:t xml:space="preserve">Joint Commenters will use best efforts to obtain </w:t>
      </w:r>
      <w:r w:rsidR="004225E2">
        <w:rPr>
          <w:rFonts w:ascii="Arial" w:hAnsi="Arial" w:cs="Arial"/>
        </w:rPr>
        <w:t xml:space="preserve">OEM and/or engineering consultant </w:t>
      </w:r>
      <w:r w:rsidRPr="00DD138B">
        <w:rPr>
          <w:rFonts w:ascii="Arial" w:hAnsi="Arial" w:cs="Arial"/>
        </w:rPr>
        <w:t xml:space="preserve">attestations and appreciate ERCOT’s inclusion of language that allows a Resource Entity to attest to its Resource’s equipment capabilities if it is unable to obtain a third-party attestation. Resource Entities, as Market Participants bound by ERCOT Protocols and PUCT rules, are in the best position to attest to the VRT and FRT capabilities of their </w:t>
      </w:r>
      <w:r w:rsidRPr="00DD138B">
        <w:rPr>
          <w:rFonts w:ascii="Arial" w:hAnsi="Arial" w:cs="Arial"/>
        </w:rPr>
        <w:lastRenderedPageBreak/>
        <w:t>Resources. Requiring attestations from non-Market Participants contravene</w:t>
      </w:r>
      <w:r w:rsidR="0037566B">
        <w:rPr>
          <w:rFonts w:ascii="Arial" w:hAnsi="Arial" w:cs="Arial"/>
        </w:rPr>
        <w:t>s</w:t>
      </w:r>
      <w:r w:rsidRPr="00DD138B">
        <w:rPr>
          <w:rFonts w:ascii="Arial" w:hAnsi="Arial" w:cs="Arial"/>
        </w:rPr>
        <w:t xml:space="preserve"> extensive precedent in the ERCOT Protocols and PUCT Substantive Rules.</w:t>
      </w:r>
    </w:p>
    <w:p w14:paraId="3A4A11CF" w14:textId="77777777" w:rsidR="00C46F27" w:rsidRPr="00692A3C" w:rsidRDefault="00C46F27" w:rsidP="00880A4F">
      <w:pPr>
        <w:pStyle w:val="NormalArial"/>
        <w:spacing w:line="256" w:lineRule="auto"/>
        <w:ind w:left="720"/>
        <w:jc w:val="both"/>
        <w:rPr>
          <w:i/>
          <w:iCs/>
        </w:rPr>
      </w:pPr>
    </w:p>
    <w:p w14:paraId="1A32DF26" w14:textId="62DCFE53" w:rsidR="00F3275C" w:rsidRDefault="001E3F13" w:rsidP="00880A4F">
      <w:pPr>
        <w:pStyle w:val="NormalArial"/>
        <w:jc w:val="center"/>
      </w:pPr>
      <w:r>
        <w:t>*</w:t>
      </w:r>
      <w:r w:rsidR="001020DA">
        <w:t xml:space="preserve"> </w:t>
      </w:r>
      <w:r>
        <w:t>*</w:t>
      </w:r>
      <w:r w:rsidR="001020DA">
        <w:t xml:space="preserve"> </w:t>
      </w:r>
      <w:r>
        <w:t>*</w:t>
      </w:r>
    </w:p>
    <w:p w14:paraId="2CA76390" w14:textId="77777777" w:rsidR="001E3F13" w:rsidRDefault="001E3F13" w:rsidP="00880A4F">
      <w:pPr>
        <w:pStyle w:val="NormalArial"/>
        <w:jc w:val="both"/>
      </w:pPr>
    </w:p>
    <w:p w14:paraId="2CA34BFA" w14:textId="1F62D11A" w:rsidR="00F3275C" w:rsidRDefault="00346ED4" w:rsidP="00BC4E2E">
      <w:pPr>
        <w:pStyle w:val="NormalArial"/>
        <w:jc w:val="both"/>
      </w:pPr>
      <w:r>
        <w:t xml:space="preserve">In conclusion, </w:t>
      </w:r>
      <w:r w:rsidR="00F3275C">
        <w:t>Joint</w:t>
      </w:r>
      <w:r w:rsidR="001020DA">
        <w:t xml:space="preserve"> </w:t>
      </w:r>
      <w:r w:rsidR="00F3275C">
        <w:t>Commenters</w:t>
      </w:r>
      <w:r w:rsidR="001020DA">
        <w:t xml:space="preserve"> </w:t>
      </w:r>
      <w:r w:rsidR="00F3275C">
        <w:t>appreciate</w:t>
      </w:r>
      <w:r w:rsidR="001020DA">
        <w:t xml:space="preserve"> </w:t>
      </w:r>
      <w:r w:rsidR="00F3275C">
        <w:t>the</w:t>
      </w:r>
      <w:r w:rsidR="001020DA">
        <w:t xml:space="preserve"> </w:t>
      </w:r>
      <w:r w:rsidR="00F3275C">
        <w:t>collaborative</w:t>
      </w:r>
      <w:r w:rsidR="001020DA">
        <w:t xml:space="preserve"> </w:t>
      </w:r>
      <w:r w:rsidR="00F3275C">
        <w:t>efforts</w:t>
      </w:r>
      <w:r w:rsidR="001020DA">
        <w:t xml:space="preserve"> </w:t>
      </w:r>
      <w:r w:rsidR="00E43800">
        <w:t>with</w:t>
      </w:r>
      <w:r w:rsidR="001020DA">
        <w:t xml:space="preserve"> </w:t>
      </w:r>
      <w:r w:rsidR="00F3275C">
        <w:t>ERCOT</w:t>
      </w:r>
      <w:r>
        <w:t xml:space="preserve"> on new IBR/WGR ride through standards</w:t>
      </w:r>
      <w:r w:rsidR="001020DA">
        <w:t xml:space="preserve"> </w:t>
      </w:r>
      <w:r w:rsidR="00F3275C">
        <w:t>and</w:t>
      </w:r>
      <w:r w:rsidR="001020DA">
        <w:t xml:space="preserve"> </w:t>
      </w:r>
      <w:r w:rsidR="00E43800">
        <w:t xml:space="preserve">look forward to continuing the work </w:t>
      </w:r>
      <w:r w:rsidR="00880A4F">
        <w:t>i</w:t>
      </w:r>
      <w:r w:rsidR="00753FC0">
        <w:t>n</w:t>
      </w:r>
      <w:r w:rsidR="00E43800">
        <w:t xml:space="preserve"> Phase II</w:t>
      </w:r>
      <w:r w:rsidR="00F3275C">
        <w:t>.</w:t>
      </w:r>
    </w:p>
    <w:p w14:paraId="0FA6864C" w14:textId="77777777" w:rsidR="00F3275C" w:rsidRDefault="00F3275C" w:rsidP="00880A4F">
      <w:pPr>
        <w:pStyle w:val="NormalArial"/>
        <w:jc w:val="both"/>
      </w:pPr>
    </w:p>
    <w:p w14:paraId="3B60693C" w14:textId="77777777" w:rsidR="003F0BC5" w:rsidRPr="003F0BC5" w:rsidRDefault="003F0BC5" w:rsidP="003F0BC5">
      <w:pPr>
        <w:pStyle w:val="NormalArial"/>
        <w:jc w:val="both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5033848C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B1E88E" w14:textId="15D1ABA7" w:rsidR="0055032D" w:rsidRDefault="0055032D" w:rsidP="004D37D7">
            <w:pPr>
              <w:pStyle w:val="Header"/>
              <w:jc w:val="center"/>
            </w:pPr>
            <w:r>
              <w:t>Revised</w:t>
            </w:r>
            <w:r w:rsidR="001020DA">
              <w:t xml:space="preserve"> </w:t>
            </w:r>
            <w:r>
              <w:t>Cover</w:t>
            </w:r>
            <w:r w:rsidR="001020DA">
              <w:t xml:space="preserve"> </w:t>
            </w:r>
            <w:r>
              <w:t>Page</w:t>
            </w:r>
            <w:r w:rsidR="001020DA">
              <w:t xml:space="preserve"> </w:t>
            </w:r>
            <w:r>
              <w:t>Language</w:t>
            </w:r>
          </w:p>
        </w:tc>
      </w:tr>
    </w:tbl>
    <w:p w14:paraId="7BEF68BE" w14:textId="4D6ADE84" w:rsidR="00152993" w:rsidRPr="00987542" w:rsidRDefault="008A58B7" w:rsidP="008A58B7">
      <w:pPr>
        <w:pStyle w:val="BodyText"/>
        <w:spacing w:after="240"/>
        <w:jc w:val="both"/>
        <w:rPr>
          <w:bCs/>
        </w:rPr>
      </w:pPr>
      <w:r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895178A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924606" w14:textId="26256175" w:rsidR="00152993" w:rsidRDefault="00152993">
            <w:pPr>
              <w:pStyle w:val="Header"/>
              <w:jc w:val="center"/>
            </w:pPr>
            <w:r>
              <w:t>Revised</w:t>
            </w:r>
            <w:r w:rsidR="001020DA">
              <w:t xml:space="preserve"> </w:t>
            </w:r>
            <w:r>
              <w:t>Proposed</w:t>
            </w:r>
            <w:r w:rsidR="001020DA">
              <w:t xml:space="preserve"> </w:t>
            </w:r>
            <w:r w:rsidR="00C158EE">
              <w:t>Guide</w:t>
            </w:r>
            <w:r w:rsidR="001020DA">
              <w:t xml:space="preserve"> </w:t>
            </w:r>
            <w:r>
              <w:t>Language</w:t>
            </w:r>
          </w:p>
        </w:tc>
      </w:tr>
    </w:tbl>
    <w:p w14:paraId="1AB4EE4A" w14:textId="1A7BF621" w:rsidR="00152993" w:rsidRDefault="008A58B7" w:rsidP="00987542">
      <w:pPr>
        <w:pStyle w:val="BodyText"/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2A26489A" w14:textId="77777777" w:rsidR="00987542" w:rsidRDefault="00987542" w:rsidP="00987542">
      <w:pPr>
        <w:pStyle w:val="BodyText"/>
        <w:spacing w:after="240"/>
        <w:jc w:val="both"/>
        <w:rPr>
          <w:rFonts w:ascii="Arial" w:hAnsi="Arial" w:cs="Arial"/>
          <w:bCs/>
        </w:rPr>
      </w:pPr>
    </w:p>
    <w:p w14:paraId="19BC0CDF" w14:textId="77777777" w:rsidR="00987542" w:rsidRPr="00987542" w:rsidRDefault="00987542" w:rsidP="00987542">
      <w:pPr>
        <w:pStyle w:val="BodyText"/>
        <w:spacing w:after="240"/>
        <w:jc w:val="both"/>
        <w:rPr>
          <w:bCs/>
        </w:rPr>
      </w:pPr>
    </w:p>
    <w:sectPr w:rsidR="00987542" w:rsidRPr="00987542" w:rsidSect="0074209E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1CBA" w14:textId="77777777" w:rsidR="00153D0C" w:rsidRDefault="00153D0C">
      <w:r>
        <w:separator/>
      </w:r>
    </w:p>
  </w:endnote>
  <w:endnote w:type="continuationSeparator" w:id="0">
    <w:p w14:paraId="3E80CD4D" w14:textId="77777777" w:rsidR="00153D0C" w:rsidRDefault="00153D0C">
      <w:r>
        <w:continuationSeparator/>
      </w:r>
    </w:p>
  </w:endnote>
  <w:endnote w:type="continuationNotice" w:id="1">
    <w:p w14:paraId="2F50A7F1" w14:textId="77777777" w:rsidR="00153D0C" w:rsidRDefault="00153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E770" w14:textId="5D19792A" w:rsidR="003D0994" w:rsidRDefault="0047472E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</w:t>
    </w:r>
    <w:r w:rsidR="007F4D61">
      <w:rPr>
        <w:rFonts w:ascii="Arial" w:hAnsi="Arial"/>
        <w:sz w:val="18"/>
      </w:rPr>
      <w:fldChar w:fldCharType="begin"/>
    </w:r>
    <w:r w:rsidR="007F4D61">
      <w:rPr>
        <w:rFonts w:ascii="Arial" w:hAnsi="Arial"/>
        <w:sz w:val="18"/>
      </w:rPr>
      <w:instrText xml:space="preserve"> FILENAME   \* MERGEFORMAT </w:instrText>
    </w:r>
    <w:r w:rsidR="007F4D6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NOGRR</w:t>
    </w:r>
    <w:r>
      <w:rPr>
        <w:rFonts w:ascii="Arial" w:hAnsi="Arial"/>
        <w:noProof/>
        <w:sz w:val="18"/>
      </w:rPr>
      <w:t>-</w:t>
    </w:r>
    <w:r w:rsidR="008A58B7">
      <w:rPr>
        <w:rFonts w:ascii="Arial" w:hAnsi="Arial"/>
        <w:noProof/>
        <w:sz w:val="18"/>
      </w:rPr>
      <w:t xml:space="preserve">109 </w:t>
    </w:r>
    <w:r>
      <w:rPr>
        <w:rFonts w:ascii="Arial" w:hAnsi="Arial"/>
        <w:noProof/>
        <w:sz w:val="18"/>
      </w:rPr>
      <w:t>Joint</w:t>
    </w:r>
    <w:r w:rsidR="001020DA">
      <w:rPr>
        <w:rFonts w:ascii="Arial" w:hAnsi="Arial"/>
        <w:noProof/>
        <w:sz w:val="18"/>
      </w:rPr>
      <w:t xml:space="preserve"> </w:t>
    </w:r>
    <w:r>
      <w:rPr>
        <w:rFonts w:ascii="Arial" w:hAnsi="Arial"/>
        <w:noProof/>
        <w:sz w:val="18"/>
      </w:rPr>
      <w:t>Commenters</w:t>
    </w:r>
    <w:r w:rsidR="001020DA">
      <w:rPr>
        <w:rFonts w:ascii="Arial" w:hAnsi="Arial"/>
        <w:noProof/>
        <w:sz w:val="18"/>
      </w:rPr>
      <w:t xml:space="preserve"> </w:t>
    </w:r>
    <w:r w:rsidR="008A58B7">
      <w:rPr>
        <w:rFonts w:ascii="Arial" w:hAnsi="Arial"/>
        <w:noProof/>
        <w:sz w:val="18"/>
      </w:rPr>
      <w:t xml:space="preserve">2 </w:t>
    </w:r>
    <w:r>
      <w:rPr>
        <w:rFonts w:ascii="Arial" w:hAnsi="Arial"/>
        <w:noProof/>
        <w:sz w:val="18"/>
      </w:rPr>
      <w:t>Comments</w:t>
    </w:r>
    <w:r w:rsidR="007F4D61">
      <w:rPr>
        <w:rFonts w:ascii="Arial" w:hAnsi="Arial"/>
        <w:sz w:val="18"/>
      </w:rPr>
      <w:fldChar w:fldCharType="end"/>
    </w:r>
    <w:r w:rsidR="001020DA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081624</w:t>
    </w:r>
    <w:r w:rsidR="003D0994">
      <w:rPr>
        <w:rFonts w:ascii="Arial" w:hAnsi="Arial"/>
        <w:sz w:val="18"/>
      </w:rPr>
      <w:tab/>
      <w:t>Page</w:t>
    </w:r>
    <w:r w:rsidR="001020DA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53FC0">
      <w:rPr>
        <w:rFonts w:ascii="Arial" w:hAnsi="Arial"/>
        <w:noProof/>
        <w:sz w:val="18"/>
      </w:rPr>
      <w:t>3</w:t>
    </w:r>
    <w:r w:rsidR="003D0994">
      <w:rPr>
        <w:rFonts w:ascii="Arial" w:hAnsi="Arial"/>
        <w:sz w:val="18"/>
      </w:rPr>
      <w:fldChar w:fldCharType="end"/>
    </w:r>
    <w:r w:rsidR="001020DA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>of</w:t>
    </w:r>
    <w:r w:rsidR="001020DA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53FC0">
      <w:rPr>
        <w:rFonts w:ascii="Arial" w:hAnsi="Arial"/>
        <w:noProof/>
        <w:sz w:val="18"/>
      </w:rPr>
      <w:t>3</w:t>
    </w:r>
    <w:r w:rsidR="003D0994">
      <w:rPr>
        <w:rFonts w:ascii="Arial" w:hAnsi="Arial"/>
        <w:sz w:val="18"/>
      </w:rPr>
      <w:fldChar w:fldCharType="end"/>
    </w:r>
  </w:p>
  <w:p w14:paraId="2FBE8C07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7CD1" w14:textId="77777777" w:rsidR="00153D0C" w:rsidRDefault="00153D0C">
      <w:r>
        <w:separator/>
      </w:r>
    </w:p>
  </w:footnote>
  <w:footnote w:type="continuationSeparator" w:id="0">
    <w:p w14:paraId="458411F4" w14:textId="77777777" w:rsidR="00153D0C" w:rsidRDefault="00153D0C">
      <w:r>
        <w:continuationSeparator/>
      </w:r>
    </w:p>
  </w:footnote>
  <w:footnote w:type="continuationNotice" w:id="1">
    <w:p w14:paraId="1643B8E7" w14:textId="77777777" w:rsidR="00153D0C" w:rsidRDefault="00153D0C"/>
  </w:footnote>
  <w:footnote w:id="2">
    <w:p w14:paraId="5DA65788" w14:textId="269609EB" w:rsidR="00F3275C" w:rsidRPr="00767C09" w:rsidRDefault="00F3275C" w:rsidP="00F3275C">
      <w:pPr>
        <w:pStyle w:val="FootnoteText"/>
        <w:rPr>
          <w:rFonts w:ascii="Arial" w:hAnsi="Arial" w:cs="Arial"/>
        </w:rPr>
      </w:pPr>
      <w:r w:rsidRPr="00767C09">
        <w:rPr>
          <w:rStyle w:val="FootnoteReference"/>
          <w:rFonts w:ascii="Arial" w:hAnsi="Arial" w:cs="Arial"/>
        </w:rPr>
        <w:footnoteRef/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  <w:i/>
          <w:iCs/>
        </w:rPr>
        <w:t>See,</w:t>
      </w:r>
      <w:r w:rsidR="001020DA">
        <w:rPr>
          <w:rFonts w:ascii="Arial" w:hAnsi="Arial" w:cs="Arial"/>
          <w:i/>
          <w:iCs/>
        </w:rPr>
        <w:t xml:space="preserve"> </w:t>
      </w:r>
      <w:r w:rsidRPr="00767C09">
        <w:rPr>
          <w:rFonts w:ascii="Arial" w:hAnsi="Arial" w:cs="Arial"/>
          <w:i/>
          <w:iCs/>
        </w:rPr>
        <w:t>e.g</w:t>
      </w:r>
      <w:r w:rsidRPr="00767C09">
        <w:rPr>
          <w:rFonts w:ascii="Arial" w:hAnsi="Arial" w:cs="Arial"/>
        </w:rPr>
        <w:t>.,</w:t>
      </w:r>
      <w:r w:rsidR="00102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NOGRR245,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Joint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Commenters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Comments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(Jan.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23,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2024)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(“Joint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Commenters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support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the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adoption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of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a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more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robust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Inverter-Based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Resource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(“IBR”)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performance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standard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to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improve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equipment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technical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capabilities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and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mitigate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the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reliability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risk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of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grid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disturbance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events.”)</w:t>
      </w:r>
      <w:r>
        <w:rPr>
          <w:rFonts w:ascii="Arial" w:hAnsi="Arial" w:cs="Arial"/>
        </w:rPr>
        <w:t>;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Joint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Commenters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Comments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(Mar.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22,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2024)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(“The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JC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Proposal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requires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prompt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implementation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of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available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software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and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parameter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changes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to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increase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ride-through</w:t>
      </w:r>
      <w:r w:rsidR="001020DA">
        <w:rPr>
          <w:rFonts w:ascii="Arial" w:hAnsi="Arial" w:cs="Arial"/>
        </w:rPr>
        <w:t xml:space="preserve"> </w:t>
      </w:r>
      <w:r w:rsidRPr="00767C09">
        <w:rPr>
          <w:rFonts w:ascii="Arial" w:hAnsi="Arial" w:cs="Arial"/>
        </w:rPr>
        <w:t>performance.”);</w:t>
      </w:r>
      <w:r w:rsidR="00102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Joint</w:t>
      </w:r>
      <w:r w:rsidR="00102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Commenters</w:t>
      </w:r>
      <w:r w:rsidR="00102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Comments</w:t>
      </w:r>
      <w:r w:rsidR="00102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(Apr.</w:t>
      </w:r>
      <w:r w:rsidR="00102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15,</w:t>
      </w:r>
      <w:r w:rsidR="00102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2024)</w:t>
      </w:r>
      <w:r w:rsidR="00102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</w:t>
      </w:r>
      <w:r w:rsidRPr="00740BA0">
        <w:rPr>
          <w:rFonts w:ascii="Arial" w:hAnsi="Arial" w:cs="Arial"/>
        </w:rPr>
        <w:t>For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over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a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year,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Joint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Commenters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have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worked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with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each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other,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original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equipment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manufacturers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(</w:t>
      </w:r>
      <w:r>
        <w:rPr>
          <w:rFonts w:ascii="Arial" w:hAnsi="Arial" w:cs="Arial"/>
        </w:rPr>
        <w:t>“</w:t>
      </w:r>
      <w:r w:rsidRPr="00740BA0">
        <w:rPr>
          <w:rFonts w:ascii="Arial" w:hAnsi="Arial" w:cs="Arial"/>
        </w:rPr>
        <w:t>OEMs</w:t>
      </w:r>
      <w:r>
        <w:rPr>
          <w:rFonts w:ascii="Arial" w:hAnsi="Arial" w:cs="Arial"/>
        </w:rPr>
        <w:t>”</w:t>
      </w:r>
      <w:r w:rsidRPr="00740BA0">
        <w:rPr>
          <w:rFonts w:ascii="Arial" w:hAnsi="Arial" w:cs="Arial"/>
        </w:rPr>
        <w:t>),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and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extensively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over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the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past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two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months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with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ERCOT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Staff,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to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develop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new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frequency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and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voltage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ride-through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standards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in</w:t>
      </w:r>
      <w:r w:rsidR="001020DA">
        <w:rPr>
          <w:rFonts w:ascii="Arial" w:hAnsi="Arial" w:cs="Arial"/>
        </w:rPr>
        <w:t xml:space="preserve"> </w:t>
      </w:r>
      <w:r w:rsidRPr="00740BA0">
        <w:rPr>
          <w:rFonts w:ascii="Arial" w:hAnsi="Arial" w:cs="Arial"/>
        </w:rPr>
        <w:t>NOGRR245.</w:t>
      </w:r>
      <w:r>
        <w:rPr>
          <w:rFonts w:ascii="Arial" w:hAnsi="Arial" w:cs="Arial"/>
        </w:rPr>
        <w:t>”)</w:t>
      </w:r>
      <w:r w:rsidRPr="00767C0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48EB" w14:textId="021EA60D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>RR</w:t>
    </w:r>
    <w:r w:rsidR="001020DA">
      <w:rPr>
        <w:sz w:val="32"/>
      </w:rPr>
      <w:t xml:space="preserve"> </w:t>
    </w:r>
    <w:r w:rsidR="003D0994">
      <w:rPr>
        <w:sz w:val="32"/>
      </w:rPr>
      <w:t>Comments</w:t>
    </w:r>
  </w:p>
  <w:p w14:paraId="58652EF2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F56DF7"/>
    <w:multiLevelType w:val="hybridMultilevel"/>
    <w:tmpl w:val="FB3E1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AF638C"/>
    <w:multiLevelType w:val="hybridMultilevel"/>
    <w:tmpl w:val="544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FFFBB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E5F5C">
      <w:start w:val="1"/>
      <w:numFmt w:val="lowerLetter"/>
      <w:lvlText w:val="%2."/>
      <w:lvlJc w:val="left"/>
      <w:pPr>
        <w:ind w:left="1440" w:hanging="360"/>
      </w:pPr>
    </w:lvl>
    <w:lvl w:ilvl="2" w:tplc="D6B802FC">
      <w:start w:val="1"/>
      <w:numFmt w:val="lowerRoman"/>
      <w:lvlText w:val="%3."/>
      <w:lvlJc w:val="right"/>
      <w:pPr>
        <w:ind w:left="2160" w:hanging="180"/>
      </w:pPr>
    </w:lvl>
    <w:lvl w:ilvl="3" w:tplc="F8603294">
      <w:start w:val="1"/>
      <w:numFmt w:val="decimal"/>
      <w:lvlText w:val="%4."/>
      <w:lvlJc w:val="left"/>
      <w:pPr>
        <w:ind w:left="2880" w:hanging="360"/>
      </w:pPr>
    </w:lvl>
    <w:lvl w:ilvl="4" w:tplc="D05842E0">
      <w:start w:val="1"/>
      <w:numFmt w:val="lowerLetter"/>
      <w:lvlText w:val="%5."/>
      <w:lvlJc w:val="left"/>
      <w:pPr>
        <w:ind w:left="3600" w:hanging="360"/>
      </w:pPr>
    </w:lvl>
    <w:lvl w:ilvl="5" w:tplc="F2A409BE">
      <w:start w:val="1"/>
      <w:numFmt w:val="lowerRoman"/>
      <w:lvlText w:val="%6."/>
      <w:lvlJc w:val="right"/>
      <w:pPr>
        <w:ind w:left="4320" w:hanging="180"/>
      </w:pPr>
    </w:lvl>
    <w:lvl w:ilvl="6" w:tplc="3FF05A98">
      <w:start w:val="1"/>
      <w:numFmt w:val="decimal"/>
      <w:lvlText w:val="%7."/>
      <w:lvlJc w:val="left"/>
      <w:pPr>
        <w:ind w:left="5040" w:hanging="360"/>
      </w:pPr>
    </w:lvl>
    <w:lvl w:ilvl="7" w:tplc="CCAEBC72">
      <w:start w:val="1"/>
      <w:numFmt w:val="lowerLetter"/>
      <w:lvlText w:val="%8."/>
      <w:lvlJc w:val="left"/>
      <w:pPr>
        <w:ind w:left="5760" w:hanging="360"/>
      </w:pPr>
    </w:lvl>
    <w:lvl w:ilvl="8" w:tplc="13341C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5551382">
    <w:abstractNumId w:val="0"/>
  </w:num>
  <w:num w:numId="2" w16cid:durableId="623074845">
    <w:abstractNumId w:val="4"/>
  </w:num>
  <w:num w:numId="3" w16cid:durableId="1224874365">
    <w:abstractNumId w:val="1"/>
  </w:num>
  <w:num w:numId="4" w16cid:durableId="17517349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9922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12122"/>
    <w:rsid w:val="00037668"/>
    <w:rsid w:val="00063252"/>
    <w:rsid w:val="00075A94"/>
    <w:rsid w:val="000E1D49"/>
    <w:rsid w:val="000F0AE0"/>
    <w:rsid w:val="001020DA"/>
    <w:rsid w:val="00107B5D"/>
    <w:rsid w:val="00132855"/>
    <w:rsid w:val="0014100A"/>
    <w:rsid w:val="00152993"/>
    <w:rsid w:val="00153D0C"/>
    <w:rsid w:val="00170297"/>
    <w:rsid w:val="00192AFD"/>
    <w:rsid w:val="001A227D"/>
    <w:rsid w:val="001D1EF2"/>
    <w:rsid w:val="001E2032"/>
    <w:rsid w:val="001E3F13"/>
    <w:rsid w:val="001F7A65"/>
    <w:rsid w:val="0021322C"/>
    <w:rsid w:val="002242F3"/>
    <w:rsid w:val="00224828"/>
    <w:rsid w:val="00230E53"/>
    <w:rsid w:val="00237F13"/>
    <w:rsid w:val="00244508"/>
    <w:rsid w:val="002771E6"/>
    <w:rsid w:val="00291328"/>
    <w:rsid w:val="002A657E"/>
    <w:rsid w:val="002C0921"/>
    <w:rsid w:val="003010C0"/>
    <w:rsid w:val="003016D6"/>
    <w:rsid w:val="00332A97"/>
    <w:rsid w:val="0033423A"/>
    <w:rsid w:val="00343C22"/>
    <w:rsid w:val="00346ED4"/>
    <w:rsid w:val="00350C00"/>
    <w:rsid w:val="00366113"/>
    <w:rsid w:val="00372BA4"/>
    <w:rsid w:val="0037566B"/>
    <w:rsid w:val="003919B5"/>
    <w:rsid w:val="003C270C"/>
    <w:rsid w:val="003C405A"/>
    <w:rsid w:val="003D0994"/>
    <w:rsid w:val="003E7D74"/>
    <w:rsid w:val="003F0BC5"/>
    <w:rsid w:val="004225E2"/>
    <w:rsid w:val="00423824"/>
    <w:rsid w:val="00425B54"/>
    <w:rsid w:val="0043567D"/>
    <w:rsid w:val="0047472E"/>
    <w:rsid w:val="004842FB"/>
    <w:rsid w:val="0049722A"/>
    <w:rsid w:val="004975C8"/>
    <w:rsid w:val="004B7B90"/>
    <w:rsid w:val="004D37D7"/>
    <w:rsid w:val="004D6A7C"/>
    <w:rsid w:val="004E2C19"/>
    <w:rsid w:val="00542398"/>
    <w:rsid w:val="00543BE1"/>
    <w:rsid w:val="0055032D"/>
    <w:rsid w:val="00563186"/>
    <w:rsid w:val="005A5F31"/>
    <w:rsid w:val="005D284C"/>
    <w:rsid w:val="005E6644"/>
    <w:rsid w:val="006018BB"/>
    <w:rsid w:val="006179A8"/>
    <w:rsid w:val="00626E8F"/>
    <w:rsid w:val="00633E23"/>
    <w:rsid w:val="00673B94"/>
    <w:rsid w:val="00680AC6"/>
    <w:rsid w:val="006835D8"/>
    <w:rsid w:val="00692A3C"/>
    <w:rsid w:val="006A161B"/>
    <w:rsid w:val="006B6D22"/>
    <w:rsid w:val="006C2130"/>
    <w:rsid w:val="006C316E"/>
    <w:rsid w:val="006D0F7C"/>
    <w:rsid w:val="00702E56"/>
    <w:rsid w:val="007269C4"/>
    <w:rsid w:val="00732533"/>
    <w:rsid w:val="00734EAF"/>
    <w:rsid w:val="0074209E"/>
    <w:rsid w:val="007461EE"/>
    <w:rsid w:val="00750B46"/>
    <w:rsid w:val="00753FC0"/>
    <w:rsid w:val="0076748C"/>
    <w:rsid w:val="007B045B"/>
    <w:rsid w:val="007E18B2"/>
    <w:rsid w:val="007F2CA8"/>
    <w:rsid w:val="007F4D61"/>
    <w:rsid w:val="007F7161"/>
    <w:rsid w:val="008443D2"/>
    <w:rsid w:val="0085559E"/>
    <w:rsid w:val="00866EAB"/>
    <w:rsid w:val="0087087E"/>
    <w:rsid w:val="00880A4F"/>
    <w:rsid w:val="008814B3"/>
    <w:rsid w:val="008965EE"/>
    <w:rsid w:val="00896B1B"/>
    <w:rsid w:val="008A58B7"/>
    <w:rsid w:val="008A5F9F"/>
    <w:rsid w:val="008E559E"/>
    <w:rsid w:val="00916080"/>
    <w:rsid w:val="00921A68"/>
    <w:rsid w:val="00952D14"/>
    <w:rsid w:val="00960706"/>
    <w:rsid w:val="00971658"/>
    <w:rsid w:val="00987542"/>
    <w:rsid w:val="00993F5B"/>
    <w:rsid w:val="00994DE2"/>
    <w:rsid w:val="009B1067"/>
    <w:rsid w:val="009C0537"/>
    <w:rsid w:val="00A015C4"/>
    <w:rsid w:val="00A15172"/>
    <w:rsid w:val="00A45DC3"/>
    <w:rsid w:val="00AB5FC0"/>
    <w:rsid w:val="00AE021F"/>
    <w:rsid w:val="00B1289F"/>
    <w:rsid w:val="00B16C67"/>
    <w:rsid w:val="00B17059"/>
    <w:rsid w:val="00B32115"/>
    <w:rsid w:val="00B338DA"/>
    <w:rsid w:val="00B5171A"/>
    <w:rsid w:val="00BA20E0"/>
    <w:rsid w:val="00BC4E2E"/>
    <w:rsid w:val="00C0598D"/>
    <w:rsid w:val="00C11956"/>
    <w:rsid w:val="00C158EE"/>
    <w:rsid w:val="00C16B3D"/>
    <w:rsid w:val="00C46F27"/>
    <w:rsid w:val="00C5232A"/>
    <w:rsid w:val="00C602E5"/>
    <w:rsid w:val="00C748FD"/>
    <w:rsid w:val="00CB53C7"/>
    <w:rsid w:val="00CE7A5B"/>
    <w:rsid w:val="00D217C1"/>
    <w:rsid w:val="00D225F0"/>
    <w:rsid w:val="00D24DCF"/>
    <w:rsid w:val="00D27F0F"/>
    <w:rsid w:val="00D3540D"/>
    <w:rsid w:val="00D4046E"/>
    <w:rsid w:val="00D825C5"/>
    <w:rsid w:val="00DD138B"/>
    <w:rsid w:val="00DD4739"/>
    <w:rsid w:val="00DE5F33"/>
    <w:rsid w:val="00DF2157"/>
    <w:rsid w:val="00E07B54"/>
    <w:rsid w:val="00E11F78"/>
    <w:rsid w:val="00E25587"/>
    <w:rsid w:val="00E43800"/>
    <w:rsid w:val="00E621E1"/>
    <w:rsid w:val="00E64223"/>
    <w:rsid w:val="00E8325F"/>
    <w:rsid w:val="00EC55B3"/>
    <w:rsid w:val="00F07987"/>
    <w:rsid w:val="00F3275C"/>
    <w:rsid w:val="00F60242"/>
    <w:rsid w:val="00F646A8"/>
    <w:rsid w:val="00F85C6E"/>
    <w:rsid w:val="00F96FB2"/>
    <w:rsid w:val="00FB51D8"/>
    <w:rsid w:val="00FD08E8"/>
    <w:rsid w:val="00FE3D6F"/>
    <w:rsid w:val="00FE5B3D"/>
    <w:rsid w:val="00FF3FC8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4F005"/>
  <w15:chartTrackingRefBased/>
  <w15:docId w15:val="{9F8F137C-8306-4340-8DB7-D3732B2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8A5F9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3275C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3275C"/>
    <w:rPr>
      <w:lang w:eastAsia="en-US"/>
    </w:rPr>
  </w:style>
  <w:style w:type="character" w:styleId="FootnoteReference">
    <w:name w:val="footnote reference"/>
    <w:uiPriority w:val="99"/>
    <w:unhideWhenUsed/>
    <w:rsid w:val="00F3275C"/>
    <w:rPr>
      <w:vertAlign w:val="superscript"/>
    </w:rPr>
  </w:style>
  <w:style w:type="character" w:customStyle="1" w:styleId="CommentTextChar">
    <w:name w:val="Comment Text Char"/>
    <w:link w:val="CommentText"/>
    <w:semiHidden/>
    <w:rsid w:val="001E3F13"/>
  </w:style>
  <w:style w:type="paragraph" w:styleId="Revision">
    <w:name w:val="Revision"/>
    <w:hidden/>
    <w:uiPriority w:val="99"/>
    <w:semiHidden/>
    <w:rsid w:val="00FF4E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csmi@southernc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rie.Bivens@nexteraenergy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zari@invenergy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hannah.muller@clearwayenergy.com" TargetMode="External"/><Relationship Id="rId10" Type="http://schemas.openxmlformats.org/officeDocument/2006/relationships/hyperlink" Target="https://www.ercot.com/mktrules/issues/NOGRR24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hresa.allen@avan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75010-d12e-49b1-ae55-1bdb1cc28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20A52CD268F4D80BE3F1B8439AF77" ma:contentTypeVersion="8" ma:contentTypeDescription="Create a new document." ma:contentTypeScope="" ma:versionID="b56b543427720fc9a8df09fcda40143b">
  <xsd:schema xmlns:xsd="http://www.w3.org/2001/XMLSchema" xmlns:xs="http://www.w3.org/2001/XMLSchema" xmlns:p="http://schemas.microsoft.com/office/2006/metadata/properties" xmlns:ns3="01575010-d12e-49b1-ae55-1bdb1cc2813e" xmlns:ns4="76ba03a0-5835-4f87-acad-31be2f7bc259" targetNamespace="http://schemas.microsoft.com/office/2006/metadata/properties" ma:root="true" ma:fieldsID="90c0cb88b6fba7dd627ab88ca1f48906" ns3:_="" ns4:_="">
    <xsd:import namespace="01575010-d12e-49b1-ae55-1bdb1cc2813e"/>
    <xsd:import namespace="76ba03a0-5835-4f87-acad-31be2f7bc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5010-d12e-49b1-ae55-1bdb1cc28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a03a0-5835-4f87-acad-31be2f7bc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D7FD4-35A1-4BCE-A2E2-C076E5D0D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F615E-1ABE-4ABD-9FBF-57C0D5900CEF}">
  <ds:schemaRefs>
    <ds:schemaRef ds:uri="http://schemas.microsoft.com/office/2006/metadata/properties"/>
    <ds:schemaRef ds:uri="http://schemas.microsoft.com/office/infopath/2007/PartnerControls"/>
    <ds:schemaRef ds:uri="01575010-d12e-49b1-ae55-1bdb1cc2813e"/>
  </ds:schemaRefs>
</ds:datastoreItem>
</file>

<file path=customXml/itemProps3.xml><?xml version="1.0" encoding="utf-8"?>
<ds:datastoreItem xmlns:ds="http://schemas.openxmlformats.org/officeDocument/2006/customXml" ds:itemID="{E43D87C7-0CAD-4F19-8FE8-CDFD6E81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75010-d12e-49b1-ae55-1bdb1cc2813e"/>
    <ds:schemaRef ds:uri="76ba03a0-5835-4f87-acad-31be2f7bc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5067</CharactersWithSpaces>
  <SharedDoc>false</SharedDoc>
  <HLinks>
    <vt:vector size="36" baseType="variant">
      <vt:variant>
        <vt:i4>7536652</vt:i4>
      </vt:variant>
      <vt:variant>
        <vt:i4>15</vt:i4>
      </vt:variant>
      <vt:variant>
        <vt:i4>0</vt:i4>
      </vt:variant>
      <vt:variant>
        <vt:i4>5</vt:i4>
      </vt:variant>
      <vt:variant>
        <vt:lpwstr>mailto:hannah.muller@clearwayenergy.com</vt:lpwstr>
      </vt:variant>
      <vt:variant>
        <vt:lpwstr/>
      </vt:variant>
      <vt:variant>
        <vt:i4>7340042</vt:i4>
      </vt:variant>
      <vt:variant>
        <vt:i4>12</vt:i4>
      </vt:variant>
      <vt:variant>
        <vt:i4>0</vt:i4>
      </vt:variant>
      <vt:variant>
        <vt:i4>5</vt:i4>
      </vt:variant>
      <vt:variant>
        <vt:lpwstr>mailto:thresa.allen@avangrid.com</vt:lpwstr>
      </vt:variant>
      <vt:variant>
        <vt:lpwstr/>
      </vt:variant>
      <vt:variant>
        <vt:i4>2359320</vt:i4>
      </vt:variant>
      <vt:variant>
        <vt:i4>9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3276867</vt:i4>
      </vt:variant>
      <vt:variant>
        <vt:i4>6</vt:i4>
      </vt:variant>
      <vt:variant>
        <vt:i4>0</vt:i4>
      </vt:variant>
      <vt:variant>
        <vt:i4>5</vt:i4>
      </vt:variant>
      <vt:variant>
        <vt:lpwstr>mailto:Carrie.Bivens@nexteraenergy.com</vt:lpwstr>
      </vt:variant>
      <vt:variant>
        <vt:lpwstr/>
      </vt:variant>
      <vt:variant>
        <vt:i4>393274</vt:i4>
      </vt:variant>
      <vt:variant>
        <vt:i4>3</vt:i4>
      </vt:variant>
      <vt:variant>
        <vt:i4>0</vt:i4>
      </vt:variant>
      <vt:variant>
        <vt:i4>5</vt:i4>
      </vt:variant>
      <vt:variant>
        <vt:lpwstr>mailto:dazari@invenergy.com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2001-06-20T16:28:00Z</cp:lastPrinted>
  <dcterms:created xsi:type="dcterms:W3CDTF">2024-08-16T19:06:00Z</dcterms:created>
  <dcterms:modified xsi:type="dcterms:W3CDTF">2024-08-16T19:07:00Z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2024-08-15T17:55:09Z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116592a2-10d2-485f-af51-b7340a3fda83</vt:lpwstr>
  </property>
  <property fmtid="{D5CDD505-2E9C-101B-9397-08002B2CF9AE}" pid="8" name="MSIP_Label_019c027e-33b7-45fc-a572-8ffa5d09ec36_ContentBits">
    <vt:lpwstr>2</vt:lpwstr>
  </property>
  <property fmtid="{D5CDD505-2E9C-101B-9397-08002B2CF9AE}" pid="9" name="ContentTypeId">
    <vt:lpwstr>0x0101004F020A52CD268F4D80BE3F1B8439AF77</vt:lpwstr>
  </property>
  <property fmtid="{D5CDD505-2E9C-101B-9397-08002B2CF9AE}" pid="10" name="MSIP_Label_ed3826ce-7c18-471d-9596-93de5bae332e_Enabled">
    <vt:lpwstr>true</vt:lpwstr>
  </property>
  <property fmtid="{D5CDD505-2E9C-101B-9397-08002B2CF9AE}" pid="11" name="MSIP_Label_ed3826ce-7c18-471d-9596-93de5bae332e_SetDate">
    <vt:lpwstr>2024-08-16T14:08:13Z</vt:lpwstr>
  </property>
  <property fmtid="{D5CDD505-2E9C-101B-9397-08002B2CF9AE}" pid="12" name="MSIP_Label_ed3826ce-7c18-471d-9596-93de5bae332e_Method">
    <vt:lpwstr>Standard</vt:lpwstr>
  </property>
  <property fmtid="{D5CDD505-2E9C-101B-9397-08002B2CF9AE}" pid="13" name="MSIP_Label_ed3826ce-7c18-471d-9596-93de5bae332e_Name">
    <vt:lpwstr>Internal</vt:lpwstr>
  </property>
  <property fmtid="{D5CDD505-2E9C-101B-9397-08002B2CF9AE}" pid="14" name="MSIP_Label_ed3826ce-7c18-471d-9596-93de5bae332e_SiteId">
    <vt:lpwstr>c0a02e2d-1186-410a-8895-0a4a252ebf17</vt:lpwstr>
  </property>
  <property fmtid="{D5CDD505-2E9C-101B-9397-08002B2CF9AE}" pid="15" name="MSIP_Label_ed3826ce-7c18-471d-9596-93de5bae332e_ActionId">
    <vt:lpwstr>aea88bba-0d43-4745-9b3b-aba6f84774ee</vt:lpwstr>
  </property>
  <property fmtid="{D5CDD505-2E9C-101B-9397-08002B2CF9AE}" pid="16" name="MSIP_Label_ed3826ce-7c18-471d-9596-93de5bae332e_ContentBits">
    <vt:lpwstr>0</vt:lpwstr>
  </property>
  <property fmtid="{D5CDD505-2E9C-101B-9397-08002B2CF9AE}" pid="17" name="MSIP_Label_7084cbda-52b8-46fb-a7b7-cb5bd465ed85_Enabled">
    <vt:lpwstr>true</vt:lpwstr>
  </property>
  <property fmtid="{D5CDD505-2E9C-101B-9397-08002B2CF9AE}" pid="18" name="MSIP_Label_7084cbda-52b8-46fb-a7b7-cb5bd465ed85_SetDate">
    <vt:lpwstr>2024-08-16T19:02:16Z</vt:lpwstr>
  </property>
  <property fmtid="{D5CDD505-2E9C-101B-9397-08002B2CF9AE}" pid="19" name="MSIP_Label_7084cbda-52b8-46fb-a7b7-cb5bd465ed85_Method">
    <vt:lpwstr>Standard</vt:lpwstr>
  </property>
  <property fmtid="{D5CDD505-2E9C-101B-9397-08002B2CF9AE}" pid="20" name="MSIP_Label_7084cbda-52b8-46fb-a7b7-cb5bd465ed85_Name">
    <vt:lpwstr>Internal</vt:lpwstr>
  </property>
  <property fmtid="{D5CDD505-2E9C-101B-9397-08002B2CF9AE}" pid="21" name="MSIP_Label_7084cbda-52b8-46fb-a7b7-cb5bd465ed85_SiteId">
    <vt:lpwstr>0afb747d-bff7-4596-a9fc-950ef9e0ec45</vt:lpwstr>
  </property>
  <property fmtid="{D5CDD505-2E9C-101B-9397-08002B2CF9AE}" pid="22" name="MSIP_Label_7084cbda-52b8-46fb-a7b7-cb5bd465ed85_ActionId">
    <vt:lpwstr>930939f3-3a8f-4df9-98ed-b8fc5d430044</vt:lpwstr>
  </property>
  <property fmtid="{D5CDD505-2E9C-101B-9397-08002B2CF9AE}" pid="23" name="MSIP_Label_7084cbda-52b8-46fb-a7b7-cb5bd465ed85_ContentBits">
    <vt:lpwstr>0</vt:lpwstr>
  </property>
</Properties>
</file>