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D45" w14:textId="63539D9F" w:rsidR="00791CE5" w:rsidRPr="00E27B82" w:rsidRDefault="00791CE5" w:rsidP="00791CE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 w:rsidR="003F6327">
        <w:rPr>
          <w:rFonts w:ascii="Times New Roman" w:hAnsi="Times New Roman"/>
          <w:b/>
          <w:u w:val="single"/>
        </w:rPr>
        <w:t>2</w:t>
      </w:r>
      <w:r w:rsidRPr="00E27B82">
        <w:rPr>
          <w:rFonts w:ascii="Times New Roman" w:hAnsi="Times New Roman"/>
          <w:b/>
          <w:u w:val="single"/>
        </w:rPr>
        <w:t>:</w:t>
      </w:r>
    </w:p>
    <w:p w14:paraId="19D2BF12" w14:textId="77777777" w:rsidR="003F6327" w:rsidRPr="008A691B" w:rsidRDefault="003F6327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NPRR1131</w:t>
      </w:r>
      <w:r w:rsidRPr="008A691B">
        <w:rPr>
          <w:lang w:val="en-US"/>
        </w:rPr>
        <w:t xml:space="preserve"> – </w:t>
      </w:r>
      <w:r w:rsidRPr="00963986">
        <w:t>Controllable Load Resource Participation in Non-Spin</w:t>
      </w:r>
    </w:p>
    <w:p w14:paraId="44F8D501" w14:textId="77777777" w:rsidR="003F6327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E30BB5">
        <w:rPr>
          <w:b w:val="0"/>
          <w:lang w:val="en-US"/>
        </w:rPr>
        <w:t xml:space="preserve">changes Controllable Load Resource participation in Non-Spinning Reserve (Non-Spin) from Off-Line to On-Line Non-Spin. </w:t>
      </w:r>
      <w:r>
        <w:rPr>
          <w:b w:val="0"/>
          <w:lang w:val="en-US"/>
        </w:rPr>
        <w:t xml:space="preserve"> </w:t>
      </w:r>
      <w:r w:rsidRPr="00E30BB5">
        <w:rPr>
          <w:b w:val="0"/>
          <w:lang w:val="en-US"/>
        </w:rPr>
        <w:t xml:space="preserve">Consistent with On-Line treatment, this NPRR also sets a bid floor of $75 per MWh for Controllable Load Resource capacity providing Non-Spin, equivalent to the offer floor for a Generation Resource providing On-Line Non-Spin and adds the requirement that if the Qualified Scheduling Entity (QSE) also assigns Responsive Reserve (RRS) and/or Regulation Up Service (Reg-Up) to a Controllable Load Resource that has been assigned Non-Spin, there will be a bid floor for the sum of the RRS, Reg-Up, and Non-Spin Ancillary Service Resource Responsibilities of $75 per MWh. </w:t>
      </w:r>
    </w:p>
    <w:p w14:paraId="7691BFE1" w14:textId="0E5A9E73" w:rsidR="00791CE5" w:rsidRPr="00870AA4" w:rsidRDefault="00791CE5" w:rsidP="00870AA4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="003F6327">
        <w:rPr>
          <w:lang w:val="en-US"/>
        </w:rPr>
        <w:t>2.1</w:t>
      </w:r>
      <w:r w:rsidRPr="00E27B82">
        <w:rPr>
          <w:lang w:val="en-US"/>
        </w:rPr>
        <w:t xml:space="preserve"> 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1991F200" w14:textId="3247463A" w:rsidR="003F6327" w:rsidRPr="00E27B82" w:rsidRDefault="003F6327" w:rsidP="003F6327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3</w:t>
      </w:r>
      <w:r w:rsidRPr="00E27B82">
        <w:rPr>
          <w:rFonts w:ascii="Times New Roman" w:hAnsi="Times New Roman"/>
          <w:b/>
          <w:u w:val="single"/>
        </w:rPr>
        <w:t>:</w:t>
      </w:r>
    </w:p>
    <w:p w14:paraId="68199C36" w14:textId="77777777" w:rsidR="003F6327" w:rsidRPr="008A691B" w:rsidRDefault="003F6327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NPRR1058</w:t>
      </w:r>
      <w:r w:rsidRPr="008A691B">
        <w:rPr>
          <w:lang w:val="en-US"/>
        </w:rPr>
        <w:t xml:space="preserve"> – </w:t>
      </w:r>
      <w:r w:rsidRPr="003B7063">
        <w:rPr>
          <w:lang w:val="en-US"/>
        </w:rPr>
        <w:t>Resource Offer Modernization</w:t>
      </w:r>
    </w:p>
    <w:p w14:paraId="398AC432" w14:textId="77777777" w:rsidR="003F6327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3B7063">
        <w:rPr>
          <w:b w:val="0"/>
          <w:lang w:val="en-US"/>
        </w:rPr>
        <w:t>allows all Resources to update their offers in Real-Time to reflect their current costs.</w:t>
      </w:r>
    </w:p>
    <w:p w14:paraId="3C619594" w14:textId="1B958051" w:rsidR="003F6327" w:rsidRPr="00870AA4" w:rsidRDefault="003F6327" w:rsidP="003F6327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Pr="00E30BB5">
        <w:rPr>
          <w:lang w:val="en-US"/>
        </w:rPr>
        <w:t>3.</w:t>
      </w:r>
      <w:r>
        <w:rPr>
          <w:lang w:val="en-US"/>
        </w:rPr>
        <w:t xml:space="preserve">2.5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6BB2D5CE" w14:textId="77777777" w:rsidR="003F6327" w:rsidRPr="008A691B" w:rsidRDefault="003F6327" w:rsidP="003F6327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4</w:t>
      </w:r>
      <w:r w:rsidRPr="008A691B">
        <w:rPr>
          <w:rFonts w:ascii="Times New Roman" w:hAnsi="Times New Roman"/>
          <w:b/>
          <w:u w:val="single"/>
        </w:rPr>
        <w:t>:</w:t>
      </w:r>
    </w:p>
    <w:p w14:paraId="46C137A5" w14:textId="77777777" w:rsidR="003F6327" w:rsidRPr="008A691B" w:rsidRDefault="003F6327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NPRR1058</w:t>
      </w:r>
      <w:r w:rsidRPr="008A691B">
        <w:rPr>
          <w:lang w:val="en-US"/>
        </w:rPr>
        <w:t xml:space="preserve"> – </w:t>
      </w:r>
      <w:r w:rsidRPr="003B7063">
        <w:rPr>
          <w:lang w:val="en-US"/>
        </w:rPr>
        <w:t>Resource Offer Modernization</w:t>
      </w:r>
    </w:p>
    <w:p w14:paraId="7D809FDC" w14:textId="77777777" w:rsidR="003F6327" w:rsidRPr="008A691B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8A691B">
        <w:rPr>
          <w:b w:val="0"/>
          <w:i/>
          <w:lang w:val="en-US"/>
        </w:rPr>
        <w:t xml:space="preserve"> above.</w:t>
      </w:r>
    </w:p>
    <w:p w14:paraId="4A81C2D7" w14:textId="36A0C1BA" w:rsidR="003F6327" w:rsidRPr="003F6327" w:rsidRDefault="003F6327" w:rsidP="003F6327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 w:rsidRPr="00913F9E">
        <w:t xml:space="preserve">4.4.9.3, 4.4.9.3.1, </w:t>
      </w:r>
      <w:r>
        <w:t xml:space="preserve">and </w:t>
      </w:r>
      <w:r w:rsidRPr="00913F9E">
        <w:t>4.4.9.4.1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154211D3" w14:textId="676A5D7F" w:rsidR="003A7BE4" w:rsidRPr="00E27B82" w:rsidRDefault="003A7BE4" w:rsidP="003A7BE4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6</w:t>
      </w:r>
      <w:r w:rsidRPr="00E27B82">
        <w:rPr>
          <w:rFonts w:ascii="Times New Roman" w:hAnsi="Times New Roman"/>
          <w:b/>
          <w:u w:val="single"/>
        </w:rPr>
        <w:t>:</w:t>
      </w:r>
    </w:p>
    <w:p w14:paraId="0F1AE1AB" w14:textId="77777777" w:rsidR="003F6327" w:rsidRPr="008A691B" w:rsidRDefault="003F6327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NPRR1058</w:t>
      </w:r>
      <w:r w:rsidRPr="008A691B">
        <w:rPr>
          <w:lang w:val="en-US"/>
        </w:rPr>
        <w:t xml:space="preserve"> – </w:t>
      </w:r>
      <w:r w:rsidRPr="003B7063">
        <w:rPr>
          <w:lang w:val="en-US"/>
        </w:rPr>
        <w:t>Resource Offer Modernization</w:t>
      </w:r>
    </w:p>
    <w:p w14:paraId="15500CB4" w14:textId="77777777" w:rsidR="003F6327" w:rsidRPr="008A691B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3</w:t>
      </w:r>
      <w:r w:rsidRPr="008A691B">
        <w:rPr>
          <w:b w:val="0"/>
          <w:i/>
          <w:lang w:val="en-US"/>
        </w:rPr>
        <w:t xml:space="preserve"> above.</w:t>
      </w:r>
    </w:p>
    <w:p w14:paraId="38F670CF" w14:textId="34E4DFB9" w:rsidR="003F6327" w:rsidRPr="003F6327" w:rsidRDefault="003F6327" w:rsidP="003F6327">
      <w:pPr>
        <w:pStyle w:val="PRRHeader"/>
        <w:widowControl w:val="0"/>
        <w:spacing w:after="100" w:afterAutospacing="1"/>
        <w:ind w:left="720" w:firstLine="0"/>
        <w:rPr>
          <w:b w:val="0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 w:rsidRPr="003B7063">
        <w:t xml:space="preserve">6.3.2, 6.4.3.1, 6.4.4, 6.4.4.1, 6.4.4.2, 6.6.5.3, and 6.6.9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0343A776" w14:textId="77777777" w:rsidR="003F6327" w:rsidRPr="008A691B" w:rsidRDefault="003F6327" w:rsidP="003F6327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NPRR1131</w:t>
      </w:r>
      <w:r w:rsidRPr="008A691B">
        <w:rPr>
          <w:lang w:val="en-US"/>
        </w:rPr>
        <w:t xml:space="preserve"> – </w:t>
      </w:r>
      <w:r w:rsidRPr="00963986">
        <w:t>Controllable Load Resource Participation in Non-Spin</w:t>
      </w:r>
    </w:p>
    <w:p w14:paraId="557C03D3" w14:textId="77777777" w:rsidR="003F6327" w:rsidRPr="008A691B" w:rsidRDefault="003F6327" w:rsidP="003F6327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49CE39C9" w14:textId="15D9B3AB" w:rsidR="00772C9E" w:rsidRDefault="003F6327" w:rsidP="003F6327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lastRenderedPageBreak/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 w:rsidRPr="00E30BB5">
        <w:rPr>
          <w:lang w:val="en-US"/>
        </w:rPr>
        <w:t>6.4.4.1, 6.5.5.2, 6.5.7.6.2.3, and 6.7.5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4666B007" w14:textId="0A342633" w:rsidR="0061504E" w:rsidRPr="00E27B82" w:rsidRDefault="0061504E" w:rsidP="0061504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>
        <w:rPr>
          <w:rFonts w:ascii="Times New Roman" w:hAnsi="Times New Roman"/>
          <w:b/>
          <w:u w:val="single"/>
        </w:rPr>
        <w:t>8</w:t>
      </w:r>
      <w:r w:rsidRPr="00E27B82">
        <w:rPr>
          <w:rFonts w:ascii="Times New Roman" w:hAnsi="Times New Roman"/>
          <w:b/>
          <w:u w:val="single"/>
        </w:rPr>
        <w:t>:</w:t>
      </w:r>
    </w:p>
    <w:p w14:paraId="5955F956" w14:textId="77777777" w:rsidR="0061504E" w:rsidRPr="008A691B" w:rsidRDefault="0061504E" w:rsidP="0061504E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NPRR1131</w:t>
      </w:r>
      <w:r w:rsidRPr="008A691B">
        <w:rPr>
          <w:lang w:val="en-US"/>
        </w:rPr>
        <w:t xml:space="preserve"> – </w:t>
      </w:r>
      <w:r w:rsidRPr="00963986">
        <w:t>Controllable Load Resource Participation in Non-Spin</w:t>
      </w:r>
    </w:p>
    <w:p w14:paraId="524B4CC1" w14:textId="77777777" w:rsidR="0061504E" w:rsidRPr="008A691B" w:rsidRDefault="0061504E" w:rsidP="0061504E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2DCC7343" w14:textId="234F82BB" w:rsidR="0061504E" w:rsidRPr="00870AA4" w:rsidRDefault="0061504E" w:rsidP="0061504E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8.1</w:t>
      </w:r>
      <w:r w:rsidR="00D65073">
        <w:rPr>
          <w:lang w:val="en-US"/>
        </w:rPr>
        <w:t>.</w:t>
      </w:r>
      <w:r>
        <w:rPr>
          <w:lang w:val="en-US"/>
        </w:rPr>
        <w:t xml:space="preserve">1.4.3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1A583E9C" w14:textId="77777777" w:rsidR="0061504E" w:rsidRPr="0061504E" w:rsidRDefault="0061504E" w:rsidP="0061504E">
      <w:pPr>
        <w:pStyle w:val="Description"/>
        <w:rPr>
          <w:lang w:eastAsia="x-none"/>
        </w:rPr>
      </w:pPr>
    </w:p>
    <w:sectPr w:rsidR="0061504E" w:rsidRPr="0061504E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3F9E382C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3F6327">
      <w:rPr>
        <w:rFonts w:ascii="Times New Roman Bold" w:hAnsi="Times New Roman Bold"/>
        <w:b w:val="0"/>
      </w:rPr>
      <w:t>August 2</w:t>
    </w:r>
    <w:r w:rsidR="00E22397">
      <w:rPr>
        <w:rFonts w:ascii="Times New Roman Bold" w:hAnsi="Times New Roman Bold"/>
        <w:b w:val="0"/>
      </w:rPr>
      <w:t>3</w:t>
    </w:r>
    <w:r w:rsidR="008F4968">
      <w:rPr>
        <w:rFonts w:ascii="Times New Roman Bold" w:hAnsi="Times New Roman Bold"/>
        <w:b w:val="0"/>
      </w:rPr>
      <w:t>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6</cp:revision>
  <cp:lastPrinted>2019-12-18T16:51:00Z</cp:lastPrinted>
  <dcterms:created xsi:type="dcterms:W3CDTF">2024-05-30T03:23:00Z</dcterms:created>
  <dcterms:modified xsi:type="dcterms:W3CDTF">2024-08-21T23:08:00Z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