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3279" w14:textId="0967E5E2" w:rsidR="00E07CFA" w:rsidRDefault="00E07CFA" w:rsidP="00434E15">
      <w:pPr>
        <w:pStyle w:val="Heading10"/>
      </w:pPr>
      <w:r>
        <w:t xml:space="preserve">NMMS Validation </w:t>
      </w:r>
      <w:proofErr w:type="gramStart"/>
      <w:r>
        <w:t>Rules</w:t>
      </w:r>
      <w:r w:rsidR="00FF1687">
        <w:t xml:space="preserve">  -</w:t>
      </w:r>
      <w:proofErr w:type="gramEnd"/>
      <w:r w:rsidR="00FF1687">
        <w:t xml:space="preserve"> Node Breaker</w:t>
      </w:r>
      <w:r>
        <w:t xml:space="preserve"> </w:t>
      </w:r>
    </w:p>
    <w:p w14:paraId="48EA8B21" w14:textId="35B388E4" w:rsidR="00E07CFA" w:rsidRDefault="00E07CFA" w:rsidP="00434E15">
      <w:pPr>
        <w:pStyle w:val="Subtitle"/>
      </w:pPr>
      <w:r>
        <w:t>Background</w:t>
      </w:r>
    </w:p>
    <w:p w14:paraId="02522372" w14:textId="6996D13A" w:rsidR="00E07CFA" w:rsidRDefault="00E873A5" w:rsidP="00434E15">
      <w:r>
        <w:t xml:space="preserve">The following NMMS rules are required for planning base cases. </w:t>
      </w:r>
      <w:r w:rsidR="0087546F">
        <w:t xml:space="preserve">All rules are </w:t>
      </w:r>
      <w:proofErr w:type="gramStart"/>
      <w:r w:rsidR="0042644B">
        <w:t>apply</w:t>
      </w:r>
      <w:proofErr w:type="gramEnd"/>
      <w:r w:rsidR="0087546F">
        <w:t xml:space="preserve"> to the </w:t>
      </w:r>
      <w:proofErr w:type="spellStart"/>
      <w:r w:rsidR="0087546F">
        <w:t>a_psseid</w:t>
      </w:r>
      <w:proofErr w:type="spellEnd"/>
      <w:r w:rsidR="0087546F">
        <w:t xml:space="preserve"> fields in NMMS as </w:t>
      </w:r>
      <w:r w:rsidR="0042644B">
        <w:t>CKT IDs</w:t>
      </w:r>
      <w:r w:rsidR="0087546F">
        <w:t xml:space="preserve"> are used as unique identifiers in planning cases</w:t>
      </w:r>
      <w:r w:rsidR="00385BF6">
        <w:t xml:space="preserve">. </w:t>
      </w:r>
      <w:r w:rsidR="0087546F">
        <w:t xml:space="preserve">Rules have been categorized by the object type in NMMS </w:t>
      </w:r>
      <w:r w:rsidR="00385BF6">
        <w:t>and include</w:t>
      </w:r>
      <w:r w:rsidR="0087546F">
        <w:t xml:space="preserve"> a brief description of the requirements for each object type.</w:t>
      </w:r>
    </w:p>
    <w:p w14:paraId="669EE238" w14:textId="73B8376C" w:rsidR="00E07CFA" w:rsidRDefault="00E07CFA" w:rsidP="00434E15">
      <w:pPr>
        <w:pStyle w:val="Subtitle"/>
      </w:pPr>
      <w:r>
        <w:t>Rules</w:t>
      </w:r>
    </w:p>
    <w:p w14:paraId="22358AB4" w14:textId="3EEE7B6F" w:rsidR="00385BF6" w:rsidRPr="00385BF6" w:rsidRDefault="00385BF6" w:rsidP="00434E15">
      <w:r w:rsidRPr="00736EF0">
        <w:rPr>
          <w:b/>
          <w:bCs/>
        </w:rPr>
        <w:t>Legend:</w:t>
      </w:r>
      <w:r>
        <w:t xml:space="preserve"> CNG = Connectivity Node Group</w:t>
      </w:r>
      <w:r w:rsidR="0013370B">
        <w:tab/>
      </w:r>
      <w:r>
        <w:t>CN = Connectivity Node</w:t>
      </w:r>
      <w:r w:rsidR="0013370B">
        <w:tab/>
      </w:r>
      <w:r w:rsidR="0013370B">
        <w:tab/>
      </w:r>
      <w:r>
        <w:t xml:space="preserve">CKT ID = </w:t>
      </w:r>
      <w:proofErr w:type="spellStart"/>
      <w:r>
        <w:t>a_psseid</w:t>
      </w:r>
      <w:proofErr w:type="spellEnd"/>
    </w:p>
    <w:p w14:paraId="7C84B4E8" w14:textId="4473ABE9" w:rsidR="00FD27B0" w:rsidRPr="001B6699" w:rsidRDefault="001C3BB7" w:rsidP="001B6699">
      <w:pPr>
        <w:pStyle w:val="Heading1"/>
        <w:pBdr>
          <w:bottom w:val="single" w:sz="4" w:space="1" w:color="auto"/>
        </w:pBdr>
        <w:rPr>
          <w:color w:val="auto"/>
        </w:rPr>
      </w:pPr>
      <w:r>
        <w:rPr>
          <w:color w:val="auto"/>
        </w:rPr>
        <w:t>Node Breaker Validation Rules</w:t>
      </w:r>
    </w:p>
    <w:tbl>
      <w:tblPr>
        <w:tblStyle w:val="TableGrid"/>
        <w:tblW w:w="7920" w:type="dxa"/>
        <w:tblInd w:w="-95" w:type="dxa"/>
        <w:tblLayout w:type="fixed"/>
        <w:tblLook w:val="04A0" w:firstRow="1" w:lastRow="0" w:firstColumn="1" w:lastColumn="0" w:noHBand="0" w:noVBand="1"/>
      </w:tblPr>
      <w:tblGrid>
        <w:gridCol w:w="2610"/>
        <w:gridCol w:w="1080"/>
        <w:gridCol w:w="2700"/>
        <w:gridCol w:w="1530"/>
      </w:tblGrid>
      <w:tr w:rsidR="00CB3782" w14:paraId="5AF1520E" w14:textId="77777777" w:rsidTr="00CB3782">
        <w:trPr>
          <w:trHeight w:val="290"/>
        </w:trPr>
        <w:tc>
          <w:tcPr>
            <w:tcW w:w="2610" w:type="dxa"/>
          </w:tcPr>
          <w:p w14:paraId="5FAD8A90" w14:textId="559D10C9" w:rsidR="00CB3782" w:rsidRDefault="00CB3782" w:rsidP="00FD27B0">
            <w:r>
              <w:t>Object Type</w:t>
            </w:r>
          </w:p>
        </w:tc>
        <w:tc>
          <w:tcPr>
            <w:tcW w:w="1080" w:type="dxa"/>
          </w:tcPr>
          <w:p w14:paraId="4015A055" w14:textId="013CB5C2" w:rsidR="00CB3782" w:rsidRDefault="00CB3782" w:rsidP="00FD27B0">
            <w:r>
              <w:t>Attribute</w:t>
            </w:r>
          </w:p>
        </w:tc>
        <w:tc>
          <w:tcPr>
            <w:tcW w:w="2700" w:type="dxa"/>
          </w:tcPr>
          <w:p w14:paraId="18B4AF61" w14:textId="416E2FFD" w:rsidR="00CB3782" w:rsidRDefault="00CB3782" w:rsidP="00FD27B0">
            <w:r>
              <w:t>Description</w:t>
            </w:r>
          </w:p>
        </w:tc>
        <w:tc>
          <w:tcPr>
            <w:tcW w:w="1530" w:type="dxa"/>
          </w:tcPr>
          <w:p w14:paraId="66B8CF30" w14:textId="66DE182F" w:rsidR="00CB3782" w:rsidRDefault="00CB3782" w:rsidP="00FD27B0">
            <w:r>
              <w:t>Criteria</w:t>
            </w:r>
          </w:p>
        </w:tc>
      </w:tr>
      <w:tr w:rsidR="00CB3782" w14:paraId="5DD7B00C" w14:textId="77777777" w:rsidTr="00CB3782">
        <w:trPr>
          <w:trHeight w:val="890"/>
        </w:trPr>
        <w:tc>
          <w:tcPr>
            <w:tcW w:w="2610" w:type="dxa"/>
            <w:vMerge w:val="restart"/>
            <w:vAlign w:val="center"/>
          </w:tcPr>
          <w:p w14:paraId="302FC601" w14:textId="0CBCFF3C" w:rsidR="00CB3782" w:rsidRDefault="00CB3782" w:rsidP="00F75EAA">
            <w:pPr>
              <w:pStyle w:val="ListParagraph"/>
              <w:numPr>
                <w:ilvl w:val="0"/>
                <w:numId w:val="8"/>
              </w:numPr>
            </w:pPr>
            <w:r>
              <w:t>Connectivity Node</w:t>
            </w:r>
          </w:p>
        </w:tc>
        <w:tc>
          <w:tcPr>
            <w:tcW w:w="1080" w:type="dxa"/>
            <w:vAlign w:val="center"/>
          </w:tcPr>
          <w:p w14:paraId="24C2A098" w14:textId="47BDD6A0" w:rsidR="00CB3782" w:rsidRDefault="00CB3782" w:rsidP="000C2B43">
            <w:r>
              <w:t>PSSEID</w:t>
            </w:r>
          </w:p>
        </w:tc>
        <w:tc>
          <w:tcPr>
            <w:tcW w:w="2700" w:type="dxa"/>
          </w:tcPr>
          <w:p w14:paraId="5997B106" w14:textId="069388F3" w:rsidR="00CB3782" w:rsidRDefault="00CB3782" w:rsidP="00FD27B0">
            <w:r>
              <w:t>Require a PSSE ID for every Connectivity Node. If the PSSE ID attribute is left blank, then the rule will trigger an error message.</w:t>
            </w:r>
          </w:p>
        </w:tc>
        <w:tc>
          <w:tcPr>
            <w:tcW w:w="1530" w:type="dxa"/>
            <w:vAlign w:val="center"/>
          </w:tcPr>
          <w:p w14:paraId="2B6F09CC" w14:textId="50343904" w:rsidR="00CB3782" w:rsidRDefault="00CB3782" w:rsidP="00DF1BCE">
            <w:pPr>
              <w:jc w:val="center"/>
            </w:pPr>
            <w:r>
              <w:t>Not Blank</w:t>
            </w:r>
          </w:p>
        </w:tc>
      </w:tr>
      <w:tr w:rsidR="00CB3782" w14:paraId="01B45833" w14:textId="77777777" w:rsidTr="00CB3782">
        <w:trPr>
          <w:trHeight w:val="944"/>
        </w:trPr>
        <w:tc>
          <w:tcPr>
            <w:tcW w:w="2610" w:type="dxa"/>
            <w:vMerge/>
          </w:tcPr>
          <w:p w14:paraId="1B28CDEB" w14:textId="77777777" w:rsidR="00CB3782" w:rsidRDefault="00CB3782" w:rsidP="00283174"/>
        </w:tc>
        <w:tc>
          <w:tcPr>
            <w:tcW w:w="1080" w:type="dxa"/>
            <w:vAlign w:val="center"/>
          </w:tcPr>
          <w:p w14:paraId="4884BB1B" w14:textId="58DF8334" w:rsidR="00CB3782" w:rsidRDefault="00CB3782" w:rsidP="000C2B43">
            <w:r>
              <w:t>PSSEID</w:t>
            </w:r>
          </w:p>
        </w:tc>
        <w:tc>
          <w:tcPr>
            <w:tcW w:w="2700" w:type="dxa"/>
          </w:tcPr>
          <w:p w14:paraId="270AD3FA" w14:textId="5696ACF5" w:rsidR="00CB3782" w:rsidRDefault="00CB3782" w:rsidP="00283174">
            <w:r>
              <w:t>Require and verify the PSSE ID is within a specified range. If the PSSE ID is out of range, then rule will trigger an error message.</w:t>
            </w:r>
          </w:p>
        </w:tc>
        <w:tc>
          <w:tcPr>
            <w:tcW w:w="1530" w:type="dxa"/>
            <w:vAlign w:val="center"/>
          </w:tcPr>
          <w:p w14:paraId="6572D723" w14:textId="1D50F667" w:rsidR="00CB3782" w:rsidRDefault="00CB3782" w:rsidP="00DF1BCE">
            <w:pPr>
              <w:jc w:val="center"/>
            </w:pPr>
            <w:r>
              <w:t xml:space="preserve">1 </w:t>
            </w:r>
            <w:r w:rsidRPr="00B21852">
              <w:t>- 998</w:t>
            </w:r>
          </w:p>
        </w:tc>
      </w:tr>
      <w:tr w:rsidR="00CB3782" w14:paraId="7ADBFEBF" w14:textId="77777777" w:rsidTr="00CB3782">
        <w:trPr>
          <w:trHeight w:val="1151"/>
        </w:trPr>
        <w:tc>
          <w:tcPr>
            <w:tcW w:w="2610" w:type="dxa"/>
            <w:vMerge/>
          </w:tcPr>
          <w:p w14:paraId="64178096" w14:textId="77777777" w:rsidR="00CB3782" w:rsidRDefault="00CB3782" w:rsidP="00283174"/>
        </w:tc>
        <w:tc>
          <w:tcPr>
            <w:tcW w:w="1080" w:type="dxa"/>
            <w:vAlign w:val="center"/>
          </w:tcPr>
          <w:p w14:paraId="4EB8730D" w14:textId="11B93BE2" w:rsidR="00CB3782" w:rsidRDefault="00CB3782" w:rsidP="000C2B43">
            <w:r>
              <w:t>PSSEID</w:t>
            </w:r>
          </w:p>
        </w:tc>
        <w:tc>
          <w:tcPr>
            <w:tcW w:w="2700" w:type="dxa"/>
          </w:tcPr>
          <w:p w14:paraId="15229510" w14:textId="12932671" w:rsidR="00CB3782" w:rsidRDefault="00CB3782" w:rsidP="00283174">
            <w:r>
              <w:t>Require the PSSE ID be unique within the substation. If the PSSE ID is not unique, then the rule will trigger an error message.</w:t>
            </w:r>
          </w:p>
        </w:tc>
        <w:tc>
          <w:tcPr>
            <w:tcW w:w="1530" w:type="dxa"/>
            <w:vAlign w:val="center"/>
          </w:tcPr>
          <w:p w14:paraId="6ABD4A65" w14:textId="2CD48320" w:rsidR="00CB3782" w:rsidRDefault="00CB3782" w:rsidP="00DF1BCE">
            <w:pPr>
              <w:jc w:val="center"/>
            </w:pPr>
            <w:r>
              <w:t>Unique</w:t>
            </w:r>
          </w:p>
        </w:tc>
      </w:tr>
      <w:tr w:rsidR="00CB3782" w14:paraId="423B62AC" w14:textId="77777777" w:rsidTr="00CB3782">
        <w:trPr>
          <w:trHeight w:val="620"/>
        </w:trPr>
        <w:tc>
          <w:tcPr>
            <w:tcW w:w="2610" w:type="dxa"/>
            <w:vMerge w:val="restart"/>
            <w:vAlign w:val="center"/>
          </w:tcPr>
          <w:p w14:paraId="0F41FE51" w14:textId="413EE751" w:rsidR="00CB3782" w:rsidRDefault="00CB3782" w:rsidP="00F75EAA">
            <w:pPr>
              <w:pStyle w:val="ListParagraph"/>
              <w:numPr>
                <w:ilvl w:val="0"/>
                <w:numId w:val="8"/>
              </w:numPr>
            </w:pPr>
            <w:r>
              <w:t>Substation</w:t>
            </w:r>
          </w:p>
        </w:tc>
        <w:tc>
          <w:tcPr>
            <w:tcW w:w="1080" w:type="dxa"/>
            <w:vAlign w:val="center"/>
          </w:tcPr>
          <w:p w14:paraId="776954E4" w14:textId="0A3B065A" w:rsidR="00CB3782" w:rsidRDefault="00CB3782" w:rsidP="000C2B43">
            <w:r>
              <w:t>PSSEID</w:t>
            </w:r>
          </w:p>
        </w:tc>
        <w:tc>
          <w:tcPr>
            <w:tcW w:w="2700" w:type="dxa"/>
          </w:tcPr>
          <w:p w14:paraId="1EEA9B67" w14:textId="0352A46C" w:rsidR="00CB3782" w:rsidRDefault="00CB3782" w:rsidP="00283174">
            <w:r>
              <w:t>Require a PSSE ID for every Substation. If the PSSE ID is left blank, then the rule will trigger an error message.</w:t>
            </w:r>
          </w:p>
        </w:tc>
        <w:tc>
          <w:tcPr>
            <w:tcW w:w="1530" w:type="dxa"/>
            <w:vAlign w:val="center"/>
          </w:tcPr>
          <w:p w14:paraId="2958798A" w14:textId="6F59901F" w:rsidR="00CB3782" w:rsidRDefault="00CB3782" w:rsidP="00DF1BCE">
            <w:pPr>
              <w:jc w:val="center"/>
            </w:pPr>
            <w:r>
              <w:t>Not Blank</w:t>
            </w:r>
          </w:p>
        </w:tc>
      </w:tr>
      <w:tr w:rsidR="00CB3782" w14:paraId="05085E3A" w14:textId="77777777" w:rsidTr="00CB3782">
        <w:trPr>
          <w:trHeight w:val="773"/>
        </w:trPr>
        <w:tc>
          <w:tcPr>
            <w:tcW w:w="2610" w:type="dxa"/>
            <w:vMerge/>
          </w:tcPr>
          <w:p w14:paraId="211DE6A8" w14:textId="77777777" w:rsidR="00CB3782" w:rsidRDefault="00CB3782" w:rsidP="00283174"/>
        </w:tc>
        <w:tc>
          <w:tcPr>
            <w:tcW w:w="1080" w:type="dxa"/>
            <w:vAlign w:val="center"/>
          </w:tcPr>
          <w:p w14:paraId="782B51AF" w14:textId="4C768C7B" w:rsidR="00CB3782" w:rsidRDefault="00CB3782" w:rsidP="000C2B43">
            <w:r>
              <w:t>PSSEIID</w:t>
            </w:r>
          </w:p>
        </w:tc>
        <w:tc>
          <w:tcPr>
            <w:tcW w:w="2700" w:type="dxa"/>
          </w:tcPr>
          <w:p w14:paraId="30E9A7E7" w14:textId="4BFB5F8C" w:rsidR="00CB3782" w:rsidRDefault="00CB3782" w:rsidP="00283174">
            <w:r>
              <w:t>Require and verify the PSSE ID is within a specified range. If the PSSE ID is out of range, then rule will trigger an error message.</w:t>
            </w:r>
          </w:p>
        </w:tc>
        <w:tc>
          <w:tcPr>
            <w:tcW w:w="1530" w:type="dxa"/>
            <w:vAlign w:val="center"/>
          </w:tcPr>
          <w:p w14:paraId="0EDB102E" w14:textId="752CC82A" w:rsidR="00CB3782" w:rsidRDefault="00CB3782" w:rsidP="00DF1BCE">
            <w:pPr>
              <w:jc w:val="center"/>
            </w:pPr>
            <w:r>
              <w:t xml:space="preserve">1 </w:t>
            </w:r>
            <w:r w:rsidRPr="00B21852">
              <w:t>– 999998</w:t>
            </w:r>
          </w:p>
        </w:tc>
      </w:tr>
      <w:tr w:rsidR="00CB3782" w14:paraId="287A434C" w14:textId="77777777" w:rsidTr="00CB3782">
        <w:trPr>
          <w:trHeight w:val="1313"/>
        </w:trPr>
        <w:tc>
          <w:tcPr>
            <w:tcW w:w="2610" w:type="dxa"/>
            <w:vMerge/>
          </w:tcPr>
          <w:p w14:paraId="232FB6A6" w14:textId="77777777" w:rsidR="00CB3782" w:rsidRDefault="00CB3782" w:rsidP="008D553E"/>
        </w:tc>
        <w:tc>
          <w:tcPr>
            <w:tcW w:w="1080" w:type="dxa"/>
            <w:vAlign w:val="center"/>
          </w:tcPr>
          <w:p w14:paraId="10A96794" w14:textId="7AF838D3" w:rsidR="00CB3782" w:rsidRDefault="00CB3782" w:rsidP="000C2B43">
            <w:r>
              <w:t>PSSEID</w:t>
            </w:r>
          </w:p>
        </w:tc>
        <w:tc>
          <w:tcPr>
            <w:tcW w:w="2700" w:type="dxa"/>
          </w:tcPr>
          <w:p w14:paraId="4DF758C1" w14:textId="59F9B0A6" w:rsidR="00CB3782" w:rsidRDefault="00CB3782" w:rsidP="008D553E">
            <w:r>
              <w:t>Require the PSSE ID be unique across all substations. If the PSSE ID is not unique (i.e. another substation has the same PSSE ID), then the rule will trigger an error message.</w:t>
            </w:r>
          </w:p>
        </w:tc>
        <w:tc>
          <w:tcPr>
            <w:tcW w:w="1530" w:type="dxa"/>
            <w:vAlign w:val="center"/>
          </w:tcPr>
          <w:p w14:paraId="2514C29A" w14:textId="31D24250" w:rsidR="00CB3782" w:rsidRDefault="00CB3782" w:rsidP="00DF1BCE">
            <w:pPr>
              <w:jc w:val="center"/>
            </w:pPr>
            <w:r>
              <w:t>Unique</w:t>
            </w:r>
          </w:p>
        </w:tc>
      </w:tr>
      <w:tr w:rsidR="00CB3782" w14:paraId="12CAB78A" w14:textId="77777777" w:rsidTr="00CB3782">
        <w:trPr>
          <w:trHeight w:val="266"/>
        </w:trPr>
        <w:tc>
          <w:tcPr>
            <w:tcW w:w="2610" w:type="dxa"/>
            <w:vMerge w:val="restart"/>
            <w:vAlign w:val="center"/>
          </w:tcPr>
          <w:p w14:paraId="074CAA98" w14:textId="251E0BF2" w:rsidR="00CB3782" w:rsidRDefault="00CB3782" w:rsidP="00597A7C">
            <w:pPr>
              <w:pStyle w:val="ListParagraph"/>
              <w:numPr>
                <w:ilvl w:val="0"/>
                <w:numId w:val="8"/>
              </w:numPr>
            </w:pPr>
            <w:r>
              <w:t>Shunt Compensator ALT</w:t>
            </w:r>
          </w:p>
        </w:tc>
        <w:tc>
          <w:tcPr>
            <w:tcW w:w="1080" w:type="dxa"/>
            <w:vAlign w:val="center"/>
          </w:tcPr>
          <w:p w14:paraId="552A6040" w14:textId="022DFD5D" w:rsidR="00CB3782" w:rsidRDefault="00CB3782" w:rsidP="000C2B43">
            <w:r>
              <w:t>PSSEID</w:t>
            </w:r>
          </w:p>
        </w:tc>
        <w:tc>
          <w:tcPr>
            <w:tcW w:w="2700" w:type="dxa"/>
          </w:tcPr>
          <w:p w14:paraId="55BB611F" w14:textId="7E29FE1E" w:rsidR="00CB3782" w:rsidRDefault="00CB3782" w:rsidP="00283174">
            <w:r>
              <w:t>Require a PSSE ID for every Shunt Compensator ALT. If the PSSE ID is left blank, then the rule will trigger an error message.</w:t>
            </w:r>
          </w:p>
        </w:tc>
        <w:tc>
          <w:tcPr>
            <w:tcW w:w="1530" w:type="dxa"/>
            <w:vAlign w:val="center"/>
          </w:tcPr>
          <w:p w14:paraId="1089D55B" w14:textId="345AE77F" w:rsidR="00CB3782" w:rsidRDefault="00CB3782" w:rsidP="00DF1BCE">
            <w:pPr>
              <w:jc w:val="center"/>
            </w:pPr>
            <w:r>
              <w:t>Not Blank</w:t>
            </w:r>
          </w:p>
        </w:tc>
      </w:tr>
      <w:tr w:rsidR="00CB3782" w14:paraId="7140F84E" w14:textId="77777777" w:rsidTr="00CB3782">
        <w:trPr>
          <w:trHeight w:val="1511"/>
        </w:trPr>
        <w:tc>
          <w:tcPr>
            <w:tcW w:w="2610" w:type="dxa"/>
            <w:vMerge/>
          </w:tcPr>
          <w:p w14:paraId="6CFFA86B" w14:textId="77777777" w:rsidR="00CB3782" w:rsidRDefault="00CB3782" w:rsidP="00283174"/>
        </w:tc>
        <w:tc>
          <w:tcPr>
            <w:tcW w:w="1080" w:type="dxa"/>
            <w:vAlign w:val="center"/>
          </w:tcPr>
          <w:p w14:paraId="04E3616C" w14:textId="4FB744D3" w:rsidR="00CB3782" w:rsidRDefault="00CB3782" w:rsidP="000C2B43">
            <w:r>
              <w:t>PSSEID</w:t>
            </w:r>
          </w:p>
        </w:tc>
        <w:tc>
          <w:tcPr>
            <w:tcW w:w="2700" w:type="dxa"/>
          </w:tcPr>
          <w:p w14:paraId="221D2841" w14:textId="46530627" w:rsidR="00CB3782" w:rsidRDefault="00CB3782" w:rsidP="00283174">
            <w:r>
              <w:t>Require and verify the PSSE ID is a string less than or equal to two (2) alphanumeric characters. If the PSSE ID is greater than two (2) characters, then the rule will trigger an error message.</w:t>
            </w:r>
          </w:p>
        </w:tc>
        <w:tc>
          <w:tcPr>
            <w:tcW w:w="1530" w:type="dxa"/>
            <w:vAlign w:val="center"/>
          </w:tcPr>
          <w:p w14:paraId="539E0C0C" w14:textId="7820E846" w:rsidR="00CB3782" w:rsidRDefault="00CB3782" w:rsidP="00DF1BCE">
            <w:pPr>
              <w:jc w:val="center"/>
            </w:pPr>
            <w:r w:rsidRPr="00B21852">
              <w:t>Length &lt;= 2 alphanumeric characters</w:t>
            </w:r>
          </w:p>
        </w:tc>
      </w:tr>
      <w:tr w:rsidR="00CB3782" w14:paraId="0BBDA8C9" w14:textId="77777777" w:rsidTr="00CB3782">
        <w:trPr>
          <w:trHeight w:val="1340"/>
        </w:trPr>
        <w:tc>
          <w:tcPr>
            <w:tcW w:w="2610" w:type="dxa"/>
            <w:vAlign w:val="center"/>
          </w:tcPr>
          <w:p w14:paraId="32B35D64" w14:textId="62A9E019" w:rsidR="00CB3782" w:rsidRDefault="00CB3782" w:rsidP="00B00ED7">
            <w:pPr>
              <w:pStyle w:val="ListParagraph"/>
              <w:numPr>
                <w:ilvl w:val="0"/>
                <w:numId w:val="8"/>
              </w:numPr>
            </w:pPr>
            <w:r>
              <w:t>Shunt Compensator</w:t>
            </w:r>
          </w:p>
        </w:tc>
        <w:tc>
          <w:tcPr>
            <w:tcW w:w="1080" w:type="dxa"/>
            <w:vAlign w:val="center"/>
          </w:tcPr>
          <w:p w14:paraId="5CDE313E" w14:textId="77D20E75" w:rsidR="00CB3782" w:rsidRDefault="00CB3782" w:rsidP="000C2B43">
            <w:r>
              <w:t>PSSEID</w:t>
            </w:r>
          </w:p>
        </w:tc>
        <w:tc>
          <w:tcPr>
            <w:tcW w:w="2700" w:type="dxa"/>
          </w:tcPr>
          <w:p w14:paraId="5313ECA4" w14:textId="5081A35A" w:rsidR="00CB3782" w:rsidRDefault="00CB3782" w:rsidP="00D65968">
            <w:r>
              <w:t>Require and verify the PSSE ID is a string less than or equal to two (2) alphanumeric characters. If the PSSE ID is greater than two (2) characters, then the rule will trigger an error message.</w:t>
            </w:r>
          </w:p>
        </w:tc>
        <w:tc>
          <w:tcPr>
            <w:tcW w:w="1530" w:type="dxa"/>
            <w:vAlign w:val="center"/>
          </w:tcPr>
          <w:p w14:paraId="3E6A369B" w14:textId="397FDA1B" w:rsidR="00CB3782" w:rsidRDefault="00CB3782" w:rsidP="00DF1BCE">
            <w:pPr>
              <w:jc w:val="center"/>
            </w:pPr>
            <w:r>
              <w:t>Length &lt;= 2 alphanumeric characters</w:t>
            </w:r>
          </w:p>
        </w:tc>
      </w:tr>
      <w:tr w:rsidR="00CB3782" w14:paraId="138B7EC3" w14:textId="77777777" w:rsidTr="00CB3782">
        <w:trPr>
          <w:trHeight w:val="290"/>
        </w:trPr>
        <w:tc>
          <w:tcPr>
            <w:tcW w:w="2610" w:type="dxa"/>
          </w:tcPr>
          <w:p w14:paraId="44789213" w14:textId="77777777" w:rsidR="00CB3782" w:rsidRDefault="00CB3782" w:rsidP="008F5956">
            <w:pPr>
              <w:pStyle w:val="ListParagraph"/>
              <w:numPr>
                <w:ilvl w:val="0"/>
                <w:numId w:val="8"/>
              </w:numPr>
            </w:pPr>
            <w:proofErr w:type="spellStart"/>
            <w:r>
              <w:t>ACLineSegment</w:t>
            </w:r>
            <w:proofErr w:type="spellEnd"/>
          </w:p>
          <w:p w14:paraId="6088BD6A" w14:textId="77777777" w:rsidR="00CB3782" w:rsidRDefault="00CB3782" w:rsidP="008F5956">
            <w:pPr>
              <w:pStyle w:val="ListParagraph"/>
              <w:numPr>
                <w:ilvl w:val="0"/>
                <w:numId w:val="8"/>
              </w:numPr>
            </w:pPr>
            <w:proofErr w:type="spellStart"/>
            <w:r>
              <w:t>SeriesCompensator</w:t>
            </w:r>
            <w:proofErr w:type="spellEnd"/>
          </w:p>
          <w:p w14:paraId="78D77587" w14:textId="77777777" w:rsidR="00CB3782" w:rsidRDefault="00CB3782" w:rsidP="008F5956">
            <w:pPr>
              <w:pStyle w:val="ListParagraph"/>
              <w:numPr>
                <w:ilvl w:val="0"/>
                <w:numId w:val="8"/>
              </w:numPr>
            </w:pPr>
            <w:r>
              <w:t>Breaker</w:t>
            </w:r>
          </w:p>
          <w:p w14:paraId="310C1C85" w14:textId="7CC4BD11" w:rsidR="00CB3782" w:rsidRDefault="00CB3782" w:rsidP="008F5956">
            <w:pPr>
              <w:pStyle w:val="ListParagraph"/>
              <w:numPr>
                <w:ilvl w:val="0"/>
                <w:numId w:val="8"/>
              </w:numPr>
            </w:pPr>
            <w:r>
              <w:t>Disconnector</w:t>
            </w:r>
          </w:p>
        </w:tc>
        <w:tc>
          <w:tcPr>
            <w:tcW w:w="1080" w:type="dxa"/>
            <w:vAlign w:val="center"/>
          </w:tcPr>
          <w:p w14:paraId="597A306A" w14:textId="7394A6C3" w:rsidR="00CB3782" w:rsidRDefault="00CB3782" w:rsidP="000C2B43">
            <w:r>
              <w:t>PSSEID</w:t>
            </w:r>
          </w:p>
        </w:tc>
        <w:tc>
          <w:tcPr>
            <w:tcW w:w="2700" w:type="dxa"/>
          </w:tcPr>
          <w:p w14:paraId="3FA03ABC" w14:textId="5217AD1B" w:rsidR="00CB3782" w:rsidRDefault="00CB3782" w:rsidP="00D65968">
            <w:r>
              <w:t>Require the PSSE ID be unique for the object types that connect the same two (2) buses.</w:t>
            </w:r>
          </w:p>
        </w:tc>
        <w:tc>
          <w:tcPr>
            <w:tcW w:w="1530" w:type="dxa"/>
            <w:vAlign w:val="center"/>
          </w:tcPr>
          <w:p w14:paraId="00FA0B2D" w14:textId="155093D1" w:rsidR="00CB3782" w:rsidRDefault="00CB3782" w:rsidP="00DF1BCE">
            <w:pPr>
              <w:jc w:val="center"/>
            </w:pPr>
            <w:r>
              <w:t>Unique</w:t>
            </w:r>
          </w:p>
        </w:tc>
      </w:tr>
      <w:tr w:rsidR="00CB3782" w14:paraId="547C9F2D" w14:textId="77777777" w:rsidTr="00CB3782">
        <w:trPr>
          <w:trHeight w:val="290"/>
        </w:trPr>
        <w:tc>
          <w:tcPr>
            <w:tcW w:w="2610" w:type="dxa"/>
            <w:vAlign w:val="center"/>
          </w:tcPr>
          <w:p w14:paraId="7BB808AF" w14:textId="77777777" w:rsidR="00CB3782" w:rsidRDefault="00CB3782" w:rsidP="00211C97">
            <w:pPr>
              <w:pStyle w:val="ListParagraph"/>
              <w:numPr>
                <w:ilvl w:val="0"/>
                <w:numId w:val="8"/>
              </w:numPr>
            </w:pPr>
            <w:r>
              <w:t xml:space="preserve">Breakers </w:t>
            </w:r>
          </w:p>
          <w:p w14:paraId="6BA35F1A" w14:textId="5E321077" w:rsidR="00CB3782" w:rsidRDefault="00CB3782" w:rsidP="00211C97">
            <w:pPr>
              <w:pStyle w:val="ListParagraph"/>
              <w:numPr>
                <w:ilvl w:val="0"/>
                <w:numId w:val="8"/>
              </w:numPr>
            </w:pPr>
            <w:r>
              <w:t>Disconnectors</w:t>
            </w:r>
          </w:p>
        </w:tc>
        <w:tc>
          <w:tcPr>
            <w:tcW w:w="1080" w:type="dxa"/>
            <w:vAlign w:val="center"/>
          </w:tcPr>
          <w:p w14:paraId="6D9BA666" w14:textId="72F1EB5E" w:rsidR="00CB3782" w:rsidRDefault="00CB3782" w:rsidP="000C2B43">
            <w:r>
              <w:t>PSSEID</w:t>
            </w:r>
          </w:p>
        </w:tc>
        <w:tc>
          <w:tcPr>
            <w:tcW w:w="2700" w:type="dxa"/>
          </w:tcPr>
          <w:p w14:paraId="074B7D7C" w14:textId="6273CB6F" w:rsidR="00CB3782" w:rsidRDefault="00CB3782" w:rsidP="00915A88">
            <w:r>
              <w:t>Require the PSSE ID be unique for the devices that connect the same two (2) connectivity nodes.</w:t>
            </w:r>
          </w:p>
        </w:tc>
        <w:tc>
          <w:tcPr>
            <w:tcW w:w="1530" w:type="dxa"/>
            <w:vAlign w:val="center"/>
          </w:tcPr>
          <w:p w14:paraId="7619BD35" w14:textId="1915F865" w:rsidR="00CB3782" w:rsidRDefault="00CB3782" w:rsidP="00DF1BCE">
            <w:pPr>
              <w:jc w:val="center"/>
            </w:pPr>
            <w:r>
              <w:t>Unique</w:t>
            </w:r>
          </w:p>
        </w:tc>
      </w:tr>
      <w:tr w:rsidR="00CB3782" w14:paraId="28628266" w14:textId="77777777" w:rsidTr="00CB3782">
        <w:trPr>
          <w:trHeight w:val="290"/>
        </w:trPr>
        <w:tc>
          <w:tcPr>
            <w:tcW w:w="2610" w:type="dxa"/>
          </w:tcPr>
          <w:p w14:paraId="2334BFFE" w14:textId="77777777" w:rsidR="00CB3782" w:rsidRDefault="00CB3782" w:rsidP="00B00ED7">
            <w:pPr>
              <w:pStyle w:val="ListParagraph"/>
              <w:numPr>
                <w:ilvl w:val="0"/>
                <w:numId w:val="8"/>
              </w:numPr>
            </w:pPr>
            <w:proofErr w:type="spellStart"/>
            <w:r>
              <w:t>SynchronousMachine</w:t>
            </w:r>
            <w:proofErr w:type="spellEnd"/>
          </w:p>
          <w:p w14:paraId="39B62B52" w14:textId="77777777" w:rsidR="00CB3782" w:rsidRDefault="00CB3782" w:rsidP="00B00ED7">
            <w:pPr>
              <w:pStyle w:val="ListParagraph"/>
              <w:numPr>
                <w:ilvl w:val="0"/>
                <w:numId w:val="8"/>
              </w:numPr>
            </w:pPr>
            <w:proofErr w:type="spellStart"/>
            <w:r>
              <w:t>CustomerLoad</w:t>
            </w:r>
            <w:proofErr w:type="spellEnd"/>
          </w:p>
          <w:p w14:paraId="1CA8BD89" w14:textId="77777777" w:rsidR="00CB3782" w:rsidRDefault="00CB3782" w:rsidP="00B00ED7">
            <w:pPr>
              <w:pStyle w:val="ListParagraph"/>
              <w:numPr>
                <w:ilvl w:val="0"/>
                <w:numId w:val="8"/>
              </w:numPr>
            </w:pPr>
            <w:proofErr w:type="spellStart"/>
            <w:r>
              <w:t>NonConformLoad</w:t>
            </w:r>
            <w:proofErr w:type="spellEnd"/>
          </w:p>
          <w:p w14:paraId="107BF4F5" w14:textId="77777777" w:rsidR="00CB3782" w:rsidRDefault="00CB3782" w:rsidP="00B00ED7">
            <w:pPr>
              <w:pStyle w:val="ListParagraph"/>
              <w:numPr>
                <w:ilvl w:val="0"/>
                <w:numId w:val="8"/>
              </w:numPr>
            </w:pPr>
            <w:proofErr w:type="spellStart"/>
            <w:r>
              <w:t>ShuntCompensator</w:t>
            </w:r>
            <w:proofErr w:type="spellEnd"/>
          </w:p>
          <w:p w14:paraId="1765DEDC" w14:textId="7E7119B7" w:rsidR="00CB3782" w:rsidRDefault="00CB3782" w:rsidP="00B00ED7">
            <w:pPr>
              <w:pStyle w:val="ListParagraph"/>
              <w:numPr>
                <w:ilvl w:val="0"/>
                <w:numId w:val="8"/>
              </w:numPr>
            </w:pPr>
            <w:proofErr w:type="spellStart"/>
            <w:r>
              <w:t>ShuntCompensatorALT</w:t>
            </w:r>
            <w:proofErr w:type="spellEnd"/>
          </w:p>
        </w:tc>
        <w:tc>
          <w:tcPr>
            <w:tcW w:w="1080" w:type="dxa"/>
            <w:vAlign w:val="center"/>
          </w:tcPr>
          <w:p w14:paraId="08B20F9A" w14:textId="1A41499A" w:rsidR="00CB3782" w:rsidRDefault="00CB3782" w:rsidP="000C2B43">
            <w:r>
              <w:t>PSSEID</w:t>
            </w:r>
          </w:p>
        </w:tc>
        <w:tc>
          <w:tcPr>
            <w:tcW w:w="2700" w:type="dxa"/>
          </w:tcPr>
          <w:p w14:paraId="320D4643" w14:textId="69D1FBCE" w:rsidR="00CB3782" w:rsidRDefault="00CB3782" w:rsidP="00B57B20">
            <w:r w:rsidRPr="00B21852">
              <w:t>Require the PSSE ID be unique, at the bus level, for devices of the same object type.</w:t>
            </w:r>
          </w:p>
        </w:tc>
        <w:tc>
          <w:tcPr>
            <w:tcW w:w="1530" w:type="dxa"/>
            <w:vAlign w:val="center"/>
          </w:tcPr>
          <w:p w14:paraId="424D3E79" w14:textId="7DB583B8" w:rsidR="00CB3782" w:rsidRDefault="00CB3782" w:rsidP="008426A2">
            <w:pPr>
              <w:jc w:val="center"/>
            </w:pPr>
            <w:r>
              <w:t>Unique</w:t>
            </w:r>
          </w:p>
        </w:tc>
      </w:tr>
    </w:tbl>
    <w:p w14:paraId="1CBAE261" w14:textId="0B93682A" w:rsidR="00FD27B0" w:rsidRPr="00FD27B0" w:rsidRDefault="00FD27B0" w:rsidP="00434E15"/>
    <w:p w14:paraId="66266948" w14:textId="69AA3A9A" w:rsidR="001C3BB7" w:rsidRPr="001C3BB7" w:rsidRDefault="002E51BF" w:rsidP="00434E15">
      <w:r>
        <w:t>12 rules</w:t>
      </w:r>
    </w:p>
    <w:sectPr w:rsidR="001C3BB7" w:rsidRPr="001C3BB7" w:rsidSect="00434E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20C"/>
    <w:multiLevelType w:val="hybridMultilevel"/>
    <w:tmpl w:val="FCA4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56719"/>
    <w:multiLevelType w:val="hybridMultilevel"/>
    <w:tmpl w:val="94364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E2C76"/>
    <w:multiLevelType w:val="hybridMultilevel"/>
    <w:tmpl w:val="B7142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E54F6"/>
    <w:multiLevelType w:val="hybridMultilevel"/>
    <w:tmpl w:val="ED64D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177292"/>
    <w:multiLevelType w:val="multilevel"/>
    <w:tmpl w:val="238E5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9A1794"/>
    <w:multiLevelType w:val="hybridMultilevel"/>
    <w:tmpl w:val="7CFEA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C81AF0"/>
    <w:multiLevelType w:val="hybridMultilevel"/>
    <w:tmpl w:val="B71426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CD5042"/>
    <w:multiLevelType w:val="hybridMultilevel"/>
    <w:tmpl w:val="B9C8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973824">
    <w:abstractNumId w:val="7"/>
  </w:num>
  <w:num w:numId="2" w16cid:durableId="275722269">
    <w:abstractNumId w:val="4"/>
  </w:num>
  <w:num w:numId="3" w16cid:durableId="1006833586">
    <w:abstractNumId w:val="1"/>
  </w:num>
  <w:num w:numId="4" w16cid:durableId="2062097485">
    <w:abstractNumId w:val="0"/>
  </w:num>
  <w:num w:numId="5" w16cid:durableId="978614526">
    <w:abstractNumId w:val="3"/>
  </w:num>
  <w:num w:numId="6" w16cid:durableId="229733576">
    <w:abstractNumId w:val="2"/>
  </w:num>
  <w:num w:numId="7" w16cid:durableId="331033950">
    <w:abstractNumId w:val="6"/>
  </w:num>
  <w:num w:numId="8" w16cid:durableId="789786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51"/>
    <w:rsid w:val="00005FF2"/>
    <w:rsid w:val="000573A7"/>
    <w:rsid w:val="0008210E"/>
    <w:rsid w:val="000C2B43"/>
    <w:rsid w:val="000C5F98"/>
    <w:rsid w:val="00125519"/>
    <w:rsid w:val="00127C53"/>
    <w:rsid w:val="0013370B"/>
    <w:rsid w:val="001338FA"/>
    <w:rsid w:val="00144996"/>
    <w:rsid w:val="00172CD0"/>
    <w:rsid w:val="001B6699"/>
    <w:rsid w:val="001C3BB7"/>
    <w:rsid w:val="001D2CAF"/>
    <w:rsid w:val="00211C97"/>
    <w:rsid w:val="002243C3"/>
    <w:rsid w:val="0024253C"/>
    <w:rsid w:val="00283174"/>
    <w:rsid w:val="002A2F73"/>
    <w:rsid w:val="002C0849"/>
    <w:rsid w:val="002E51BF"/>
    <w:rsid w:val="00305316"/>
    <w:rsid w:val="0033795A"/>
    <w:rsid w:val="00385BF6"/>
    <w:rsid w:val="00424414"/>
    <w:rsid w:val="0042644B"/>
    <w:rsid w:val="0042711F"/>
    <w:rsid w:val="00434E15"/>
    <w:rsid w:val="00467547"/>
    <w:rsid w:val="00476DD5"/>
    <w:rsid w:val="00492683"/>
    <w:rsid w:val="004D6580"/>
    <w:rsid w:val="004F424D"/>
    <w:rsid w:val="004F6926"/>
    <w:rsid w:val="005370BB"/>
    <w:rsid w:val="00540146"/>
    <w:rsid w:val="00597A7C"/>
    <w:rsid w:val="005A793D"/>
    <w:rsid w:val="0065105A"/>
    <w:rsid w:val="006D40BF"/>
    <w:rsid w:val="0071705E"/>
    <w:rsid w:val="00732121"/>
    <w:rsid w:val="00733451"/>
    <w:rsid w:val="00736EF0"/>
    <w:rsid w:val="007D492B"/>
    <w:rsid w:val="00814C65"/>
    <w:rsid w:val="00824475"/>
    <w:rsid w:val="008377AD"/>
    <w:rsid w:val="008426A2"/>
    <w:rsid w:val="008567F4"/>
    <w:rsid w:val="00861274"/>
    <w:rsid w:val="0087546F"/>
    <w:rsid w:val="00890D77"/>
    <w:rsid w:val="008A4F2F"/>
    <w:rsid w:val="008C36F9"/>
    <w:rsid w:val="008D553E"/>
    <w:rsid w:val="008D5BDE"/>
    <w:rsid w:val="008E6A9E"/>
    <w:rsid w:val="008F5956"/>
    <w:rsid w:val="009023A9"/>
    <w:rsid w:val="00913A9D"/>
    <w:rsid w:val="00915A88"/>
    <w:rsid w:val="00930AF2"/>
    <w:rsid w:val="00931413"/>
    <w:rsid w:val="00932C28"/>
    <w:rsid w:val="0094364C"/>
    <w:rsid w:val="009B058A"/>
    <w:rsid w:val="009E5189"/>
    <w:rsid w:val="00A30332"/>
    <w:rsid w:val="00A61B2E"/>
    <w:rsid w:val="00A62E26"/>
    <w:rsid w:val="00AA0D61"/>
    <w:rsid w:val="00AA1C34"/>
    <w:rsid w:val="00AC243F"/>
    <w:rsid w:val="00AC3089"/>
    <w:rsid w:val="00AC6A63"/>
    <w:rsid w:val="00B00ED7"/>
    <w:rsid w:val="00B21852"/>
    <w:rsid w:val="00B30888"/>
    <w:rsid w:val="00B57B20"/>
    <w:rsid w:val="00B81882"/>
    <w:rsid w:val="00B91F9A"/>
    <w:rsid w:val="00C72997"/>
    <w:rsid w:val="00C7578C"/>
    <w:rsid w:val="00C770EC"/>
    <w:rsid w:val="00CB17B1"/>
    <w:rsid w:val="00CB31E6"/>
    <w:rsid w:val="00CB3782"/>
    <w:rsid w:val="00CC24DA"/>
    <w:rsid w:val="00CC55D6"/>
    <w:rsid w:val="00CF14BB"/>
    <w:rsid w:val="00D016B1"/>
    <w:rsid w:val="00D65968"/>
    <w:rsid w:val="00D7577E"/>
    <w:rsid w:val="00D82D56"/>
    <w:rsid w:val="00D83680"/>
    <w:rsid w:val="00DB1736"/>
    <w:rsid w:val="00DF1BCE"/>
    <w:rsid w:val="00E07CFA"/>
    <w:rsid w:val="00E26C85"/>
    <w:rsid w:val="00E57069"/>
    <w:rsid w:val="00E611E7"/>
    <w:rsid w:val="00E63E7D"/>
    <w:rsid w:val="00E86A41"/>
    <w:rsid w:val="00E873A5"/>
    <w:rsid w:val="00E958F4"/>
    <w:rsid w:val="00EA05C9"/>
    <w:rsid w:val="00EA2CE5"/>
    <w:rsid w:val="00EA349A"/>
    <w:rsid w:val="00EB1450"/>
    <w:rsid w:val="00EC39A4"/>
    <w:rsid w:val="00EC6302"/>
    <w:rsid w:val="00F177A1"/>
    <w:rsid w:val="00F36EDF"/>
    <w:rsid w:val="00F6348D"/>
    <w:rsid w:val="00F70356"/>
    <w:rsid w:val="00F75EAA"/>
    <w:rsid w:val="00F87B65"/>
    <w:rsid w:val="00F90453"/>
    <w:rsid w:val="00FD27B0"/>
    <w:rsid w:val="00FE361A"/>
    <w:rsid w:val="00FF1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7765"/>
  <w15:chartTrackingRefBased/>
  <w15:docId w15:val="{EE993FC6-4934-4E93-910F-92D756C4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C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CFA"/>
    <w:rPr>
      <w:rFonts w:asciiTheme="majorHAnsi" w:eastAsiaTheme="majorEastAsia" w:hAnsiTheme="majorHAnsi" w:cstheme="majorBidi"/>
      <w:color w:val="2F5496" w:themeColor="accent1" w:themeShade="BF"/>
      <w:sz w:val="32"/>
      <w:szCs w:val="32"/>
    </w:rPr>
  </w:style>
  <w:style w:type="paragraph" w:customStyle="1" w:styleId="Heading10">
    <w:name w:val="Heading_1"/>
    <w:basedOn w:val="Heading1"/>
    <w:link w:val="Heading1Char0"/>
    <w:qFormat/>
    <w:rsid w:val="00E07CFA"/>
    <w:pPr>
      <w:spacing w:line="240" w:lineRule="auto"/>
      <w:jc w:val="center"/>
    </w:pPr>
    <w:rPr>
      <w:b/>
      <w:color w:val="auto"/>
      <w:sz w:val="36"/>
      <w:u w:val="single"/>
    </w:rPr>
  </w:style>
  <w:style w:type="character" w:customStyle="1" w:styleId="Heading1Char0">
    <w:name w:val="Heading_1 Char"/>
    <w:basedOn w:val="Heading1Char"/>
    <w:link w:val="Heading10"/>
    <w:rsid w:val="00E07CFA"/>
    <w:rPr>
      <w:rFonts w:asciiTheme="majorHAnsi" w:eastAsiaTheme="majorEastAsia" w:hAnsiTheme="majorHAnsi" w:cstheme="majorBidi"/>
      <w:b/>
      <w:color w:val="2F5496" w:themeColor="accent1" w:themeShade="BF"/>
      <w:sz w:val="36"/>
      <w:szCs w:val="32"/>
      <w:u w:val="single"/>
    </w:rPr>
  </w:style>
  <w:style w:type="paragraph" w:styleId="Subtitle">
    <w:name w:val="Subtitle"/>
    <w:basedOn w:val="Normal"/>
    <w:next w:val="Normal"/>
    <w:link w:val="SubtitleChar"/>
    <w:uiPriority w:val="11"/>
    <w:qFormat/>
    <w:rsid w:val="00E07CFA"/>
    <w:pPr>
      <w:numPr>
        <w:ilvl w:val="1"/>
      </w:numPr>
    </w:pPr>
    <w:rPr>
      <w:rFonts w:eastAsiaTheme="minorEastAsia"/>
      <w:color w:val="5B9BD5" w:themeColor="accent5"/>
      <w:spacing w:val="15"/>
      <w:sz w:val="28"/>
    </w:rPr>
  </w:style>
  <w:style w:type="character" w:customStyle="1" w:styleId="SubtitleChar">
    <w:name w:val="Subtitle Char"/>
    <w:basedOn w:val="DefaultParagraphFont"/>
    <w:link w:val="Subtitle"/>
    <w:uiPriority w:val="11"/>
    <w:rsid w:val="00E07CFA"/>
    <w:rPr>
      <w:rFonts w:eastAsiaTheme="minorEastAsia"/>
      <w:color w:val="5B9BD5" w:themeColor="accent5"/>
      <w:spacing w:val="15"/>
      <w:sz w:val="28"/>
    </w:rPr>
  </w:style>
  <w:style w:type="table" w:styleId="TableGrid">
    <w:name w:val="Table Grid"/>
    <w:basedOn w:val="TableNormal"/>
    <w:uiPriority w:val="39"/>
    <w:rsid w:val="00E0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7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8825">
      <w:bodyDiv w:val="1"/>
      <w:marLeft w:val="0"/>
      <w:marRight w:val="0"/>
      <w:marTop w:val="0"/>
      <w:marBottom w:val="0"/>
      <w:divBdr>
        <w:top w:val="none" w:sz="0" w:space="0" w:color="auto"/>
        <w:left w:val="none" w:sz="0" w:space="0" w:color="auto"/>
        <w:bottom w:val="none" w:sz="0" w:space="0" w:color="auto"/>
        <w:right w:val="none" w:sz="0" w:space="0" w:color="auto"/>
      </w:divBdr>
    </w:div>
    <w:div w:id="947083311">
      <w:bodyDiv w:val="1"/>
      <w:marLeft w:val="0"/>
      <w:marRight w:val="0"/>
      <w:marTop w:val="0"/>
      <w:marBottom w:val="0"/>
      <w:divBdr>
        <w:top w:val="none" w:sz="0" w:space="0" w:color="auto"/>
        <w:left w:val="none" w:sz="0" w:space="0" w:color="auto"/>
        <w:bottom w:val="none" w:sz="0" w:space="0" w:color="auto"/>
        <w:right w:val="none" w:sz="0" w:space="0" w:color="auto"/>
      </w:divBdr>
    </w:div>
    <w:div w:id="1260068022">
      <w:bodyDiv w:val="1"/>
      <w:marLeft w:val="0"/>
      <w:marRight w:val="0"/>
      <w:marTop w:val="0"/>
      <w:marBottom w:val="0"/>
      <w:divBdr>
        <w:top w:val="none" w:sz="0" w:space="0" w:color="auto"/>
        <w:left w:val="none" w:sz="0" w:space="0" w:color="auto"/>
        <w:bottom w:val="none" w:sz="0" w:space="0" w:color="auto"/>
        <w:right w:val="none" w:sz="0" w:space="0" w:color="auto"/>
      </w:divBdr>
    </w:div>
    <w:div w:id="2006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Zwanenburg, Zane</dc:creator>
  <cp:keywords/>
  <dc:description/>
  <cp:lastModifiedBy>Hernandez-Garcia, Jessica</cp:lastModifiedBy>
  <cp:revision>5</cp:revision>
  <dcterms:created xsi:type="dcterms:W3CDTF">2024-08-20T15:06:00Z</dcterms:created>
  <dcterms:modified xsi:type="dcterms:W3CDTF">2024-08-20T15:08:00Z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2024-08-08T23:30:26Z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3cc15e50-f68e-4787-9e88-7fdc568ebd9f</vt:lpwstr>
  </property>
  <property fmtid="{D5CDD505-2E9C-101B-9397-08002B2CF9AE}" pid="8" name="MSIP_Label_7084cbda-52b8-46fb-a7b7-cb5bd465ed85_ContentBits">
    <vt:lpwstr>0</vt:lpwstr>
  </property>
</Properties>
</file>