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269"/>
        <w:gridCol w:w="906"/>
        <w:gridCol w:w="6706"/>
      </w:tblGrid>
      <w:tr w:rsidR="00152993" w14:paraId="0F97C4A4" w14:textId="77777777" w:rsidTr="004732C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917E8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870ABB" w14:textId="40CDAA5F" w:rsidR="00152993" w:rsidRDefault="00361424">
            <w:pPr>
              <w:pStyle w:val="Header"/>
            </w:pPr>
            <w:hyperlink r:id="rId8" w:history="1">
              <w:r w:rsidR="00744FB5" w:rsidRPr="007A186E">
                <w:rPr>
                  <w:rStyle w:val="Hyperlink"/>
                </w:rPr>
                <w:t>1190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36DB1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183FD44" w14:textId="77777777" w:rsidR="00152993" w:rsidRDefault="00744FB5">
            <w:pPr>
              <w:pStyle w:val="Header"/>
            </w:pPr>
            <w:r>
              <w:rPr>
                <w:szCs w:val="20"/>
              </w:rPr>
              <w:t>High Dispatch Limit Override Provision for Increased Load Serving Entity Costs</w:t>
            </w:r>
          </w:p>
        </w:tc>
      </w:tr>
      <w:tr w:rsidR="00152993" w14:paraId="095E7663" w14:textId="77777777" w:rsidTr="004732C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F7E20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67476" w14:textId="77777777" w:rsidR="00152993" w:rsidRDefault="00152993">
            <w:pPr>
              <w:pStyle w:val="NormalArial"/>
            </w:pPr>
          </w:p>
        </w:tc>
      </w:tr>
      <w:tr w:rsidR="00152993" w14:paraId="7A03E020" w14:textId="77777777" w:rsidTr="004732C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6B3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E542" w14:textId="2702EFE3" w:rsidR="00152993" w:rsidRDefault="00944B12">
            <w:pPr>
              <w:pStyle w:val="NormalArial"/>
            </w:pPr>
            <w:r>
              <w:t>September 19, 2024</w:t>
            </w:r>
          </w:p>
        </w:tc>
      </w:tr>
      <w:tr w:rsidR="00152993" w14:paraId="66AF85AE" w14:textId="77777777" w:rsidTr="004732C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A32F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498D" w14:textId="77777777" w:rsidR="00152993" w:rsidRDefault="00152993">
            <w:pPr>
              <w:pStyle w:val="NormalArial"/>
            </w:pPr>
          </w:p>
        </w:tc>
      </w:tr>
      <w:tr w:rsidR="00152993" w14:paraId="352F6789" w14:textId="77777777" w:rsidTr="004732C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A864C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1DF8E20" w14:textId="77777777" w:rsidTr="004732C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A3B7A0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1C8728F" w14:textId="1D844EA8" w:rsidR="00152993" w:rsidRDefault="00CE5D21">
            <w:pPr>
              <w:pStyle w:val="NormalArial"/>
            </w:pPr>
            <w:r>
              <w:t>Keith Collins</w:t>
            </w:r>
          </w:p>
        </w:tc>
      </w:tr>
      <w:tr w:rsidR="00152993" w14:paraId="057CAE79" w14:textId="77777777" w:rsidTr="004732C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85C219D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1827986" w14:textId="77CA3BAD" w:rsidR="00152993" w:rsidRDefault="00361424">
            <w:pPr>
              <w:pStyle w:val="NormalArial"/>
            </w:pPr>
            <w:hyperlink r:id="rId9" w:history="1">
              <w:r w:rsidR="00CE5D21">
                <w:rPr>
                  <w:rStyle w:val="Hyperlink"/>
                </w:rPr>
                <w:t>keith.collins</w:t>
              </w:r>
              <w:r w:rsidR="00CE5D21" w:rsidRPr="002D5E1E">
                <w:rPr>
                  <w:rStyle w:val="Hyperlink"/>
                </w:rPr>
                <w:t>@ercot.com</w:t>
              </w:r>
            </w:hyperlink>
          </w:p>
        </w:tc>
      </w:tr>
      <w:tr w:rsidR="00152993" w14:paraId="28A7D3C9" w14:textId="77777777" w:rsidTr="004732C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B3E128E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75A9235" w14:textId="77777777" w:rsidR="00152993" w:rsidRDefault="00744FB5">
            <w:pPr>
              <w:pStyle w:val="NormalArial"/>
            </w:pPr>
            <w:r>
              <w:t>ERCOT</w:t>
            </w:r>
          </w:p>
        </w:tc>
      </w:tr>
      <w:tr w:rsidR="00152993" w14:paraId="51DC7493" w14:textId="77777777" w:rsidTr="004732C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747D9E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03E7B3" w14:textId="246041FA" w:rsidR="00152993" w:rsidRDefault="00744FB5">
            <w:pPr>
              <w:pStyle w:val="NormalArial"/>
            </w:pPr>
            <w:r>
              <w:t>512-</w:t>
            </w:r>
            <w:r w:rsidR="00CE5D21">
              <w:t>248-6707</w:t>
            </w:r>
          </w:p>
        </w:tc>
      </w:tr>
      <w:tr w:rsidR="00152993" w14:paraId="48B4136F" w14:textId="77777777" w:rsidTr="004732C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1710E3C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393BDDAD" w14:textId="77777777" w:rsidR="00152993" w:rsidRDefault="00152993">
            <w:pPr>
              <w:pStyle w:val="NormalArial"/>
            </w:pPr>
          </w:p>
        </w:tc>
      </w:tr>
      <w:tr w:rsidR="00075A94" w14:paraId="40EAB42D" w14:textId="77777777" w:rsidTr="004732C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5A5E25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8DA7C99" w14:textId="4CC0E02D" w:rsidR="00075A94" w:rsidRDefault="00944B12">
            <w:pPr>
              <w:pStyle w:val="NormalArial"/>
            </w:pPr>
            <w:r>
              <w:t>Not applicable</w:t>
            </w:r>
          </w:p>
        </w:tc>
      </w:tr>
    </w:tbl>
    <w:tbl>
      <w:tblPr>
        <w:tblpPr w:leftFromText="180" w:rightFromText="180" w:vertAnchor="text" w:horzAnchor="margin" w:tblpY="18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732C7" w:rsidRPr="00B5080A" w14:paraId="28EFEAAB" w14:textId="77777777" w:rsidTr="004732C7">
        <w:trPr>
          <w:trHeight w:val="422"/>
        </w:trPr>
        <w:tc>
          <w:tcPr>
            <w:tcW w:w="10440" w:type="dxa"/>
            <w:vAlign w:val="center"/>
          </w:tcPr>
          <w:p w14:paraId="0EC14E92" w14:textId="77777777" w:rsidR="004732C7" w:rsidRPr="00075A94" w:rsidRDefault="004732C7" w:rsidP="004732C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712F061" w14:textId="0B6E56B6" w:rsidR="0001078E" w:rsidRDefault="00830723" w:rsidP="007A186E">
      <w:pPr>
        <w:pStyle w:val="NormalArial"/>
        <w:spacing w:before="120" w:after="120"/>
      </w:pPr>
      <w:r>
        <w:t>On August 20, 2024, the ERCOT Board of Directors (Board), as recommended by the</w:t>
      </w:r>
      <w:r w:rsidR="0001078E">
        <w:t xml:space="preserve"> ERCOT Reliability and Markets </w:t>
      </w:r>
      <w:r w:rsidR="007D48E3">
        <w:t xml:space="preserve">(R&amp;M) </w:t>
      </w:r>
      <w:r w:rsidR="0001078E">
        <w:t>Committee</w:t>
      </w:r>
      <w:r>
        <w:t>,</w:t>
      </w:r>
      <w:r w:rsidR="0001078E">
        <w:t xml:space="preserve"> tabled </w:t>
      </w:r>
      <w:r w:rsidR="007D48E3">
        <w:t>Nodal Protocol Revision Request (</w:t>
      </w:r>
      <w:r w:rsidR="0001078E">
        <w:t>NPRR</w:t>
      </w:r>
      <w:r w:rsidR="007D48E3">
        <w:t xml:space="preserve">) </w:t>
      </w:r>
      <w:r w:rsidR="0001078E">
        <w:t xml:space="preserve">1190. </w:t>
      </w:r>
      <w:r w:rsidR="0049620D">
        <w:t>The NPRR was tabled</w:t>
      </w:r>
      <w:r w:rsidR="0001078E">
        <w:t xml:space="preserve"> to allow for additional time for </w:t>
      </w:r>
      <w:r>
        <w:t xml:space="preserve">the </w:t>
      </w:r>
      <w:r w:rsidR="0001078E">
        <w:t xml:space="preserve">R&amp;M </w:t>
      </w:r>
      <w:r>
        <w:t xml:space="preserve">Committee </w:t>
      </w:r>
      <w:r w:rsidR="0001078E">
        <w:t xml:space="preserve">to contemplate the language as well as the </w:t>
      </w:r>
      <w:r>
        <w:t xml:space="preserve">Consumer Segment </w:t>
      </w:r>
      <w:r w:rsidR="0001078E">
        <w:t xml:space="preserve">opposing votes from </w:t>
      </w:r>
      <w:r>
        <w:t>the Technical Advisory Committee (TAC)</w:t>
      </w:r>
      <w:r w:rsidR="0001078E">
        <w:t xml:space="preserve">. ERCOT submits these comments to provide additional information to help </w:t>
      </w:r>
      <w:r>
        <w:t xml:space="preserve">in the </w:t>
      </w:r>
      <w:r w:rsidR="0001078E">
        <w:t>R&amp;M</w:t>
      </w:r>
      <w:r>
        <w:t xml:space="preserve"> Committee’s and Board’s consideration</w:t>
      </w:r>
      <w:r w:rsidR="0001078E">
        <w:t xml:space="preserve"> </w:t>
      </w:r>
      <w:r>
        <w:t>of</w:t>
      </w:r>
      <w:r w:rsidR="0001078E">
        <w:t xml:space="preserve"> NPRR1190.</w:t>
      </w:r>
      <w:r w:rsidR="007D48E3">
        <w:t xml:space="preserve"> These comments are not meant to represent the TAC position nor any positions of Consumer Segment opposing votes.</w:t>
      </w:r>
    </w:p>
    <w:p w14:paraId="2AEEC97B" w14:textId="180B3A57" w:rsidR="00830723" w:rsidRDefault="00830723" w:rsidP="007A186E">
      <w:pPr>
        <w:pStyle w:val="NormalArial"/>
        <w:spacing w:before="120" w:after="120"/>
      </w:pPr>
      <w:r>
        <w:t>ERCOT provides the following key takeaways:</w:t>
      </w:r>
    </w:p>
    <w:p w14:paraId="46A029A6" w14:textId="0E83EC5D" w:rsidR="0001078E" w:rsidRDefault="0001078E" w:rsidP="00830723">
      <w:pPr>
        <w:pStyle w:val="NormalArial"/>
        <w:numPr>
          <w:ilvl w:val="0"/>
          <w:numId w:val="3"/>
        </w:numPr>
        <w:spacing w:before="120" w:after="120"/>
      </w:pPr>
      <w:r>
        <w:t xml:space="preserve">This NPRR is </w:t>
      </w:r>
      <w:r w:rsidR="008F48D0">
        <w:t xml:space="preserve">a </w:t>
      </w:r>
      <w:r w:rsidR="00830723">
        <w:t>M</w:t>
      </w:r>
      <w:r w:rsidR="008F48D0">
        <w:t xml:space="preserve">arket </w:t>
      </w:r>
      <w:r w:rsidR="00830723">
        <w:t>P</w:t>
      </w:r>
      <w:r w:rsidR="008F48D0">
        <w:t>articipant sponsored</w:t>
      </w:r>
      <w:r w:rsidR="007D48E3">
        <w:t>-</w:t>
      </w:r>
      <w:r w:rsidR="008F48D0">
        <w:t>NPRR that</w:t>
      </w:r>
      <w:r w:rsidR="0049620D">
        <w:t xml:space="preserve"> </w:t>
      </w:r>
      <w:r>
        <w:t xml:space="preserve">expands </w:t>
      </w:r>
      <w:r w:rsidR="0049620D">
        <w:t xml:space="preserve">the entities and situations eligible for the recovery of financial losses originally provided for under </w:t>
      </w:r>
      <w:r w:rsidR="0049620D" w:rsidRPr="007A186E">
        <w:t>NPRR649, Addressing Issues Surrounding High Dispatch Limit (HDL) Override</w:t>
      </w:r>
      <w:r w:rsidR="0049620D">
        <w:t>s, which became effective on March 9, 2017.</w:t>
      </w:r>
      <w:r w:rsidR="00C32A6D">
        <w:t xml:space="preserve"> The primary effect is to change</w:t>
      </w:r>
      <w:r w:rsidR="00B70A77">
        <w:t xml:space="preserve"> a</w:t>
      </w:r>
      <w:r w:rsidR="00C32A6D">
        <w:t xml:space="preserve"> </w:t>
      </w:r>
      <w:r w:rsidR="007D48E3">
        <w:t xml:space="preserve">7-year plus old market </w:t>
      </w:r>
      <w:r w:rsidR="00C32A6D">
        <w:t xml:space="preserve">policy to enhance fairness </w:t>
      </w:r>
      <w:proofErr w:type="gramStart"/>
      <w:r w:rsidR="00C32A6D">
        <w:t>with regard to</w:t>
      </w:r>
      <w:proofErr w:type="gramEnd"/>
      <w:r w:rsidR="00C32A6D">
        <w:t xml:space="preserve"> the eligibility to recover costs associated with a specific type of financial losses. This NPRR does </w:t>
      </w:r>
      <w:r w:rsidR="00C32A6D" w:rsidRPr="00CD7685">
        <w:rPr>
          <w:u w:val="single"/>
        </w:rPr>
        <w:t>not</w:t>
      </w:r>
      <w:r w:rsidR="00C32A6D">
        <w:t xml:space="preserve"> materially affect reliability.</w:t>
      </w:r>
    </w:p>
    <w:p w14:paraId="2B419AD5" w14:textId="4919A5F5" w:rsidR="00830723" w:rsidRDefault="0049620D" w:rsidP="0049620D">
      <w:pPr>
        <w:pStyle w:val="NormalArial"/>
        <w:numPr>
          <w:ilvl w:val="0"/>
          <w:numId w:val="3"/>
        </w:numPr>
        <w:spacing w:before="120" w:after="120"/>
      </w:pPr>
      <w:r>
        <w:t xml:space="preserve">The current </w:t>
      </w:r>
      <w:r w:rsidR="007D48E3">
        <w:t xml:space="preserve">market </w:t>
      </w:r>
      <w:r>
        <w:t xml:space="preserve">policy requires </w:t>
      </w:r>
      <w:r w:rsidR="00D44200">
        <w:t>a</w:t>
      </w:r>
      <w:r>
        <w:t xml:space="preserve"> </w:t>
      </w:r>
      <w:r w:rsidR="00830723">
        <w:t>Qualified Scheduling Entity (</w:t>
      </w:r>
      <w:r>
        <w:t>QSE</w:t>
      </w:r>
      <w:r w:rsidR="00830723">
        <w:t>)</w:t>
      </w:r>
      <w:r>
        <w:t xml:space="preserve"> to have either a Day-Ahead Market (DAM) obligation or a bilateral contract </w:t>
      </w:r>
      <w:r w:rsidR="007D48E3">
        <w:t>to</w:t>
      </w:r>
      <w:r>
        <w:t xml:space="preserve"> be eligible to recover financial losses</w:t>
      </w:r>
      <w:r w:rsidR="00D44200">
        <w:t xml:space="preserve"> resulting from a High Dispatch Limit (HDL) Override</w:t>
      </w:r>
      <w:r>
        <w:t xml:space="preserve">. </w:t>
      </w:r>
    </w:p>
    <w:p w14:paraId="61AE6610" w14:textId="760F71FE" w:rsidR="0049620D" w:rsidRDefault="0049620D" w:rsidP="0049620D">
      <w:pPr>
        <w:pStyle w:val="NormalArial"/>
        <w:numPr>
          <w:ilvl w:val="0"/>
          <w:numId w:val="3"/>
        </w:numPr>
        <w:spacing w:before="120" w:after="120"/>
      </w:pPr>
      <w:r>
        <w:t xml:space="preserve">This NPRR allows QSEs that suffered </w:t>
      </w:r>
      <w:r w:rsidR="007D48E3">
        <w:t xml:space="preserve">financial </w:t>
      </w:r>
      <w:r>
        <w:t>loss</w:t>
      </w:r>
      <w:r w:rsidR="007D48E3">
        <w:t>es</w:t>
      </w:r>
      <w:r>
        <w:t xml:space="preserve"> related to serving the QSE’s own </w:t>
      </w:r>
      <w:r w:rsidR="007D48E3">
        <w:t>L</w:t>
      </w:r>
      <w:r>
        <w:t>oad to qualify for compensation without DAM obligations and without a bilateral contract.</w:t>
      </w:r>
      <w:r w:rsidR="00C32A6D">
        <w:t xml:space="preserve"> </w:t>
      </w:r>
      <w:r w:rsidR="007A04E4">
        <w:t xml:space="preserve">Examples of QSEs that will be eligible under the new language would be </w:t>
      </w:r>
      <w:r w:rsidR="00830723">
        <w:t xml:space="preserve">(1) </w:t>
      </w:r>
      <w:r w:rsidR="007A04E4">
        <w:t>Non-Opt-In Entities</w:t>
      </w:r>
      <w:r w:rsidR="00830723">
        <w:t xml:space="preserve"> (e.g., municipalities and cooperatives)</w:t>
      </w:r>
      <w:r w:rsidR="007A04E4">
        <w:t xml:space="preserve"> that are bound by obligations </w:t>
      </w:r>
      <w:r w:rsidR="007A04E4">
        <w:lastRenderedPageBreak/>
        <w:t>to serve Load within their territories</w:t>
      </w:r>
      <w:r w:rsidR="007D48E3">
        <w:t>,</w:t>
      </w:r>
      <w:r w:rsidR="007A04E4">
        <w:t xml:space="preserve"> and </w:t>
      </w:r>
      <w:r w:rsidR="00830723">
        <w:t xml:space="preserve">(2) </w:t>
      </w:r>
      <w:r w:rsidR="00D44200">
        <w:t>a competitive entity that represents both generation and load under the same QSE.</w:t>
      </w:r>
    </w:p>
    <w:p w14:paraId="000FA228" w14:textId="3C940A13" w:rsidR="00830723" w:rsidRDefault="008F48D0" w:rsidP="00830723">
      <w:pPr>
        <w:pStyle w:val="NormalArial"/>
        <w:numPr>
          <w:ilvl w:val="0"/>
          <w:numId w:val="3"/>
        </w:numPr>
        <w:spacing w:before="120" w:after="120"/>
      </w:pPr>
      <w:r>
        <w:t xml:space="preserve">Even though this </w:t>
      </w:r>
      <w:r w:rsidR="004C5CB3">
        <w:t>is</w:t>
      </w:r>
      <w:r>
        <w:t xml:space="preserve"> </w:t>
      </w:r>
      <w:r w:rsidR="00830723">
        <w:t>a M</w:t>
      </w:r>
      <w:r>
        <w:t xml:space="preserve">arket </w:t>
      </w:r>
      <w:r w:rsidR="00830723">
        <w:t>P</w:t>
      </w:r>
      <w:r>
        <w:t>articipant</w:t>
      </w:r>
      <w:r w:rsidR="00361424">
        <w:t>-</w:t>
      </w:r>
      <w:r>
        <w:t>sponsored</w:t>
      </w:r>
      <w:r w:rsidR="00361424">
        <w:t xml:space="preserve"> </w:t>
      </w:r>
      <w:r w:rsidR="007D48E3">
        <w:t>NPRR</w:t>
      </w:r>
      <w:r>
        <w:t xml:space="preserve">, </w:t>
      </w:r>
      <w:r w:rsidR="00D44200">
        <w:t xml:space="preserve">ERCOT supports </w:t>
      </w:r>
      <w:r>
        <w:t xml:space="preserve">the language </w:t>
      </w:r>
      <w:r w:rsidR="00D44200">
        <w:t xml:space="preserve">from a </w:t>
      </w:r>
      <w:r w:rsidR="007D48E3">
        <w:t xml:space="preserve">market </w:t>
      </w:r>
      <w:r w:rsidR="00D44200">
        <w:t xml:space="preserve">policy standpoint as it expands </w:t>
      </w:r>
      <w:r w:rsidR="00830723">
        <w:t xml:space="preserve">the </w:t>
      </w:r>
      <w:r w:rsidR="00D44200">
        <w:t xml:space="preserve">treatment allowed under </w:t>
      </w:r>
      <w:r w:rsidR="00830723">
        <w:t xml:space="preserve">the </w:t>
      </w:r>
      <w:r w:rsidR="00D44200">
        <w:t xml:space="preserve">current </w:t>
      </w:r>
      <w:r w:rsidR="00830723">
        <w:t>ERCOT P</w:t>
      </w:r>
      <w:r w:rsidR="00D44200">
        <w:t xml:space="preserve">rotocols to entities that may not </w:t>
      </w:r>
      <w:r w:rsidR="00A9173B">
        <w:t xml:space="preserve">have </w:t>
      </w:r>
      <w:r w:rsidR="00D44200">
        <w:t>forward obligations or bilateral contracts under their normal course of business.</w:t>
      </w:r>
    </w:p>
    <w:p w14:paraId="2345BE18" w14:textId="157785A3" w:rsidR="002866DE" w:rsidRDefault="00D44200" w:rsidP="00BD7258">
      <w:pPr>
        <w:pStyle w:val="NormalArial"/>
        <w:numPr>
          <w:ilvl w:val="0"/>
          <w:numId w:val="3"/>
        </w:numPr>
        <w:spacing w:before="120" w:after="120"/>
      </w:pPr>
      <w:r>
        <w:t xml:space="preserve">This compensation </w:t>
      </w:r>
      <w:r w:rsidR="008F48D0">
        <w:t xml:space="preserve">mechanism is used </w:t>
      </w:r>
      <w:r w:rsidR="00830723">
        <w:t xml:space="preserve">very </w:t>
      </w:r>
      <w:r w:rsidR="008F48D0">
        <w:t>infrequently</w:t>
      </w:r>
      <w:r w:rsidR="00830723">
        <w:t>,</w:t>
      </w:r>
      <w:r w:rsidR="008F48D0">
        <w:t xml:space="preserve"> </w:t>
      </w:r>
      <w:r w:rsidR="00D63A88">
        <w:t>and costs</w:t>
      </w:r>
      <w:r>
        <w:t xml:space="preserve"> compared to overall market charges </w:t>
      </w:r>
      <w:r w:rsidR="00D63A88">
        <w:t xml:space="preserve">have been and are expected to remain </w:t>
      </w:r>
      <w:r>
        <w:t>relatively small.</w:t>
      </w:r>
      <w:r w:rsidR="00A9173B">
        <w:t xml:space="preserve"> There have been 9 days with HDL overrides in the last </w:t>
      </w:r>
      <w:r w:rsidR="007D48E3">
        <w:t xml:space="preserve">7-plus </w:t>
      </w:r>
      <w:r w:rsidR="00A9173B">
        <w:t>years, since NPRR649 was implemented</w:t>
      </w:r>
      <w:r w:rsidR="00B44D3D">
        <w:t>. Of the 9 days with HDL overrides, payments to QSEs represent 0.2% of charge invoices. Additional data and further explanations have been provided by ERCOT in comments filed on August 8, 2024.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186E" w14:paraId="236C8F5B" w14:textId="77777777" w:rsidTr="00D2543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7DF6A9" w14:textId="77777777" w:rsidR="007A186E" w:rsidRDefault="007A186E" w:rsidP="00D2543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6C4675C" w14:textId="77777777" w:rsidR="007A186E" w:rsidRDefault="007A186E" w:rsidP="007A186E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186E" w14:paraId="1BEC0EED" w14:textId="77777777" w:rsidTr="00D2543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BDEAF9" w14:textId="77777777" w:rsidR="007A186E" w:rsidRDefault="007A186E" w:rsidP="00D25437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459A54D1" w14:textId="18FFA29A" w:rsidR="00BD7258" w:rsidRDefault="007A186E" w:rsidP="007A186E">
      <w:pPr>
        <w:pStyle w:val="NormalArial"/>
        <w:spacing w:before="120" w:after="120"/>
      </w:pPr>
      <w:r>
        <w:t>None</w:t>
      </w:r>
    </w:p>
    <w:p w14:paraId="4CB4B54F" w14:textId="77777777" w:rsidR="00BD7258" w:rsidRDefault="00BD7258" w:rsidP="00BD7258">
      <w:pPr>
        <w:pStyle w:val="NormalArial"/>
      </w:pPr>
    </w:p>
    <w:p w14:paraId="4B9C7A4E" w14:textId="77777777" w:rsidR="00BD7258" w:rsidRDefault="00BD7258" w:rsidP="00BD7258">
      <w:pPr>
        <w:pStyle w:val="NormalArial"/>
      </w:pPr>
    </w:p>
    <w:p w14:paraId="4D0CDDAC" w14:textId="77777777" w:rsidR="00152993" w:rsidRDefault="00152993">
      <w:pPr>
        <w:pStyle w:val="BodyText"/>
      </w:pPr>
    </w:p>
    <w:sectPr w:rsidR="00152993" w:rsidSect="007A186E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1E08" w14:textId="77777777" w:rsidR="00206CB7" w:rsidRDefault="00206CB7">
      <w:r>
        <w:separator/>
      </w:r>
    </w:p>
  </w:endnote>
  <w:endnote w:type="continuationSeparator" w:id="0">
    <w:p w14:paraId="2568167E" w14:textId="77777777" w:rsidR="00206CB7" w:rsidRDefault="0020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30FC" w14:textId="2449C0AC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732C7">
      <w:rPr>
        <w:rFonts w:ascii="Arial" w:hAnsi="Arial"/>
        <w:noProof/>
        <w:sz w:val="18"/>
      </w:rPr>
      <w:t>1190NPRR-2</w:t>
    </w:r>
    <w:r w:rsidR="002E0808">
      <w:rPr>
        <w:rFonts w:ascii="Arial" w:hAnsi="Arial"/>
        <w:noProof/>
        <w:sz w:val="18"/>
      </w:rPr>
      <w:t>2</w:t>
    </w:r>
    <w:r w:rsidR="004732C7">
      <w:rPr>
        <w:rFonts w:ascii="Arial" w:hAnsi="Arial"/>
        <w:noProof/>
        <w:sz w:val="18"/>
      </w:rPr>
      <w:t xml:space="preserve"> ERCOT Comments 0</w:t>
    </w:r>
    <w:r w:rsidR="00944B12">
      <w:rPr>
        <w:rFonts w:ascii="Arial" w:hAnsi="Arial"/>
        <w:noProof/>
        <w:sz w:val="18"/>
      </w:rPr>
      <w:t>919</w:t>
    </w:r>
    <w:r w:rsidR="004732C7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9872E48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418E" w14:textId="77777777" w:rsidR="00206CB7" w:rsidRDefault="00206CB7">
      <w:r>
        <w:separator/>
      </w:r>
    </w:p>
  </w:footnote>
  <w:footnote w:type="continuationSeparator" w:id="0">
    <w:p w14:paraId="49AE74F5" w14:textId="77777777" w:rsidR="00206CB7" w:rsidRDefault="0020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9D95" w14:textId="5AB24AC1" w:rsidR="00EE6681" w:rsidRPr="00944B12" w:rsidRDefault="00EE6681" w:rsidP="00944B1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89B220A"/>
    <w:multiLevelType w:val="hybridMultilevel"/>
    <w:tmpl w:val="7456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86048580">
    <w:abstractNumId w:val="0"/>
  </w:num>
  <w:num w:numId="2" w16cid:durableId="1020089454">
    <w:abstractNumId w:val="2"/>
  </w:num>
  <w:num w:numId="3" w16cid:durableId="37050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741D"/>
    <w:rsid w:val="0001078E"/>
    <w:rsid w:val="00023C62"/>
    <w:rsid w:val="0003263C"/>
    <w:rsid w:val="00037668"/>
    <w:rsid w:val="00075A94"/>
    <w:rsid w:val="0008379C"/>
    <w:rsid w:val="000854C3"/>
    <w:rsid w:val="000C3402"/>
    <w:rsid w:val="00132855"/>
    <w:rsid w:val="00152993"/>
    <w:rsid w:val="00166E3D"/>
    <w:rsid w:val="00170297"/>
    <w:rsid w:val="00183CCF"/>
    <w:rsid w:val="001A227D"/>
    <w:rsid w:val="001E2032"/>
    <w:rsid w:val="00203E69"/>
    <w:rsid w:val="00206CB7"/>
    <w:rsid w:val="00265DF4"/>
    <w:rsid w:val="002866DE"/>
    <w:rsid w:val="002E0808"/>
    <w:rsid w:val="002E53AD"/>
    <w:rsid w:val="003010C0"/>
    <w:rsid w:val="00312CE1"/>
    <w:rsid w:val="00332A97"/>
    <w:rsid w:val="00350C00"/>
    <w:rsid w:val="00355CB7"/>
    <w:rsid w:val="00361424"/>
    <w:rsid w:val="00366113"/>
    <w:rsid w:val="003C270C"/>
    <w:rsid w:val="003D0994"/>
    <w:rsid w:val="00423824"/>
    <w:rsid w:val="0043567D"/>
    <w:rsid w:val="00450F5C"/>
    <w:rsid w:val="00457663"/>
    <w:rsid w:val="00470219"/>
    <w:rsid w:val="004732C7"/>
    <w:rsid w:val="0049620D"/>
    <w:rsid w:val="004B7B90"/>
    <w:rsid w:val="004C5CB3"/>
    <w:rsid w:val="004E2C19"/>
    <w:rsid w:val="005D284C"/>
    <w:rsid w:val="00604512"/>
    <w:rsid w:val="006166B9"/>
    <w:rsid w:val="00633E23"/>
    <w:rsid w:val="00673B94"/>
    <w:rsid w:val="00680AC6"/>
    <w:rsid w:val="006835D8"/>
    <w:rsid w:val="00693A8D"/>
    <w:rsid w:val="006C316E"/>
    <w:rsid w:val="006D0F7C"/>
    <w:rsid w:val="006F2C7E"/>
    <w:rsid w:val="007269C4"/>
    <w:rsid w:val="0074209E"/>
    <w:rsid w:val="00744FB5"/>
    <w:rsid w:val="007A04E4"/>
    <w:rsid w:val="007A186E"/>
    <w:rsid w:val="007D48E3"/>
    <w:rsid w:val="007F2CA8"/>
    <w:rsid w:val="007F7161"/>
    <w:rsid w:val="00830723"/>
    <w:rsid w:val="00853721"/>
    <w:rsid w:val="0085559E"/>
    <w:rsid w:val="00895B34"/>
    <w:rsid w:val="00896B1B"/>
    <w:rsid w:val="008B2510"/>
    <w:rsid w:val="008E559E"/>
    <w:rsid w:val="008F48D0"/>
    <w:rsid w:val="00900ACD"/>
    <w:rsid w:val="00916080"/>
    <w:rsid w:val="00921A68"/>
    <w:rsid w:val="00944B12"/>
    <w:rsid w:val="00A015C4"/>
    <w:rsid w:val="00A15172"/>
    <w:rsid w:val="00A9173B"/>
    <w:rsid w:val="00AA31C5"/>
    <w:rsid w:val="00AE6C15"/>
    <w:rsid w:val="00B44D3D"/>
    <w:rsid w:val="00B5080A"/>
    <w:rsid w:val="00B70A77"/>
    <w:rsid w:val="00B943AE"/>
    <w:rsid w:val="00BD7258"/>
    <w:rsid w:val="00BF7737"/>
    <w:rsid w:val="00C0598D"/>
    <w:rsid w:val="00C11956"/>
    <w:rsid w:val="00C32A6D"/>
    <w:rsid w:val="00C56258"/>
    <w:rsid w:val="00C602E5"/>
    <w:rsid w:val="00C748FD"/>
    <w:rsid w:val="00C8730F"/>
    <w:rsid w:val="00CD7685"/>
    <w:rsid w:val="00CE5D21"/>
    <w:rsid w:val="00D4046E"/>
    <w:rsid w:val="00D4362F"/>
    <w:rsid w:val="00D44200"/>
    <w:rsid w:val="00D63A88"/>
    <w:rsid w:val="00DD4739"/>
    <w:rsid w:val="00DE5F33"/>
    <w:rsid w:val="00E07B54"/>
    <w:rsid w:val="00E11F78"/>
    <w:rsid w:val="00E621E1"/>
    <w:rsid w:val="00EB1EC7"/>
    <w:rsid w:val="00EC55B3"/>
    <w:rsid w:val="00EE6681"/>
    <w:rsid w:val="00F13DEA"/>
    <w:rsid w:val="00F96FB2"/>
    <w:rsid w:val="00FB51D8"/>
    <w:rsid w:val="00FD08E8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304EB"/>
  <w15:chartTrackingRefBased/>
  <w15:docId w15:val="{05A590AD-2BE5-4FB5-BCB3-79EBDA79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AA31C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44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stin.rosel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535E-1F9F-4948-B574-4823ADD7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3138</CharactersWithSpaces>
  <SharedDoc>false</SharedDoc>
  <HLinks>
    <vt:vector size="12" baseType="variant">
      <vt:variant>
        <vt:i4>6291456</vt:i4>
      </vt:variant>
      <vt:variant>
        <vt:i4>3</vt:i4>
      </vt:variant>
      <vt:variant>
        <vt:i4>0</vt:i4>
      </vt:variant>
      <vt:variant>
        <vt:i4>5</vt:i4>
      </vt:variant>
      <vt:variant>
        <vt:lpwstr>https://www.ercot.com/services/comm/mkt_notices/M-C022724-01</vt:lpwstr>
      </vt:variant>
      <vt:variant>
        <vt:lpwstr/>
      </vt:variant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mailto:Austin.rosel@ercot.com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5</cp:revision>
  <cp:lastPrinted>2001-06-20T16:28:00Z</cp:lastPrinted>
  <dcterms:created xsi:type="dcterms:W3CDTF">2024-09-19T17:04:00Z</dcterms:created>
  <dcterms:modified xsi:type="dcterms:W3CDTF">2024-09-19T17:13:00Z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2024-08-07T13:28:28Z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d4ccb243-cda7-46e4-b231-9dbabab698b7</vt:lpwstr>
  </property>
  <property fmtid="{D5CDD505-2E9C-101B-9397-08002B2CF9AE}" pid="8" name="MSIP_Label_7084cbda-52b8-46fb-a7b7-cb5bd465ed85_ContentBits">
    <vt:lpwstr>0</vt:lpwstr>
  </property>
</Properties>
</file>