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4CB61F2F" w:rsidR="00067FE2" w:rsidRDefault="007F15A0" w:rsidP="00F44236">
            <w:pPr>
              <w:pStyle w:val="Header"/>
            </w:pPr>
            <w:hyperlink r:id="rId8" w:history="1">
              <w:r w:rsidR="00147ED7" w:rsidRPr="00147ED7">
                <w:rPr>
                  <w:rStyle w:val="Hyperlink"/>
                </w:rPr>
                <w:t>1248</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73D85AB5" w:rsidR="00067FE2" w:rsidRDefault="004C0009" w:rsidP="00F44236">
            <w:pPr>
              <w:pStyle w:val="Header"/>
            </w:pPr>
            <w:r>
              <w:t xml:space="preserve">Correction to NPRR1197, </w:t>
            </w:r>
            <w:r w:rsidRPr="004C0009">
              <w:t>Optional Exclusion of Load from Netting at</w:t>
            </w:r>
            <w:r w:rsidR="00147ED7">
              <w:t xml:space="preserve"> </w:t>
            </w:r>
            <w:r w:rsidRPr="004C0009">
              <w:t>EPS Metering Facilities which Include Resources</w:t>
            </w:r>
          </w:p>
        </w:tc>
      </w:tr>
      <w:tr w:rsidR="003E210D" w:rsidRPr="00E01925" w14:paraId="398BCBF4" w14:textId="77777777" w:rsidTr="00BC2D06">
        <w:trPr>
          <w:trHeight w:val="518"/>
        </w:trPr>
        <w:tc>
          <w:tcPr>
            <w:tcW w:w="2880" w:type="dxa"/>
            <w:gridSpan w:val="2"/>
            <w:shd w:val="clear" w:color="auto" w:fill="FFFFFF"/>
            <w:vAlign w:val="center"/>
          </w:tcPr>
          <w:p w14:paraId="3A20C7F8" w14:textId="372F1C1D" w:rsidR="003E210D" w:rsidRPr="00E01925" w:rsidRDefault="003E210D" w:rsidP="003E210D">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6C11CB06" w:rsidR="003E210D" w:rsidRPr="00E01925" w:rsidRDefault="00BE11C9" w:rsidP="003E210D">
            <w:pPr>
              <w:pStyle w:val="NormalArial"/>
              <w:spacing w:before="120" w:after="120"/>
            </w:pPr>
            <w:r>
              <w:t xml:space="preserve">October </w:t>
            </w:r>
            <w:r w:rsidR="009F094A">
              <w:t>30</w:t>
            </w:r>
            <w:r w:rsidR="003E210D">
              <w:t>, 2024</w:t>
            </w:r>
          </w:p>
        </w:tc>
      </w:tr>
      <w:tr w:rsidR="003E210D" w:rsidRPr="00E01925" w14:paraId="29B6442C" w14:textId="77777777" w:rsidTr="00BC2D06">
        <w:trPr>
          <w:trHeight w:val="518"/>
        </w:trPr>
        <w:tc>
          <w:tcPr>
            <w:tcW w:w="2880" w:type="dxa"/>
            <w:gridSpan w:val="2"/>
            <w:shd w:val="clear" w:color="auto" w:fill="FFFFFF"/>
            <w:vAlign w:val="center"/>
          </w:tcPr>
          <w:p w14:paraId="41539F4A" w14:textId="1E2BEDCD" w:rsidR="003E210D" w:rsidRPr="00E01925" w:rsidRDefault="003E210D" w:rsidP="003E210D">
            <w:pPr>
              <w:pStyle w:val="Header"/>
              <w:spacing w:before="120" w:after="120"/>
              <w:rPr>
                <w:bCs w:val="0"/>
              </w:rPr>
            </w:pPr>
            <w:r>
              <w:rPr>
                <w:bCs w:val="0"/>
              </w:rPr>
              <w:t>Action</w:t>
            </w:r>
          </w:p>
        </w:tc>
        <w:tc>
          <w:tcPr>
            <w:tcW w:w="7560" w:type="dxa"/>
            <w:gridSpan w:val="2"/>
            <w:vAlign w:val="center"/>
          </w:tcPr>
          <w:p w14:paraId="4012BBAA" w14:textId="0E8B2101" w:rsidR="003E210D" w:rsidRDefault="003E210D" w:rsidP="003E210D">
            <w:pPr>
              <w:pStyle w:val="NormalArial"/>
              <w:spacing w:before="120" w:after="120"/>
            </w:pPr>
            <w:r>
              <w:t>Recommended Approval</w:t>
            </w:r>
          </w:p>
        </w:tc>
      </w:tr>
      <w:tr w:rsidR="003E210D" w:rsidRPr="00E01925" w14:paraId="003E90ED" w14:textId="77777777" w:rsidTr="00BC2D06">
        <w:trPr>
          <w:trHeight w:val="518"/>
        </w:trPr>
        <w:tc>
          <w:tcPr>
            <w:tcW w:w="2880" w:type="dxa"/>
            <w:gridSpan w:val="2"/>
            <w:shd w:val="clear" w:color="auto" w:fill="FFFFFF"/>
            <w:vAlign w:val="center"/>
          </w:tcPr>
          <w:p w14:paraId="6BD666B6" w14:textId="5EE19DD8" w:rsidR="003E210D" w:rsidRPr="00E01925" w:rsidRDefault="003E210D" w:rsidP="003E210D">
            <w:pPr>
              <w:pStyle w:val="Header"/>
              <w:spacing w:before="120" w:after="120"/>
              <w:rPr>
                <w:bCs w:val="0"/>
              </w:rPr>
            </w:pPr>
            <w:r>
              <w:t xml:space="preserve">Timeline </w:t>
            </w:r>
          </w:p>
        </w:tc>
        <w:tc>
          <w:tcPr>
            <w:tcW w:w="7560" w:type="dxa"/>
            <w:gridSpan w:val="2"/>
            <w:vAlign w:val="center"/>
          </w:tcPr>
          <w:p w14:paraId="1B2F4A35" w14:textId="10713F5D" w:rsidR="003E210D" w:rsidRDefault="003E210D" w:rsidP="003E210D">
            <w:pPr>
              <w:pStyle w:val="NormalArial"/>
              <w:spacing w:before="120" w:after="120"/>
            </w:pPr>
            <w:r>
              <w:t>Normal</w:t>
            </w:r>
          </w:p>
        </w:tc>
      </w:tr>
      <w:tr w:rsidR="00BE11C9" w:rsidRPr="00E01925" w14:paraId="1D735868" w14:textId="77777777" w:rsidTr="00BC2D06">
        <w:trPr>
          <w:trHeight w:val="518"/>
        </w:trPr>
        <w:tc>
          <w:tcPr>
            <w:tcW w:w="2880" w:type="dxa"/>
            <w:gridSpan w:val="2"/>
            <w:shd w:val="clear" w:color="auto" w:fill="FFFFFF"/>
            <w:vAlign w:val="center"/>
          </w:tcPr>
          <w:p w14:paraId="0C00C73B" w14:textId="057647AD" w:rsidR="00BE11C9" w:rsidRDefault="00BE11C9" w:rsidP="00BE11C9">
            <w:pPr>
              <w:pStyle w:val="Header"/>
              <w:spacing w:before="120" w:after="120"/>
            </w:pPr>
            <w:r>
              <w:t>Estimated Impacts</w:t>
            </w:r>
          </w:p>
        </w:tc>
        <w:tc>
          <w:tcPr>
            <w:tcW w:w="7560" w:type="dxa"/>
            <w:gridSpan w:val="2"/>
            <w:vAlign w:val="center"/>
          </w:tcPr>
          <w:p w14:paraId="25A8718B" w14:textId="77777777" w:rsidR="00BE11C9" w:rsidRDefault="00BE11C9" w:rsidP="00BE11C9">
            <w:pPr>
              <w:pStyle w:val="NormalArial"/>
              <w:spacing w:before="120" w:after="120"/>
            </w:pPr>
            <w:r>
              <w:t xml:space="preserve">Cost/Budgetary:  None  </w:t>
            </w:r>
          </w:p>
          <w:p w14:paraId="14E7D8C2" w14:textId="4A18B617" w:rsidR="00BE11C9" w:rsidRDefault="00BE11C9" w:rsidP="00BE11C9">
            <w:pPr>
              <w:pStyle w:val="NormalArial"/>
              <w:spacing w:before="120" w:after="120"/>
            </w:pPr>
            <w:r>
              <w:t xml:space="preserve">Project Duration:  Not applicable  </w:t>
            </w:r>
          </w:p>
        </w:tc>
      </w:tr>
      <w:tr w:rsidR="003E210D" w:rsidRPr="00E01925" w14:paraId="4E238918" w14:textId="77777777" w:rsidTr="00BC2D06">
        <w:trPr>
          <w:trHeight w:val="518"/>
        </w:trPr>
        <w:tc>
          <w:tcPr>
            <w:tcW w:w="2880" w:type="dxa"/>
            <w:gridSpan w:val="2"/>
            <w:shd w:val="clear" w:color="auto" w:fill="FFFFFF"/>
            <w:vAlign w:val="center"/>
          </w:tcPr>
          <w:p w14:paraId="60FA2571" w14:textId="639888BB" w:rsidR="003E210D" w:rsidRPr="00E01925" w:rsidRDefault="003E210D" w:rsidP="003E210D">
            <w:pPr>
              <w:pStyle w:val="Header"/>
              <w:spacing w:before="120" w:after="120"/>
              <w:rPr>
                <w:bCs w:val="0"/>
              </w:rPr>
            </w:pPr>
            <w:r>
              <w:t>Proposed Effective Date</w:t>
            </w:r>
          </w:p>
        </w:tc>
        <w:tc>
          <w:tcPr>
            <w:tcW w:w="7560" w:type="dxa"/>
            <w:gridSpan w:val="2"/>
            <w:vAlign w:val="center"/>
          </w:tcPr>
          <w:p w14:paraId="777B3EC2" w14:textId="6CB28E93" w:rsidR="003E210D" w:rsidRDefault="009F094A" w:rsidP="003E210D">
            <w:pPr>
              <w:pStyle w:val="NormalArial"/>
              <w:spacing w:before="120" w:after="120"/>
            </w:pPr>
            <w:r>
              <w:t>The f</w:t>
            </w:r>
            <w:r w:rsidR="00BE11C9">
              <w:t>irst of the month following Public Utility Commission of Texas (PUCT) approval</w:t>
            </w:r>
          </w:p>
        </w:tc>
      </w:tr>
      <w:tr w:rsidR="003E210D"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2B1B89C0" w:rsidR="003E210D" w:rsidRDefault="003E210D" w:rsidP="003E210D">
            <w:pPr>
              <w:pStyle w:val="Header"/>
              <w:spacing w:before="120" w:after="120"/>
            </w:pPr>
            <w:r>
              <w:t>Priority and Rank Assigned</w:t>
            </w:r>
          </w:p>
        </w:tc>
        <w:tc>
          <w:tcPr>
            <w:tcW w:w="7560" w:type="dxa"/>
            <w:gridSpan w:val="2"/>
            <w:tcBorders>
              <w:top w:val="single" w:sz="4" w:space="0" w:color="auto"/>
            </w:tcBorders>
            <w:vAlign w:val="center"/>
          </w:tcPr>
          <w:p w14:paraId="7B08BCA4" w14:textId="736808D6" w:rsidR="003E210D" w:rsidRPr="00FB509B" w:rsidRDefault="00BE11C9" w:rsidP="003E210D">
            <w:pPr>
              <w:pStyle w:val="NormalArial"/>
              <w:spacing w:before="120" w:after="120"/>
            </w:pPr>
            <w:r>
              <w:t>Not applicable</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356516F" w14:textId="2F590F9B" w:rsidR="009D17F0" w:rsidRPr="00FB509B" w:rsidRDefault="00255E34" w:rsidP="00F44236">
            <w:pPr>
              <w:pStyle w:val="NormalArial"/>
            </w:pPr>
            <w:r>
              <w:t xml:space="preserve">11.1.6, </w:t>
            </w:r>
            <w:r w:rsidR="007A5325" w:rsidRPr="007A5325">
              <w:t>ERCOT-Polled Settlement Meter Netting</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4767B3CC" w:rsidR="00C9766A" w:rsidRPr="00FB509B" w:rsidRDefault="00255E34" w:rsidP="0017637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41746987" w14:textId="7AB32F01" w:rsidR="00DF4995" w:rsidRDefault="00255E34" w:rsidP="00176375">
            <w:pPr>
              <w:pStyle w:val="NormalArial"/>
              <w:spacing w:before="120" w:after="120"/>
            </w:pPr>
            <w:r>
              <w:t xml:space="preserve">This Nodal Protocol Revision Request (NPRR) corrects language </w:t>
            </w:r>
            <w:r w:rsidR="00DF4995">
              <w:t>in</w:t>
            </w:r>
            <w:r>
              <w:t xml:space="preserve"> Section 11.1.6 which </w:t>
            </w:r>
            <w:r w:rsidR="00DF4995">
              <w:t xml:space="preserve">was implemented with the July 1, 2024 Protocols </w:t>
            </w:r>
            <w:r>
              <w:t xml:space="preserve">following Public Utility Commission of Texas (PUCT) approval </w:t>
            </w:r>
            <w:r w:rsidR="00DF4995">
              <w:t xml:space="preserve">of NPRR1197, </w:t>
            </w:r>
            <w:r w:rsidR="00DF4995" w:rsidRPr="004C0009">
              <w:t>Optional Exclusion of Load from Netting at ERCOT-Polled Settlement (EPS) Metering Facilities which Include Resources</w:t>
            </w:r>
            <w:r>
              <w:t xml:space="preserve">.  </w:t>
            </w:r>
          </w:p>
          <w:p w14:paraId="5DCC2B1B" w14:textId="795BE351" w:rsidR="009D17F0" w:rsidRDefault="00255E34" w:rsidP="00176375">
            <w:pPr>
              <w:pStyle w:val="NormalArial"/>
              <w:spacing w:before="120" w:after="120"/>
            </w:pPr>
            <w:r>
              <w:t xml:space="preserve">The </w:t>
            </w:r>
            <w:r w:rsidR="00DF4995">
              <w:t xml:space="preserve">NPRR1197 2/8/24 </w:t>
            </w:r>
            <w:r>
              <w:t>PRS Report</w:t>
            </w:r>
            <w:r w:rsidR="00DF4995">
              <w:t xml:space="preserve"> did not correctly reflect the PRS vote </w:t>
            </w:r>
            <w:r w:rsidR="007A5325">
              <w:t>“to recommend approval of NPRR1197 as amended by the 2/7/24 Oncor comments as revised by PRS”</w:t>
            </w:r>
            <w:r w:rsidR="00DF4995">
              <w:t xml:space="preserve"> in paragraph (6) of Section 11.1.6</w:t>
            </w:r>
            <w:r w:rsidR="007A5325">
              <w:t>.</w:t>
            </w:r>
            <w:r w:rsidR="00DF4995">
              <w:t xml:space="preserve">  T</w:t>
            </w:r>
            <w:r w:rsidR="007A5325">
              <w:t xml:space="preserve">his error carried through </w:t>
            </w:r>
            <w:r>
              <w:t xml:space="preserve">the ensuing </w:t>
            </w:r>
            <w:r w:rsidR="00DF4995">
              <w:t>3/27/24</w:t>
            </w:r>
            <w:r>
              <w:t xml:space="preserve"> TAC Report</w:t>
            </w:r>
            <w:r w:rsidR="00DF4995">
              <w:t xml:space="preserve"> and</w:t>
            </w:r>
            <w:r>
              <w:t xml:space="preserve"> </w:t>
            </w:r>
            <w:r w:rsidR="00DF4995">
              <w:t xml:space="preserve">4/23/24 </w:t>
            </w:r>
            <w:r>
              <w:t xml:space="preserve">Board Report, </w:t>
            </w:r>
            <w:r w:rsidR="00DF4995">
              <w:t xml:space="preserve">and was approved by the PUCT on 6/13/24.  </w:t>
            </w:r>
          </w:p>
          <w:p w14:paraId="6A00AE95" w14:textId="21F84BE3" w:rsidR="00255E34" w:rsidRPr="00FB509B" w:rsidRDefault="00255E34" w:rsidP="00176375">
            <w:pPr>
              <w:pStyle w:val="NormalArial"/>
              <w:spacing w:before="120" w:after="120"/>
            </w:pPr>
            <w:r>
              <w:t>This NPRR aligns the language within Section 11.1.6 with the intended PRS action from February 8, 2024.</w:t>
            </w:r>
          </w:p>
        </w:tc>
      </w:tr>
      <w:tr w:rsidR="009D17F0" w14:paraId="7C0519CA" w14:textId="77777777" w:rsidTr="00625E5D">
        <w:trPr>
          <w:trHeight w:val="518"/>
        </w:trPr>
        <w:tc>
          <w:tcPr>
            <w:tcW w:w="2880" w:type="dxa"/>
            <w:gridSpan w:val="2"/>
            <w:shd w:val="clear" w:color="auto" w:fill="FFFFFF"/>
            <w:vAlign w:val="center"/>
          </w:tcPr>
          <w:p w14:paraId="3F1E5650" w14:textId="7C272DAE" w:rsidR="00147ED7" w:rsidRPr="00147ED7" w:rsidRDefault="009D17F0" w:rsidP="003E210D">
            <w:pPr>
              <w:pStyle w:val="Header"/>
            </w:pPr>
            <w:r>
              <w:t>Reason for Revision</w:t>
            </w:r>
          </w:p>
        </w:tc>
        <w:tc>
          <w:tcPr>
            <w:tcW w:w="7560" w:type="dxa"/>
            <w:gridSpan w:val="2"/>
            <w:vAlign w:val="center"/>
          </w:tcPr>
          <w:p w14:paraId="43F2A15B" w14:textId="7E3F3892"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4E24F7A7" w14:textId="778F4862" w:rsidR="00555554" w:rsidRPr="00BD53C5" w:rsidRDefault="00555554" w:rsidP="00555554">
            <w:pPr>
              <w:pStyle w:val="NormalArial"/>
              <w:tabs>
                <w:tab w:val="left" w:pos="432"/>
              </w:tabs>
              <w:spacing w:before="120"/>
              <w:ind w:left="432" w:hanging="432"/>
              <w:rPr>
                <w:rFonts w:cs="Arial"/>
                <w:color w:val="000000"/>
              </w:rPr>
            </w:pPr>
            <w:r w:rsidRPr="00CD242D">
              <w:lastRenderedPageBreak/>
              <w:object w:dxaOrig="225" w:dyaOrig="225" w14:anchorId="613324DE">
                <v:shape id="_x0000_i1049" type="#_x0000_t75" style="width:15.6pt;height:1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B3D991B" w14:textId="7DBB3135"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051" type="#_x0000_t75" style="width:15.6pt;height:1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0E922105" w14:textId="50AB84EB" w:rsidR="00E71C39" w:rsidRDefault="00E71C39" w:rsidP="00E71C39">
            <w:pPr>
              <w:pStyle w:val="NormalArial"/>
              <w:spacing w:before="120"/>
              <w:rPr>
                <w:iCs/>
                <w:kern w:val="24"/>
              </w:rPr>
            </w:pPr>
            <w:r w:rsidRPr="006629C8">
              <w:object w:dxaOrig="225" w:dyaOrig="225" w14:anchorId="200A7673">
                <v:shape id="_x0000_i1053" type="#_x0000_t75" style="width:15.6pt;height:15pt" o:ole="">
                  <v:imagedata r:id="rId16" o:title=""/>
                </v:shape>
                <w:control r:id="rId17" w:name="TextBox13" w:shapeid="_x0000_i1053"/>
              </w:object>
            </w:r>
            <w:r w:rsidRPr="006629C8">
              <w:t xml:space="preserve">  </w:t>
            </w:r>
            <w:r w:rsidR="00ED3965" w:rsidRPr="00344591">
              <w:rPr>
                <w:iCs/>
                <w:kern w:val="24"/>
              </w:rPr>
              <w:t>General system and/or process improvement(s)</w:t>
            </w:r>
          </w:p>
          <w:p w14:paraId="17096D73" w14:textId="2F333D92" w:rsidR="00E71C39" w:rsidRDefault="00E71C39" w:rsidP="00E71C39">
            <w:pPr>
              <w:pStyle w:val="NormalArial"/>
              <w:spacing w:before="120"/>
              <w:rPr>
                <w:iCs/>
                <w:kern w:val="24"/>
              </w:rPr>
            </w:pPr>
            <w:r w:rsidRPr="006629C8">
              <w:object w:dxaOrig="225" w:dyaOrig="225" w14:anchorId="4C6ED319">
                <v:shape id="_x0000_i1055" type="#_x0000_t75" style="width:15.6pt;height:15pt" o:ole="">
                  <v:imagedata r:id="rId9" o:title=""/>
                </v:shape>
                <w:control r:id="rId18" w:name="TextBox14" w:shapeid="_x0000_i1055"/>
              </w:object>
            </w:r>
            <w:r w:rsidRPr="006629C8">
              <w:t xml:space="preserve">  </w:t>
            </w:r>
            <w:r>
              <w:rPr>
                <w:iCs/>
                <w:kern w:val="24"/>
              </w:rPr>
              <w:t>Regulatory requirements</w:t>
            </w:r>
          </w:p>
          <w:p w14:paraId="5FB89AD5" w14:textId="1EBFFC90" w:rsidR="00E71C39" w:rsidRPr="00CD242D" w:rsidRDefault="00E71C39" w:rsidP="00E71C39">
            <w:pPr>
              <w:pStyle w:val="NormalArial"/>
              <w:spacing w:before="120"/>
              <w:rPr>
                <w:rFonts w:cs="Arial"/>
                <w:color w:val="000000"/>
              </w:rPr>
            </w:pPr>
            <w:r w:rsidRPr="006629C8">
              <w:object w:dxaOrig="225" w:dyaOrig="225" w14:anchorId="52A53E32">
                <v:shape id="_x0000_i1057" type="#_x0000_t75" style="width:15.6pt;height:15pt" o:ole="">
                  <v:imagedata r:id="rId9" o:title=""/>
                </v:shape>
                <w:control r:id="rId19" w:name="TextBox15" w:shapeid="_x0000_i105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ONLY ONE – if more than one apply, please select the ONE that is most relevant)</w:t>
            </w:r>
          </w:p>
        </w:tc>
      </w:tr>
      <w:tr w:rsidR="00625E5D" w14:paraId="3F80A5FA" w14:textId="77777777" w:rsidTr="003E210D">
        <w:trPr>
          <w:trHeight w:val="518"/>
        </w:trPr>
        <w:tc>
          <w:tcPr>
            <w:tcW w:w="2880" w:type="dxa"/>
            <w:gridSpan w:val="2"/>
            <w:shd w:val="clear" w:color="auto" w:fill="FFFFFF"/>
            <w:vAlign w:val="center"/>
          </w:tcPr>
          <w:p w14:paraId="6ABB5F27" w14:textId="61EC6BB8" w:rsidR="00625E5D" w:rsidRDefault="00555554" w:rsidP="00F44236">
            <w:pPr>
              <w:pStyle w:val="Header"/>
            </w:pPr>
            <w:r>
              <w:lastRenderedPageBreak/>
              <w:t>Justification of Reason for Revision and Market Impacts</w:t>
            </w:r>
          </w:p>
        </w:tc>
        <w:tc>
          <w:tcPr>
            <w:tcW w:w="7560" w:type="dxa"/>
            <w:gridSpan w:val="2"/>
            <w:vAlign w:val="center"/>
          </w:tcPr>
          <w:p w14:paraId="313E5647" w14:textId="2D9B5020" w:rsidR="00625E5D" w:rsidRPr="00625E5D" w:rsidRDefault="00255E34" w:rsidP="00625E5D">
            <w:pPr>
              <w:pStyle w:val="NormalArial"/>
              <w:spacing w:before="120" w:after="120"/>
              <w:rPr>
                <w:iCs/>
                <w:kern w:val="24"/>
              </w:rPr>
            </w:pPr>
            <w:r>
              <w:t>This NPRR corrects a transcription error made by ERCOT within the stakeholder process for NPRR1197 and implements the language as</w:t>
            </w:r>
            <w:r w:rsidR="007A5325">
              <w:t xml:space="preserve"> </w:t>
            </w:r>
            <w:r>
              <w:t>intended by the stakeholders.</w:t>
            </w:r>
          </w:p>
        </w:tc>
      </w:tr>
      <w:tr w:rsidR="003E210D" w14:paraId="02B047AA" w14:textId="77777777" w:rsidTr="00BC2D06">
        <w:trPr>
          <w:trHeight w:val="518"/>
        </w:trPr>
        <w:tc>
          <w:tcPr>
            <w:tcW w:w="2880" w:type="dxa"/>
            <w:gridSpan w:val="2"/>
            <w:tcBorders>
              <w:bottom w:val="single" w:sz="4" w:space="0" w:color="auto"/>
            </w:tcBorders>
            <w:shd w:val="clear" w:color="auto" w:fill="FFFFFF"/>
            <w:vAlign w:val="center"/>
          </w:tcPr>
          <w:p w14:paraId="6CCD103E" w14:textId="24C7BC1C" w:rsidR="003E210D" w:rsidRDefault="003E210D" w:rsidP="003E210D">
            <w:pPr>
              <w:pStyle w:val="Header"/>
              <w:spacing w:before="120" w:after="120"/>
            </w:pPr>
            <w:r w:rsidRPr="00450880">
              <w:t>PRS Decision</w:t>
            </w:r>
          </w:p>
        </w:tc>
        <w:tc>
          <w:tcPr>
            <w:tcW w:w="7560" w:type="dxa"/>
            <w:gridSpan w:val="2"/>
            <w:tcBorders>
              <w:bottom w:val="single" w:sz="4" w:space="0" w:color="auto"/>
            </w:tcBorders>
            <w:vAlign w:val="center"/>
          </w:tcPr>
          <w:p w14:paraId="4C6CE967" w14:textId="77777777" w:rsidR="003E210D" w:rsidRDefault="003E210D" w:rsidP="003E210D">
            <w:pPr>
              <w:pStyle w:val="NormalArial"/>
              <w:spacing w:before="120" w:after="120"/>
            </w:pPr>
            <w:r w:rsidRPr="00DC28BA">
              <w:t xml:space="preserve">On </w:t>
            </w:r>
            <w:r>
              <w:t>9/12</w:t>
            </w:r>
            <w:r w:rsidRPr="00DC28BA">
              <w:t xml:space="preserve">/24, PRS voted unanimously to </w:t>
            </w:r>
            <w:r>
              <w:t>recommend approval of NPRR1248 as submitted.</w:t>
            </w:r>
            <w:r w:rsidRPr="00DC28BA">
              <w:t xml:space="preserve">  All Market Segments participated in the vote.</w:t>
            </w:r>
          </w:p>
          <w:p w14:paraId="11F51842" w14:textId="4F1BCC88" w:rsidR="00BE11C9" w:rsidRDefault="00BE11C9" w:rsidP="003E210D">
            <w:pPr>
              <w:pStyle w:val="NormalArial"/>
              <w:spacing w:before="120" w:after="120"/>
            </w:pPr>
            <w:r>
              <w:t>On 10/17/24, PRS voted unanimously t</w:t>
            </w:r>
            <w:r w:rsidRPr="00BE11C9">
              <w:t>o endorse and forward to TAC the 9/12/24 PRS Report and 8/16/24 Impact Analysis for NPRR1248</w:t>
            </w:r>
            <w:r>
              <w:t xml:space="preserve">. </w:t>
            </w:r>
            <w:r w:rsidRPr="00DC28BA">
              <w:t xml:space="preserve"> All Market Segments participated in the vote.</w:t>
            </w:r>
          </w:p>
        </w:tc>
      </w:tr>
      <w:tr w:rsidR="003E210D" w14:paraId="55176A48" w14:textId="77777777" w:rsidTr="009F094A">
        <w:trPr>
          <w:trHeight w:val="518"/>
        </w:trPr>
        <w:tc>
          <w:tcPr>
            <w:tcW w:w="2880" w:type="dxa"/>
            <w:gridSpan w:val="2"/>
            <w:shd w:val="clear" w:color="auto" w:fill="FFFFFF"/>
            <w:vAlign w:val="center"/>
          </w:tcPr>
          <w:p w14:paraId="2E37456C" w14:textId="0E35CFD9" w:rsidR="003E210D" w:rsidRDefault="003E210D" w:rsidP="003E210D">
            <w:pPr>
              <w:pStyle w:val="Header"/>
              <w:spacing w:before="120" w:after="120"/>
            </w:pPr>
            <w:r w:rsidRPr="00450880">
              <w:t>Summary of PRS Discussion</w:t>
            </w:r>
          </w:p>
        </w:tc>
        <w:tc>
          <w:tcPr>
            <w:tcW w:w="7560" w:type="dxa"/>
            <w:gridSpan w:val="2"/>
            <w:vAlign w:val="center"/>
          </w:tcPr>
          <w:p w14:paraId="56E23AD6" w14:textId="77777777" w:rsidR="003E210D" w:rsidRDefault="003E210D" w:rsidP="003E210D">
            <w:pPr>
              <w:pStyle w:val="NormalArial"/>
              <w:spacing w:before="120" w:after="120"/>
            </w:pPr>
            <w:r>
              <w:t>On 9/12/24, ERCOT Staff provided an overview of NPRR1248.</w:t>
            </w:r>
          </w:p>
          <w:p w14:paraId="196F1222" w14:textId="7E4A6DA4" w:rsidR="00BE11C9" w:rsidRDefault="00BE11C9" w:rsidP="003E210D">
            <w:pPr>
              <w:pStyle w:val="NormalArial"/>
              <w:spacing w:before="120" w:after="120"/>
            </w:pPr>
            <w:r>
              <w:t>On 10/17/24, there was no discussion.</w:t>
            </w:r>
          </w:p>
        </w:tc>
      </w:tr>
      <w:tr w:rsidR="009F094A" w14:paraId="1D869114" w14:textId="77777777" w:rsidTr="00BC2D06">
        <w:trPr>
          <w:trHeight w:val="518"/>
        </w:trPr>
        <w:tc>
          <w:tcPr>
            <w:tcW w:w="2880" w:type="dxa"/>
            <w:gridSpan w:val="2"/>
            <w:tcBorders>
              <w:bottom w:val="single" w:sz="4" w:space="0" w:color="auto"/>
            </w:tcBorders>
            <w:shd w:val="clear" w:color="auto" w:fill="FFFFFF"/>
            <w:vAlign w:val="center"/>
          </w:tcPr>
          <w:p w14:paraId="31F7400C" w14:textId="3F92DCDB" w:rsidR="009F094A" w:rsidRPr="00450880" w:rsidRDefault="009F094A" w:rsidP="009F094A">
            <w:pPr>
              <w:pStyle w:val="Header"/>
              <w:spacing w:before="120" w:after="120"/>
            </w:pPr>
            <w:r>
              <w:t>TAC Decision</w:t>
            </w:r>
          </w:p>
        </w:tc>
        <w:tc>
          <w:tcPr>
            <w:tcW w:w="7560" w:type="dxa"/>
            <w:gridSpan w:val="2"/>
            <w:tcBorders>
              <w:bottom w:val="single" w:sz="4" w:space="0" w:color="auto"/>
            </w:tcBorders>
            <w:vAlign w:val="center"/>
          </w:tcPr>
          <w:p w14:paraId="7560CC32" w14:textId="50470987" w:rsidR="009F094A" w:rsidRDefault="009F094A" w:rsidP="009F094A">
            <w:pPr>
              <w:pStyle w:val="NormalArial"/>
              <w:spacing w:before="120" w:after="120"/>
            </w:pPr>
            <w:r>
              <w:t>On 10/30/24, TAC voted unanimously to recommend approval of NPRR1248 as recommended by PRS in the 10/17/24 PRS Report.  All Market Segments participated in the vote.</w:t>
            </w:r>
          </w:p>
        </w:tc>
      </w:tr>
      <w:tr w:rsidR="009F094A" w14:paraId="0E386AAD" w14:textId="77777777" w:rsidTr="00BC2D06">
        <w:trPr>
          <w:trHeight w:val="518"/>
        </w:trPr>
        <w:tc>
          <w:tcPr>
            <w:tcW w:w="2880" w:type="dxa"/>
            <w:gridSpan w:val="2"/>
            <w:tcBorders>
              <w:bottom w:val="single" w:sz="4" w:space="0" w:color="auto"/>
            </w:tcBorders>
            <w:shd w:val="clear" w:color="auto" w:fill="FFFFFF"/>
            <w:vAlign w:val="center"/>
          </w:tcPr>
          <w:p w14:paraId="2F8DE992" w14:textId="3B3AA7F6" w:rsidR="009F094A" w:rsidRPr="00450880" w:rsidRDefault="009F094A" w:rsidP="009F094A">
            <w:pPr>
              <w:pStyle w:val="Header"/>
              <w:spacing w:before="120" w:after="120"/>
            </w:pPr>
            <w:r>
              <w:t>Summary of TAC Discussion</w:t>
            </w:r>
          </w:p>
        </w:tc>
        <w:tc>
          <w:tcPr>
            <w:tcW w:w="7560" w:type="dxa"/>
            <w:gridSpan w:val="2"/>
            <w:tcBorders>
              <w:bottom w:val="single" w:sz="4" w:space="0" w:color="auto"/>
            </w:tcBorders>
            <w:vAlign w:val="center"/>
          </w:tcPr>
          <w:p w14:paraId="72464E58" w14:textId="544A6760" w:rsidR="009F094A" w:rsidRDefault="009F094A" w:rsidP="009F094A">
            <w:pPr>
              <w:pStyle w:val="NormalArial"/>
              <w:spacing w:before="120" w:after="120"/>
            </w:pPr>
            <w:r>
              <w:t>On 10/30/24, there was no additional discussion beyond TAC review of the items below</w:t>
            </w:r>
            <w:r w:rsidRPr="001B22EC">
              <w:rPr>
                <w:iCs/>
                <w:kern w:val="24"/>
              </w:rPr>
              <w:t>.</w:t>
            </w:r>
            <w:r>
              <w:rPr>
                <w:iCs/>
                <w:kern w:val="24"/>
              </w:rPr>
              <w:t xml:space="preserve"> </w:t>
            </w:r>
          </w:p>
        </w:tc>
      </w:tr>
      <w:tr w:rsidR="009F094A" w14:paraId="7C77650B" w14:textId="77777777" w:rsidTr="00BC2D06">
        <w:trPr>
          <w:trHeight w:val="518"/>
        </w:trPr>
        <w:tc>
          <w:tcPr>
            <w:tcW w:w="2880" w:type="dxa"/>
            <w:gridSpan w:val="2"/>
            <w:tcBorders>
              <w:bottom w:val="single" w:sz="4" w:space="0" w:color="auto"/>
            </w:tcBorders>
            <w:shd w:val="clear" w:color="auto" w:fill="FFFFFF"/>
            <w:vAlign w:val="center"/>
          </w:tcPr>
          <w:p w14:paraId="7EC81E6D" w14:textId="456CC263" w:rsidR="009F094A" w:rsidRPr="00450880" w:rsidRDefault="009F094A" w:rsidP="009F094A">
            <w:pPr>
              <w:pStyle w:val="Header"/>
              <w:spacing w:before="120" w:after="120"/>
            </w:pPr>
            <w:r>
              <w:t>TAC Review/Justification of Recommendation</w:t>
            </w:r>
          </w:p>
        </w:tc>
        <w:tc>
          <w:tcPr>
            <w:tcW w:w="7560" w:type="dxa"/>
            <w:gridSpan w:val="2"/>
            <w:tcBorders>
              <w:bottom w:val="single" w:sz="4" w:space="0" w:color="auto"/>
            </w:tcBorders>
            <w:vAlign w:val="center"/>
          </w:tcPr>
          <w:p w14:paraId="5DEEA04E" w14:textId="45E8FF80" w:rsidR="009F094A" w:rsidRPr="00246274" w:rsidRDefault="009F094A" w:rsidP="009F094A">
            <w:pPr>
              <w:pStyle w:val="NormalArial"/>
              <w:spacing w:before="120"/>
            </w:pPr>
            <w:r w:rsidRPr="00246274">
              <w:object w:dxaOrig="225" w:dyaOrig="225" w14:anchorId="786A3B1C">
                <v:shape id="_x0000_i1059" type="#_x0000_t75" style="width:15.6pt;height:15pt" o:ole="">
                  <v:imagedata r:id="rId20" o:title=""/>
                </v:shape>
                <w:control r:id="rId21" w:name="TextBox1114"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2688B890" w14:textId="3A6FE077" w:rsidR="009F094A" w:rsidRPr="00246274" w:rsidRDefault="009F094A" w:rsidP="009F094A">
            <w:pPr>
              <w:pStyle w:val="NormalArial"/>
              <w:spacing w:before="120"/>
            </w:pPr>
            <w:r w:rsidRPr="00246274">
              <w:object w:dxaOrig="225" w:dyaOrig="225" w14:anchorId="1E6A97A3">
                <v:shape id="_x0000_i1061" type="#_x0000_t75" style="width:15.6pt;height:15pt" o:ole="">
                  <v:imagedata r:id="rId22" o:title=""/>
                </v:shape>
                <w:control r:id="rId23" w:name="TextBox16" w:shapeid="_x0000_i1061"/>
              </w:object>
            </w:r>
            <w:r w:rsidRPr="00246274">
              <w:t xml:space="preserve">  Impact Analysis reviewed and impacts are justified as explained in </w:t>
            </w:r>
            <w:proofErr w:type="gramStart"/>
            <w:r w:rsidRPr="00246274">
              <w:t>Justification</w:t>
            </w:r>
            <w:proofErr w:type="gramEnd"/>
          </w:p>
          <w:p w14:paraId="661D3930" w14:textId="624EA8FF" w:rsidR="009F094A" w:rsidRPr="00246274" w:rsidRDefault="009F094A" w:rsidP="009F094A">
            <w:pPr>
              <w:pStyle w:val="NormalArial"/>
              <w:spacing w:before="120"/>
            </w:pPr>
            <w:r w:rsidRPr="00246274">
              <w:object w:dxaOrig="225" w:dyaOrig="225" w14:anchorId="7A48026E">
                <v:shape id="_x0000_i1063" type="#_x0000_t75" style="width:15.6pt;height:15pt" o:ole="">
                  <v:imagedata r:id="rId24" o:title=""/>
                </v:shape>
                <w:control r:id="rId25" w:name="TextBox121" w:shapeid="_x0000_i1063"/>
              </w:object>
            </w:r>
            <w:r w:rsidRPr="00246274">
              <w:t xml:space="preserve">  Opinions were reviewed and discussed</w:t>
            </w:r>
            <w:r>
              <w:t xml:space="preserve"> – </w:t>
            </w:r>
            <w:proofErr w:type="gramStart"/>
            <w:r>
              <w:t>with the exception of</w:t>
            </w:r>
            <w:proofErr w:type="gramEnd"/>
            <w:r>
              <w:t xml:space="preserve"> the IMM Opinion which was not available for TAC review.</w:t>
            </w:r>
          </w:p>
          <w:p w14:paraId="0A27CE37" w14:textId="1FB45944" w:rsidR="009F094A" w:rsidRPr="00246274" w:rsidRDefault="009F094A" w:rsidP="009F094A">
            <w:pPr>
              <w:pStyle w:val="NormalArial"/>
              <w:spacing w:before="120"/>
            </w:pPr>
            <w:r w:rsidRPr="00246274">
              <w:lastRenderedPageBreak/>
              <w:object w:dxaOrig="225" w:dyaOrig="225" w14:anchorId="37923B56">
                <v:shape id="_x0000_i1065" type="#_x0000_t75" style="width:15.6pt;height:15pt" o:ole="">
                  <v:imagedata r:id="rId26" o:title=""/>
                </v:shape>
                <w:control r:id="rId27" w:name="TextBox131" w:shapeid="_x0000_i1065"/>
              </w:object>
            </w:r>
            <w:r w:rsidRPr="00246274">
              <w:t xml:space="preserve">  Comments were reviewed and discussed</w:t>
            </w:r>
            <w:r>
              <w:t xml:space="preserve"> (if applicable)</w:t>
            </w:r>
          </w:p>
          <w:p w14:paraId="5E44477D" w14:textId="6EAEB855" w:rsidR="009F094A" w:rsidRDefault="009F094A" w:rsidP="009F094A">
            <w:pPr>
              <w:pStyle w:val="NormalArial"/>
              <w:spacing w:before="120" w:after="120"/>
            </w:pPr>
            <w:r w:rsidRPr="00246274">
              <w:object w:dxaOrig="225" w:dyaOrig="225" w14:anchorId="7FFB1201">
                <v:shape id="_x0000_i1067" type="#_x0000_t75" style="width:15.6pt;height:15pt" o:ole="">
                  <v:imagedata r:id="rId9" o:title=""/>
                </v:shape>
                <w:control r:id="rId28" w:name="TextBox141" w:shapeid="_x0000_i1067"/>
              </w:object>
            </w:r>
            <w:r w:rsidRPr="00246274">
              <w:t xml:space="preserve"> Other: (explain)</w:t>
            </w:r>
          </w:p>
        </w:tc>
      </w:tr>
    </w:tbl>
    <w:p w14:paraId="361C1821" w14:textId="77777777" w:rsidR="003E210D" w:rsidRDefault="003E210D" w:rsidP="003E210D">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3E210D" w:rsidRPr="00895AB9" w14:paraId="36FC48A5" w14:textId="77777777" w:rsidTr="00C33CA6">
        <w:trPr>
          <w:trHeight w:val="432"/>
        </w:trPr>
        <w:tc>
          <w:tcPr>
            <w:tcW w:w="10440" w:type="dxa"/>
            <w:gridSpan w:val="2"/>
            <w:shd w:val="clear" w:color="auto" w:fill="FFFFFF"/>
            <w:vAlign w:val="center"/>
          </w:tcPr>
          <w:p w14:paraId="6ED686BF" w14:textId="77777777" w:rsidR="003E210D" w:rsidRPr="00895AB9" w:rsidRDefault="003E210D" w:rsidP="00C33CA6">
            <w:pPr>
              <w:pStyle w:val="NormalArial"/>
              <w:ind w:hanging="2"/>
              <w:jc w:val="center"/>
              <w:rPr>
                <w:b/>
              </w:rPr>
            </w:pPr>
            <w:r>
              <w:rPr>
                <w:b/>
              </w:rPr>
              <w:t>Opinions</w:t>
            </w:r>
          </w:p>
        </w:tc>
      </w:tr>
      <w:tr w:rsidR="003E210D" w:rsidRPr="00550B01" w14:paraId="21C7740F" w14:textId="77777777" w:rsidTr="00C33CA6">
        <w:trPr>
          <w:trHeight w:val="432"/>
        </w:trPr>
        <w:tc>
          <w:tcPr>
            <w:tcW w:w="2880" w:type="dxa"/>
            <w:shd w:val="clear" w:color="auto" w:fill="FFFFFF"/>
            <w:vAlign w:val="center"/>
          </w:tcPr>
          <w:p w14:paraId="077BB424" w14:textId="77777777" w:rsidR="003E210D" w:rsidRPr="00F6614D" w:rsidRDefault="003E210D" w:rsidP="00C33CA6">
            <w:pPr>
              <w:pStyle w:val="Header"/>
              <w:ind w:hanging="2"/>
            </w:pPr>
            <w:r w:rsidRPr="00F6614D">
              <w:t>Credit Review</w:t>
            </w:r>
          </w:p>
        </w:tc>
        <w:tc>
          <w:tcPr>
            <w:tcW w:w="7560" w:type="dxa"/>
            <w:vAlign w:val="center"/>
          </w:tcPr>
          <w:p w14:paraId="2FBA8685" w14:textId="5992115C" w:rsidR="003E210D" w:rsidRPr="00550B01" w:rsidRDefault="004B0A82" w:rsidP="00C33CA6">
            <w:pPr>
              <w:pStyle w:val="NormalArial"/>
              <w:spacing w:before="120" w:after="120"/>
              <w:ind w:hanging="2"/>
            </w:pPr>
            <w:r w:rsidRPr="004B0A82">
              <w:t xml:space="preserve">ERCOT Credit Staff and the Credit Finance </w:t>
            </w:r>
            <w:proofErr w:type="gramStart"/>
            <w:r w:rsidRPr="004B0A82">
              <w:t>Sub Group</w:t>
            </w:r>
            <w:proofErr w:type="gramEnd"/>
            <w:r w:rsidRPr="004B0A82">
              <w:t xml:space="preserve"> (CFSG) have reviewed NPRR1248 and do not believe that it requires changes to credit monitoring activity or the calculation of liability.</w:t>
            </w:r>
          </w:p>
        </w:tc>
      </w:tr>
      <w:tr w:rsidR="003E210D" w:rsidRPr="00F6614D" w14:paraId="3A0104C8" w14:textId="77777777" w:rsidTr="00C33CA6">
        <w:trPr>
          <w:trHeight w:val="432"/>
        </w:trPr>
        <w:tc>
          <w:tcPr>
            <w:tcW w:w="2880" w:type="dxa"/>
            <w:shd w:val="clear" w:color="auto" w:fill="FFFFFF"/>
            <w:vAlign w:val="center"/>
          </w:tcPr>
          <w:p w14:paraId="7BBC31D2" w14:textId="77777777" w:rsidR="003E210D" w:rsidRPr="00F6614D" w:rsidRDefault="003E210D" w:rsidP="00C33CA6">
            <w:pPr>
              <w:pStyle w:val="Header"/>
              <w:ind w:hanging="2"/>
            </w:pPr>
            <w:r>
              <w:t xml:space="preserve">Independent Market Monitor </w:t>
            </w:r>
            <w:r w:rsidRPr="00F6614D">
              <w:t>Opinion</w:t>
            </w:r>
          </w:p>
        </w:tc>
        <w:tc>
          <w:tcPr>
            <w:tcW w:w="7560" w:type="dxa"/>
            <w:vAlign w:val="center"/>
          </w:tcPr>
          <w:p w14:paraId="7DD04557" w14:textId="1914A10E" w:rsidR="003E210D" w:rsidRPr="00F6614D" w:rsidRDefault="009F094A" w:rsidP="00C33CA6">
            <w:pPr>
              <w:pStyle w:val="NormalArial"/>
              <w:spacing w:before="120" w:after="120"/>
              <w:ind w:hanging="2"/>
              <w:rPr>
                <w:b/>
                <w:bCs/>
              </w:rPr>
            </w:pPr>
            <w:r>
              <w:t>IMM has no opinion on NPRR1248.</w:t>
            </w:r>
          </w:p>
        </w:tc>
      </w:tr>
      <w:tr w:rsidR="003E210D" w:rsidRPr="00F6614D" w14:paraId="4663C7EC" w14:textId="77777777" w:rsidTr="00C33CA6">
        <w:trPr>
          <w:trHeight w:val="432"/>
        </w:trPr>
        <w:tc>
          <w:tcPr>
            <w:tcW w:w="2880" w:type="dxa"/>
            <w:shd w:val="clear" w:color="auto" w:fill="FFFFFF"/>
            <w:vAlign w:val="center"/>
          </w:tcPr>
          <w:p w14:paraId="54212EF8" w14:textId="77777777" w:rsidR="003E210D" w:rsidRPr="00F6614D" w:rsidRDefault="003E210D" w:rsidP="00C33CA6">
            <w:pPr>
              <w:pStyle w:val="Header"/>
              <w:ind w:hanging="2"/>
            </w:pPr>
            <w:r w:rsidRPr="00F6614D">
              <w:t>ERCOT Opinion</w:t>
            </w:r>
          </w:p>
        </w:tc>
        <w:tc>
          <w:tcPr>
            <w:tcW w:w="7560" w:type="dxa"/>
            <w:vAlign w:val="center"/>
          </w:tcPr>
          <w:p w14:paraId="1813B06B" w14:textId="26FA1258" w:rsidR="003E210D" w:rsidRPr="00F6614D" w:rsidRDefault="004B0A82" w:rsidP="00C33CA6">
            <w:pPr>
              <w:pStyle w:val="NormalArial"/>
              <w:spacing w:before="120" w:after="120"/>
              <w:ind w:hanging="2"/>
              <w:rPr>
                <w:b/>
                <w:bCs/>
              </w:rPr>
            </w:pPr>
            <w:r w:rsidRPr="004B0A82">
              <w:t>ERCOT supports approval of NPRR1248.</w:t>
            </w:r>
          </w:p>
        </w:tc>
      </w:tr>
      <w:tr w:rsidR="003E210D" w:rsidRPr="00F6614D" w14:paraId="0BD36C09" w14:textId="77777777" w:rsidTr="00C33CA6">
        <w:trPr>
          <w:trHeight w:val="432"/>
        </w:trPr>
        <w:tc>
          <w:tcPr>
            <w:tcW w:w="2880" w:type="dxa"/>
            <w:shd w:val="clear" w:color="auto" w:fill="FFFFFF"/>
            <w:vAlign w:val="center"/>
          </w:tcPr>
          <w:p w14:paraId="7CF97469" w14:textId="77777777" w:rsidR="003E210D" w:rsidRPr="00F6614D" w:rsidRDefault="003E210D" w:rsidP="00C33CA6">
            <w:pPr>
              <w:pStyle w:val="Header"/>
              <w:ind w:hanging="2"/>
            </w:pPr>
            <w:r w:rsidRPr="00F6614D">
              <w:t>ERCOT Market Impact Statement</w:t>
            </w:r>
          </w:p>
        </w:tc>
        <w:tc>
          <w:tcPr>
            <w:tcW w:w="7560" w:type="dxa"/>
            <w:vAlign w:val="center"/>
          </w:tcPr>
          <w:p w14:paraId="08F3CB85" w14:textId="3E63C0AE" w:rsidR="003E210D" w:rsidRPr="00F6614D" w:rsidRDefault="004B0A82" w:rsidP="00C33CA6">
            <w:pPr>
              <w:pStyle w:val="NormalArial"/>
              <w:spacing w:before="120" w:after="120"/>
              <w:ind w:hanging="2"/>
              <w:rPr>
                <w:b/>
                <w:bCs/>
              </w:rPr>
            </w:pPr>
            <w:r w:rsidRPr="004B0A82">
              <w:t>ERCOT Staff has reviewed NPRR1248 and believes the market impact for NPRR1248 properly aligns Protocol language within Section 11.1.6 with PRS-recommended language inadvertently omitted from NPRR1197 reports.</w:t>
            </w:r>
          </w:p>
        </w:tc>
      </w:tr>
    </w:tbl>
    <w:p w14:paraId="48E44A05" w14:textId="77777777" w:rsidR="003E210D" w:rsidRPr="00D85807" w:rsidRDefault="003E210D" w:rsidP="003E210D">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67F13084" w:rsidR="004C0009" w:rsidRPr="004C0009" w:rsidRDefault="009A3772" w:rsidP="00255E34">
            <w:pPr>
              <w:pStyle w:val="Header"/>
              <w:jc w:val="cente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2CCBC6E1" w:rsidR="009A3772" w:rsidRDefault="00255E34">
            <w:pPr>
              <w:pStyle w:val="NormalArial"/>
            </w:pPr>
            <w:r>
              <w:t>Cory Phillips</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257D8F6C" w:rsidR="009A3772" w:rsidRDefault="007F15A0">
            <w:pPr>
              <w:pStyle w:val="NormalArial"/>
            </w:pPr>
            <w:hyperlink r:id="rId29" w:history="1">
              <w:r w:rsidR="00255E34" w:rsidRPr="00003761">
                <w:rPr>
                  <w:rStyle w:val="Hyperlink"/>
                </w:rPr>
                <w:t>cory.phillips@ercot.com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6AF03153" w:rsidR="009A3772" w:rsidRDefault="00255E34">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098168B9" w:rsidR="009A3772" w:rsidRDefault="00255E34">
            <w:pPr>
              <w:pStyle w:val="NormalArial"/>
            </w:pPr>
            <w:r>
              <w:t>512-248-6464</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3FCD7A01" w:rsidR="009A3772" w:rsidRDefault="00255E34">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255E34" w:rsidRPr="00D56D61" w14:paraId="10A3A547" w14:textId="77777777" w:rsidTr="00D176CF">
        <w:trPr>
          <w:cantSplit/>
          <w:trHeight w:val="432"/>
        </w:trPr>
        <w:tc>
          <w:tcPr>
            <w:tcW w:w="2880" w:type="dxa"/>
            <w:vAlign w:val="center"/>
          </w:tcPr>
          <w:p w14:paraId="7884BA3B" w14:textId="77777777" w:rsidR="00255E34" w:rsidRPr="007C199B" w:rsidRDefault="00255E34" w:rsidP="00255E34">
            <w:pPr>
              <w:pStyle w:val="NormalArial"/>
              <w:rPr>
                <w:b/>
              </w:rPr>
            </w:pPr>
            <w:r w:rsidRPr="007C199B">
              <w:rPr>
                <w:b/>
              </w:rPr>
              <w:t>Name</w:t>
            </w:r>
          </w:p>
        </w:tc>
        <w:tc>
          <w:tcPr>
            <w:tcW w:w="7560" w:type="dxa"/>
            <w:vAlign w:val="center"/>
          </w:tcPr>
          <w:p w14:paraId="16E95662" w14:textId="4142E185" w:rsidR="00255E34" w:rsidRPr="00D56D61" w:rsidRDefault="00255E34" w:rsidP="00255E34">
            <w:pPr>
              <w:pStyle w:val="NormalArial"/>
            </w:pPr>
            <w:r>
              <w:t>Cory Phillips</w:t>
            </w:r>
          </w:p>
        </w:tc>
      </w:tr>
      <w:tr w:rsidR="00255E34" w:rsidRPr="00D56D61" w14:paraId="6B648C6B" w14:textId="77777777" w:rsidTr="00D176CF">
        <w:trPr>
          <w:cantSplit/>
          <w:trHeight w:val="432"/>
        </w:trPr>
        <w:tc>
          <w:tcPr>
            <w:tcW w:w="2880" w:type="dxa"/>
            <w:vAlign w:val="center"/>
          </w:tcPr>
          <w:p w14:paraId="710846B1" w14:textId="77777777" w:rsidR="00255E34" w:rsidRPr="007C199B" w:rsidRDefault="00255E34" w:rsidP="00255E34">
            <w:pPr>
              <w:pStyle w:val="NormalArial"/>
              <w:rPr>
                <w:b/>
              </w:rPr>
            </w:pPr>
            <w:r w:rsidRPr="007C199B">
              <w:rPr>
                <w:b/>
              </w:rPr>
              <w:t>E-Mail Address</w:t>
            </w:r>
          </w:p>
        </w:tc>
        <w:tc>
          <w:tcPr>
            <w:tcW w:w="7560" w:type="dxa"/>
            <w:vAlign w:val="center"/>
          </w:tcPr>
          <w:p w14:paraId="658CF374" w14:textId="3DD28588" w:rsidR="00255E34" w:rsidRPr="00D56D61" w:rsidRDefault="007F15A0" w:rsidP="00255E34">
            <w:pPr>
              <w:pStyle w:val="NormalArial"/>
            </w:pPr>
            <w:hyperlink r:id="rId30" w:history="1">
              <w:r w:rsidR="00255E34" w:rsidRPr="00003761">
                <w:rPr>
                  <w:rStyle w:val="Hyperlink"/>
                </w:rPr>
                <w:t>cory.phillips@ercot.com</w:t>
              </w:r>
            </w:hyperlink>
          </w:p>
        </w:tc>
      </w:tr>
      <w:tr w:rsidR="00255E34" w:rsidRPr="005370B5" w14:paraId="4DE85C0D" w14:textId="77777777" w:rsidTr="00D176CF">
        <w:trPr>
          <w:cantSplit/>
          <w:trHeight w:val="432"/>
        </w:trPr>
        <w:tc>
          <w:tcPr>
            <w:tcW w:w="2880" w:type="dxa"/>
            <w:vAlign w:val="center"/>
          </w:tcPr>
          <w:p w14:paraId="0B6BD890" w14:textId="77777777" w:rsidR="00255E34" w:rsidRPr="007C199B" w:rsidRDefault="00255E34" w:rsidP="00255E34">
            <w:pPr>
              <w:pStyle w:val="NormalArial"/>
              <w:rPr>
                <w:b/>
              </w:rPr>
            </w:pPr>
            <w:r w:rsidRPr="007C199B">
              <w:rPr>
                <w:b/>
              </w:rPr>
              <w:t>Phone Number</w:t>
            </w:r>
          </w:p>
        </w:tc>
        <w:tc>
          <w:tcPr>
            <w:tcW w:w="7560" w:type="dxa"/>
            <w:vAlign w:val="center"/>
          </w:tcPr>
          <w:p w14:paraId="435FD12C" w14:textId="0C82BF93" w:rsidR="00255E34" w:rsidRDefault="00255E34" w:rsidP="00255E34">
            <w:pPr>
              <w:pStyle w:val="NormalArial"/>
            </w:pPr>
            <w:r>
              <w:t>512-248-6464</w:t>
            </w:r>
          </w:p>
        </w:tc>
      </w:tr>
    </w:tbl>
    <w:p w14:paraId="5A4DD403" w14:textId="77777777" w:rsidR="003E210D" w:rsidRDefault="003E210D" w:rsidP="003E210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3E210D" w14:paraId="731A330A" w14:textId="77777777" w:rsidTr="00C33CA6">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6CB5F76" w14:textId="77777777" w:rsidR="003E210D" w:rsidRDefault="003E210D" w:rsidP="00C33CA6">
            <w:pPr>
              <w:pStyle w:val="NormalArial"/>
              <w:ind w:hanging="2"/>
              <w:jc w:val="center"/>
              <w:rPr>
                <w:b/>
              </w:rPr>
            </w:pPr>
            <w:r>
              <w:rPr>
                <w:b/>
              </w:rPr>
              <w:t>Comments Received</w:t>
            </w:r>
          </w:p>
        </w:tc>
      </w:tr>
      <w:tr w:rsidR="003E210D" w14:paraId="54873875" w14:textId="77777777" w:rsidTr="00C33CA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250C87" w14:textId="77777777" w:rsidR="003E210D" w:rsidRDefault="003E210D" w:rsidP="00C33CA6">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B5E87A9" w14:textId="77777777" w:rsidR="003E210D" w:rsidRDefault="003E210D" w:rsidP="00C33CA6">
            <w:pPr>
              <w:pStyle w:val="NormalArial"/>
              <w:ind w:hanging="2"/>
              <w:rPr>
                <w:b/>
              </w:rPr>
            </w:pPr>
            <w:r>
              <w:rPr>
                <w:b/>
              </w:rPr>
              <w:t>Comment Summary</w:t>
            </w:r>
          </w:p>
        </w:tc>
      </w:tr>
      <w:tr w:rsidR="003E210D" w14:paraId="54192561" w14:textId="77777777" w:rsidTr="00C33CA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8DC714" w14:textId="77777777" w:rsidR="003E210D" w:rsidRDefault="003E210D" w:rsidP="00C33CA6">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741B3DA7" w14:textId="77777777" w:rsidR="003E210D" w:rsidRDefault="003E210D" w:rsidP="00C33CA6">
            <w:pPr>
              <w:pStyle w:val="NormalArial"/>
              <w:spacing w:before="120" w:after="120"/>
              <w:ind w:hanging="2"/>
            </w:pPr>
          </w:p>
        </w:tc>
      </w:tr>
    </w:tbl>
    <w:p w14:paraId="63BBE1DD" w14:textId="77777777" w:rsidR="003E210D" w:rsidRPr="00D85807" w:rsidRDefault="003E210D" w:rsidP="003E210D">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E210D" w:rsidRPr="001B6509" w14:paraId="3168F076" w14:textId="77777777" w:rsidTr="00C33CA6">
        <w:trPr>
          <w:trHeight w:val="350"/>
        </w:trPr>
        <w:tc>
          <w:tcPr>
            <w:tcW w:w="10440" w:type="dxa"/>
            <w:tcBorders>
              <w:bottom w:val="single" w:sz="4" w:space="0" w:color="auto"/>
            </w:tcBorders>
            <w:shd w:val="clear" w:color="auto" w:fill="FFFFFF"/>
            <w:vAlign w:val="center"/>
          </w:tcPr>
          <w:p w14:paraId="39D4BD24" w14:textId="77777777" w:rsidR="003E210D" w:rsidRPr="001B6509" w:rsidRDefault="003E210D" w:rsidP="00C33CA6">
            <w:pPr>
              <w:tabs>
                <w:tab w:val="center" w:pos="4320"/>
                <w:tab w:val="right" w:pos="8640"/>
              </w:tabs>
              <w:jc w:val="center"/>
              <w:rPr>
                <w:rFonts w:ascii="Arial" w:hAnsi="Arial"/>
                <w:b/>
                <w:bCs/>
              </w:rPr>
            </w:pPr>
            <w:r w:rsidRPr="001B6509">
              <w:rPr>
                <w:rFonts w:ascii="Arial" w:hAnsi="Arial"/>
                <w:b/>
                <w:bCs/>
              </w:rPr>
              <w:lastRenderedPageBreak/>
              <w:t>Market Rules Notes</w:t>
            </w:r>
          </w:p>
        </w:tc>
      </w:tr>
    </w:tbl>
    <w:p w14:paraId="3593ED94" w14:textId="444296D3" w:rsidR="008E287B" w:rsidRPr="008E287B" w:rsidRDefault="008E287B" w:rsidP="008E287B">
      <w:pPr>
        <w:tabs>
          <w:tab w:val="num" w:pos="0"/>
        </w:tabs>
        <w:spacing w:before="120" w:after="120"/>
        <w:rPr>
          <w:rFonts w:ascii="Arial" w:hAnsi="Arial" w:cs="Arial"/>
        </w:rPr>
      </w:pPr>
      <w:r w:rsidRPr="008E287B">
        <w:rPr>
          <w:rFonts w:ascii="Arial" w:hAnsi="Arial" w:cs="Arial"/>
        </w:rPr>
        <w:t xml:space="preserve">Please note the baseline Protocol language in </w:t>
      </w:r>
      <w:r w:rsidR="004D5A7E">
        <w:rPr>
          <w:rFonts w:ascii="Arial" w:hAnsi="Arial" w:cs="Arial"/>
        </w:rPr>
        <w:t>Section 11.1.6</w:t>
      </w:r>
      <w:r w:rsidRPr="008E287B">
        <w:rPr>
          <w:rFonts w:ascii="Arial" w:hAnsi="Arial" w:cs="Arial"/>
        </w:rPr>
        <w:t xml:space="preserve"> has been updated to reflect the incorporation of the following NPRR(s) into the Protocols:</w:t>
      </w:r>
    </w:p>
    <w:p w14:paraId="5B663C6A" w14:textId="52D7186B" w:rsidR="008E287B" w:rsidRPr="004D5A7E" w:rsidRDefault="008E287B" w:rsidP="004D5A7E">
      <w:pPr>
        <w:pStyle w:val="ListParagraph"/>
        <w:numPr>
          <w:ilvl w:val="0"/>
          <w:numId w:val="21"/>
        </w:numPr>
        <w:spacing w:before="120" w:after="120"/>
        <w:rPr>
          <w:rFonts w:ascii="Arial" w:hAnsi="Arial" w:cs="Arial"/>
        </w:rPr>
      </w:pPr>
      <w:r w:rsidRPr="008E287B">
        <w:rPr>
          <w:rFonts w:ascii="Arial" w:hAnsi="Arial" w:cs="Arial"/>
        </w:rPr>
        <w:t>NPRR1002, BESTF-5 Energy Storage Resource Single Model Registration and Charging Restrictions in Emergency Conditions</w:t>
      </w:r>
      <w:r>
        <w:rPr>
          <w:rFonts w:ascii="Arial" w:hAnsi="Arial" w:cs="Arial"/>
        </w:rPr>
        <w:t xml:space="preserve"> (unboxed 9/27/24)</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2106917E" w:rsidR="009A3772" w:rsidRDefault="009A3772" w:rsidP="008E287B">
            <w:pPr>
              <w:pStyle w:val="Header"/>
              <w:jc w:val="center"/>
            </w:pPr>
            <w:r>
              <w:t>Proposed Protocol Language Revision</w:t>
            </w:r>
          </w:p>
        </w:tc>
      </w:tr>
    </w:tbl>
    <w:p w14:paraId="61D49519" w14:textId="77777777" w:rsidR="00255E34" w:rsidRPr="00255E34" w:rsidRDefault="00255E34" w:rsidP="00255E34">
      <w:pPr>
        <w:keepNext/>
        <w:tabs>
          <w:tab w:val="left" w:pos="1080"/>
        </w:tabs>
        <w:spacing w:before="240" w:after="240"/>
        <w:ind w:left="1080" w:hanging="1080"/>
        <w:outlineLvl w:val="2"/>
        <w:rPr>
          <w:b/>
          <w:bCs/>
          <w:i/>
          <w:szCs w:val="20"/>
        </w:rPr>
      </w:pPr>
      <w:bookmarkStart w:id="1" w:name="_Toc148960321"/>
      <w:bookmarkStart w:id="2" w:name="_Toc273089322"/>
      <w:r w:rsidRPr="00255E34">
        <w:rPr>
          <w:b/>
          <w:bCs/>
          <w:i/>
          <w:szCs w:val="20"/>
        </w:rPr>
        <w:t>11.1.6</w:t>
      </w:r>
      <w:r w:rsidRPr="00255E34">
        <w:rPr>
          <w:b/>
          <w:bCs/>
          <w:i/>
          <w:szCs w:val="20"/>
        </w:rPr>
        <w:tab/>
        <w:t>ERCOT-Polled Settlement Meter Netting</w:t>
      </w:r>
      <w:bookmarkEnd w:id="1"/>
    </w:p>
    <w:p w14:paraId="3368D053" w14:textId="6D56BACE" w:rsidR="00255E34" w:rsidRPr="00255E34" w:rsidRDefault="00255E34" w:rsidP="00255E34">
      <w:pPr>
        <w:spacing w:after="240"/>
        <w:ind w:left="720" w:hanging="720"/>
        <w:rPr>
          <w:iCs/>
        </w:rPr>
      </w:pPr>
      <w:r w:rsidRPr="00255E34">
        <w:rPr>
          <w:iCs/>
        </w:rPr>
        <w:t>(1)</w:t>
      </w:r>
      <w:r w:rsidRPr="00255E34">
        <w:rPr>
          <w:iCs/>
        </w:rPr>
        <w:tab/>
        <w:t xml:space="preserve">As allowed by Section 10, Metering, of these Protocols, ERCOT will perform the approved netting schemes, which sum the meters at a given Generation Resource </w:t>
      </w:r>
      <w:r w:rsidR="00D10FCD">
        <w:t>or Energy Storage Resource (ESR)</w:t>
      </w:r>
      <w:r w:rsidR="00D10FCD" w:rsidRPr="00423E2D">
        <w:t xml:space="preserve"> </w:t>
      </w:r>
      <w:r w:rsidRPr="00255E34">
        <w:rPr>
          <w:iCs/>
        </w:rPr>
        <w:t xml:space="preserve">site.  </w:t>
      </w:r>
    </w:p>
    <w:p w14:paraId="4CFD97B3" w14:textId="0FF60502" w:rsidR="00255E34" w:rsidRPr="00255E34" w:rsidRDefault="00255E34" w:rsidP="00D10FCD">
      <w:pPr>
        <w:spacing w:after="240"/>
        <w:ind w:left="720" w:hanging="720"/>
        <w:rPr>
          <w:iCs/>
        </w:rPr>
      </w:pPr>
      <w:r w:rsidRPr="00255E34">
        <w:rPr>
          <w:iCs/>
        </w:rPr>
        <w:t>(2)</w:t>
      </w:r>
      <w:r w:rsidRPr="00255E34">
        <w:rPr>
          <w:iCs/>
        </w:rPr>
        <w:tab/>
      </w:r>
      <w:r w:rsidR="00D10FCD" w:rsidRPr="00255E34">
        <w:rPr>
          <w:iCs/>
        </w:rPr>
        <w:t xml:space="preserve">Both Load consumption and generation production meters will be </w:t>
      </w:r>
      <w:proofErr w:type="gramStart"/>
      <w:r w:rsidR="00D10FCD" w:rsidRPr="00255E34">
        <w:rPr>
          <w:iCs/>
        </w:rPr>
        <w:t>combined together</w:t>
      </w:r>
      <w:proofErr w:type="gramEnd"/>
      <w:r w:rsidR="00D10FCD" w:rsidRPr="00255E34">
        <w:rPr>
          <w:iCs/>
        </w:rPr>
        <w:t xml:space="preserve"> to obtain a total amount of Load or generation.</w:t>
      </w:r>
    </w:p>
    <w:p w14:paraId="4B533766" w14:textId="788D0AD8" w:rsidR="00255E34" w:rsidRPr="00255E34" w:rsidRDefault="00255E34" w:rsidP="00D10FCD">
      <w:pPr>
        <w:spacing w:after="240"/>
        <w:ind w:left="720" w:hanging="720"/>
        <w:rPr>
          <w:szCs w:val="20"/>
        </w:rPr>
      </w:pPr>
      <w:r w:rsidRPr="00255E34">
        <w:rPr>
          <w:szCs w:val="20"/>
        </w:rPr>
        <w:t>(3)</w:t>
      </w:r>
      <w:r w:rsidRPr="00255E34">
        <w:rPr>
          <w:szCs w:val="20"/>
        </w:rPr>
        <w:tab/>
        <w:t>For a</w:t>
      </w:r>
      <w:r w:rsidR="00D10FCD">
        <w:rPr>
          <w:szCs w:val="20"/>
        </w:rPr>
        <w:t>n ESR</w:t>
      </w:r>
      <w:r w:rsidRPr="00255E34">
        <w:rPr>
          <w:szCs w:val="20"/>
        </w:rPr>
        <w:t xml:space="preserve"> site with Wholesale Storage Load (WSL):</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255E34" w:rsidRPr="00255E34" w14:paraId="6CAC3052" w14:textId="77777777" w:rsidTr="0093230F">
        <w:tc>
          <w:tcPr>
            <w:tcW w:w="9766" w:type="dxa"/>
            <w:shd w:val="pct12" w:color="auto" w:fill="auto"/>
          </w:tcPr>
          <w:p w14:paraId="52810F0F" w14:textId="161C2100" w:rsidR="00255E34" w:rsidRPr="00255E34" w:rsidRDefault="00255E34" w:rsidP="00255E34">
            <w:pPr>
              <w:spacing w:before="120" w:after="240"/>
              <w:rPr>
                <w:b/>
                <w:i/>
                <w:iCs/>
              </w:rPr>
            </w:pPr>
            <w:r w:rsidRPr="00255E34">
              <w:rPr>
                <w:b/>
                <w:i/>
                <w:iCs/>
              </w:rPr>
              <w:t>[NPRR995:  Replace paragraph (3) above with the following upon system implementation:]</w:t>
            </w:r>
          </w:p>
          <w:p w14:paraId="3C2B8578" w14:textId="77777777" w:rsidR="00255E34" w:rsidRPr="00255E34" w:rsidRDefault="00255E34" w:rsidP="00255E34">
            <w:pPr>
              <w:spacing w:after="240"/>
              <w:ind w:left="720" w:hanging="720"/>
              <w:rPr>
                <w:szCs w:val="20"/>
              </w:rPr>
            </w:pPr>
            <w:r w:rsidRPr="00255E34">
              <w:rPr>
                <w:szCs w:val="20"/>
              </w:rPr>
              <w:t>(3)</w:t>
            </w:r>
            <w:r w:rsidRPr="00255E34">
              <w:rPr>
                <w:szCs w:val="20"/>
              </w:rPr>
              <w:tab/>
              <w:t>For an ESR site:</w:t>
            </w:r>
          </w:p>
        </w:tc>
      </w:tr>
    </w:tbl>
    <w:p w14:paraId="24C6B0ED" w14:textId="585761B0" w:rsidR="00255E34" w:rsidRPr="00255E34" w:rsidRDefault="00255E34" w:rsidP="00255E34">
      <w:pPr>
        <w:spacing w:before="240" w:after="240"/>
        <w:ind w:left="1440" w:hanging="720"/>
        <w:rPr>
          <w:szCs w:val="20"/>
        </w:rPr>
      </w:pPr>
      <w:r w:rsidRPr="00255E34">
        <w:rPr>
          <w:szCs w:val="20"/>
        </w:rPr>
        <w:t>(a)</w:t>
      </w:r>
      <w:r w:rsidRPr="00255E34">
        <w:rPr>
          <w:szCs w:val="20"/>
        </w:rPr>
        <w:tab/>
        <w:t>WSL is measured by the corresponding EPS Meter,</w:t>
      </w:r>
      <w:r w:rsidRPr="00255E34">
        <w:t xml:space="preserve"> except that when a Resource Entity for an ESR communicates its auxiliary Load value to the EPS Meter, WSL is calculated by subtracting the auxiliary Load from the total Load measured by the corresponding EPS Meter</w:t>
      </w:r>
      <w:r w:rsidRPr="00255E34">
        <w:rPr>
          <w:szCs w:val="20"/>
        </w:rPr>
        <w:t xml:space="preserve">.  If the calculated auxiliary Load is greater than the total Load, WSL shall be zero. </w:t>
      </w:r>
    </w:p>
    <w:p w14:paraId="757E46BE" w14:textId="77777777" w:rsidR="00255E34" w:rsidRPr="00255E34" w:rsidRDefault="00255E34" w:rsidP="00255E34">
      <w:pPr>
        <w:spacing w:after="240"/>
        <w:ind w:left="1440" w:hanging="720"/>
        <w:rPr>
          <w:szCs w:val="20"/>
        </w:rPr>
      </w:pPr>
      <w:r w:rsidRPr="00255E34">
        <w:rPr>
          <w:szCs w:val="20"/>
        </w:rPr>
        <w:t>(b)</w:t>
      </w:r>
      <w:r w:rsidRPr="00255E34">
        <w:rPr>
          <w:szCs w:val="20"/>
        </w:rPr>
        <w:tab/>
        <w:t>For WSL that is metered behind the POI metering point, the WSL will be added back into the POI metering point to determine the net flows for the POI metering point.</w:t>
      </w:r>
    </w:p>
    <w:p w14:paraId="086CCE47" w14:textId="77777777" w:rsidR="00255E34" w:rsidRPr="00255E34" w:rsidRDefault="00255E34" w:rsidP="00255E34">
      <w:pPr>
        <w:spacing w:after="240"/>
        <w:ind w:left="1440" w:hanging="720"/>
        <w:rPr>
          <w:szCs w:val="20"/>
        </w:rPr>
      </w:pPr>
      <w:r w:rsidRPr="00255E34">
        <w:rPr>
          <w:szCs w:val="20"/>
        </w:rPr>
        <w:t>(c)</w:t>
      </w:r>
      <w:r w:rsidRPr="00255E34">
        <w:rPr>
          <w:szCs w:val="20"/>
        </w:rPr>
        <w:tab/>
        <w:t xml:space="preserve">For WSL that is separately metered at the POI, the WSL will not be included in the determination of whether the generation site is </w:t>
      </w:r>
      <w:proofErr w:type="spellStart"/>
      <w:r w:rsidRPr="00255E34">
        <w:rPr>
          <w:szCs w:val="20"/>
        </w:rPr>
        <w:t>net</w:t>
      </w:r>
      <w:proofErr w:type="spellEnd"/>
      <w:r w:rsidRPr="00255E34">
        <w:rPr>
          <w:szCs w:val="20"/>
        </w:rPr>
        <w:t xml:space="preserve"> generation or net Load for the purpose of Settlement.</w:t>
      </w:r>
      <w:bookmarkEnd w:id="2"/>
    </w:p>
    <w:p w14:paraId="513238F5" w14:textId="77777777" w:rsidR="00255E34" w:rsidRPr="00255E34" w:rsidRDefault="00255E34" w:rsidP="00255E34">
      <w:pPr>
        <w:spacing w:after="240"/>
        <w:ind w:left="720" w:hanging="720"/>
        <w:rPr>
          <w:szCs w:val="20"/>
        </w:rPr>
      </w:pPr>
      <w:r w:rsidRPr="00255E34">
        <w:rPr>
          <w:szCs w:val="20"/>
        </w:rPr>
        <w:t>(4)</w:t>
      </w:r>
      <w:r w:rsidRPr="00255E34">
        <w:rPr>
          <w:szCs w:val="20"/>
        </w:rPr>
        <w:tab/>
        <w:t>For an ESR that has separately metered its charging Load, but elects not to receive WSL treatment</w:t>
      </w:r>
      <w:r w:rsidRPr="00255E34">
        <w:t xml:space="preserve">, the Non-WSL ESR Charging Load for the 15-minute interval shall be determined using </w:t>
      </w:r>
      <w:r w:rsidRPr="00255E34">
        <w:rPr>
          <w:szCs w:val="20"/>
        </w:rPr>
        <w:t>t</w:t>
      </w:r>
      <w:r w:rsidRPr="00255E34">
        <w:t>he metered ESR charging Load.</w:t>
      </w:r>
    </w:p>
    <w:p w14:paraId="0EBFED91" w14:textId="77777777" w:rsidR="00255E34" w:rsidRPr="00255E34" w:rsidRDefault="00255E34" w:rsidP="00255E34">
      <w:pPr>
        <w:spacing w:after="240"/>
        <w:ind w:left="720" w:hanging="720"/>
        <w:rPr>
          <w:szCs w:val="20"/>
        </w:rPr>
      </w:pPr>
      <w:r w:rsidRPr="00255E34">
        <w:rPr>
          <w:szCs w:val="20"/>
        </w:rPr>
        <w:t>(5)</w:t>
      </w:r>
      <w:r w:rsidRPr="00255E34">
        <w:rPr>
          <w:szCs w:val="20"/>
        </w:rPr>
        <w:tab/>
        <w:t>For an ESR that has not separately metered its charging Load, or has forfeited WSL treatment pursuant to paragraph (3) of Section 10.2.4, Resource Entity Calculation and Telemetry of ESR Auxiliary Load Values, the Non-WSL ESR Charging Load for the 15-</w:t>
      </w:r>
      <w:r w:rsidRPr="00255E34">
        <w:rPr>
          <w:szCs w:val="20"/>
        </w:rPr>
        <w:lastRenderedPageBreak/>
        <w:t>minute interval shall be equal to the total metered ESR Load minus auxiliary Load, where auxiliary Load is calculated as the greater of the following:</w:t>
      </w:r>
    </w:p>
    <w:p w14:paraId="74098FFD" w14:textId="77777777" w:rsidR="00255E34" w:rsidRPr="00255E34" w:rsidRDefault="00255E34" w:rsidP="00255E34">
      <w:pPr>
        <w:spacing w:after="240"/>
        <w:ind w:left="1440" w:hanging="720"/>
        <w:rPr>
          <w:szCs w:val="20"/>
        </w:rPr>
      </w:pPr>
      <w:r w:rsidRPr="00255E34">
        <w:rPr>
          <w:szCs w:val="20"/>
        </w:rPr>
        <w:t>(a)</w:t>
      </w:r>
      <w:r w:rsidRPr="00255E34">
        <w:rPr>
          <w:szCs w:val="20"/>
        </w:rPr>
        <w:tab/>
        <w:t>The lesser of the total metered ESR Load or X MWh, where X is calculated as 15% of the ESR’s nameplate capacity multiplied by 0.25; or</w:t>
      </w:r>
    </w:p>
    <w:p w14:paraId="2DE5E595" w14:textId="77777777" w:rsidR="00255E34" w:rsidRPr="00255E34" w:rsidRDefault="00255E34" w:rsidP="00255E34">
      <w:pPr>
        <w:spacing w:after="240"/>
        <w:ind w:left="1440" w:hanging="720"/>
        <w:rPr>
          <w:szCs w:val="20"/>
        </w:rPr>
      </w:pPr>
      <w:r w:rsidRPr="00255E34">
        <w:rPr>
          <w:szCs w:val="20"/>
        </w:rPr>
        <w:t>(b)</w:t>
      </w:r>
      <w:r w:rsidRPr="00255E34">
        <w:rPr>
          <w:szCs w:val="20"/>
        </w:rPr>
        <w:tab/>
        <w:t>15% of the total metered ESR Load for the 15-minute interval.</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255E34" w:rsidRPr="00255E34" w14:paraId="12C2CED9" w14:textId="77777777" w:rsidTr="0093230F">
        <w:tc>
          <w:tcPr>
            <w:tcW w:w="9766" w:type="dxa"/>
            <w:shd w:val="pct12" w:color="auto" w:fill="auto"/>
          </w:tcPr>
          <w:p w14:paraId="67A54497" w14:textId="77777777" w:rsidR="00255E34" w:rsidRPr="00255E34" w:rsidRDefault="00255E34" w:rsidP="00255E34">
            <w:pPr>
              <w:spacing w:before="120" w:after="240"/>
              <w:rPr>
                <w:b/>
                <w:i/>
                <w:iCs/>
              </w:rPr>
            </w:pPr>
            <w:r w:rsidRPr="00255E34">
              <w:rPr>
                <w:b/>
                <w:i/>
                <w:iCs/>
              </w:rPr>
              <w:t>[NPRR995:  Insert paragraphs (6) and (7) below upon system implementation and renumber accordingly:]</w:t>
            </w:r>
          </w:p>
          <w:p w14:paraId="4A454F4A" w14:textId="77777777" w:rsidR="00255E34" w:rsidRPr="00255E34" w:rsidRDefault="00255E34" w:rsidP="00255E34">
            <w:pPr>
              <w:spacing w:after="240"/>
              <w:ind w:left="720" w:hanging="720"/>
              <w:rPr>
                <w:szCs w:val="20"/>
              </w:rPr>
            </w:pPr>
            <w:r w:rsidRPr="00255E34">
              <w:t>(6)</w:t>
            </w:r>
            <w:r w:rsidRPr="00255E34">
              <w:tab/>
            </w:r>
            <w:r w:rsidRPr="00255E34">
              <w:rPr>
                <w:szCs w:val="20"/>
              </w:rPr>
              <w:t>For a Settlement Only Distribution Energy Storage System (SODESS) or Settlement Only Transmission Energy Storage System (SOTESS) that has been approved for WSL treatment and has a single POI or Service Delivery Point:</w:t>
            </w:r>
          </w:p>
          <w:p w14:paraId="5FFF9C14" w14:textId="77777777" w:rsidR="00255E34" w:rsidRPr="00255E34" w:rsidRDefault="00255E34" w:rsidP="00255E34">
            <w:pPr>
              <w:spacing w:after="240"/>
              <w:ind w:left="1440" w:hanging="720"/>
              <w:rPr>
                <w:szCs w:val="20"/>
              </w:rPr>
            </w:pPr>
            <w:r w:rsidRPr="00255E34">
              <w:rPr>
                <w:szCs w:val="20"/>
              </w:rPr>
              <w:t>(a)</w:t>
            </w:r>
            <w:r w:rsidRPr="00255E34">
              <w:rPr>
                <w:szCs w:val="20"/>
              </w:rPr>
              <w:tab/>
              <w:t>For withdrawals from the ERCOT System consisting of only WSL or WSL in combination with auxiliary Load:</w:t>
            </w:r>
          </w:p>
          <w:p w14:paraId="6C138F11" w14:textId="77777777" w:rsidR="00255E34" w:rsidRPr="00255E34" w:rsidRDefault="00255E34" w:rsidP="00255E34">
            <w:pPr>
              <w:spacing w:after="240"/>
              <w:ind w:left="2160" w:hanging="720"/>
              <w:rPr>
                <w:szCs w:val="20"/>
              </w:rPr>
            </w:pPr>
            <w:r w:rsidRPr="00255E34">
              <w:rPr>
                <w:szCs w:val="20"/>
              </w:rPr>
              <w:t>(i)</w:t>
            </w:r>
            <w:r w:rsidRPr="00255E34">
              <w:rPr>
                <w:szCs w:val="20"/>
              </w:rPr>
              <w:tab/>
              <w:t>WSL is measured by the corresponding EPS Meter,</w:t>
            </w:r>
            <w:r w:rsidRPr="00255E34">
              <w:t xml:space="preserve"> except when a Resource Entity communicates its auxiliary Load value to the EPS Meter, WSL is calculated by subtracting the auxiliary Load from the total Load measured by the corresponding EPS Meter</w:t>
            </w:r>
            <w:r w:rsidRPr="00255E34">
              <w:rPr>
                <w:szCs w:val="20"/>
              </w:rPr>
              <w:t xml:space="preserve">.  If the calculated auxiliary Load is greater than the total Load, WSL shall be set to zero. </w:t>
            </w:r>
          </w:p>
          <w:p w14:paraId="45647D48" w14:textId="77777777" w:rsidR="00255E34" w:rsidRPr="00255E34" w:rsidRDefault="00255E34" w:rsidP="00255E34">
            <w:pPr>
              <w:spacing w:after="240"/>
              <w:ind w:left="2160" w:hanging="720"/>
              <w:rPr>
                <w:szCs w:val="20"/>
              </w:rPr>
            </w:pPr>
            <w:r w:rsidRPr="00255E34">
              <w:rPr>
                <w:szCs w:val="20"/>
              </w:rPr>
              <w:t>(ii)</w:t>
            </w:r>
            <w:r w:rsidRPr="00255E34">
              <w:rPr>
                <w:szCs w:val="20"/>
              </w:rPr>
              <w:tab/>
              <w:t>For measured or calculated WSL that is behind the POI or Service Delivery Point, the WSL will be added back into the POI or Service Delivery Point metering point to determine the net flows for the POI or Service Delivery Point metering point.</w:t>
            </w:r>
          </w:p>
          <w:p w14:paraId="3B27019B" w14:textId="77777777" w:rsidR="00255E34" w:rsidRPr="00255E34" w:rsidRDefault="00255E34" w:rsidP="00255E34">
            <w:pPr>
              <w:spacing w:after="240"/>
              <w:ind w:left="1440" w:hanging="720"/>
              <w:rPr>
                <w:szCs w:val="20"/>
              </w:rPr>
            </w:pPr>
            <w:r w:rsidRPr="00255E34">
              <w:rPr>
                <w:szCs w:val="20"/>
              </w:rPr>
              <w:t>(b)</w:t>
            </w:r>
            <w:r w:rsidRPr="00255E34">
              <w:rPr>
                <w:szCs w:val="20"/>
              </w:rPr>
              <w:tab/>
              <w:t>For withdrawals from the ERCOT System that include Load other than WSL Load or auxiliary Load:</w:t>
            </w:r>
          </w:p>
          <w:p w14:paraId="627577F7" w14:textId="77777777" w:rsidR="00255E34" w:rsidRPr="00255E34" w:rsidRDefault="00255E34" w:rsidP="00255E34">
            <w:pPr>
              <w:spacing w:after="240"/>
              <w:ind w:left="2160" w:hanging="720"/>
              <w:rPr>
                <w:szCs w:val="20"/>
              </w:rPr>
            </w:pPr>
            <w:r w:rsidRPr="00255E34">
              <w:rPr>
                <w:szCs w:val="20"/>
              </w:rPr>
              <w:t>(i)</w:t>
            </w:r>
            <w:r w:rsidRPr="00255E34">
              <w:rPr>
                <w:szCs w:val="20"/>
              </w:rPr>
              <w:tab/>
              <w:t>The charging Load is measured by the corresponding EPS Meter,</w:t>
            </w:r>
            <w:r w:rsidRPr="00255E34">
              <w:t xml:space="preserve"> except that when the Resource Entity communicates its auxiliary Load value to the EPS Meter, the charging Load is calculated by subtracting the auxiliary Load from the total </w:t>
            </w:r>
            <w:r w:rsidRPr="00255E34">
              <w:rPr>
                <w:szCs w:val="20"/>
              </w:rPr>
              <w:t>SODESS or SOTESS</w:t>
            </w:r>
            <w:r w:rsidRPr="00255E34">
              <w:t xml:space="preserve"> Load measured by the corresponding EPS Meter</w:t>
            </w:r>
            <w:r w:rsidRPr="00255E34">
              <w:rPr>
                <w:szCs w:val="20"/>
              </w:rPr>
              <w:t xml:space="preserve">.  If the calculated auxiliary Load is greater than the total SODESS or SOTESS Load, the charging Load shall be set to zero. </w:t>
            </w:r>
          </w:p>
          <w:p w14:paraId="4F8824B5" w14:textId="77777777" w:rsidR="00255E34" w:rsidRPr="00255E34" w:rsidRDefault="00255E34" w:rsidP="00255E34">
            <w:pPr>
              <w:spacing w:after="240"/>
              <w:ind w:left="2160" w:hanging="720"/>
              <w:rPr>
                <w:szCs w:val="20"/>
              </w:rPr>
            </w:pPr>
            <w:r w:rsidRPr="00255E34">
              <w:rPr>
                <w:szCs w:val="20"/>
              </w:rPr>
              <w:t>(ii)</w:t>
            </w:r>
            <w:r w:rsidRPr="00255E34">
              <w:rPr>
                <w:szCs w:val="20"/>
              </w:rPr>
              <w:tab/>
              <w:t xml:space="preserve">Where injections are exclusively the result of generation from an SODESS or SOTESS, the WSL quantity shall be determined through the use of a </w:t>
            </w:r>
            <w:r w:rsidRPr="00255E34">
              <w:t>generation</w:t>
            </w:r>
            <w:r w:rsidRPr="00255E34">
              <w:rPr>
                <w:szCs w:val="20"/>
              </w:rPr>
              <w:t xml:space="preserve"> accumulator, which is calculated as the accumulated output measured at the POI or Service Delivery Point minus the accumulated charging Load receiving WSL treatment.  The charging Load that is less than or equal to the generation accumulator will be settled as WSL for each 15-minute interval.</w:t>
            </w:r>
          </w:p>
          <w:p w14:paraId="34F515C3" w14:textId="77777777" w:rsidR="00255E34" w:rsidRPr="00255E34" w:rsidRDefault="00255E34" w:rsidP="00255E34">
            <w:pPr>
              <w:spacing w:after="240"/>
              <w:ind w:left="2160" w:hanging="720"/>
              <w:rPr>
                <w:szCs w:val="20"/>
              </w:rPr>
            </w:pPr>
            <w:r w:rsidRPr="00255E34">
              <w:rPr>
                <w:szCs w:val="20"/>
              </w:rPr>
              <w:lastRenderedPageBreak/>
              <w:t>(iii)</w:t>
            </w:r>
            <w:r w:rsidRPr="00255E34">
              <w:rPr>
                <w:szCs w:val="20"/>
              </w:rPr>
              <w:tab/>
              <w:t>Where injections are the result of a combination of SODESS or SOTESS and non-SODESS or non-SOTESS generation, the output channel of the EPS Meter that measures charging Load is required to be used for Settlement.  For these sites, the WSL quantity shall be determined through the use of a generation accumulator, which is calculated as the lesser of (i) the accumulated SODESS or SOTESS output or (ii) the accumulated output measured at the POI or Service Delivery Point minus the accumulated charging Load receiving WSL treatment.  The charging Load that is less than or equal to the generation accumulator will be settled as WSL for each 15-minute interval.</w:t>
            </w:r>
          </w:p>
          <w:p w14:paraId="3950A3CB" w14:textId="77777777" w:rsidR="00255E34" w:rsidRPr="00255E34" w:rsidRDefault="00255E34" w:rsidP="00255E34">
            <w:pPr>
              <w:spacing w:after="240"/>
              <w:ind w:left="2160" w:hanging="720"/>
              <w:rPr>
                <w:szCs w:val="20"/>
              </w:rPr>
            </w:pPr>
            <w:r w:rsidRPr="00255E34">
              <w:rPr>
                <w:szCs w:val="20"/>
              </w:rPr>
              <w:t>(iv)</w:t>
            </w:r>
            <w:r w:rsidRPr="00255E34">
              <w:rPr>
                <w:szCs w:val="20"/>
              </w:rPr>
              <w:tab/>
              <w:t>For measured or calculated charging Load that is behind the POI or Service Delivery Point, the charging Load will be added back into the POI or Service Delivery Point metering point to determine the net flows for the POI or Service Delivery Point metering point.</w:t>
            </w:r>
          </w:p>
          <w:p w14:paraId="65A8874C" w14:textId="77777777" w:rsidR="00255E34" w:rsidRPr="00255E34" w:rsidRDefault="00255E34" w:rsidP="00255E34">
            <w:pPr>
              <w:spacing w:after="240"/>
              <w:ind w:left="720" w:hanging="720"/>
              <w:rPr>
                <w:szCs w:val="20"/>
              </w:rPr>
            </w:pPr>
            <w:r w:rsidRPr="00255E34">
              <w:rPr>
                <w:szCs w:val="20"/>
              </w:rPr>
              <w:t>(7)</w:t>
            </w:r>
            <w:r w:rsidRPr="00255E34">
              <w:rPr>
                <w:szCs w:val="20"/>
              </w:rPr>
              <w:tab/>
              <w:t>For an SODESS or SOTESS that either has not elected or has not been approved for WSL treatment and has a single POI or Service Delivery Point:</w:t>
            </w:r>
          </w:p>
          <w:p w14:paraId="0D5B65AD" w14:textId="77777777" w:rsidR="00255E34" w:rsidRPr="00255E34" w:rsidRDefault="00255E34" w:rsidP="00255E34">
            <w:pPr>
              <w:spacing w:after="240"/>
              <w:ind w:left="1440" w:hanging="720"/>
            </w:pPr>
            <w:r w:rsidRPr="00255E34">
              <w:rPr>
                <w:szCs w:val="20"/>
              </w:rPr>
              <w:t>(a)</w:t>
            </w:r>
            <w:r w:rsidRPr="00255E34">
              <w:rPr>
                <w:szCs w:val="20"/>
              </w:rPr>
              <w:tab/>
              <w:t xml:space="preserve">For withdrawals from the ERCOT System consisting of only charging Load or charging Load in combination with auxiliary Load, </w:t>
            </w:r>
            <w:r w:rsidRPr="00255E34">
              <w:t>the Non-WSL Settlement Only Charging Load for the 15-minute Settlement Interval shall be determined as follows:</w:t>
            </w:r>
          </w:p>
          <w:p w14:paraId="06584304" w14:textId="77777777" w:rsidR="00255E34" w:rsidRPr="00255E34" w:rsidRDefault="00255E34" w:rsidP="00255E34">
            <w:pPr>
              <w:spacing w:after="240"/>
              <w:ind w:left="2160" w:hanging="720"/>
              <w:rPr>
                <w:color w:val="1F497D"/>
              </w:rPr>
            </w:pPr>
            <w:r w:rsidRPr="00255E34">
              <w:rPr>
                <w:szCs w:val="20"/>
              </w:rPr>
              <w:t>(i)</w:t>
            </w:r>
            <w:r w:rsidRPr="00255E34">
              <w:rPr>
                <w:szCs w:val="20"/>
              </w:rPr>
              <w:tab/>
            </w:r>
            <w:r w:rsidRPr="00255E34">
              <w:t>The metered charging Load that would otherwise be eligible for WSL; or</w:t>
            </w:r>
          </w:p>
          <w:p w14:paraId="030FA788" w14:textId="77777777" w:rsidR="00255E34" w:rsidRPr="00255E34" w:rsidRDefault="00255E34" w:rsidP="00255E34">
            <w:pPr>
              <w:spacing w:after="240"/>
              <w:ind w:left="2160" w:hanging="720"/>
              <w:rPr>
                <w:szCs w:val="20"/>
              </w:rPr>
            </w:pPr>
            <w:r w:rsidRPr="00255E34">
              <w:rPr>
                <w:szCs w:val="20"/>
              </w:rPr>
              <w:t>(ii)</w:t>
            </w:r>
            <w:r w:rsidRPr="00255E34">
              <w:rPr>
                <w:szCs w:val="20"/>
              </w:rPr>
              <w:tab/>
              <w:t>The total metered SODESS or SOTESS Load minus auxiliary Load, where auxiliary Load is calculated as the greater of the following:</w:t>
            </w:r>
          </w:p>
          <w:p w14:paraId="0A9AACEE" w14:textId="77777777" w:rsidR="00255E34" w:rsidRPr="00255E34" w:rsidRDefault="00255E34" w:rsidP="00255E34">
            <w:pPr>
              <w:spacing w:after="240"/>
              <w:ind w:left="2880" w:hanging="720"/>
              <w:rPr>
                <w:szCs w:val="20"/>
              </w:rPr>
            </w:pPr>
            <w:r w:rsidRPr="00255E34">
              <w:rPr>
                <w:szCs w:val="20"/>
              </w:rPr>
              <w:t>(A)</w:t>
            </w:r>
            <w:r w:rsidRPr="00255E34">
              <w:rPr>
                <w:szCs w:val="20"/>
              </w:rPr>
              <w:tab/>
              <w:t>The lesser of the total metered Load or X MWh, where X is calculated as 15% of the nameplate capacity of the ESS multiplied by 0.25; or</w:t>
            </w:r>
          </w:p>
          <w:p w14:paraId="6AE8D37E" w14:textId="77777777" w:rsidR="00255E34" w:rsidRPr="00255E34" w:rsidRDefault="00255E34" w:rsidP="00255E34">
            <w:pPr>
              <w:spacing w:after="240"/>
              <w:ind w:left="2220" w:hanging="60"/>
              <w:rPr>
                <w:szCs w:val="20"/>
              </w:rPr>
            </w:pPr>
            <w:r w:rsidRPr="00255E34">
              <w:rPr>
                <w:szCs w:val="20"/>
              </w:rPr>
              <w:t>(B)</w:t>
            </w:r>
            <w:r w:rsidRPr="00255E34">
              <w:rPr>
                <w:szCs w:val="20"/>
              </w:rPr>
              <w:tab/>
              <w:t xml:space="preserve">15% of the total SODESS or SOTESS metered Load. </w:t>
            </w:r>
          </w:p>
          <w:p w14:paraId="01067FFB" w14:textId="77777777" w:rsidR="00255E34" w:rsidRPr="00255E34" w:rsidRDefault="00255E34" w:rsidP="00255E34">
            <w:pPr>
              <w:spacing w:after="240"/>
              <w:ind w:left="1440" w:hanging="720"/>
              <w:rPr>
                <w:szCs w:val="20"/>
              </w:rPr>
            </w:pPr>
            <w:r w:rsidRPr="00255E34">
              <w:rPr>
                <w:szCs w:val="20"/>
              </w:rPr>
              <w:t>(b)</w:t>
            </w:r>
            <w:r w:rsidRPr="00255E34">
              <w:rPr>
                <w:szCs w:val="20"/>
              </w:rPr>
              <w:tab/>
              <w:t xml:space="preserve">For withdrawals from the ERCOT System that include Load other than </w:t>
            </w:r>
            <w:r w:rsidRPr="00255E34">
              <w:t xml:space="preserve">Non-WSL Settlement Only Charging Load </w:t>
            </w:r>
            <w:r w:rsidRPr="00255E34">
              <w:rPr>
                <w:szCs w:val="20"/>
              </w:rPr>
              <w:t>or auxiliary Load, t</w:t>
            </w:r>
            <w:r w:rsidRPr="00255E34">
              <w:t>he Non-WSL Settlement Only Charging Load</w:t>
            </w:r>
            <w:r w:rsidRPr="00255E34" w:rsidDel="00FA1C38">
              <w:t xml:space="preserve"> </w:t>
            </w:r>
            <w:r w:rsidRPr="00255E34">
              <w:t>for the 15-minute Settlement Interval shall be determined as follows:</w:t>
            </w:r>
          </w:p>
          <w:p w14:paraId="71686412" w14:textId="77777777" w:rsidR="00255E34" w:rsidRPr="00255E34" w:rsidRDefault="00255E34" w:rsidP="00255E34">
            <w:pPr>
              <w:spacing w:after="240"/>
              <w:ind w:left="2160" w:hanging="720"/>
              <w:rPr>
                <w:szCs w:val="20"/>
              </w:rPr>
            </w:pPr>
            <w:r w:rsidRPr="00255E34">
              <w:rPr>
                <w:szCs w:val="20"/>
              </w:rPr>
              <w:t>(i)</w:t>
            </w:r>
            <w:r w:rsidRPr="00255E34">
              <w:rPr>
                <w:szCs w:val="20"/>
              </w:rPr>
              <w:tab/>
              <w:t xml:space="preserve">Where injections are exclusively the result of generation from an SODESS or SOTESS, the </w:t>
            </w:r>
            <w:r w:rsidRPr="00255E34">
              <w:t>Non-WSL Settlement Only Charging Load</w:t>
            </w:r>
            <w:r w:rsidRPr="00255E34" w:rsidDel="00FA1C38">
              <w:t xml:space="preserve"> </w:t>
            </w:r>
            <w:r w:rsidRPr="00255E34">
              <w:rPr>
                <w:szCs w:val="20"/>
              </w:rPr>
              <w:t>quantity shall be determined through the use of a generation accumulator, which is calculated as the accumulated output measured at the POI or Service Delivery Point minus the metered or calculated charging Load determined in option (A) or (B) below:</w:t>
            </w:r>
          </w:p>
          <w:p w14:paraId="4CD406F8" w14:textId="77777777" w:rsidR="00255E34" w:rsidRPr="00255E34" w:rsidRDefault="00255E34" w:rsidP="00255E34">
            <w:pPr>
              <w:spacing w:after="240"/>
              <w:ind w:left="2880" w:hanging="720"/>
            </w:pPr>
            <w:r w:rsidRPr="00255E34">
              <w:rPr>
                <w:szCs w:val="20"/>
              </w:rPr>
              <w:lastRenderedPageBreak/>
              <w:t>(A)</w:t>
            </w:r>
            <w:r w:rsidRPr="00255E34">
              <w:rPr>
                <w:szCs w:val="20"/>
              </w:rPr>
              <w:tab/>
              <w:t>Where the charging Load is separately metered, t</w:t>
            </w:r>
            <w:r w:rsidRPr="00255E34">
              <w:t>he accumulated metered charging Load that would otherwise be eligible for WSL; or</w:t>
            </w:r>
          </w:p>
          <w:p w14:paraId="7D1C23D8" w14:textId="77777777" w:rsidR="00255E34" w:rsidRPr="00255E34" w:rsidRDefault="00255E34" w:rsidP="00255E34">
            <w:pPr>
              <w:spacing w:after="240"/>
              <w:ind w:left="2880" w:hanging="720"/>
              <w:rPr>
                <w:szCs w:val="20"/>
              </w:rPr>
            </w:pPr>
            <w:r w:rsidRPr="00255E34">
              <w:t>(B)</w:t>
            </w:r>
            <w:r w:rsidRPr="00255E34">
              <w:tab/>
              <w:t>W</w:t>
            </w:r>
            <w:r w:rsidRPr="00255E34">
              <w:rPr>
                <w:szCs w:val="20"/>
              </w:rPr>
              <w:t>here the charging Load is not separately metered, the accumulated total metered SODESS or SOTESS Load minus auxiliary Load, where auxiliary Load is calculated as the greater of the following:</w:t>
            </w:r>
          </w:p>
          <w:p w14:paraId="3B9807CF" w14:textId="77777777" w:rsidR="00255E34" w:rsidRPr="00255E34" w:rsidRDefault="00255E34" w:rsidP="00255E34">
            <w:pPr>
              <w:spacing w:after="240"/>
              <w:ind w:left="3600" w:hanging="720"/>
              <w:rPr>
                <w:szCs w:val="20"/>
              </w:rPr>
            </w:pPr>
            <w:r w:rsidRPr="00255E34">
              <w:rPr>
                <w:szCs w:val="20"/>
              </w:rPr>
              <w:t>(1)</w:t>
            </w:r>
            <w:r w:rsidRPr="00255E34">
              <w:rPr>
                <w:szCs w:val="20"/>
              </w:rPr>
              <w:tab/>
              <w:t xml:space="preserve">The lesser of the total SODESS or SOTESS metered Load or X MWh, where X is calculated as 15% of the nameplate capacity of the SODESS or SOTESS multiplied by 0.25; or </w:t>
            </w:r>
          </w:p>
          <w:p w14:paraId="5270713B" w14:textId="77777777" w:rsidR="00255E34" w:rsidRPr="00255E34" w:rsidRDefault="00255E34" w:rsidP="00255E34">
            <w:pPr>
              <w:spacing w:after="240"/>
              <w:ind w:left="2220" w:firstLine="660"/>
              <w:rPr>
                <w:szCs w:val="20"/>
              </w:rPr>
            </w:pPr>
            <w:r w:rsidRPr="00255E34">
              <w:rPr>
                <w:szCs w:val="20"/>
              </w:rPr>
              <w:t>(2)</w:t>
            </w:r>
            <w:r w:rsidRPr="00255E34">
              <w:rPr>
                <w:szCs w:val="20"/>
              </w:rPr>
              <w:tab/>
              <w:t xml:space="preserve">15% of the total SODESS or SOTESS metered Load. </w:t>
            </w:r>
          </w:p>
          <w:p w14:paraId="3EB4C6E4" w14:textId="77777777" w:rsidR="00255E34" w:rsidRPr="00255E34" w:rsidRDefault="00255E34" w:rsidP="00255E34">
            <w:pPr>
              <w:spacing w:after="240"/>
              <w:ind w:left="2160" w:hanging="720"/>
              <w:rPr>
                <w:szCs w:val="20"/>
              </w:rPr>
            </w:pPr>
            <w:r w:rsidRPr="00255E34">
              <w:rPr>
                <w:szCs w:val="20"/>
              </w:rPr>
              <w:t>(ii)</w:t>
            </w:r>
            <w:r w:rsidRPr="00255E34">
              <w:rPr>
                <w:szCs w:val="20"/>
              </w:rPr>
              <w:tab/>
              <w:t xml:space="preserve">Where injections are the result of a combination of generation from SODESS or SOTESS and other generating facilities, the output channel of the EPS Meter that measures charging Load is required to be used for Settlement.  For these sites, the </w:t>
            </w:r>
            <w:r w:rsidRPr="00255E34">
              <w:t>Non-WSL Settlement Only Charging Load</w:t>
            </w:r>
            <w:r w:rsidRPr="00255E34" w:rsidDel="00FA1C38">
              <w:t xml:space="preserve"> </w:t>
            </w:r>
            <w:r w:rsidRPr="00255E34">
              <w:rPr>
                <w:szCs w:val="20"/>
              </w:rPr>
              <w:t>quantity shall be determined through the use of a generation accumulator, which is calculated as the lesser of (a) the accumulated SODESS or SOTESS output or (b) the accumulated output measured at the POI or Service Delivery Point minus:</w:t>
            </w:r>
          </w:p>
          <w:p w14:paraId="383EE63B" w14:textId="77777777" w:rsidR="00255E34" w:rsidRPr="00255E34" w:rsidRDefault="00255E34" w:rsidP="00255E34">
            <w:pPr>
              <w:spacing w:after="240"/>
              <w:ind w:left="2880" w:hanging="720"/>
            </w:pPr>
            <w:r w:rsidRPr="00255E34">
              <w:rPr>
                <w:szCs w:val="20"/>
              </w:rPr>
              <w:t>(A)</w:t>
            </w:r>
            <w:r w:rsidRPr="00255E34">
              <w:rPr>
                <w:szCs w:val="20"/>
              </w:rPr>
              <w:tab/>
              <w:t>Where the charging Load is separately metered, t</w:t>
            </w:r>
            <w:r w:rsidRPr="00255E34">
              <w:t xml:space="preserve">he accumulated metered charging Load that would otherwise be eligible for </w:t>
            </w:r>
            <w:r w:rsidRPr="00255E34">
              <w:rPr>
                <w:szCs w:val="20"/>
              </w:rPr>
              <w:t>WSL</w:t>
            </w:r>
            <w:r w:rsidRPr="00255E34">
              <w:t>; or</w:t>
            </w:r>
          </w:p>
          <w:p w14:paraId="60133142" w14:textId="77777777" w:rsidR="00255E34" w:rsidRPr="00255E34" w:rsidRDefault="00255E34" w:rsidP="00255E34">
            <w:pPr>
              <w:spacing w:after="240"/>
              <w:ind w:left="2880" w:hanging="720"/>
              <w:rPr>
                <w:szCs w:val="20"/>
              </w:rPr>
            </w:pPr>
            <w:r w:rsidRPr="00255E34">
              <w:t>(B)</w:t>
            </w:r>
            <w:r w:rsidRPr="00255E34">
              <w:tab/>
              <w:t>Where the charging Load is not separately metered, t</w:t>
            </w:r>
            <w:r w:rsidRPr="00255E34">
              <w:rPr>
                <w:szCs w:val="20"/>
              </w:rPr>
              <w:t>he accumulated total metered SODESS or SOTESS Load minus auxiliary Load, where auxiliary Load is calculated as the greater of the following:</w:t>
            </w:r>
          </w:p>
          <w:p w14:paraId="5B55AA49" w14:textId="77777777" w:rsidR="00255E34" w:rsidRPr="00255E34" w:rsidRDefault="00255E34" w:rsidP="00255E34">
            <w:pPr>
              <w:spacing w:after="240"/>
              <w:ind w:left="3600" w:hanging="720"/>
              <w:rPr>
                <w:szCs w:val="20"/>
              </w:rPr>
            </w:pPr>
            <w:r w:rsidRPr="00255E34">
              <w:rPr>
                <w:szCs w:val="20"/>
              </w:rPr>
              <w:t>(1)</w:t>
            </w:r>
            <w:r w:rsidRPr="00255E34">
              <w:rPr>
                <w:szCs w:val="20"/>
              </w:rPr>
              <w:tab/>
              <w:t>The lesser of the total metered Load or X MWh, where X is calculated as 15% of the nameplate capacity of the SODESS or SOTESS multiplied by 0.25; or</w:t>
            </w:r>
          </w:p>
          <w:p w14:paraId="00728F49" w14:textId="77777777" w:rsidR="00255E34" w:rsidRPr="00255E34" w:rsidRDefault="00255E34" w:rsidP="00255E34">
            <w:pPr>
              <w:spacing w:after="240"/>
              <w:ind w:left="3600" w:hanging="720"/>
              <w:rPr>
                <w:szCs w:val="20"/>
              </w:rPr>
            </w:pPr>
            <w:r w:rsidRPr="00255E34">
              <w:rPr>
                <w:szCs w:val="20"/>
              </w:rPr>
              <w:t>(2)</w:t>
            </w:r>
            <w:r w:rsidRPr="00255E34">
              <w:rPr>
                <w:szCs w:val="20"/>
              </w:rPr>
              <w:tab/>
              <w:t xml:space="preserve">15% of the total SODESS or SOTESS metered Load. </w:t>
            </w:r>
          </w:p>
          <w:p w14:paraId="45EF920D" w14:textId="77777777" w:rsidR="00255E34" w:rsidRPr="00255E34" w:rsidRDefault="00255E34" w:rsidP="00255E34">
            <w:pPr>
              <w:spacing w:after="240"/>
              <w:ind w:left="2160" w:hanging="720"/>
              <w:rPr>
                <w:szCs w:val="20"/>
              </w:rPr>
            </w:pPr>
            <w:r w:rsidRPr="00255E34">
              <w:rPr>
                <w:szCs w:val="20"/>
              </w:rPr>
              <w:t>(iii)</w:t>
            </w:r>
            <w:r w:rsidRPr="00255E34">
              <w:rPr>
                <w:szCs w:val="20"/>
              </w:rPr>
              <w:tab/>
              <w:t xml:space="preserve">For each 15-minute interval, the metered or calculated charging Load that is less than or equal to the generation accumulator will be settled as </w:t>
            </w:r>
            <w:r w:rsidRPr="00255E34">
              <w:t>Non-WSL Settlement Only Charging Load</w:t>
            </w:r>
            <w:r w:rsidRPr="00255E34">
              <w:rPr>
                <w:szCs w:val="20"/>
              </w:rPr>
              <w:t>.</w:t>
            </w:r>
          </w:p>
        </w:tc>
      </w:tr>
    </w:tbl>
    <w:p w14:paraId="56861CC5" w14:textId="77777777" w:rsidR="00255E34" w:rsidRPr="00255E34" w:rsidRDefault="00255E34" w:rsidP="00255E34">
      <w:pPr>
        <w:spacing w:before="240" w:after="240"/>
        <w:ind w:left="720" w:hanging="720"/>
        <w:rPr>
          <w:szCs w:val="20"/>
        </w:rPr>
      </w:pPr>
      <w:r w:rsidRPr="00255E34">
        <w:rPr>
          <w:szCs w:val="20"/>
        </w:rPr>
        <w:lastRenderedPageBreak/>
        <w:t>(6)</w:t>
      </w:r>
      <w:r w:rsidRPr="00255E34">
        <w:rPr>
          <w:szCs w:val="20"/>
        </w:rPr>
        <w:tab/>
        <w:t xml:space="preserve">For a Generation Resource or ESR that excludes its Load(s) from the netting arrangement pursuant to paragraph (9) of Section 10.3.2.3, Generation Netting for ERCOT-Polled Settlement Meters: </w:t>
      </w:r>
    </w:p>
    <w:p w14:paraId="720A8569" w14:textId="4D3022FE" w:rsidR="00255E34" w:rsidRPr="00255E34" w:rsidRDefault="00255E34" w:rsidP="00255E34">
      <w:pPr>
        <w:spacing w:after="240"/>
        <w:ind w:left="1440" w:hanging="720"/>
        <w:rPr>
          <w:color w:val="000000"/>
          <w:szCs w:val="20"/>
        </w:rPr>
      </w:pPr>
      <w:r w:rsidRPr="00255E34">
        <w:rPr>
          <w:szCs w:val="20"/>
        </w:rPr>
        <w:t>(a)</w:t>
      </w:r>
      <w:r w:rsidRPr="00255E34">
        <w:rPr>
          <w:szCs w:val="20"/>
        </w:rPr>
        <w:tab/>
      </w:r>
      <w:ins w:id="3" w:author="ERCOT" w:date="2024-07-25T13:34:00Z">
        <w:r w:rsidR="007A5325">
          <w:rPr>
            <w:szCs w:val="20"/>
          </w:rPr>
          <w:t>The excluded</w:t>
        </w:r>
      </w:ins>
      <w:del w:id="4" w:author="ERCOT" w:date="2024-07-25T13:34:00Z">
        <w:r w:rsidRPr="00255E34" w:rsidDel="007A5325">
          <w:rPr>
            <w:szCs w:val="20"/>
          </w:rPr>
          <w:delText>Non-charging</w:delText>
        </w:r>
      </w:del>
      <w:r w:rsidRPr="00255E34">
        <w:rPr>
          <w:szCs w:val="20"/>
        </w:rPr>
        <w:t xml:space="preserve"> Load(s) are measured by the corresponding EPS Meter, except that when a Resource Entity for an ESR communicates </w:t>
      </w:r>
      <w:r w:rsidRPr="00255E34">
        <w:rPr>
          <w:color w:val="000000"/>
          <w:szCs w:val="20"/>
        </w:rPr>
        <w:t xml:space="preserve">its non-charging Load(s) value(s) to the EPS Meter </w:t>
      </w:r>
      <w:ins w:id="5" w:author="ERCOT" w:date="2024-07-25T13:35:00Z">
        <w:r w:rsidR="007A5325">
          <w:rPr>
            <w:color w:val="000000"/>
            <w:szCs w:val="20"/>
          </w:rPr>
          <w:t>in accordance with Section 10.2.4</w:t>
        </w:r>
      </w:ins>
      <w:del w:id="6" w:author="ERCOT" w:date="2024-07-25T13:35:00Z">
        <w:r w:rsidRPr="00255E34" w:rsidDel="007A5325">
          <w:rPr>
            <w:color w:val="000000"/>
            <w:szCs w:val="20"/>
          </w:rPr>
          <w:delText>using approved calculation methods</w:delText>
        </w:r>
      </w:del>
      <w:r w:rsidRPr="00255E34">
        <w:rPr>
          <w:color w:val="000000"/>
          <w:szCs w:val="20"/>
        </w:rPr>
        <w:t xml:space="preserve">. </w:t>
      </w:r>
    </w:p>
    <w:p w14:paraId="18ACF0CD" w14:textId="05043FEA" w:rsidR="00255E34" w:rsidRPr="00255E34" w:rsidRDefault="00255E34" w:rsidP="00255E34">
      <w:pPr>
        <w:spacing w:after="240"/>
        <w:ind w:left="1440" w:hanging="720"/>
        <w:rPr>
          <w:szCs w:val="20"/>
        </w:rPr>
      </w:pPr>
      <w:r w:rsidRPr="00255E34">
        <w:rPr>
          <w:szCs w:val="20"/>
        </w:rPr>
        <w:lastRenderedPageBreak/>
        <w:t>(b)</w:t>
      </w:r>
      <w:r w:rsidRPr="00255E34">
        <w:rPr>
          <w:szCs w:val="20"/>
        </w:rPr>
        <w:tab/>
      </w:r>
      <w:del w:id="7" w:author="ERCOT" w:date="2024-07-25T13:35:00Z">
        <w:r w:rsidRPr="00255E34" w:rsidDel="007A5325">
          <w:rPr>
            <w:szCs w:val="20"/>
          </w:rPr>
          <w:delText>For non-charging Load(s) that are metered behind the POI metering point, the</w:delText>
        </w:r>
      </w:del>
      <w:ins w:id="8" w:author="ERCOT" w:date="2024-08-15T13:01:00Z">
        <w:r w:rsidR="0025192D">
          <w:rPr>
            <w:szCs w:val="20"/>
          </w:rPr>
          <w:t>T</w:t>
        </w:r>
      </w:ins>
      <w:ins w:id="9" w:author="ERCOT" w:date="2024-07-25T13:35:00Z">
        <w:r w:rsidR="007A5325">
          <w:rPr>
            <w:szCs w:val="20"/>
          </w:rPr>
          <w:t>he excluded</w:t>
        </w:r>
      </w:ins>
      <w:r w:rsidRPr="00255E34">
        <w:rPr>
          <w:szCs w:val="20"/>
        </w:rPr>
        <w:t xml:space="preserve"> Load will be added back into the POI metering point to determine the net flows for the POI metering point.</w:t>
      </w:r>
    </w:p>
    <w:p w14:paraId="035099FA" w14:textId="667F4C17" w:rsidR="009A3772" w:rsidRPr="00BA2009" w:rsidRDefault="00255E34" w:rsidP="00255E34">
      <w:pPr>
        <w:spacing w:after="240"/>
        <w:ind w:left="1440" w:hanging="720"/>
      </w:pPr>
      <w:r w:rsidRPr="00255E34">
        <w:rPr>
          <w:szCs w:val="20"/>
        </w:rPr>
        <w:t>(c)</w:t>
      </w:r>
      <w:r w:rsidRPr="00255E34">
        <w:rPr>
          <w:szCs w:val="20"/>
        </w:rPr>
        <w:tab/>
      </w:r>
      <w:del w:id="10" w:author="ERCOT" w:date="2024-07-25T13:35:00Z">
        <w:r w:rsidRPr="00255E34" w:rsidDel="007A5325">
          <w:rPr>
            <w:szCs w:val="20"/>
          </w:rPr>
          <w:delText xml:space="preserve">For non-charging Load(s) that are separately metered at the POI, the non-charging Load will not be </w:delText>
        </w:r>
        <w:r w:rsidRPr="00255E34" w:rsidDel="007A5325">
          <w:rPr>
            <w:color w:val="000000"/>
            <w:szCs w:val="20"/>
          </w:rPr>
          <w:delText>included</w:delText>
        </w:r>
        <w:r w:rsidRPr="00255E34" w:rsidDel="007A5325">
          <w:rPr>
            <w:szCs w:val="20"/>
          </w:rPr>
          <w:delText xml:space="preserve"> in the determination of whether the generation site is net generation or net Load for the purpose of Settlement</w:delText>
        </w:r>
      </w:del>
      <w:ins w:id="11" w:author="ERCOT" w:date="2024-07-25T13:35:00Z">
        <w:r w:rsidR="007A5325" w:rsidRPr="00166D21">
          <w:rPr>
            <w:szCs w:val="20"/>
          </w:rPr>
          <w:t>For sites that are not located behind a NOIE meter point, it shall be the responsibility of the TDSP(s) serving the excluded Load at the facility to account for the excluded Load by creating ESI ID(s) and providing ERCOT with interval data.  If there is a one-to-one relationship between each excluded Load meter and ESI ID, then the TDSP may request that ERCOT populate the ESI ID(s) for the excluded Load</w:t>
        </w:r>
      </w:ins>
      <w:r w:rsidRPr="00255E34">
        <w:rPr>
          <w:szCs w:val="20"/>
        </w:rPr>
        <w:t>.</w:t>
      </w:r>
    </w:p>
    <w:sectPr w:rsidR="009A3772" w:rsidRPr="00BA2009">
      <w:headerReference w:type="default" r:id="rId31"/>
      <w:footerReference w:type="even" r:id="rId32"/>
      <w:footerReference w:type="default" r:id="rId33"/>
      <w:footerReference w:type="first" r:id="rId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88FCC" w14:textId="77777777" w:rsidR="00067D19" w:rsidRDefault="00067D19">
      <w:r>
        <w:separator/>
      </w:r>
    </w:p>
  </w:endnote>
  <w:endnote w:type="continuationSeparator" w:id="0">
    <w:p w14:paraId="4245399A" w14:textId="77777777" w:rsidR="00067D19" w:rsidRDefault="00067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35FA988A" w:rsidR="00D176CF" w:rsidRDefault="00147ED7">
    <w:pPr>
      <w:pStyle w:val="Footer"/>
      <w:tabs>
        <w:tab w:val="clear" w:pos="4320"/>
        <w:tab w:val="clear" w:pos="8640"/>
        <w:tab w:val="right" w:pos="9360"/>
      </w:tabs>
      <w:rPr>
        <w:rFonts w:ascii="Arial" w:hAnsi="Arial" w:cs="Arial"/>
        <w:sz w:val="18"/>
      </w:rPr>
    </w:pPr>
    <w:r>
      <w:rPr>
        <w:rFonts w:ascii="Arial" w:hAnsi="Arial" w:cs="Arial"/>
        <w:sz w:val="18"/>
      </w:rPr>
      <w:t>1248</w:t>
    </w:r>
    <w:r w:rsidR="00D176CF">
      <w:rPr>
        <w:rFonts w:ascii="Arial" w:hAnsi="Arial" w:cs="Arial"/>
        <w:sz w:val="18"/>
      </w:rPr>
      <w:t>NPRR</w:t>
    </w:r>
    <w:r w:rsidR="004C0009">
      <w:rPr>
        <w:rFonts w:ascii="Arial" w:hAnsi="Arial" w:cs="Arial"/>
        <w:sz w:val="18"/>
      </w:rPr>
      <w:t>-0</w:t>
    </w:r>
    <w:r w:rsidR="009F094A">
      <w:rPr>
        <w:rFonts w:ascii="Arial" w:hAnsi="Arial" w:cs="Arial"/>
        <w:sz w:val="18"/>
      </w:rPr>
      <w:t>8</w:t>
    </w:r>
    <w:r w:rsidR="003E210D">
      <w:rPr>
        <w:rFonts w:ascii="Arial" w:hAnsi="Arial" w:cs="Arial"/>
        <w:sz w:val="18"/>
      </w:rPr>
      <w:t xml:space="preserve"> </w:t>
    </w:r>
    <w:r w:rsidR="009F094A">
      <w:rPr>
        <w:rFonts w:ascii="Arial" w:hAnsi="Arial" w:cs="Arial"/>
        <w:sz w:val="18"/>
      </w:rPr>
      <w:t>TAC</w:t>
    </w:r>
    <w:r w:rsidR="003E210D">
      <w:rPr>
        <w:rFonts w:ascii="Arial" w:hAnsi="Arial" w:cs="Arial"/>
        <w:sz w:val="18"/>
      </w:rPr>
      <w:t xml:space="preserve"> Report </w:t>
    </w:r>
    <w:r w:rsidR="00BE11C9">
      <w:rPr>
        <w:rFonts w:ascii="Arial" w:hAnsi="Arial" w:cs="Arial"/>
        <w:sz w:val="18"/>
      </w:rPr>
      <w:t>10</w:t>
    </w:r>
    <w:r w:rsidR="009F094A">
      <w:rPr>
        <w:rFonts w:ascii="Arial" w:hAnsi="Arial" w:cs="Arial"/>
        <w:sz w:val="18"/>
      </w:rPr>
      <w:t>30</w:t>
    </w:r>
    <w:r w:rsidR="003E210D">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298B3" w14:textId="77777777" w:rsidR="00067D19" w:rsidRDefault="00067D19">
      <w:r>
        <w:separator/>
      </w:r>
    </w:p>
  </w:footnote>
  <w:footnote w:type="continuationSeparator" w:id="0">
    <w:p w14:paraId="5A7A003C" w14:textId="77777777" w:rsidR="00067D19" w:rsidRDefault="00067D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22C804A1" w:rsidR="00D176CF" w:rsidRDefault="009F094A" w:rsidP="006E4597">
    <w:pPr>
      <w:pStyle w:val="Header"/>
      <w:jc w:val="center"/>
      <w:rPr>
        <w:sz w:val="32"/>
      </w:rPr>
    </w:pPr>
    <w:r>
      <w:rPr>
        <w:sz w:val="32"/>
      </w:rPr>
      <w:t>TAC</w:t>
    </w:r>
    <w:r w:rsidR="003E210D">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95162CB"/>
    <w:multiLevelType w:val="hybridMultilevel"/>
    <w:tmpl w:val="9A948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0"/>
  </w:num>
  <w:num w:numId="3" w16cid:durableId="971709594">
    <w:abstractNumId w:val="12"/>
  </w:num>
  <w:num w:numId="4" w16cid:durableId="1736123474">
    <w:abstractNumId w:val="1"/>
  </w:num>
  <w:num w:numId="5" w16cid:durableId="1475442967">
    <w:abstractNumId w:val="6"/>
  </w:num>
  <w:num w:numId="6" w16cid:durableId="1071393571">
    <w:abstractNumId w:val="6"/>
  </w:num>
  <w:num w:numId="7" w16cid:durableId="1413744175">
    <w:abstractNumId w:val="6"/>
  </w:num>
  <w:num w:numId="8" w16cid:durableId="1147820290">
    <w:abstractNumId w:val="6"/>
  </w:num>
  <w:num w:numId="9" w16cid:durableId="729764067">
    <w:abstractNumId w:val="6"/>
  </w:num>
  <w:num w:numId="10" w16cid:durableId="651908752">
    <w:abstractNumId w:val="6"/>
  </w:num>
  <w:num w:numId="11" w16cid:durableId="2021545621">
    <w:abstractNumId w:val="6"/>
  </w:num>
  <w:num w:numId="12" w16cid:durableId="2033334835">
    <w:abstractNumId w:val="6"/>
  </w:num>
  <w:num w:numId="13" w16cid:durableId="1354840513">
    <w:abstractNumId w:val="6"/>
  </w:num>
  <w:num w:numId="14" w16cid:durableId="2082215892">
    <w:abstractNumId w:val="3"/>
  </w:num>
  <w:num w:numId="15" w16cid:durableId="1265773267">
    <w:abstractNumId w:val="5"/>
  </w:num>
  <w:num w:numId="16" w16cid:durableId="304939696">
    <w:abstractNumId w:val="8"/>
  </w:num>
  <w:num w:numId="17" w16cid:durableId="1837302691">
    <w:abstractNumId w:val="9"/>
  </w:num>
  <w:num w:numId="18" w16cid:durableId="2140175323">
    <w:abstractNumId w:val="4"/>
  </w:num>
  <w:num w:numId="19" w16cid:durableId="731661008">
    <w:abstractNumId w:val="7"/>
  </w:num>
  <w:num w:numId="20" w16cid:durableId="1512917052">
    <w:abstractNumId w:val="2"/>
  </w:num>
  <w:num w:numId="21" w16cid:durableId="32135438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D19"/>
    <w:rsid w:val="00067FE2"/>
    <w:rsid w:val="0007682E"/>
    <w:rsid w:val="000D1AEB"/>
    <w:rsid w:val="000D3E64"/>
    <w:rsid w:val="000F13C5"/>
    <w:rsid w:val="00105A36"/>
    <w:rsid w:val="001313B4"/>
    <w:rsid w:val="0014546D"/>
    <w:rsid w:val="00147ED7"/>
    <w:rsid w:val="001500D9"/>
    <w:rsid w:val="00156DB7"/>
    <w:rsid w:val="00157228"/>
    <w:rsid w:val="00160C3C"/>
    <w:rsid w:val="00176375"/>
    <w:rsid w:val="0017783C"/>
    <w:rsid w:val="0019314C"/>
    <w:rsid w:val="001A7617"/>
    <w:rsid w:val="001F38F0"/>
    <w:rsid w:val="00237430"/>
    <w:rsid w:val="0025192D"/>
    <w:rsid w:val="00255E34"/>
    <w:rsid w:val="0026307D"/>
    <w:rsid w:val="00276A99"/>
    <w:rsid w:val="00286AD9"/>
    <w:rsid w:val="002966F3"/>
    <w:rsid w:val="002B69F3"/>
    <w:rsid w:val="002B763A"/>
    <w:rsid w:val="002D382A"/>
    <w:rsid w:val="002F1EDD"/>
    <w:rsid w:val="003013F2"/>
    <w:rsid w:val="0030232A"/>
    <w:rsid w:val="0030694A"/>
    <w:rsid w:val="003069F4"/>
    <w:rsid w:val="00360920"/>
    <w:rsid w:val="00384709"/>
    <w:rsid w:val="00386C35"/>
    <w:rsid w:val="003A3D77"/>
    <w:rsid w:val="003B5AED"/>
    <w:rsid w:val="003C6B7B"/>
    <w:rsid w:val="003E210D"/>
    <w:rsid w:val="004130D7"/>
    <w:rsid w:val="004135BD"/>
    <w:rsid w:val="004302A4"/>
    <w:rsid w:val="004463BA"/>
    <w:rsid w:val="004822D4"/>
    <w:rsid w:val="0049290B"/>
    <w:rsid w:val="004A4451"/>
    <w:rsid w:val="004B0A82"/>
    <w:rsid w:val="004C0009"/>
    <w:rsid w:val="004D3958"/>
    <w:rsid w:val="004D5A7E"/>
    <w:rsid w:val="005008DF"/>
    <w:rsid w:val="005045D0"/>
    <w:rsid w:val="00534C6C"/>
    <w:rsid w:val="00555554"/>
    <w:rsid w:val="005841C0"/>
    <w:rsid w:val="0059260F"/>
    <w:rsid w:val="00594F3D"/>
    <w:rsid w:val="005E5074"/>
    <w:rsid w:val="00612E4F"/>
    <w:rsid w:val="00613501"/>
    <w:rsid w:val="00615D5E"/>
    <w:rsid w:val="00622E99"/>
    <w:rsid w:val="00625E5D"/>
    <w:rsid w:val="00657C61"/>
    <w:rsid w:val="0066370F"/>
    <w:rsid w:val="006A0784"/>
    <w:rsid w:val="006A697B"/>
    <w:rsid w:val="006B4DDE"/>
    <w:rsid w:val="006E4597"/>
    <w:rsid w:val="00743968"/>
    <w:rsid w:val="00785415"/>
    <w:rsid w:val="00786294"/>
    <w:rsid w:val="00791CB9"/>
    <w:rsid w:val="00793130"/>
    <w:rsid w:val="00797DEE"/>
    <w:rsid w:val="007A1BE1"/>
    <w:rsid w:val="007A5325"/>
    <w:rsid w:val="007B3233"/>
    <w:rsid w:val="007B5A42"/>
    <w:rsid w:val="007C199B"/>
    <w:rsid w:val="007D3073"/>
    <w:rsid w:val="007D64B9"/>
    <w:rsid w:val="007D72D4"/>
    <w:rsid w:val="007E0452"/>
    <w:rsid w:val="007F15A0"/>
    <w:rsid w:val="008070C0"/>
    <w:rsid w:val="00811C12"/>
    <w:rsid w:val="00845778"/>
    <w:rsid w:val="00856966"/>
    <w:rsid w:val="008732CF"/>
    <w:rsid w:val="00887E28"/>
    <w:rsid w:val="008D5C3A"/>
    <w:rsid w:val="008E2870"/>
    <w:rsid w:val="008E287B"/>
    <w:rsid w:val="008E6DA2"/>
    <w:rsid w:val="008F6DD5"/>
    <w:rsid w:val="00907B1E"/>
    <w:rsid w:val="00943AFD"/>
    <w:rsid w:val="00963A51"/>
    <w:rsid w:val="00983B6E"/>
    <w:rsid w:val="009936F8"/>
    <w:rsid w:val="009A3772"/>
    <w:rsid w:val="009D17F0"/>
    <w:rsid w:val="009F094A"/>
    <w:rsid w:val="00A42796"/>
    <w:rsid w:val="00A5311D"/>
    <w:rsid w:val="00AD3B58"/>
    <w:rsid w:val="00AF56C6"/>
    <w:rsid w:val="00AF7CB2"/>
    <w:rsid w:val="00B032E8"/>
    <w:rsid w:val="00B57F96"/>
    <w:rsid w:val="00B67892"/>
    <w:rsid w:val="00BA4D33"/>
    <w:rsid w:val="00BC2D06"/>
    <w:rsid w:val="00BE11C9"/>
    <w:rsid w:val="00C744EB"/>
    <w:rsid w:val="00C84047"/>
    <w:rsid w:val="00C90702"/>
    <w:rsid w:val="00C917FF"/>
    <w:rsid w:val="00C9766A"/>
    <w:rsid w:val="00CC4F39"/>
    <w:rsid w:val="00CD544C"/>
    <w:rsid w:val="00CF4256"/>
    <w:rsid w:val="00D04FE8"/>
    <w:rsid w:val="00D10FCD"/>
    <w:rsid w:val="00D176CF"/>
    <w:rsid w:val="00D17AD5"/>
    <w:rsid w:val="00D271E3"/>
    <w:rsid w:val="00D47A80"/>
    <w:rsid w:val="00D85807"/>
    <w:rsid w:val="00D87349"/>
    <w:rsid w:val="00D91EE9"/>
    <w:rsid w:val="00D9627A"/>
    <w:rsid w:val="00D97220"/>
    <w:rsid w:val="00DF4995"/>
    <w:rsid w:val="00E14D47"/>
    <w:rsid w:val="00E1641C"/>
    <w:rsid w:val="00E26708"/>
    <w:rsid w:val="00E34958"/>
    <w:rsid w:val="00E37AB0"/>
    <w:rsid w:val="00E65D25"/>
    <w:rsid w:val="00E71C39"/>
    <w:rsid w:val="00EA56E6"/>
    <w:rsid w:val="00EA694D"/>
    <w:rsid w:val="00EC335F"/>
    <w:rsid w:val="00EC48FB"/>
    <w:rsid w:val="00ED3965"/>
    <w:rsid w:val="00EF232A"/>
    <w:rsid w:val="00F05A69"/>
    <w:rsid w:val="00F43FFD"/>
    <w:rsid w:val="00F4423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eaderChar">
    <w:name w:val="Header Char"/>
    <w:link w:val="Header"/>
    <w:rsid w:val="003E210D"/>
    <w:rPr>
      <w:rFonts w:ascii="Arial" w:hAnsi="Arial"/>
      <w:b/>
      <w:bCs/>
      <w:sz w:val="24"/>
      <w:szCs w:val="24"/>
    </w:rPr>
  </w:style>
  <w:style w:type="paragraph" w:customStyle="1" w:styleId="PRRHeader">
    <w:name w:val="PRR Header"/>
    <w:basedOn w:val="Normal"/>
    <w:next w:val="Normal"/>
    <w:link w:val="PRRHeaderChar"/>
    <w:rsid w:val="008E287B"/>
    <w:pPr>
      <w:tabs>
        <w:tab w:val="left" w:pos="1152"/>
      </w:tabs>
      <w:spacing w:before="120"/>
      <w:ind w:left="1872" w:hanging="1152"/>
    </w:pPr>
    <w:rPr>
      <w:b/>
      <w:bCs/>
      <w:lang w:val="x-none" w:eastAsia="x-none"/>
    </w:rPr>
  </w:style>
  <w:style w:type="character" w:customStyle="1" w:styleId="PRRHeaderChar">
    <w:name w:val="PRR Header Char"/>
    <w:link w:val="PRRHeader"/>
    <w:rsid w:val="008E287B"/>
    <w:rPr>
      <w:b/>
      <w:bCs/>
      <w:sz w:val="24"/>
      <w:szCs w:val="24"/>
      <w:lang w:val="x-none" w:eastAsia="x-none"/>
    </w:rPr>
  </w:style>
  <w:style w:type="paragraph" w:styleId="ListParagraph">
    <w:name w:val="List Paragraph"/>
    <w:basedOn w:val="Normal"/>
    <w:uiPriority w:val="34"/>
    <w:qFormat/>
    <w:rsid w:val="008E287B"/>
    <w:pPr>
      <w:ind w:left="720"/>
      <w:contextualSpacing/>
    </w:pPr>
  </w:style>
  <w:style w:type="character" w:customStyle="1" w:styleId="CommentTextChar">
    <w:name w:val="Comment Text Char"/>
    <w:link w:val="CommentText"/>
    <w:semiHidden/>
    <w:rsid w:val="00D10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21" Type="http://schemas.openxmlformats.org/officeDocument/2006/relationships/control" Target="activeX/activeX7.xm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3.wmf"/><Relationship Id="rId29" Type="http://schemas.openxmlformats.org/officeDocument/2006/relationships/hyperlink" Target="mailto:cory.phillips@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microsoft.com/office/2011/relationships/people" Target="people.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cory.phillips@ercot.com" TargetMode="External"/><Relationship Id="rId35" Type="http://schemas.openxmlformats.org/officeDocument/2006/relationships/fontTable" Target="fontTable.xml"/><Relationship Id="rId8" Type="http://schemas.openxmlformats.org/officeDocument/2006/relationships/hyperlink" Target="https://www.ercot.com/mktrules/issues/NPRR1248"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2190</Words>
  <Characters>12793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14954</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4</cp:revision>
  <cp:lastPrinted>2013-11-15T22:11:00Z</cp:lastPrinted>
  <dcterms:created xsi:type="dcterms:W3CDTF">2024-10-31T01:13:00Z</dcterms:created>
  <dcterms:modified xsi:type="dcterms:W3CDTF">2024-11-01T15:49:00Z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