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935CB2A" w14:textId="77777777">
        <w:tc>
          <w:tcPr>
            <w:tcW w:w="1620" w:type="dxa"/>
            <w:tcBorders>
              <w:bottom w:val="single" w:sz="4" w:space="0" w:color="auto"/>
            </w:tcBorders>
            <w:shd w:val="clear" w:color="auto" w:fill="FFFFFF"/>
            <w:vAlign w:val="center"/>
          </w:tcPr>
          <w:p w14:paraId="2D70FEC1"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2E9FB9E" w14:textId="77777777" w:rsidR="00152993" w:rsidRDefault="00A67CE7" w:rsidP="00F56919">
            <w:pPr>
              <w:pStyle w:val="Header"/>
              <w:jc w:val="center"/>
            </w:pPr>
            <w:hyperlink r:id="rId8" w:history="1">
              <w:r w:rsidR="00F56919" w:rsidRPr="000A31C7">
                <w:rPr>
                  <w:rStyle w:val="Hyperlink"/>
                </w:rPr>
                <w:t>1247</w:t>
              </w:r>
            </w:hyperlink>
          </w:p>
        </w:tc>
        <w:tc>
          <w:tcPr>
            <w:tcW w:w="900" w:type="dxa"/>
            <w:tcBorders>
              <w:bottom w:val="single" w:sz="4" w:space="0" w:color="auto"/>
            </w:tcBorders>
            <w:shd w:val="clear" w:color="auto" w:fill="FFFFFF"/>
            <w:vAlign w:val="center"/>
          </w:tcPr>
          <w:p w14:paraId="4566BD81" w14:textId="77777777" w:rsidR="00152993" w:rsidRDefault="00EE6681">
            <w:pPr>
              <w:pStyle w:val="Header"/>
            </w:pPr>
            <w:r>
              <w:t>N</w:t>
            </w:r>
            <w:r w:rsidR="00152993">
              <w:t>PRR Title</w:t>
            </w:r>
          </w:p>
        </w:tc>
        <w:tc>
          <w:tcPr>
            <w:tcW w:w="6660" w:type="dxa"/>
            <w:tcBorders>
              <w:bottom w:val="single" w:sz="4" w:space="0" w:color="auto"/>
            </w:tcBorders>
            <w:vAlign w:val="center"/>
          </w:tcPr>
          <w:p w14:paraId="1180E74A" w14:textId="77777777" w:rsidR="00152993" w:rsidRDefault="007018D4" w:rsidP="00F56919">
            <w:pPr>
              <w:pStyle w:val="Header"/>
              <w:spacing w:before="120" w:after="120"/>
            </w:pPr>
            <w:r>
              <w:t>Incorporation of Congestion Cost Savings Test in Economic Evaluation of Transmission Projects</w:t>
            </w:r>
          </w:p>
        </w:tc>
      </w:tr>
      <w:tr w:rsidR="00152993" w14:paraId="547CD167" w14:textId="77777777">
        <w:trPr>
          <w:trHeight w:val="413"/>
        </w:trPr>
        <w:tc>
          <w:tcPr>
            <w:tcW w:w="2880" w:type="dxa"/>
            <w:gridSpan w:val="2"/>
            <w:tcBorders>
              <w:top w:val="nil"/>
              <w:left w:val="nil"/>
              <w:bottom w:val="single" w:sz="4" w:space="0" w:color="auto"/>
              <w:right w:val="nil"/>
            </w:tcBorders>
            <w:vAlign w:val="center"/>
          </w:tcPr>
          <w:p w14:paraId="3FBFD676"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D933C4B" w14:textId="77777777" w:rsidR="00152993" w:rsidRDefault="00152993">
            <w:pPr>
              <w:pStyle w:val="NormalArial"/>
            </w:pPr>
          </w:p>
        </w:tc>
      </w:tr>
      <w:tr w:rsidR="00152993" w14:paraId="36CEEB2E"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37A332F"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0A78F4" w14:textId="50605F6D" w:rsidR="00152993" w:rsidRDefault="00B604BB">
            <w:pPr>
              <w:pStyle w:val="NormalArial"/>
            </w:pPr>
            <w:r>
              <w:t>November</w:t>
            </w:r>
            <w:r w:rsidR="00F56919">
              <w:t xml:space="preserve"> </w:t>
            </w:r>
            <w:r>
              <w:t>1</w:t>
            </w:r>
            <w:r w:rsidR="00B71F50">
              <w:t>9</w:t>
            </w:r>
            <w:r w:rsidR="00F56919">
              <w:t xml:space="preserve">, </w:t>
            </w:r>
            <w:r w:rsidR="004E65BA">
              <w:t>2024</w:t>
            </w:r>
          </w:p>
        </w:tc>
      </w:tr>
      <w:tr w:rsidR="00152993" w14:paraId="6FD3F0F1" w14:textId="77777777">
        <w:trPr>
          <w:trHeight w:val="467"/>
        </w:trPr>
        <w:tc>
          <w:tcPr>
            <w:tcW w:w="2880" w:type="dxa"/>
            <w:gridSpan w:val="2"/>
            <w:tcBorders>
              <w:top w:val="single" w:sz="4" w:space="0" w:color="auto"/>
              <w:left w:val="nil"/>
              <w:bottom w:val="nil"/>
              <w:right w:val="nil"/>
            </w:tcBorders>
            <w:shd w:val="clear" w:color="auto" w:fill="FFFFFF"/>
            <w:vAlign w:val="center"/>
          </w:tcPr>
          <w:p w14:paraId="3B210294" w14:textId="77777777" w:rsidR="00152993" w:rsidRDefault="00152993">
            <w:pPr>
              <w:pStyle w:val="NormalArial"/>
            </w:pPr>
          </w:p>
        </w:tc>
        <w:tc>
          <w:tcPr>
            <w:tcW w:w="7560" w:type="dxa"/>
            <w:gridSpan w:val="2"/>
            <w:tcBorders>
              <w:top w:val="nil"/>
              <w:left w:val="nil"/>
              <w:bottom w:val="nil"/>
              <w:right w:val="nil"/>
            </w:tcBorders>
            <w:vAlign w:val="center"/>
          </w:tcPr>
          <w:p w14:paraId="7C6CAA73" w14:textId="77777777" w:rsidR="00152993" w:rsidRDefault="00152993">
            <w:pPr>
              <w:pStyle w:val="NormalArial"/>
            </w:pPr>
          </w:p>
        </w:tc>
      </w:tr>
      <w:tr w:rsidR="00152993" w14:paraId="17352CEC" w14:textId="77777777">
        <w:trPr>
          <w:trHeight w:val="440"/>
        </w:trPr>
        <w:tc>
          <w:tcPr>
            <w:tcW w:w="10440" w:type="dxa"/>
            <w:gridSpan w:val="4"/>
            <w:tcBorders>
              <w:top w:val="single" w:sz="4" w:space="0" w:color="auto"/>
            </w:tcBorders>
            <w:shd w:val="clear" w:color="auto" w:fill="FFFFFF"/>
            <w:vAlign w:val="center"/>
          </w:tcPr>
          <w:p w14:paraId="30CF2E6F" w14:textId="77777777" w:rsidR="00152993" w:rsidRDefault="00152993">
            <w:pPr>
              <w:pStyle w:val="Header"/>
              <w:jc w:val="center"/>
            </w:pPr>
            <w:r>
              <w:t>Submitter’s Information</w:t>
            </w:r>
          </w:p>
        </w:tc>
      </w:tr>
      <w:tr w:rsidR="00152993" w14:paraId="4328184D" w14:textId="77777777">
        <w:trPr>
          <w:trHeight w:val="350"/>
        </w:trPr>
        <w:tc>
          <w:tcPr>
            <w:tcW w:w="2880" w:type="dxa"/>
            <w:gridSpan w:val="2"/>
            <w:shd w:val="clear" w:color="auto" w:fill="FFFFFF"/>
            <w:vAlign w:val="center"/>
          </w:tcPr>
          <w:p w14:paraId="6E090FFB" w14:textId="77777777" w:rsidR="00152993" w:rsidRPr="00EC55B3" w:rsidRDefault="00152993" w:rsidP="00EC55B3">
            <w:pPr>
              <w:pStyle w:val="Header"/>
            </w:pPr>
            <w:r w:rsidRPr="00EC55B3">
              <w:t>Name</w:t>
            </w:r>
          </w:p>
        </w:tc>
        <w:tc>
          <w:tcPr>
            <w:tcW w:w="7560" w:type="dxa"/>
            <w:gridSpan w:val="2"/>
            <w:vAlign w:val="center"/>
          </w:tcPr>
          <w:p w14:paraId="6CB6FD80" w14:textId="26B38778" w:rsidR="00152993" w:rsidRDefault="00837083">
            <w:pPr>
              <w:pStyle w:val="NormalArial"/>
            </w:pPr>
            <w:r>
              <w:t>Ping Yan</w:t>
            </w:r>
            <w:r w:rsidR="00F65575">
              <w:t xml:space="preserve">; </w:t>
            </w:r>
            <w:r w:rsidR="009467F0">
              <w:t>Matthew</w:t>
            </w:r>
            <w:r w:rsidR="004F1932">
              <w:t xml:space="preserve"> Arth</w:t>
            </w:r>
          </w:p>
        </w:tc>
      </w:tr>
      <w:tr w:rsidR="00152993" w14:paraId="7A7F3DC6" w14:textId="77777777">
        <w:trPr>
          <w:trHeight w:val="350"/>
        </w:trPr>
        <w:tc>
          <w:tcPr>
            <w:tcW w:w="2880" w:type="dxa"/>
            <w:gridSpan w:val="2"/>
            <w:shd w:val="clear" w:color="auto" w:fill="FFFFFF"/>
            <w:vAlign w:val="center"/>
          </w:tcPr>
          <w:p w14:paraId="7439251A" w14:textId="77777777" w:rsidR="00152993" w:rsidRPr="00EC55B3" w:rsidRDefault="00152993" w:rsidP="00EC55B3">
            <w:pPr>
              <w:pStyle w:val="Header"/>
            </w:pPr>
            <w:r w:rsidRPr="00EC55B3">
              <w:t>E-mail Address</w:t>
            </w:r>
          </w:p>
        </w:tc>
        <w:tc>
          <w:tcPr>
            <w:tcW w:w="7560" w:type="dxa"/>
            <w:gridSpan w:val="2"/>
            <w:vAlign w:val="center"/>
          </w:tcPr>
          <w:p w14:paraId="4F513C33" w14:textId="46CFB56D" w:rsidR="00152993" w:rsidRDefault="00A67CE7">
            <w:pPr>
              <w:pStyle w:val="NormalArial"/>
            </w:pPr>
            <w:hyperlink r:id="rId9" w:history="1">
              <w:r w:rsidR="007629D1" w:rsidRPr="00AD0534">
                <w:rPr>
                  <w:rStyle w:val="Hyperlink"/>
                </w:rPr>
                <w:t>ping.yan@ercot.com</w:t>
              </w:r>
            </w:hyperlink>
            <w:r w:rsidR="009467F0">
              <w:t xml:space="preserve">; </w:t>
            </w:r>
            <w:hyperlink r:id="rId10" w:history="1">
              <w:r w:rsidR="007629D1" w:rsidRPr="00AD0534">
                <w:rPr>
                  <w:rStyle w:val="Hyperlink"/>
                </w:rPr>
                <w:t>matthew.arth@ercot.com</w:t>
              </w:r>
            </w:hyperlink>
            <w:r w:rsidR="007629D1">
              <w:t xml:space="preserve"> </w:t>
            </w:r>
          </w:p>
        </w:tc>
      </w:tr>
      <w:tr w:rsidR="00152993" w14:paraId="362E3D30" w14:textId="77777777">
        <w:trPr>
          <w:trHeight w:val="350"/>
        </w:trPr>
        <w:tc>
          <w:tcPr>
            <w:tcW w:w="2880" w:type="dxa"/>
            <w:gridSpan w:val="2"/>
            <w:shd w:val="clear" w:color="auto" w:fill="FFFFFF"/>
            <w:vAlign w:val="center"/>
          </w:tcPr>
          <w:p w14:paraId="7E71DF8B" w14:textId="77777777" w:rsidR="00152993" w:rsidRPr="00EC55B3" w:rsidRDefault="00152993" w:rsidP="00EC55B3">
            <w:pPr>
              <w:pStyle w:val="Header"/>
            </w:pPr>
            <w:r w:rsidRPr="00EC55B3">
              <w:t>Company</w:t>
            </w:r>
          </w:p>
        </w:tc>
        <w:tc>
          <w:tcPr>
            <w:tcW w:w="7560" w:type="dxa"/>
            <w:gridSpan w:val="2"/>
            <w:vAlign w:val="center"/>
          </w:tcPr>
          <w:p w14:paraId="7199D932" w14:textId="55C2AF93" w:rsidR="00152993" w:rsidRDefault="00837083">
            <w:pPr>
              <w:pStyle w:val="NormalArial"/>
            </w:pPr>
            <w:r>
              <w:t>Electric Reliability Council of Texas, Inc. (ERCOT)</w:t>
            </w:r>
          </w:p>
        </w:tc>
      </w:tr>
      <w:tr w:rsidR="00152993" w14:paraId="52B9FA4F" w14:textId="77777777">
        <w:trPr>
          <w:trHeight w:val="350"/>
        </w:trPr>
        <w:tc>
          <w:tcPr>
            <w:tcW w:w="2880" w:type="dxa"/>
            <w:gridSpan w:val="2"/>
            <w:tcBorders>
              <w:bottom w:val="single" w:sz="4" w:space="0" w:color="auto"/>
            </w:tcBorders>
            <w:shd w:val="clear" w:color="auto" w:fill="FFFFFF"/>
            <w:vAlign w:val="center"/>
          </w:tcPr>
          <w:p w14:paraId="26EE352D"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1B7AD7EA" w14:textId="6F811E2C" w:rsidR="00152993" w:rsidRDefault="004E65BA">
            <w:pPr>
              <w:pStyle w:val="NormalArial"/>
            </w:pPr>
            <w:r>
              <w:t>512-</w:t>
            </w:r>
            <w:r w:rsidR="00837083">
              <w:t>248-4153</w:t>
            </w:r>
            <w:r w:rsidR="009467F0">
              <w:t xml:space="preserve"> (Ping); 512-275-7435 (Matthew)</w:t>
            </w:r>
          </w:p>
        </w:tc>
      </w:tr>
      <w:tr w:rsidR="00152993" w14:paraId="4A53A19D" w14:textId="77777777">
        <w:trPr>
          <w:trHeight w:val="350"/>
        </w:trPr>
        <w:tc>
          <w:tcPr>
            <w:tcW w:w="2880" w:type="dxa"/>
            <w:gridSpan w:val="2"/>
            <w:shd w:val="clear" w:color="auto" w:fill="FFFFFF"/>
            <w:vAlign w:val="center"/>
          </w:tcPr>
          <w:p w14:paraId="43C47B6C"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63BFA617" w14:textId="191CC9AA" w:rsidR="00152993" w:rsidRDefault="00152993">
            <w:pPr>
              <w:pStyle w:val="NormalArial"/>
            </w:pPr>
          </w:p>
        </w:tc>
      </w:tr>
      <w:tr w:rsidR="00075A94" w14:paraId="4FFF52A6" w14:textId="77777777">
        <w:trPr>
          <w:trHeight w:val="350"/>
        </w:trPr>
        <w:tc>
          <w:tcPr>
            <w:tcW w:w="2880" w:type="dxa"/>
            <w:gridSpan w:val="2"/>
            <w:tcBorders>
              <w:bottom w:val="single" w:sz="4" w:space="0" w:color="auto"/>
            </w:tcBorders>
            <w:shd w:val="clear" w:color="auto" w:fill="FFFFFF"/>
            <w:vAlign w:val="center"/>
          </w:tcPr>
          <w:p w14:paraId="056BD509"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4D87B4F" w14:textId="30A30454" w:rsidR="00075A94" w:rsidRDefault="00837083">
            <w:pPr>
              <w:pStyle w:val="NormalArial"/>
            </w:pPr>
            <w:r>
              <w:t>N</w:t>
            </w:r>
            <w:r w:rsidR="007629D1">
              <w:t>ot Applicable</w:t>
            </w:r>
          </w:p>
        </w:tc>
      </w:tr>
    </w:tbl>
    <w:p w14:paraId="11864D0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617120E5" w14:textId="77777777" w:rsidTr="00B5080A">
        <w:trPr>
          <w:trHeight w:val="422"/>
          <w:jc w:val="center"/>
        </w:trPr>
        <w:tc>
          <w:tcPr>
            <w:tcW w:w="10440" w:type="dxa"/>
            <w:vAlign w:val="center"/>
          </w:tcPr>
          <w:p w14:paraId="6846066B" w14:textId="77777777" w:rsidR="00075A94" w:rsidRPr="00075A94" w:rsidRDefault="00075A94" w:rsidP="00B5080A">
            <w:pPr>
              <w:pStyle w:val="Header"/>
              <w:jc w:val="center"/>
            </w:pPr>
            <w:r w:rsidRPr="00075A94">
              <w:t>Comments</w:t>
            </w:r>
          </w:p>
        </w:tc>
      </w:tr>
    </w:tbl>
    <w:p w14:paraId="4C07CBDB" w14:textId="77777777" w:rsidR="00152993" w:rsidRDefault="00152993">
      <w:pPr>
        <w:pStyle w:val="NormalArial"/>
      </w:pPr>
    </w:p>
    <w:p w14:paraId="77BE1CF7" w14:textId="79583268" w:rsidR="00B71F50" w:rsidRDefault="00B71F50" w:rsidP="00C6121C">
      <w:pPr>
        <w:pStyle w:val="NormalArial"/>
      </w:pPr>
      <w:r>
        <w:t xml:space="preserve">ERCOT submits these comments in response to </w:t>
      </w:r>
      <w:r w:rsidR="00C6121C">
        <w:t xml:space="preserve">the 11/15/24 </w:t>
      </w:r>
      <w:r>
        <w:rPr>
          <w:rStyle w:val="normaltextrun"/>
          <w:rFonts w:cs="Arial"/>
          <w:color w:val="000000"/>
          <w:shd w:val="clear" w:color="auto" w:fill="FFFFFF"/>
        </w:rPr>
        <w:t xml:space="preserve">Luminant </w:t>
      </w:r>
      <w:r>
        <w:t>comments</w:t>
      </w:r>
      <w:r w:rsidR="00904574">
        <w:t xml:space="preserve"> and for the Technical Advisory Committee’s (TAC’s) consideration.</w:t>
      </w:r>
    </w:p>
    <w:p w14:paraId="22B876F9" w14:textId="108FE5C2" w:rsidR="00A631DA" w:rsidRDefault="00A631DA" w:rsidP="00C6121C">
      <w:pPr>
        <w:pStyle w:val="NormalArial"/>
      </w:pPr>
    </w:p>
    <w:p w14:paraId="7BF0E878" w14:textId="448B6E41" w:rsidR="00FD7F64" w:rsidRDefault="003A0668" w:rsidP="00C6121C">
      <w:pPr>
        <w:pStyle w:val="NormalArial"/>
      </w:pPr>
      <w:r>
        <w:t>A</w:t>
      </w:r>
      <w:r w:rsidR="00FD7F64">
        <w:t>s Luminant</w:t>
      </w:r>
      <w:r>
        <w:t>’s comments note,</w:t>
      </w:r>
      <w:r w:rsidR="00FD7F64">
        <w:t xml:space="preserve"> the E3 report </w:t>
      </w:r>
      <w:hyperlink r:id="rId11" w:history="1">
        <w:r w:rsidR="00FD7F64" w:rsidRPr="009C2247">
          <w:rPr>
            <w:rStyle w:val="Hyperlink"/>
            <w:rFonts w:eastAsia="Calibri" w:cs="Arial"/>
            <w:i/>
            <w:iCs/>
          </w:rPr>
          <w:t>Congestion Cost Savings Test for Economic Evaluation of ERCOT Transmission Projects</w:t>
        </w:r>
      </w:hyperlink>
      <w:r w:rsidR="00FD7F64" w:rsidRPr="00920383">
        <w:rPr>
          <w:rStyle w:val="normaltextrun"/>
          <w:rFonts w:cs="Arial"/>
        </w:rPr>
        <w:t xml:space="preserve"> </w:t>
      </w:r>
      <w:r w:rsidR="000E2CBD">
        <w:rPr>
          <w:rStyle w:val="normaltextrun"/>
          <w:rFonts w:cs="Arial"/>
        </w:rPr>
        <w:t>acknowledged</w:t>
      </w:r>
      <w:r w:rsidR="00FD7F64">
        <w:rPr>
          <w:rStyle w:val="normaltextrun"/>
          <w:rFonts w:cs="Arial"/>
        </w:rPr>
        <w:t xml:space="preserve"> that the </w:t>
      </w:r>
      <w:r w:rsidR="00B41002">
        <w:rPr>
          <w:rStyle w:val="normaltextrun"/>
          <w:rFonts w:cs="Arial"/>
        </w:rPr>
        <w:t>“</w:t>
      </w:r>
      <w:r w:rsidR="00B41002">
        <w:t>S</w:t>
      </w:r>
      <w:r w:rsidR="00B41002">
        <w:t>ystem</w:t>
      </w:r>
      <w:r w:rsidR="00FD7F64">
        <w:t>-</w:t>
      </w:r>
      <w:r w:rsidR="00B41002">
        <w:t>W</w:t>
      </w:r>
      <w:r w:rsidR="00B41002">
        <w:t xml:space="preserve">ide </w:t>
      </w:r>
      <w:r w:rsidR="00B41002">
        <w:t>G</w:t>
      </w:r>
      <w:r w:rsidR="00B41002">
        <w:t xml:space="preserve">ross </w:t>
      </w:r>
      <w:r w:rsidR="00B41002">
        <w:t>L</w:t>
      </w:r>
      <w:r w:rsidR="00B41002">
        <w:t xml:space="preserve">oad </w:t>
      </w:r>
      <w:r w:rsidR="00B41002">
        <w:t>C</w:t>
      </w:r>
      <w:r w:rsidR="00B41002">
        <w:t xml:space="preserve">ost </w:t>
      </w:r>
      <w:r w:rsidR="00B41002">
        <w:t>T</w:t>
      </w:r>
      <w:r w:rsidR="00B41002">
        <w:t>est</w:t>
      </w:r>
      <w:r w:rsidR="00B41002">
        <w:t>”</w:t>
      </w:r>
      <w:r>
        <w:t>, which is the</w:t>
      </w:r>
      <w:r w:rsidR="00FD7F64">
        <w:t xml:space="preserve"> </w:t>
      </w:r>
      <w:r w:rsidR="00356A2B">
        <w:t xml:space="preserve">congestion </w:t>
      </w:r>
      <w:r>
        <w:t xml:space="preserve">cost </w:t>
      </w:r>
      <w:r w:rsidR="00356A2B">
        <w:t>savings</w:t>
      </w:r>
      <w:r w:rsidR="00FD7F64">
        <w:t xml:space="preserve"> test incorporated in </w:t>
      </w:r>
      <w:r w:rsidR="00C6121C">
        <w:t>Nodal Protocol Revision Request (</w:t>
      </w:r>
      <w:r w:rsidR="00FD7F64">
        <w:t>NPRR</w:t>
      </w:r>
      <w:r w:rsidR="00C6121C">
        <w:t xml:space="preserve">) </w:t>
      </w:r>
      <w:r w:rsidR="00FD7F64">
        <w:t>1247</w:t>
      </w:r>
      <w:r>
        <w:t>,</w:t>
      </w:r>
      <w:r w:rsidR="00FD7F64">
        <w:t xml:space="preserve"> may not fully capture the impact of </w:t>
      </w:r>
      <w:r w:rsidR="00BB5537">
        <w:t xml:space="preserve">partial hedging </w:t>
      </w:r>
      <w:r w:rsidR="004F3479">
        <w:t>of</w:t>
      </w:r>
      <w:r w:rsidR="00BB5537">
        <w:t xml:space="preserve"> </w:t>
      </w:r>
      <w:r w:rsidR="00FD7F64">
        <w:t>congestion cost</w:t>
      </w:r>
      <w:r w:rsidR="0054545D">
        <w:t xml:space="preserve"> </w:t>
      </w:r>
      <w:r w:rsidR="00BB5537">
        <w:t>by load co</w:t>
      </w:r>
      <w:r w:rsidR="00EF041C">
        <w:t>n</w:t>
      </w:r>
      <w:r w:rsidR="00BB5537">
        <w:t>sumers</w:t>
      </w:r>
      <w:r w:rsidR="00EF041C">
        <w:t>.</w:t>
      </w:r>
      <w:r w:rsidR="00FD7F64">
        <w:t xml:space="preserve"> </w:t>
      </w:r>
      <w:r w:rsidR="0054545D">
        <w:t xml:space="preserve"> </w:t>
      </w:r>
      <w:r w:rsidR="00EF041C">
        <w:t>T</w:t>
      </w:r>
      <w:r w:rsidR="00FD7F64">
        <w:t xml:space="preserve">he </w:t>
      </w:r>
      <w:r w:rsidR="00EF041C">
        <w:t xml:space="preserve">E3 </w:t>
      </w:r>
      <w:r w:rsidR="00FD7F64">
        <w:t xml:space="preserve">report </w:t>
      </w:r>
      <w:r w:rsidR="002962B8">
        <w:t>addressed</w:t>
      </w:r>
      <w:r w:rsidR="00EF041C">
        <w:t xml:space="preserve"> this </w:t>
      </w:r>
      <w:r w:rsidR="00CC0DB1">
        <w:t xml:space="preserve">concern </w:t>
      </w:r>
      <w:r w:rsidR="00FD7F64">
        <w:t xml:space="preserve">in </w:t>
      </w:r>
      <w:r w:rsidR="00A160C8">
        <w:t>its S</w:t>
      </w:r>
      <w:r w:rsidR="00A160C8">
        <w:t xml:space="preserve">ection </w:t>
      </w:r>
      <w:r w:rsidR="00FD7F64">
        <w:t>4.4.2.4</w:t>
      </w:r>
      <w:r w:rsidR="00A160C8">
        <w:t xml:space="preserve">, </w:t>
      </w:r>
      <w:r w:rsidR="00A160C8" w:rsidRPr="00A160C8">
        <w:t>System-Wide GLC Test vs. GRR Test</w:t>
      </w:r>
      <w:r w:rsidR="00A160C8">
        <w:t>,</w:t>
      </w:r>
      <w:r w:rsidR="00FD7F64">
        <w:t xml:space="preserve"> </w:t>
      </w:r>
      <w:r w:rsidR="00EF041C">
        <w:t xml:space="preserve">and </w:t>
      </w:r>
      <w:r w:rsidR="00CC0DB1">
        <w:t xml:space="preserve">highlighted </w:t>
      </w:r>
      <w:r w:rsidR="00EF041C">
        <w:t>some of the associated challenges</w:t>
      </w:r>
      <w:r w:rsidR="004F3479">
        <w:t>,</w:t>
      </w:r>
      <w:r w:rsidR="00EF041C">
        <w:t xml:space="preserve"> </w:t>
      </w:r>
      <w:r w:rsidR="00CC0DB1">
        <w:t>which</w:t>
      </w:r>
      <w:r w:rsidR="00EF041C">
        <w:t xml:space="preserve"> include</w:t>
      </w:r>
      <w:r w:rsidR="002962B8">
        <w:t>:</w:t>
      </w:r>
      <w:r w:rsidR="00FD7F64">
        <w:t xml:space="preserve"> </w:t>
      </w:r>
    </w:p>
    <w:p w14:paraId="06DFD29F" w14:textId="77777777" w:rsidR="00FD7F64" w:rsidRDefault="00FD7F64" w:rsidP="00C6121C">
      <w:pPr>
        <w:pStyle w:val="NormalArial"/>
      </w:pPr>
    </w:p>
    <w:p w14:paraId="6874F4D1" w14:textId="11305955" w:rsidR="00A631DA" w:rsidRDefault="00FD7F64" w:rsidP="00C6121C">
      <w:pPr>
        <w:pStyle w:val="NormalArial"/>
        <w:numPr>
          <w:ilvl w:val="0"/>
          <w:numId w:val="3"/>
        </w:numPr>
      </w:pPr>
      <w:r>
        <w:t>“ERCOT currently does not have sufficient data to isolate the impact of CRR payouts that accrues to load customers only (versus to other entities participating in the auction) so it would be challenging to estimate the total portion of CRR revenue to attribute to consumers. This challenge is particularly acute when applied to a future evaluation year because different entities could bid on different congestion rights in those years causing revenue to be allocated differently than in a historical period.”</w:t>
      </w:r>
    </w:p>
    <w:p w14:paraId="1BC9C433" w14:textId="77777777" w:rsidR="00FD7F64" w:rsidRDefault="00FD7F64" w:rsidP="00C6121C">
      <w:pPr>
        <w:pStyle w:val="NormalArial"/>
      </w:pPr>
    </w:p>
    <w:p w14:paraId="79D67193" w14:textId="60021662" w:rsidR="00FD7F64" w:rsidRDefault="00FD7F64" w:rsidP="00C6121C">
      <w:pPr>
        <w:pStyle w:val="NormalArial"/>
        <w:numPr>
          <w:ilvl w:val="0"/>
          <w:numId w:val="3"/>
        </w:numPr>
      </w:pPr>
      <w:r>
        <w:t xml:space="preserve">“Even though a portion of this congestion is returned to loads through auction revenue or through CRRs that they purchase, the impact of congestion (and the payout of any CRRs they hold) likely affects individual load entities differently and therefore represents an increase to price risk for those entities. Even under a counterfactual scenario in which all congestion cost was returned to loads customers as a whole and loads </w:t>
      </w:r>
      <w:proofErr w:type="gramStart"/>
      <w:r>
        <w:t>as a whole were</w:t>
      </w:r>
      <w:proofErr w:type="gramEnd"/>
      <w:r>
        <w:t xml:space="preserve"> neutral to congestion costs, the </w:t>
      </w:r>
      <w:r>
        <w:lastRenderedPageBreak/>
        <w:t>risk to individual load serving entities likely means that it would be better for loads to exist in a system with lower congestion cost, as well as lower congestion revenue returned to them. Therefore, the Gross Load Cost Test appears to be the most useful test for ERCOT among the options identified in other regions and considered in this study</w:t>
      </w:r>
      <w:r w:rsidR="00356A2B">
        <w:t>.</w:t>
      </w:r>
      <w:r>
        <w:t>”</w:t>
      </w:r>
    </w:p>
    <w:p w14:paraId="18875CA1" w14:textId="77777777" w:rsidR="00575116" w:rsidRDefault="00575116" w:rsidP="00C6121C">
      <w:pPr>
        <w:pStyle w:val="NormalArial"/>
      </w:pPr>
    </w:p>
    <w:p w14:paraId="69F793AA" w14:textId="59C7955C" w:rsidR="00575116" w:rsidRDefault="00575116" w:rsidP="00C6121C">
      <w:pPr>
        <w:pStyle w:val="NormalArial"/>
        <w:numPr>
          <w:ilvl w:val="0"/>
          <w:numId w:val="3"/>
        </w:numPr>
      </w:pPr>
      <w:r>
        <w:t xml:space="preserve">While E3 </w:t>
      </w:r>
      <w:r w:rsidR="00F57D7F">
        <w:t xml:space="preserve">suggested that </w:t>
      </w:r>
      <w:r>
        <w:t>“it may be useful for ERCOT to continue to review available data that may b</w:t>
      </w:r>
      <w:r w:rsidR="000E2CBD">
        <w:t>e</w:t>
      </w:r>
      <w:r>
        <w:t xml:space="preserve"> useful for estimating the aggregated impact of congestion</w:t>
      </w:r>
      <w:r w:rsidR="000A7825">
        <w:t>,</w:t>
      </w:r>
      <w:r>
        <w:t xml:space="preserve">” E3 also </w:t>
      </w:r>
      <w:r w:rsidR="00F57D7F">
        <w:t>recommended</w:t>
      </w:r>
      <w:r>
        <w:t xml:space="preserve"> that </w:t>
      </w:r>
      <w:r w:rsidR="00F57D7F">
        <w:t xml:space="preserve">to the extent such additional data becomes available  </w:t>
      </w:r>
      <w:r>
        <w:t xml:space="preserve">ERCOT </w:t>
      </w:r>
      <w:r w:rsidR="00F57D7F">
        <w:t>could</w:t>
      </w:r>
      <w:r>
        <w:t xml:space="preserve"> consider congestion hedging, “provided that this refinement does not introduce excessive noise or uncertainty to study results and does not materially slow down the study process.”</w:t>
      </w:r>
    </w:p>
    <w:p w14:paraId="6D8182EE" w14:textId="77777777" w:rsidR="00575116" w:rsidRDefault="00575116" w:rsidP="00C6121C">
      <w:pPr>
        <w:pStyle w:val="NormalArial"/>
      </w:pPr>
    </w:p>
    <w:p w14:paraId="23AB8205" w14:textId="6B415137" w:rsidR="00575116" w:rsidRDefault="00575116" w:rsidP="00C6121C">
      <w:pPr>
        <w:pStyle w:val="NormalArial"/>
      </w:pPr>
      <w:r>
        <w:t>Based on E3’s review of the data availab</w:t>
      </w:r>
      <w:r w:rsidR="00F57D7F">
        <w:t>le</w:t>
      </w:r>
      <w:r>
        <w:t xml:space="preserve">, </w:t>
      </w:r>
      <w:r w:rsidR="00F57D7F">
        <w:t>they</w:t>
      </w:r>
      <w:r>
        <w:t xml:space="preserve"> concluded that there is not sufficient data available to feasibly incorporat</w:t>
      </w:r>
      <w:r w:rsidR="000E2CBD">
        <w:t>e</w:t>
      </w:r>
      <w:r>
        <w:t xml:space="preserve"> </w:t>
      </w:r>
      <w:r w:rsidR="00F57D7F">
        <w:t>consideration of</w:t>
      </w:r>
      <w:r>
        <w:t xml:space="preserve"> congestion hedging. </w:t>
      </w:r>
      <w:r w:rsidR="006831AD">
        <w:t xml:space="preserve"> </w:t>
      </w:r>
      <w:r>
        <w:t>As a result, “E3 recommends the System-Wide Gross Load Cost (GLC) Test as the best option to fit with the rules and structure of the ERCOT market.”</w:t>
      </w:r>
    </w:p>
    <w:p w14:paraId="5492BC30" w14:textId="77777777" w:rsidR="00575116" w:rsidRDefault="00575116" w:rsidP="00C6121C">
      <w:pPr>
        <w:pStyle w:val="NormalArial"/>
      </w:pPr>
    </w:p>
    <w:p w14:paraId="4B913538" w14:textId="1B19FDDA" w:rsidR="00711D44" w:rsidRDefault="00F57D7F" w:rsidP="00C6121C">
      <w:pPr>
        <w:pStyle w:val="NormalArial"/>
      </w:pPr>
      <w:r>
        <w:t>Because there is insufficient data available</w:t>
      </w:r>
      <w:r w:rsidR="00FD7F64">
        <w:t xml:space="preserve"> to </w:t>
      </w:r>
      <w:r>
        <w:t xml:space="preserve">accurately </w:t>
      </w:r>
      <w:r w:rsidR="00FD7F64">
        <w:t xml:space="preserve">inform </w:t>
      </w:r>
      <w:r>
        <w:t>a</w:t>
      </w:r>
      <w:r w:rsidR="00FD7F64">
        <w:t xml:space="preserve"> methodology to consider congestion hedg</w:t>
      </w:r>
      <w:r w:rsidR="000E2CBD">
        <w:t>ing</w:t>
      </w:r>
      <w:r w:rsidR="00FD7F64">
        <w:t xml:space="preserve">, the impact of applying a </w:t>
      </w:r>
      <w:r>
        <w:t xml:space="preserve">discount </w:t>
      </w:r>
      <w:r w:rsidR="00FD7F64">
        <w:t xml:space="preserve">factor of 0.25 to the congestion cost savings </w:t>
      </w:r>
      <w:r>
        <w:t xml:space="preserve">test </w:t>
      </w:r>
      <w:r w:rsidR="00FD7F64">
        <w:t xml:space="preserve">as proposed by Luminant is unknown </w:t>
      </w:r>
      <w:r>
        <w:t xml:space="preserve">and </w:t>
      </w:r>
      <w:r w:rsidR="00FD7F64">
        <w:t xml:space="preserve">may undermine the </w:t>
      </w:r>
      <w:r>
        <w:t xml:space="preserve">benefit of economic </w:t>
      </w:r>
      <w:r w:rsidR="00711D44">
        <w:t xml:space="preserve">transmission project development to consumers. </w:t>
      </w:r>
      <w:r>
        <w:t xml:space="preserve"> Until sufficient data is available to determine the impact of congestion hedging on consumer costs, ERCOT does not support the inclusion of such discount factor in the congestion cost savings test.</w:t>
      </w:r>
    </w:p>
    <w:p w14:paraId="2FBB01E0" w14:textId="77777777" w:rsidR="00711D44" w:rsidRDefault="00711D44" w:rsidP="00C6121C">
      <w:pPr>
        <w:pStyle w:val="NormalArial"/>
      </w:pPr>
    </w:p>
    <w:p w14:paraId="6544BC3F" w14:textId="1600ACB8" w:rsidR="00201EE3" w:rsidRDefault="00FA3086" w:rsidP="00C6121C">
      <w:pPr>
        <w:pStyle w:val="NormalArial"/>
      </w:pPr>
      <w:proofErr w:type="gramStart"/>
      <w:r>
        <w:t>In regard to</w:t>
      </w:r>
      <w:proofErr w:type="gramEnd"/>
      <w:r w:rsidR="00356A2B">
        <w:t xml:space="preserve"> </w:t>
      </w:r>
      <w:r w:rsidR="00711D44">
        <w:t>the</w:t>
      </w:r>
      <w:r>
        <w:t xml:space="preserve"> value for the</w:t>
      </w:r>
      <w:r w:rsidR="00711D44">
        <w:t xml:space="preserve"> inflation rate</w:t>
      </w:r>
      <w:r>
        <w:t xml:space="preserve"> memorialized in the </w:t>
      </w:r>
      <w:r w:rsidRPr="009C2247">
        <w:rPr>
          <w:i/>
          <w:iCs/>
        </w:rPr>
        <w:t xml:space="preserve">Congestion Cost Savings Test </w:t>
      </w:r>
      <w:r w:rsidR="00D27372" w:rsidRPr="009C2247">
        <w:rPr>
          <w:i/>
          <w:iCs/>
        </w:rPr>
        <w:t xml:space="preserve">Evaluation </w:t>
      </w:r>
      <w:r w:rsidRPr="009C2247">
        <w:rPr>
          <w:i/>
          <w:iCs/>
        </w:rPr>
        <w:t>Guideline</w:t>
      </w:r>
      <w:r>
        <w:t xml:space="preserve"> white paper</w:t>
      </w:r>
      <w:r w:rsidR="00356A2B">
        <w:t xml:space="preserve">, </w:t>
      </w:r>
      <w:r>
        <w:t xml:space="preserve">it is important to </w:t>
      </w:r>
      <w:r w:rsidR="00D27372">
        <w:t>note</w:t>
      </w:r>
      <w:r>
        <w:t xml:space="preserve"> </w:t>
      </w:r>
      <w:r w:rsidR="00904574">
        <w:t xml:space="preserve">that the inflation rate </w:t>
      </w:r>
      <w:r>
        <w:t>applied to</w:t>
      </w:r>
      <w:r w:rsidR="00711D44">
        <w:t xml:space="preserve"> economic </w:t>
      </w:r>
      <w:r>
        <w:t xml:space="preserve">project </w:t>
      </w:r>
      <w:r w:rsidR="00711D44">
        <w:t xml:space="preserve">evaluation is solely </w:t>
      </w:r>
      <w:r>
        <w:t xml:space="preserve">used </w:t>
      </w:r>
      <w:r w:rsidR="00711D44">
        <w:t>to capture the time value of money</w:t>
      </w:r>
      <w:r w:rsidR="00281F56">
        <w:t xml:space="preserve"> when the economic benefits are calculated</w:t>
      </w:r>
      <w:r w:rsidR="00711D44">
        <w:t xml:space="preserve">. </w:t>
      </w:r>
      <w:r w:rsidR="006831AD">
        <w:t xml:space="preserve"> </w:t>
      </w:r>
      <w:r w:rsidR="00711D44">
        <w:t xml:space="preserve">As outlined in </w:t>
      </w:r>
      <w:r w:rsidR="00A160C8">
        <w:t>S</w:t>
      </w:r>
      <w:r w:rsidR="00711D44">
        <w:t xml:space="preserve">ection 3.11.2, </w:t>
      </w:r>
      <w:r w:rsidR="00711D44" w:rsidRPr="00D8635F">
        <w:t>Planning Criteria</w:t>
      </w:r>
      <w:r w:rsidR="00711D44">
        <w:t xml:space="preserve">, the economic benefit of a project </w:t>
      </w:r>
      <w:r w:rsidR="00904574">
        <w:t>is</w:t>
      </w:r>
      <w:r w:rsidR="00711D44">
        <w:t xml:space="preserve"> compared with the revenue requirement of the project. </w:t>
      </w:r>
      <w:r w:rsidR="006831AD">
        <w:t xml:space="preserve"> </w:t>
      </w:r>
      <w:r w:rsidR="00711D44">
        <w:t xml:space="preserve">The revenue requirement </w:t>
      </w:r>
      <w:r w:rsidR="00281F56">
        <w:t xml:space="preserve">calculation </w:t>
      </w:r>
      <w:proofErr w:type="gramStart"/>
      <w:r w:rsidR="00281F56">
        <w:t>takes into account</w:t>
      </w:r>
      <w:proofErr w:type="gramEnd"/>
      <w:r w:rsidR="00281F56">
        <w:t xml:space="preserve"> the </w:t>
      </w:r>
      <w:r w:rsidR="00D27372">
        <w:t xml:space="preserve">factors that Luminant’s comments raise, including </w:t>
      </w:r>
      <w:r w:rsidR="00281F56">
        <w:t xml:space="preserve">return on rate base, taxes, depreciation, </w:t>
      </w:r>
      <w:r w:rsidR="00D27372">
        <w:t xml:space="preserve">and </w:t>
      </w:r>
      <w:r w:rsidR="00281F56">
        <w:t xml:space="preserve">fixed and variable </w:t>
      </w:r>
      <w:r w:rsidR="00D27372">
        <w:t>operations and maintenance</w:t>
      </w:r>
      <w:r w:rsidR="00281F56">
        <w:t xml:space="preserve"> cost. </w:t>
      </w:r>
      <w:bookmarkStart w:id="0" w:name="_Hlk182924810"/>
      <w:r w:rsidR="006831AD">
        <w:t xml:space="preserve"> </w:t>
      </w:r>
      <w:r w:rsidR="00D27372">
        <w:t>D</w:t>
      </w:r>
      <w:r w:rsidR="00281F56">
        <w:t xml:space="preserve">etailed information on the revenue requirement calculation can be found in the ERCOT presentation titled </w:t>
      </w:r>
      <w:hyperlink r:id="rId12" w:history="1">
        <w:r w:rsidR="00281F56" w:rsidRPr="009C2247">
          <w:rPr>
            <w:rStyle w:val="Hyperlink"/>
            <w:i/>
            <w:iCs/>
          </w:rPr>
          <w:t>Financial Assumptions for ERCOT Economic Planning Criteria</w:t>
        </w:r>
      </w:hyperlink>
      <w:r w:rsidR="00D27372">
        <w:t xml:space="preserve"> posted to the ERCOT website</w:t>
      </w:r>
      <w:bookmarkEnd w:id="0"/>
      <w:r w:rsidR="00281F56">
        <w:t>.</w:t>
      </w:r>
      <w:r w:rsidR="00904574">
        <w:t xml:space="preserve"> </w:t>
      </w:r>
      <w:r w:rsidR="006831AD">
        <w:t xml:space="preserve"> </w:t>
      </w:r>
      <w:r w:rsidR="00D27372">
        <w:t>Given that these factors are already accounted for in the revenue requirement calculation, t</w:t>
      </w:r>
      <w:r w:rsidR="00904574">
        <w:t xml:space="preserve">he </w:t>
      </w:r>
      <w:r w:rsidR="00D27372">
        <w:t xml:space="preserve">calculation of the </w:t>
      </w:r>
      <w:r w:rsidR="00904574">
        <w:t xml:space="preserve">benefits </w:t>
      </w:r>
      <w:r w:rsidR="00D27372">
        <w:t xml:space="preserve">of a project </w:t>
      </w:r>
      <w:r w:rsidR="00904574">
        <w:t xml:space="preserve">should not be further discounted. </w:t>
      </w:r>
      <w:r w:rsidR="006831AD">
        <w:t xml:space="preserve"> </w:t>
      </w:r>
      <w:r w:rsidR="00D27372">
        <w:t xml:space="preserve">If any stakeholder has concerns with a 2% inflation rate for the time value of money, </w:t>
      </w:r>
      <w:r w:rsidR="00B53ABA">
        <w:t xml:space="preserve">ERCOT welcomes stakeholder feedback to revise the </w:t>
      </w:r>
      <w:r w:rsidR="00D27372">
        <w:t xml:space="preserve">current </w:t>
      </w:r>
      <w:r w:rsidR="00B53ABA">
        <w:t xml:space="preserve">inflation </w:t>
      </w:r>
      <w:r w:rsidR="00D27372">
        <w:t>value</w:t>
      </w:r>
      <w:r w:rsidR="00B53ABA">
        <w:t>.</w:t>
      </w:r>
    </w:p>
    <w:p w14:paraId="776E34C5" w14:textId="77777777" w:rsidR="009C2247" w:rsidRDefault="009C2247" w:rsidP="00C6121C">
      <w:pPr>
        <w:pStyle w:val="NormalArial"/>
      </w:pPr>
    </w:p>
    <w:p w14:paraId="4887EAF0" w14:textId="333C69B9" w:rsidR="0045296E" w:rsidRDefault="0045296E" w:rsidP="00C6121C">
      <w:pPr>
        <w:pStyle w:val="NormalArial"/>
      </w:pPr>
      <w:r>
        <w:t xml:space="preserve">For these reasons, ERCOT urges </w:t>
      </w:r>
      <w:r w:rsidR="00575116">
        <w:t>TAC</w:t>
      </w:r>
      <w:r>
        <w:t xml:space="preserve"> to </w:t>
      </w:r>
      <w:r w:rsidR="00B824F5">
        <w:t>recommend approval of</w:t>
      </w:r>
      <w:r>
        <w:t xml:space="preserve"> NPRR1247 with the language as proposed in </w:t>
      </w:r>
      <w:r w:rsidR="00CE2BBA">
        <w:t xml:space="preserve">the </w:t>
      </w:r>
      <w:r w:rsidR="00A160C8">
        <w:t xml:space="preserve">11/11/24 </w:t>
      </w:r>
      <w:r>
        <w:t>ERCOT</w:t>
      </w:r>
      <w:r w:rsidR="00CE2BBA">
        <w:t xml:space="preserve"> </w:t>
      </w:r>
      <w:r w:rsidR="00F65575">
        <w:t>comments</w:t>
      </w:r>
      <w:r>
        <w:t>.</w:t>
      </w:r>
    </w:p>
    <w:p w14:paraId="4C342312" w14:textId="77777777" w:rsidR="009F5A2D" w:rsidRDefault="009F5A2D" w:rsidP="0064113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A2D" w14:paraId="27739962" w14:textId="77777777" w:rsidTr="00275BE7">
        <w:trPr>
          <w:trHeight w:val="350"/>
        </w:trPr>
        <w:tc>
          <w:tcPr>
            <w:tcW w:w="10440" w:type="dxa"/>
            <w:tcBorders>
              <w:bottom w:val="single" w:sz="4" w:space="0" w:color="auto"/>
            </w:tcBorders>
            <w:shd w:val="clear" w:color="auto" w:fill="FFFFFF"/>
            <w:vAlign w:val="center"/>
          </w:tcPr>
          <w:p w14:paraId="20BDABC6" w14:textId="77777777" w:rsidR="009F5A2D" w:rsidRDefault="009F5A2D" w:rsidP="00275BE7">
            <w:pPr>
              <w:pStyle w:val="Header"/>
              <w:jc w:val="center"/>
            </w:pPr>
            <w:r>
              <w:t>Revised Cover Page Language</w:t>
            </w:r>
          </w:p>
        </w:tc>
      </w:tr>
    </w:tbl>
    <w:p w14:paraId="18CFFEE6" w14:textId="77777777" w:rsidR="009F5A2D" w:rsidRDefault="009F5A2D" w:rsidP="009F5A2D">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A2D" w14:paraId="0938BCA2" w14:textId="77777777" w:rsidTr="00275BE7">
        <w:trPr>
          <w:trHeight w:val="350"/>
        </w:trPr>
        <w:tc>
          <w:tcPr>
            <w:tcW w:w="10440" w:type="dxa"/>
            <w:tcBorders>
              <w:bottom w:val="single" w:sz="4" w:space="0" w:color="auto"/>
            </w:tcBorders>
            <w:shd w:val="clear" w:color="auto" w:fill="FFFFFF"/>
            <w:vAlign w:val="center"/>
          </w:tcPr>
          <w:p w14:paraId="7E727D2A" w14:textId="77777777" w:rsidR="009F5A2D" w:rsidRDefault="009F5A2D" w:rsidP="00275BE7">
            <w:pPr>
              <w:pStyle w:val="Header"/>
              <w:jc w:val="center"/>
            </w:pPr>
            <w:r>
              <w:lastRenderedPageBreak/>
              <w:t>Revised Proposed Protocol Language</w:t>
            </w:r>
          </w:p>
        </w:tc>
      </w:tr>
    </w:tbl>
    <w:p w14:paraId="60A93671" w14:textId="77777777" w:rsidR="009F5A2D" w:rsidRPr="007F49E4" w:rsidRDefault="009F5A2D" w:rsidP="009F5A2D">
      <w:pPr>
        <w:pStyle w:val="BodyText"/>
        <w:rPr>
          <w:rFonts w:ascii="Arial" w:hAnsi="Arial" w:cs="Arial"/>
        </w:rPr>
      </w:pPr>
      <w:r w:rsidRPr="007F49E4">
        <w:rPr>
          <w:rFonts w:ascii="Arial" w:hAnsi="Arial" w:cs="Arial"/>
        </w:rPr>
        <w:t>None</w:t>
      </w:r>
    </w:p>
    <w:p w14:paraId="2F77C497" w14:textId="77777777" w:rsidR="009F5A2D" w:rsidRPr="00E74A47" w:rsidRDefault="009F5A2D" w:rsidP="00641135">
      <w:pPr>
        <w:pStyle w:val="NormalArial"/>
      </w:pPr>
    </w:p>
    <w:p w14:paraId="4AE9823D" w14:textId="77777777" w:rsidR="00201EE3" w:rsidRDefault="00201EE3" w:rsidP="00384C7E">
      <w:pPr>
        <w:pStyle w:val="NormalArial"/>
        <w:jc w:val="both"/>
      </w:pPr>
    </w:p>
    <w:p w14:paraId="2DF69812" w14:textId="76A693FE" w:rsidR="00256245" w:rsidRPr="002E6A90" w:rsidRDefault="00256245" w:rsidP="00595110">
      <w:pPr>
        <w:pStyle w:val="NormalArial"/>
      </w:pPr>
    </w:p>
    <w:sectPr w:rsidR="00256245" w:rsidRPr="002E6A90"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9AD03" w14:textId="77777777" w:rsidR="003678A9" w:rsidRDefault="003678A9">
      <w:r>
        <w:separator/>
      </w:r>
    </w:p>
  </w:endnote>
  <w:endnote w:type="continuationSeparator" w:id="0">
    <w:p w14:paraId="2F05637E" w14:textId="77777777" w:rsidR="003678A9" w:rsidRDefault="0036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80CB" w14:textId="4FF931F5" w:rsidR="00EE6681" w:rsidRDefault="0048425F" w:rsidP="0074209E">
    <w:pPr>
      <w:pStyle w:val="Footer"/>
      <w:tabs>
        <w:tab w:val="clear" w:pos="4320"/>
        <w:tab w:val="clear" w:pos="8640"/>
        <w:tab w:val="right" w:pos="9360"/>
      </w:tabs>
      <w:rPr>
        <w:rFonts w:ascii="Arial" w:hAnsi="Arial"/>
        <w:sz w:val="18"/>
      </w:rPr>
    </w:pPr>
    <w:r>
      <w:rPr>
        <w:rFonts w:ascii="Arial" w:hAnsi="Arial"/>
        <w:sz w:val="18"/>
      </w:rPr>
      <w:t>1247NPRR-</w:t>
    </w:r>
    <w:r w:rsidR="001C5AAA">
      <w:rPr>
        <w:rFonts w:ascii="Arial" w:hAnsi="Arial"/>
        <w:sz w:val="18"/>
      </w:rPr>
      <w:t>22</w:t>
    </w:r>
    <w:r>
      <w:rPr>
        <w:rFonts w:ascii="Arial" w:hAnsi="Arial"/>
        <w:sz w:val="18"/>
      </w:rPr>
      <w:t xml:space="preserve"> </w:t>
    </w:r>
    <w:r w:rsidR="004E24F9">
      <w:rPr>
        <w:rFonts w:ascii="Arial" w:hAnsi="Arial"/>
        <w:sz w:val="18"/>
      </w:rPr>
      <w:t>ERCOT</w:t>
    </w:r>
    <w:r>
      <w:rPr>
        <w:rFonts w:ascii="Arial" w:hAnsi="Arial"/>
        <w:sz w:val="18"/>
      </w:rPr>
      <w:t xml:space="preserve"> Comments 1</w:t>
    </w:r>
    <w:r w:rsidR="00B604BB">
      <w:rPr>
        <w:rFonts w:ascii="Arial" w:hAnsi="Arial"/>
        <w:sz w:val="18"/>
      </w:rPr>
      <w:t>1</w:t>
    </w:r>
    <w:r w:rsidR="001C5AAA">
      <w:rPr>
        <w:rFonts w:ascii="Arial" w:hAnsi="Arial"/>
        <w:sz w:val="18"/>
      </w:rPr>
      <w:t>19</w:t>
    </w:r>
    <w:r>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AC7A3C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CC18A" w14:textId="77777777" w:rsidR="003678A9" w:rsidRDefault="003678A9">
      <w:r>
        <w:separator/>
      </w:r>
    </w:p>
  </w:footnote>
  <w:footnote w:type="continuationSeparator" w:id="0">
    <w:p w14:paraId="283A1465" w14:textId="77777777" w:rsidR="003678A9" w:rsidRDefault="00367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962F" w14:textId="77777777" w:rsidR="00EE6681" w:rsidRDefault="00EE6681">
    <w:pPr>
      <w:pStyle w:val="Header"/>
      <w:jc w:val="center"/>
      <w:rPr>
        <w:sz w:val="32"/>
      </w:rPr>
    </w:pPr>
    <w:r>
      <w:rPr>
        <w:sz w:val="32"/>
      </w:rPr>
      <w:t>NPRR Comments</w:t>
    </w:r>
  </w:p>
  <w:p w14:paraId="7C516C6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96D2014"/>
    <w:multiLevelType w:val="hybridMultilevel"/>
    <w:tmpl w:val="49B2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36288920">
    <w:abstractNumId w:val="0"/>
  </w:num>
  <w:num w:numId="2" w16cid:durableId="890963466">
    <w:abstractNumId w:val="2"/>
  </w:num>
  <w:num w:numId="3" w16cid:durableId="1134641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224A9"/>
    <w:rsid w:val="000243E4"/>
    <w:rsid w:val="00037668"/>
    <w:rsid w:val="000464B0"/>
    <w:rsid w:val="00052F7C"/>
    <w:rsid w:val="000757AC"/>
    <w:rsid w:val="00075A94"/>
    <w:rsid w:val="00097DD6"/>
    <w:rsid w:val="000A7825"/>
    <w:rsid w:val="000E2CBD"/>
    <w:rsid w:val="001123DE"/>
    <w:rsid w:val="00132855"/>
    <w:rsid w:val="00152993"/>
    <w:rsid w:val="00156E89"/>
    <w:rsid w:val="00170297"/>
    <w:rsid w:val="00177EBF"/>
    <w:rsid w:val="00197FC8"/>
    <w:rsid w:val="001A227D"/>
    <w:rsid w:val="001C5AAA"/>
    <w:rsid w:val="001E2032"/>
    <w:rsid w:val="001F12A2"/>
    <w:rsid w:val="001F2ACB"/>
    <w:rsid w:val="00201EE3"/>
    <w:rsid w:val="002162B7"/>
    <w:rsid w:val="0022600A"/>
    <w:rsid w:val="00232277"/>
    <w:rsid w:val="00240BF9"/>
    <w:rsid w:val="0024335E"/>
    <w:rsid w:val="00247330"/>
    <w:rsid w:val="00256245"/>
    <w:rsid w:val="00281F56"/>
    <w:rsid w:val="00283F7A"/>
    <w:rsid w:val="00290218"/>
    <w:rsid w:val="002926D5"/>
    <w:rsid w:val="002962B8"/>
    <w:rsid w:val="002A32C4"/>
    <w:rsid w:val="002B199E"/>
    <w:rsid w:val="002C726E"/>
    <w:rsid w:val="002E0156"/>
    <w:rsid w:val="002E27C4"/>
    <w:rsid w:val="002E6A90"/>
    <w:rsid w:val="003010C0"/>
    <w:rsid w:val="003032AC"/>
    <w:rsid w:val="00307F5D"/>
    <w:rsid w:val="00332A97"/>
    <w:rsid w:val="00334258"/>
    <w:rsid w:val="00350C00"/>
    <w:rsid w:val="00356A2B"/>
    <w:rsid w:val="00366113"/>
    <w:rsid w:val="003678A9"/>
    <w:rsid w:val="00384C7E"/>
    <w:rsid w:val="00394C7C"/>
    <w:rsid w:val="003A0668"/>
    <w:rsid w:val="003A1B30"/>
    <w:rsid w:val="003A551C"/>
    <w:rsid w:val="003C270C"/>
    <w:rsid w:val="003D0994"/>
    <w:rsid w:val="00421BDD"/>
    <w:rsid w:val="00423824"/>
    <w:rsid w:val="0043567D"/>
    <w:rsid w:val="0045296E"/>
    <w:rsid w:val="00454FCF"/>
    <w:rsid w:val="0048425F"/>
    <w:rsid w:val="00484486"/>
    <w:rsid w:val="00487465"/>
    <w:rsid w:val="004912C1"/>
    <w:rsid w:val="004A5726"/>
    <w:rsid w:val="004B7B90"/>
    <w:rsid w:val="004D16D5"/>
    <w:rsid w:val="004D23B4"/>
    <w:rsid w:val="004E24F9"/>
    <w:rsid w:val="004E2C19"/>
    <w:rsid w:val="004E65BA"/>
    <w:rsid w:val="004E7A94"/>
    <w:rsid w:val="004F1932"/>
    <w:rsid w:val="004F3479"/>
    <w:rsid w:val="00503E8C"/>
    <w:rsid w:val="00504AE7"/>
    <w:rsid w:val="00521A04"/>
    <w:rsid w:val="0054545D"/>
    <w:rsid w:val="00562430"/>
    <w:rsid w:val="00575116"/>
    <w:rsid w:val="00595110"/>
    <w:rsid w:val="005B62E0"/>
    <w:rsid w:val="005C176D"/>
    <w:rsid w:val="005D05BF"/>
    <w:rsid w:val="005D0FBA"/>
    <w:rsid w:val="005D284C"/>
    <w:rsid w:val="00604512"/>
    <w:rsid w:val="0060784C"/>
    <w:rsid w:val="00633E23"/>
    <w:rsid w:val="006362DC"/>
    <w:rsid w:val="00641135"/>
    <w:rsid w:val="006472CF"/>
    <w:rsid w:val="00660A33"/>
    <w:rsid w:val="00673B94"/>
    <w:rsid w:val="00680AC6"/>
    <w:rsid w:val="006831AD"/>
    <w:rsid w:val="006835D8"/>
    <w:rsid w:val="0069325F"/>
    <w:rsid w:val="006C0FAC"/>
    <w:rsid w:val="006C316E"/>
    <w:rsid w:val="006D0F7C"/>
    <w:rsid w:val="006E60B9"/>
    <w:rsid w:val="006F554E"/>
    <w:rsid w:val="006F5A76"/>
    <w:rsid w:val="007018D4"/>
    <w:rsid w:val="00711D44"/>
    <w:rsid w:val="007215D6"/>
    <w:rsid w:val="007269C4"/>
    <w:rsid w:val="00740791"/>
    <w:rsid w:val="0074209E"/>
    <w:rsid w:val="00745252"/>
    <w:rsid w:val="007629D1"/>
    <w:rsid w:val="007646FB"/>
    <w:rsid w:val="007A088B"/>
    <w:rsid w:val="007B6437"/>
    <w:rsid w:val="007B6867"/>
    <w:rsid w:val="007D1BEC"/>
    <w:rsid w:val="007E1DC4"/>
    <w:rsid w:val="007F2CA8"/>
    <w:rsid w:val="007F7161"/>
    <w:rsid w:val="00816EA8"/>
    <w:rsid w:val="00824335"/>
    <w:rsid w:val="008345F6"/>
    <w:rsid w:val="00837083"/>
    <w:rsid w:val="00855513"/>
    <w:rsid w:val="0085559E"/>
    <w:rsid w:val="00870D9E"/>
    <w:rsid w:val="00896B1B"/>
    <w:rsid w:val="008E559E"/>
    <w:rsid w:val="008F340E"/>
    <w:rsid w:val="00904574"/>
    <w:rsid w:val="00916080"/>
    <w:rsid w:val="00921A68"/>
    <w:rsid w:val="00935301"/>
    <w:rsid w:val="0093569D"/>
    <w:rsid w:val="009467F0"/>
    <w:rsid w:val="00966576"/>
    <w:rsid w:val="00976203"/>
    <w:rsid w:val="009A1317"/>
    <w:rsid w:val="009A18A7"/>
    <w:rsid w:val="009B4F2A"/>
    <w:rsid w:val="009C2247"/>
    <w:rsid w:val="009E162D"/>
    <w:rsid w:val="009E6574"/>
    <w:rsid w:val="009F5A2D"/>
    <w:rsid w:val="00A015C4"/>
    <w:rsid w:val="00A03B04"/>
    <w:rsid w:val="00A15172"/>
    <w:rsid w:val="00A160C8"/>
    <w:rsid w:val="00A44F50"/>
    <w:rsid w:val="00A45832"/>
    <w:rsid w:val="00A631DA"/>
    <w:rsid w:val="00A67CE7"/>
    <w:rsid w:val="00A75EB9"/>
    <w:rsid w:val="00AC2EE1"/>
    <w:rsid w:val="00B05821"/>
    <w:rsid w:val="00B31A9E"/>
    <w:rsid w:val="00B41002"/>
    <w:rsid w:val="00B5080A"/>
    <w:rsid w:val="00B53ABA"/>
    <w:rsid w:val="00B604BB"/>
    <w:rsid w:val="00B62BD8"/>
    <w:rsid w:val="00B71F50"/>
    <w:rsid w:val="00B824F5"/>
    <w:rsid w:val="00B943AE"/>
    <w:rsid w:val="00BA1886"/>
    <w:rsid w:val="00BB1271"/>
    <w:rsid w:val="00BB5537"/>
    <w:rsid w:val="00BD7258"/>
    <w:rsid w:val="00C0598D"/>
    <w:rsid w:val="00C11956"/>
    <w:rsid w:val="00C47EC4"/>
    <w:rsid w:val="00C50EE3"/>
    <w:rsid w:val="00C602E5"/>
    <w:rsid w:val="00C6121C"/>
    <w:rsid w:val="00C644F3"/>
    <w:rsid w:val="00C7364E"/>
    <w:rsid w:val="00C748FD"/>
    <w:rsid w:val="00C85843"/>
    <w:rsid w:val="00CC0DB1"/>
    <w:rsid w:val="00CD1D55"/>
    <w:rsid w:val="00CD22C4"/>
    <w:rsid w:val="00CD2EC4"/>
    <w:rsid w:val="00CE2BBA"/>
    <w:rsid w:val="00CF756E"/>
    <w:rsid w:val="00D27372"/>
    <w:rsid w:val="00D4046E"/>
    <w:rsid w:val="00D4362F"/>
    <w:rsid w:val="00D8635F"/>
    <w:rsid w:val="00D8744A"/>
    <w:rsid w:val="00D906C1"/>
    <w:rsid w:val="00D919BF"/>
    <w:rsid w:val="00DB1275"/>
    <w:rsid w:val="00DC0360"/>
    <w:rsid w:val="00DD4739"/>
    <w:rsid w:val="00DE5F33"/>
    <w:rsid w:val="00DE77D4"/>
    <w:rsid w:val="00DF35FB"/>
    <w:rsid w:val="00DF672C"/>
    <w:rsid w:val="00E00CA9"/>
    <w:rsid w:val="00E07B54"/>
    <w:rsid w:val="00E11F78"/>
    <w:rsid w:val="00E12F5E"/>
    <w:rsid w:val="00E142E0"/>
    <w:rsid w:val="00E37259"/>
    <w:rsid w:val="00E621E1"/>
    <w:rsid w:val="00E65481"/>
    <w:rsid w:val="00E74A47"/>
    <w:rsid w:val="00E74E6B"/>
    <w:rsid w:val="00E97150"/>
    <w:rsid w:val="00EC0526"/>
    <w:rsid w:val="00EC55B3"/>
    <w:rsid w:val="00ED58BD"/>
    <w:rsid w:val="00ED7736"/>
    <w:rsid w:val="00EE6681"/>
    <w:rsid w:val="00EF041C"/>
    <w:rsid w:val="00F128B1"/>
    <w:rsid w:val="00F47A5A"/>
    <w:rsid w:val="00F56919"/>
    <w:rsid w:val="00F57D7F"/>
    <w:rsid w:val="00F65575"/>
    <w:rsid w:val="00F84225"/>
    <w:rsid w:val="00F9446A"/>
    <w:rsid w:val="00F96FB2"/>
    <w:rsid w:val="00FA3086"/>
    <w:rsid w:val="00FB4493"/>
    <w:rsid w:val="00FB51D8"/>
    <w:rsid w:val="00FC4DAE"/>
    <w:rsid w:val="00FD08E8"/>
    <w:rsid w:val="00FD3320"/>
    <w:rsid w:val="00FD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35181"/>
  <w15:chartTrackingRefBased/>
  <w15:docId w15:val="{A20205B0-EABC-4322-AF77-273E6CE3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BodyTextNumberedChar1">
    <w:name w:val="Body Text Numbered Char1"/>
    <w:link w:val="BodyTextNumbered"/>
    <w:rsid w:val="0060784C"/>
    <w:rPr>
      <w:iCs/>
      <w:sz w:val="24"/>
    </w:rPr>
  </w:style>
  <w:style w:type="paragraph" w:customStyle="1" w:styleId="BodyTextNumbered">
    <w:name w:val="Body Text Numbered"/>
    <w:basedOn w:val="BodyText"/>
    <w:link w:val="BodyTextNumberedChar1"/>
    <w:rsid w:val="0060784C"/>
    <w:pPr>
      <w:spacing w:before="0" w:after="240"/>
      <w:ind w:left="720" w:hanging="720"/>
    </w:pPr>
    <w:rPr>
      <w:iCs/>
      <w:szCs w:val="20"/>
    </w:rPr>
  </w:style>
  <w:style w:type="paragraph" w:customStyle="1" w:styleId="H3">
    <w:name w:val="H3"/>
    <w:basedOn w:val="Heading3"/>
    <w:next w:val="BodyText"/>
    <w:link w:val="H3Char"/>
    <w:rsid w:val="0060784C"/>
    <w:pPr>
      <w:numPr>
        <w:ilvl w:val="0"/>
        <w:numId w:val="0"/>
      </w:numPr>
      <w:tabs>
        <w:tab w:val="left" w:pos="1080"/>
      </w:tabs>
      <w:spacing w:before="240" w:after="240"/>
      <w:ind w:left="1080" w:hanging="1080"/>
    </w:pPr>
    <w:rPr>
      <w:iCs w:val="0"/>
    </w:rPr>
  </w:style>
  <w:style w:type="character" w:customStyle="1" w:styleId="CommentTextChar">
    <w:name w:val="Comment Text Char"/>
    <w:basedOn w:val="DefaultParagraphFont"/>
    <w:link w:val="CommentText"/>
    <w:rsid w:val="0060784C"/>
  </w:style>
  <w:style w:type="character" w:customStyle="1" w:styleId="H3Char">
    <w:name w:val="H3 Char"/>
    <w:link w:val="H3"/>
    <w:rsid w:val="0060784C"/>
    <w:rPr>
      <w:b/>
      <w:bCs/>
      <w:i/>
      <w:sz w:val="24"/>
    </w:rPr>
  </w:style>
  <w:style w:type="paragraph" w:styleId="Revision">
    <w:name w:val="Revision"/>
    <w:hidden/>
    <w:uiPriority w:val="99"/>
    <w:semiHidden/>
    <w:rsid w:val="0060784C"/>
    <w:rPr>
      <w:sz w:val="24"/>
      <w:szCs w:val="24"/>
    </w:rPr>
  </w:style>
  <w:style w:type="character" w:styleId="UnresolvedMention">
    <w:name w:val="Unresolved Mention"/>
    <w:uiPriority w:val="99"/>
    <w:semiHidden/>
    <w:unhideWhenUsed/>
    <w:rsid w:val="00F56919"/>
    <w:rPr>
      <w:color w:val="605E5C"/>
      <w:shd w:val="clear" w:color="auto" w:fill="E1DFDD"/>
    </w:rPr>
  </w:style>
  <w:style w:type="paragraph" w:styleId="FootnoteText">
    <w:name w:val="footnote text"/>
    <w:basedOn w:val="Normal"/>
    <w:link w:val="FootnoteTextChar"/>
    <w:rsid w:val="006472CF"/>
    <w:rPr>
      <w:sz w:val="20"/>
      <w:szCs w:val="20"/>
    </w:rPr>
  </w:style>
  <w:style w:type="character" w:customStyle="1" w:styleId="FootnoteTextChar">
    <w:name w:val="Footnote Text Char"/>
    <w:basedOn w:val="DefaultParagraphFont"/>
    <w:link w:val="FootnoteText"/>
    <w:rsid w:val="006472CF"/>
  </w:style>
  <w:style w:type="character" w:styleId="FootnoteReference">
    <w:name w:val="footnote reference"/>
    <w:basedOn w:val="DefaultParagraphFont"/>
    <w:rsid w:val="006472CF"/>
    <w:rPr>
      <w:vertAlign w:val="superscript"/>
    </w:rPr>
  </w:style>
  <w:style w:type="character" w:customStyle="1" w:styleId="normaltextrun">
    <w:name w:val="normaltextrun"/>
    <w:basedOn w:val="DefaultParagraphFont"/>
    <w:rsid w:val="00B71F50"/>
  </w:style>
  <w:style w:type="character" w:customStyle="1" w:styleId="eop">
    <w:name w:val="eop"/>
    <w:basedOn w:val="DefaultParagraphFont"/>
    <w:rsid w:val="00B71F50"/>
  </w:style>
  <w:style w:type="character" w:styleId="FollowedHyperlink">
    <w:name w:val="FollowedHyperlink"/>
    <w:basedOn w:val="DefaultParagraphFont"/>
    <w:rsid w:val="003A06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4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cot.com/files/docs/2018/09/12/FinancialAssumptions_EconomicCriteri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4/05/23/E3_ERCOT_Congestion_Cost_Savings_Test_for_Economic_Transmission_Report_March_202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tthew.arth@ercot.com" TargetMode="External"/><Relationship Id="rId4" Type="http://schemas.openxmlformats.org/officeDocument/2006/relationships/settings" Target="settings.xml"/><Relationship Id="rId9" Type="http://schemas.openxmlformats.org/officeDocument/2006/relationships/hyperlink" Target="mailto:ping.yan@erco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83B45-EB03-4542-97E7-F8E193F0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5517</CharactersWithSpaces>
  <SharedDoc>false</SharedDoc>
  <HLinks>
    <vt:vector size="12" baseType="variant">
      <vt:variant>
        <vt:i4>3735625</vt:i4>
      </vt:variant>
      <vt:variant>
        <vt:i4>3</vt:i4>
      </vt:variant>
      <vt:variant>
        <vt:i4>0</vt:i4>
      </vt:variant>
      <vt:variant>
        <vt:i4>5</vt:i4>
      </vt:variant>
      <vt:variant>
        <vt:lpwstr>mailto:bill.barnes@nrg.com</vt:lpwstr>
      </vt:variant>
      <vt:variant>
        <vt:lpwstr/>
      </vt:variant>
      <vt:variant>
        <vt:i4>6946934</vt:i4>
      </vt:variant>
      <vt:variant>
        <vt:i4>0</vt:i4>
      </vt:variant>
      <vt:variant>
        <vt:i4>0</vt:i4>
      </vt:variant>
      <vt:variant>
        <vt:i4>5</vt:i4>
      </vt:variant>
      <vt:variant>
        <vt:lpwstr>https://www.ercot.com/mktrules/issues/NPRR1247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Gnanam, Prabhu</dc:creator>
  <cp:keywords/>
  <dc:description/>
  <cp:lastModifiedBy>Jordan Troublefield</cp:lastModifiedBy>
  <cp:revision>2</cp:revision>
  <cp:lastPrinted>2001-06-20T16:28:00Z</cp:lastPrinted>
  <dcterms:created xsi:type="dcterms:W3CDTF">2024-11-19T22:26:00Z</dcterms:created>
  <dcterms:modified xsi:type="dcterms:W3CDTF">2024-11-19T22:26:00Z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2024-10-17T20:33:03Z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0a63e025-3af9-414d-a233-7e9d49dc2eef</vt:lpwstr>
  </property>
  <property fmtid="{D5CDD505-2E9C-101B-9397-08002B2CF9AE}" pid="8" name="MSIP_Label_7084cbda-52b8-46fb-a7b7-cb5bd465ed85_ContentBits">
    <vt:lpwstr>0</vt:lpwstr>
  </property>
</Properties>
</file>