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77777777" w:rsidR="00152993" w:rsidRDefault="00E5515A" w:rsidP="00F56919">
            <w:pPr>
              <w:pStyle w:val="Header"/>
              <w:jc w:val="center"/>
            </w:pPr>
            <w:hyperlink r:id="rId8" w:history="1">
              <w:r w:rsidR="00F56919" w:rsidRPr="000A31C7">
                <w:rPr>
                  <w:rStyle w:val="Hyperlink"/>
                </w:rPr>
                <w:t>1247</w:t>
              </w:r>
            </w:hyperlink>
          </w:p>
        </w:tc>
        <w:tc>
          <w:tcPr>
            <w:tcW w:w="900" w:type="dxa"/>
            <w:tcBorders>
              <w:bottom w:val="single" w:sz="4" w:space="0" w:color="auto"/>
            </w:tcBorders>
            <w:shd w:val="clear" w:color="auto" w:fill="FFFFFF"/>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77777777" w:rsidR="00152993" w:rsidRDefault="007018D4" w:rsidP="00F56919">
            <w:pPr>
              <w:pStyle w:val="Header"/>
              <w:spacing w:before="120" w:after="120"/>
            </w:pPr>
            <w:r>
              <w:t>Incorporation of Congestion Cost Savings Test in Economic Evaluation of Transmission Projects</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54AFE74F" w:rsidR="00152993" w:rsidRDefault="00B604BB">
            <w:pPr>
              <w:pStyle w:val="NormalArial"/>
            </w:pPr>
            <w:r>
              <w:t>November</w:t>
            </w:r>
            <w:r w:rsidR="00F56919">
              <w:t xml:space="preserve"> </w:t>
            </w:r>
            <w:r w:rsidR="00867DB0">
              <w:t>26</w:t>
            </w:r>
            <w:r w:rsidR="00F56919">
              <w:t xml:space="preserve">, </w:t>
            </w:r>
            <w:r w:rsidR="004E65BA">
              <w:t>2024</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26B38778" w:rsidR="00152993" w:rsidRDefault="00837083">
            <w:pPr>
              <w:pStyle w:val="NormalArial"/>
            </w:pPr>
            <w:r>
              <w:t>Ping Yan</w:t>
            </w:r>
            <w:r w:rsidR="00F65575">
              <w:t xml:space="preserve">; </w:t>
            </w:r>
            <w:r w:rsidR="009467F0">
              <w:t>Matthew</w:t>
            </w:r>
            <w:r w:rsidR="004F1932">
              <w:t xml:space="preserve"> Arth</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46CFB56D" w:rsidR="00152993" w:rsidRDefault="00E5515A">
            <w:pPr>
              <w:pStyle w:val="NormalArial"/>
            </w:pPr>
            <w:hyperlink r:id="rId9" w:history="1">
              <w:r w:rsidR="007629D1" w:rsidRPr="00AD0534">
                <w:rPr>
                  <w:rStyle w:val="Hyperlink"/>
                </w:rPr>
                <w:t>ping.yan@ercot.com</w:t>
              </w:r>
            </w:hyperlink>
            <w:r w:rsidR="009467F0">
              <w:t xml:space="preserve">; </w:t>
            </w:r>
            <w:hyperlink r:id="rId10" w:history="1">
              <w:r w:rsidR="007629D1" w:rsidRPr="00AD0534">
                <w:rPr>
                  <w:rStyle w:val="Hyperlink"/>
                </w:rPr>
                <w:t>matthew.arth@ercot.com</w:t>
              </w:r>
            </w:hyperlink>
            <w:r w:rsidR="007629D1">
              <w:t xml:space="preserve"> </w:t>
            </w:r>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55C2AF93" w:rsidR="00152993" w:rsidRDefault="00837083">
            <w:pPr>
              <w:pStyle w:val="NormalArial"/>
            </w:pPr>
            <w:r>
              <w:t>Electric Reliability Council of Texas, Inc. (ERCOT)</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B7AD7EA" w14:textId="6F811E2C" w:rsidR="00152993" w:rsidRDefault="004E65BA">
            <w:pPr>
              <w:pStyle w:val="NormalArial"/>
            </w:pPr>
            <w:r>
              <w:t>512-</w:t>
            </w:r>
            <w:r w:rsidR="00837083">
              <w:t>248-4153</w:t>
            </w:r>
            <w:r w:rsidR="009467F0">
              <w:t xml:space="preserve"> (Ping); 512-275-7435 (Matthew)</w:t>
            </w: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BFA617" w14:textId="191CC9AA" w:rsidR="00152993" w:rsidRDefault="00152993">
            <w:pPr>
              <w:pStyle w:val="NormalArial"/>
            </w:pP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30A30454" w:rsidR="00075A94" w:rsidRDefault="00837083">
            <w:pPr>
              <w:pStyle w:val="NormalArial"/>
            </w:pPr>
            <w:r>
              <w:t>N</w:t>
            </w:r>
            <w:r w:rsidR="007629D1">
              <w:t>ot Applicable</w:t>
            </w:r>
          </w:p>
        </w:tc>
      </w:tr>
    </w:tbl>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77BE1CF7" w14:textId="4EBD0B7F" w:rsidR="00B71F50" w:rsidRDefault="00B71F50" w:rsidP="00C6121C">
      <w:pPr>
        <w:pStyle w:val="NormalArial"/>
      </w:pPr>
      <w:r>
        <w:t xml:space="preserve">ERCOT submits these comments </w:t>
      </w:r>
      <w:r w:rsidR="00904574">
        <w:t xml:space="preserve">for </w:t>
      </w:r>
      <w:r w:rsidR="00BD421F">
        <w:t xml:space="preserve">consideration by </w:t>
      </w:r>
      <w:r w:rsidR="00904574">
        <w:t xml:space="preserve">the </w:t>
      </w:r>
      <w:r w:rsidR="00867DB0">
        <w:t>Reliability and Markets Committee</w:t>
      </w:r>
      <w:r w:rsidR="00904574">
        <w:t xml:space="preserve"> (</w:t>
      </w:r>
      <w:r w:rsidR="00867DB0">
        <w:t>R&amp;</w:t>
      </w:r>
      <w:r w:rsidR="00E94233">
        <w:t>M</w:t>
      </w:r>
      <w:r w:rsidR="00BD421F">
        <w:t xml:space="preserve"> Committee</w:t>
      </w:r>
      <w:r w:rsidR="00E94233">
        <w:t>) and ERCOT Board</w:t>
      </w:r>
      <w:r w:rsidR="00E35677">
        <w:t xml:space="preserve"> of Director</w:t>
      </w:r>
      <w:r w:rsidR="00254853">
        <w:t>s</w:t>
      </w:r>
      <w:r w:rsidR="00E35677">
        <w:t xml:space="preserve"> (ERCOT Board)</w:t>
      </w:r>
      <w:r w:rsidR="00904574">
        <w:t>.</w:t>
      </w:r>
      <w:r w:rsidR="00661BCC">
        <w:t xml:space="preserve"> </w:t>
      </w:r>
      <w:r w:rsidR="000F3049">
        <w:t xml:space="preserve"> </w:t>
      </w:r>
      <w:r w:rsidR="00661BCC">
        <w:t>The</w:t>
      </w:r>
      <w:r w:rsidR="00E35677">
        <w:t>se</w:t>
      </w:r>
      <w:r w:rsidR="00661BCC">
        <w:t xml:space="preserve"> comments include background information </w:t>
      </w:r>
      <w:r w:rsidR="00E35677">
        <w:t>leading to the development of</w:t>
      </w:r>
      <w:r w:rsidR="00661BCC">
        <w:t xml:space="preserve"> Nodal Protocols Revision Request (NPRR)</w:t>
      </w:r>
      <w:r w:rsidR="00E35677">
        <w:t xml:space="preserve"> 1247</w:t>
      </w:r>
      <w:r w:rsidR="00661BCC">
        <w:t>, ERCOT’s position on NPRR</w:t>
      </w:r>
      <w:r w:rsidR="00E35677">
        <w:t>1247</w:t>
      </w:r>
      <w:r w:rsidR="00661BCC">
        <w:t xml:space="preserve">, and a summary of stakeholder comments and ERCOT responses. </w:t>
      </w:r>
    </w:p>
    <w:p w14:paraId="22B876F9" w14:textId="108FE5C2" w:rsidR="00A631DA" w:rsidRDefault="00A631DA" w:rsidP="00C6121C">
      <w:pPr>
        <w:pStyle w:val="NormalArial"/>
      </w:pPr>
    </w:p>
    <w:p w14:paraId="3BFED2D1" w14:textId="22F62AC2" w:rsidR="00661BCC" w:rsidRDefault="00661BCC" w:rsidP="00C6121C">
      <w:pPr>
        <w:pStyle w:val="NormalArial"/>
      </w:pPr>
      <w:r w:rsidRPr="00661BCC">
        <w:rPr>
          <w:b/>
          <w:bCs/>
        </w:rPr>
        <w:t>Background information</w:t>
      </w:r>
      <w:r>
        <w:t>:</w:t>
      </w:r>
    </w:p>
    <w:p w14:paraId="35B94CB9" w14:textId="77777777" w:rsidR="00661BCC" w:rsidRDefault="00661BCC" w:rsidP="00C6121C">
      <w:pPr>
        <w:pStyle w:val="NormalArial"/>
      </w:pPr>
    </w:p>
    <w:p w14:paraId="1EA8B3B9" w14:textId="4A248E5C" w:rsidR="00014498" w:rsidRDefault="00457C7D" w:rsidP="00C6121C">
      <w:pPr>
        <w:pStyle w:val="NormalArial"/>
        <w:rPr>
          <w:rFonts w:cs="Arial"/>
          <w:color w:val="000000"/>
          <w:shd w:val="clear" w:color="auto" w:fill="FFFFFF"/>
        </w:rPr>
      </w:pPr>
      <w:r>
        <w:t xml:space="preserve">ERCOT </w:t>
      </w:r>
      <w:r w:rsidR="00BD421F">
        <w:t>submitted</w:t>
      </w:r>
      <w:r>
        <w:t xml:space="preserve"> NPRR1247 to incorporate the congestion cost savings test </w:t>
      </w:r>
      <w:r w:rsidR="003573DE">
        <w:t xml:space="preserve">to be used in economic project evaluation in consultation with </w:t>
      </w:r>
      <w:r w:rsidR="0094631F">
        <w:t>Public Utility Commission of Texas (</w:t>
      </w:r>
      <w:r w:rsidR="003573DE">
        <w:t>PUCT</w:t>
      </w:r>
      <w:r w:rsidR="0094631F">
        <w:t>)</w:t>
      </w:r>
      <w:r w:rsidR="003573DE">
        <w:t xml:space="preserve"> Staff </w:t>
      </w:r>
      <w:r>
        <w:t xml:space="preserve">as required </w:t>
      </w:r>
      <w:r>
        <w:rPr>
          <w:iCs/>
          <w:kern w:val="24"/>
        </w:rPr>
        <w:t xml:space="preserve">by </w:t>
      </w:r>
      <w:r>
        <w:t xml:space="preserve">16 </w:t>
      </w:r>
      <w:r w:rsidR="0094631F">
        <w:t>Texas Administrative Code</w:t>
      </w:r>
      <w:r>
        <w:t xml:space="preserve"> </w:t>
      </w:r>
      <w:r>
        <w:rPr>
          <w:rFonts w:cs="Arial"/>
        </w:rPr>
        <w:t>§</w:t>
      </w:r>
      <w:r>
        <w:rPr>
          <w:color w:val="000000"/>
        </w:rPr>
        <w:t> 25.101(b)(3)(A)(i)</w:t>
      </w:r>
      <w:r w:rsidR="00014498">
        <w:t xml:space="preserve">, which was </w:t>
      </w:r>
      <w:r w:rsidR="00014498">
        <w:rPr>
          <w:color w:val="000000"/>
        </w:rPr>
        <w:t>amended in PUCT Project No. 5340</w:t>
      </w:r>
      <w:r w:rsidR="0094631F">
        <w:rPr>
          <w:color w:val="000000"/>
        </w:rPr>
        <w:t>3</w:t>
      </w:r>
      <w:r w:rsidR="00014498">
        <w:rPr>
          <w:color w:val="000000"/>
        </w:rPr>
        <w:t xml:space="preserve"> to implement Senate Bill (SB) 1281 (87</w:t>
      </w:r>
      <w:r w:rsidR="00014498" w:rsidRPr="00014498">
        <w:rPr>
          <w:color w:val="000000"/>
          <w:vertAlign w:val="superscript"/>
        </w:rPr>
        <w:t>th</w:t>
      </w:r>
      <w:r w:rsidR="00014498">
        <w:rPr>
          <w:color w:val="000000"/>
        </w:rPr>
        <w:t xml:space="preserve"> </w:t>
      </w:r>
      <w:r w:rsidR="0094631F">
        <w:t>Legislature</w:t>
      </w:r>
      <w:r w:rsidR="00014498">
        <w:t>)</w:t>
      </w:r>
      <w:r w:rsidR="00014498">
        <w:rPr>
          <w:color w:val="000000"/>
        </w:rPr>
        <w:t xml:space="preserve">. </w:t>
      </w:r>
      <w:r w:rsidR="000F3049">
        <w:rPr>
          <w:color w:val="000000"/>
        </w:rPr>
        <w:t xml:space="preserve"> </w:t>
      </w:r>
      <w:r>
        <w:rPr>
          <w:iCs/>
          <w:kern w:val="24"/>
        </w:rPr>
        <w:t xml:space="preserve">ERCOT retained </w:t>
      </w:r>
      <w:r w:rsidRPr="009A042A">
        <w:rPr>
          <w:rFonts w:cs="Arial"/>
          <w:color w:val="000000"/>
          <w:shd w:val="clear" w:color="auto" w:fill="FFFFFF"/>
        </w:rPr>
        <w:t>Energy + Environmental Economics</w:t>
      </w:r>
      <w:r>
        <w:rPr>
          <w:rFonts w:cs="Arial"/>
          <w:color w:val="000000"/>
          <w:shd w:val="clear" w:color="auto" w:fill="FFFFFF"/>
        </w:rPr>
        <w:t>, Inc.</w:t>
      </w:r>
      <w:r w:rsidRPr="009A042A">
        <w:rPr>
          <w:rFonts w:cs="Arial"/>
          <w:color w:val="000000"/>
          <w:shd w:val="clear" w:color="auto" w:fill="FFFFFF"/>
        </w:rPr>
        <w:t xml:space="preserve"> (E3)</w:t>
      </w:r>
      <w:r>
        <w:rPr>
          <w:rFonts w:cs="Arial"/>
          <w:color w:val="000000"/>
          <w:shd w:val="clear" w:color="auto" w:fill="FFFFFF"/>
        </w:rPr>
        <w:t xml:space="preserve"> to identify a set of options and provide recommendations of the most suitable congestion cost savings test based on the ERCOT market structure.  E3 presented its </w:t>
      </w:r>
      <w:r w:rsidR="00E5515A">
        <w:rPr>
          <w:rFonts w:cs="Arial"/>
          <w:color w:val="000000"/>
          <w:shd w:val="clear" w:color="auto" w:fill="FFFFFF"/>
        </w:rPr>
        <w:t>work</w:t>
      </w:r>
      <w:r w:rsidR="00943F60">
        <w:rPr>
          <w:rFonts w:cs="Arial"/>
          <w:color w:val="000000"/>
          <w:shd w:val="clear" w:color="auto" w:fill="FFFFFF"/>
        </w:rPr>
        <w:t xml:space="preserve"> </w:t>
      </w:r>
      <w:r>
        <w:rPr>
          <w:rFonts w:cs="Arial"/>
          <w:color w:val="000000"/>
          <w:shd w:val="clear" w:color="auto" w:fill="FFFFFF"/>
        </w:rPr>
        <w:t xml:space="preserve">at the September 2023 Planning Working Group (PLWG) meeting and recommended </w:t>
      </w:r>
      <w:r w:rsidR="00BD421F">
        <w:rPr>
          <w:rFonts w:cs="Arial"/>
          <w:color w:val="000000"/>
          <w:shd w:val="clear" w:color="auto" w:fill="FFFFFF"/>
        </w:rPr>
        <w:t xml:space="preserve">consumer </w:t>
      </w:r>
      <w:r>
        <w:rPr>
          <w:rFonts w:cs="Arial"/>
          <w:color w:val="000000"/>
          <w:shd w:val="clear" w:color="auto" w:fill="FFFFFF"/>
        </w:rPr>
        <w:t>energy cost reduction (referred to in E3’s analysis as a “System-Wide Gross Load Cost</w:t>
      </w:r>
      <w:r w:rsidR="00B20510">
        <w:rPr>
          <w:rFonts w:cs="Arial"/>
          <w:color w:val="000000"/>
          <w:shd w:val="clear" w:color="auto" w:fill="FFFFFF"/>
        </w:rPr>
        <w:t xml:space="preserve"> (GLC)</w:t>
      </w:r>
      <w:r>
        <w:rPr>
          <w:rFonts w:cs="Arial"/>
          <w:color w:val="000000"/>
          <w:shd w:val="clear" w:color="auto" w:fill="FFFFFF"/>
        </w:rPr>
        <w:t xml:space="preserve">” test) as the most suitable congestion cost savings test for the ERCOT Region.  ERCOT worked with PUCT Staff to review the E3 recommendation, considered stakeholder feedback, and agreed with E3’s recommendation.  </w:t>
      </w:r>
    </w:p>
    <w:p w14:paraId="26A77929" w14:textId="77777777" w:rsidR="00014498" w:rsidRDefault="00014498" w:rsidP="00C6121C">
      <w:pPr>
        <w:pStyle w:val="NormalArial"/>
        <w:rPr>
          <w:rFonts w:cs="Arial"/>
          <w:color w:val="000000"/>
          <w:shd w:val="clear" w:color="auto" w:fill="FFFFFF"/>
        </w:rPr>
      </w:pPr>
    </w:p>
    <w:p w14:paraId="28E19BC4" w14:textId="67D858A7" w:rsidR="00661BCC" w:rsidRPr="00E94233" w:rsidRDefault="00661BCC" w:rsidP="00C6121C">
      <w:pPr>
        <w:pStyle w:val="NormalArial"/>
        <w:rPr>
          <w:rFonts w:cs="Arial"/>
          <w:b/>
          <w:bCs/>
          <w:color w:val="000000"/>
          <w:shd w:val="clear" w:color="auto" w:fill="FFFFFF"/>
        </w:rPr>
      </w:pPr>
      <w:r w:rsidRPr="00E94233">
        <w:rPr>
          <w:rFonts w:cs="Arial"/>
          <w:b/>
          <w:bCs/>
          <w:color w:val="000000"/>
          <w:shd w:val="clear" w:color="auto" w:fill="FFFFFF"/>
        </w:rPr>
        <w:t>ERCOT’s position</w:t>
      </w:r>
      <w:r w:rsidR="00E94233" w:rsidRPr="00E94233">
        <w:rPr>
          <w:rFonts w:cs="Arial"/>
          <w:b/>
          <w:bCs/>
          <w:color w:val="000000"/>
          <w:shd w:val="clear" w:color="auto" w:fill="FFFFFF"/>
        </w:rPr>
        <w:t>:</w:t>
      </w:r>
    </w:p>
    <w:p w14:paraId="05085616" w14:textId="77777777" w:rsidR="00E94233" w:rsidRDefault="00E94233" w:rsidP="00C6121C">
      <w:pPr>
        <w:pStyle w:val="NormalArial"/>
        <w:rPr>
          <w:rFonts w:cs="Arial"/>
          <w:color w:val="000000"/>
          <w:shd w:val="clear" w:color="auto" w:fill="FFFFFF"/>
        </w:rPr>
      </w:pPr>
    </w:p>
    <w:p w14:paraId="27A984C2" w14:textId="3BC6903F" w:rsidR="00E94233" w:rsidRDefault="00014498" w:rsidP="00C6121C">
      <w:pPr>
        <w:pStyle w:val="NormalArial"/>
        <w:rPr>
          <w:rFonts w:cs="Arial"/>
          <w:color w:val="000000"/>
          <w:shd w:val="clear" w:color="auto" w:fill="FFFFFF"/>
        </w:rPr>
      </w:pPr>
      <w:r>
        <w:rPr>
          <w:rFonts w:cs="Arial"/>
          <w:color w:val="000000"/>
          <w:shd w:val="clear" w:color="auto" w:fill="FFFFFF"/>
        </w:rPr>
        <w:lastRenderedPageBreak/>
        <w:t xml:space="preserve">ERCOT </w:t>
      </w:r>
      <w:r w:rsidR="00683154">
        <w:rPr>
          <w:rFonts w:cs="Arial"/>
          <w:color w:val="000000"/>
          <w:shd w:val="clear" w:color="auto" w:fill="FFFFFF"/>
        </w:rPr>
        <w:t xml:space="preserve">Staff </w:t>
      </w:r>
      <w:r w:rsidR="00E94233">
        <w:rPr>
          <w:rFonts w:cs="Arial"/>
          <w:color w:val="000000"/>
          <w:shd w:val="clear" w:color="auto" w:fill="FFFFFF"/>
        </w:rPr>
        <w:t xml:space="preserve">recommends that </w:t>
      </w:r>
      <w:r w:rsidR="00BD421F">
        <w:rPr>
          <w:rFonts w:cs="Arial"/>
          <w:color w:val="000000"/>
          <w:shd w:val="clear" w:color="auto" w:fill="FFFFFF"/>
        </w:rPr>
        <w:t xml:space="preserve">the </w:t>
      </w:r>
      <w:r w:rsidR="00E94233">
        <w:rPr>
          <w:rFonts w:cs="Arial"/>
          <w:color w:val="000000"/>
          <w:shd w:val="clear" w:color="auto" w:fill="FFFFFF"/>
        </w:rPr>
        <w:t>R&amp;M Committee and ERCOT Board recommend approval of NPRR1247 because:</w:t>
      </w:r>
    </w:p>
    <w:p w14:paraId="74EA27E4" w14:textId="2C7197A2" w:rsidR="00E94233" w:rsidRDefault="00E94233" w:rsidP="00E94233">
      <w:pPr>
        <w:pStyle w:val="NormalArial"/>
        <w:numPr>
          <w:ilvl w:val="0"/>
          <w:numId w:val="4"/>
        </w:numPr>
        <w:rPr>
          <w:rFonts w:cs="Arial"/>
          <w:color w:val="000000"/>
          <w:shd w:val="clear" w:color="auto" w:fill="FFFFFF"/>
        </w:rPr>
      </w:pPr>
      <w:r>
        <w:rPr>
          <w:rFonts w:cs="Arial"/>
          <w:color w:val="000000"/>
          <w:shd w:val="clear" w:color="auto" w:fill="FFFFFF"/>
        </w:rPr>
        <w:t>It c</w:t>
      </w:r>
      <w:r w:rsidRPr="00E94233">
        <w:rPr>
          <w:rFonts w:cs="Arial"/>
          <w:color w:val="000000"/>
          <w:shd w:val="clear" w:color="auto" w:fill="FFFFFF"/>
        </w:rPr>
        <w:t xml:space="preserve">omplies with statutory and regulatory requirement to add </w:t>
      </w:r>
      <w:r w:rsidR="00BD421F">
        <w:rPr>
          <w:rFonts w:cs="Arial"/>
          <w:color w:val="000000"/>
          <w:shd w:val="clear" w:color="auto" w:fill="FFFFFF"/>
        </w:rPr>
        <w:t xml:space="preserve">a </w:t>
      </w:r>
      <w:r w:rsidRPr="00E94233">
        <w:rPr>
          <w:rFonts w:cs="Arial"/>
          <w:color w:val="000000"/>
          <w:shd w:val="clear" w:color="auto" w:fill="FFFFFF"/>
        </w:rPr>
        <w:t>congestion cost savings test to economic transmission project evaluation</w:t>
      </w:r>
      <w:r w:rsidR="00BD421F">
        <w:rPr>
          <w:rFonts w:cs="Arial"/>
          <w:color w:val="000000"/>
          <w:shd w:val="clear" w:color="auto" w:fill="FFFFFF"/>
        </w:rPr>
        <w:t>;</w:t>
      </w:r>
    </w:p>
    <w:p w14:paraId="131E2A87" w14:textId="3E13180F" w:rsidR="00E94233" w:rsidRDefault="00E94233" w:rsidP="00E94233">
      <w:pPr>
        <w:pStyle w:val="NormalArial"/>
        <w:numPr>
          <w:ilvl w:val="0"/>
          <w:numId w:val="4"/>
        </w:numPr>
        <w:rPr>
          <w:rFonts w:cs="Arial"/>
          <w:color w:val="000000"/>
          <w:shd w:val="clear" w:color="auto" w:fill="FFFFFF"/>
        </w:rPr>
      </w:pPr>
      <w:r>
        <w:rPr>
          <w:rFonts w:cs="Arial"/>
          <w:color w:val="000000"/>
          <w:shd w:val="clear" w:color="auto" w:fill="FFFFFF"/>
        </w:rPr>
        <w:t>It u</w:t>
      </w:r>
      <w:r w:rsidRPr="00E94233">
        <w:rPr>
          <w:rFonts w:cs="Arial"/>
          <w:color w:val="000000"/>
          <w:shd w:val="clear" w:color="auto" w:fill="FFFFFF"/>
        </w:rPr>
        <w:t xml:space="preserve">tilizes </w:t>
      </w:r>
      <w:r w:rsidR="00BD421F">
        <w:rPr>
          <w:rFonts w:cs="Arial"/>
          <w:color w:val="000000"/>
          <w:shd w:val="clear" w:color="auto" w:fill="FFFFFF"/>
        </w:rPr>
        <w:t xml:space="preserve">the consumer energy cost reduction (i.e., </w:t>
      </w:r>
      <w:r w:rsidR="00A246B4">
        <w:rPr>
          <w:rFonts w:cs="Arial"/>
          <w:color w:val="000000"/>
          <w:shd w:val="clear" w:color="auto" w:fill="FFFFFF"/>
        </w:rPr>
        <w:t>System</w:t>
      </w:r>
      <w:r w:rsidR="00BD421F">
        <w:rPr>
          <w:rFonts w:cs="Arial"/>
          <w:color w:val="000000"/>
          <w:shd w:val="clear" w:color="auto" w:fill="FFFFFF"/>
        </w:rPr>
        <w:t>-</w:t>
      </w:r>
      <w:r w:rsidR="00A246B4">
        <w:rPr>
          <w:rFonts w:cs="Arial"/>
          <w:color w:val="000000"/>
          <w:shd w:val="clear" w:color="auto" w:fill="FFFFFF"/>
        </w:rPr>
        <w:t>Wide GLC</w:t>
      </w:r>
      <w:r w:rsidR="00BD421F">
        <w:rPr>
          <w:rFonts w:cs="Arial"/>
          <w:color w:val="000000"/>
          <w:shd w:val="clear" w:color="auto" w:fill="FFFFFF"/>
        </w:rPr>
        <w:t xml:space="preserve">) </w:t>
      </w:r>
      <w:r w:rsidRPr="00E94233">
        <w:rPr>
          <w:rFonts w:cs="Arial"/>
          <w:color w:val="000000"/>
          <w:shd w:val="clear" w:color="auto" w:fill="FFFFFF"/>
        </w:rPr>
        <w:t>test previously discussed by stakeholders and recommended by E3</w:t>
      </w:r>
      <w:r w:rsidR="00BD421F">
        <w:rPr>
          <w:rFonts w:cs="Arial"/>
          <w:color w:val="000000"/>
          <w:shd w:val="clear" w:color="auto" w:fill="FFFFFF"/>
        </w:rPr>
        <w:t>;</w:t>
      </w:r>
    </w:p>
    <w:p w14:paraId="72E34AC6" w14:textId="614012D0" w:rsidR="00E94233" w:rsidRDefault="00E330A2" w:rsidP="00E94233">
      <w:pPr>
        <w:pStyle w:val="NormalArial"/>
        <w:numPr>
          <w:ilvl w:val="0"/>
          <w:numId w:val="4"/>
        </w:numPr>
        <w:rPr>
          <w:rFonts w:cs="Arial"/>
          <w:color w:val="000000"/>
          <w:shd w:val="clear" w:color="auto" w:fill="FFFFFF"/>
        </w:rPr>
      </w:pPr>
      <w:r>
        <w:rPr>
          <w:rFonts w:cs="Arial"/>
          <w:color w:val="000000"/>
          <w:shd w:val="clear" w:color="auto" w:fill="FFFFFF"/>
        </w:rPr>
        <w:t>It i</w:t>
      </w:r>
      <w:r w:rsidR="00E94233" w:rsidRPr="00E94233">
        <w:rPr>
          <w:rFonts w:cs="Arial"/>
          <w:color w:val="000000"/>
          <w:shd w:val="clear" w:color="auto" w:fill="FFFFFF"/>
        </w:rPr>
        <w:t xml:space="preserve">ncludes </w:t>
      </w:r>
      <w:r w:rsidR="00BD421F">
        <w:rPr>
          <w:rFonts w:cs="Arial"/>
          <w:color w:val="000000"/>
          <w:shd w:val="clear" w:color="auto" w:fill="FFFFFF"/>
        </w:rPr>
        <w:t xml:space="preserve">an </w:t>
      </w:r>
      <w:r w:rsidR="00E94233" w:rsidRPr="00E94233">
        <w:rPr>
          <w:rFonts w:cs="Arial"/>
          <w:color w:val="000000"/>
          <w:shd w:val="clear" w:color="auto" w:fill="FFFFFF"/>
        </w:rPr>
        <w:t>appropriate level of detail in Protocols consistent with preexisting economic criteria (production cost savings test)</w:t>
      </w:r>
      <w:r w:rsidR="00BD421F">
        <w:rPr>
          <w:rFonts w:cs="Arial"/>
          <w:color w:val="000000"/>
          <w:shd w:val="clear" w:color="auto" w:fill="FFFFFF"/>
        </w:rPr>
        <w:t>; and</w:t>
      </w:r>
    </w:p>
    <w:p w14:paraId="0B874F5D" w14:textId="721E9EE9" w:rsidR="00E94233" w:rsidRPr="00E94233" w:rsidRDefault="00E94233" w:rsidP="00E94233">
      <w:pPr>
        <w:pStyle w:val="NormalArial"/>
        <w:numPr>
          <w:ilvl w:val="0"/>
          <w:numId w:val="4"/>
        </w:numPr>
        <w:rPr>
          <w:rFonts w:cs="Arial"/>
          <w:color w:val="000000"/>
          <w:shd w:val="clear" w:color="auto" w:fill="FFFFFF"/>
        </w:rPr>
      </w:pPr>
      <w:r w:rsidRPr="00E94233">
        <w:rPr>
          <w:rFonts w:cs="Arial"/>
          <w:color w:val="000000"/>
          <w:shd w:val="clear" w:color="auto" w:fill="FFFFFF"/>
        </w:rPr>
        <w:t>Although additional revisions to wholistically address the transmission planning process may be merited, such revisions have impacts beyond the congestion cost savings test and are more appropriately addressed in a subsequent R</w:t>
      </w:r>
      <w:r>
        <w:rPr>
          <w:rFonts w:cs="Arial"/>
          <w:color w:val="000000"/>
          <w:shd w:val="clear" w:color="auto" w:fill="FFFFFF"/>
        </w:rPr>
        <w:t xml:space="preserve">evision </w:t>
      </w:r>
      <w:r w:rsidRPr="00E94233">
        <w:rPr>
          <w:rFonts w:cs="Arial"/>
          <w:color w:val="000000"/>
          <w:shd w:val="clear" w:color="auto" w:fill="FFFFFF"/>
        </w:rPr>
        <w:t>R</w:t>
      </w:r>
      <w:r>
        <w:rPr>
          <w:rFonts w:cs="Arial"/>
          <w:color w:val="000000"/>
          <w:shd w:val="clear" w:color="auto" w:fill="FFFFFF"/>
        </w:rPr>
        <w:t>equest</w:t>
      </w:r>
      <w:r w:rsidRPr="00E94233">
        <w:rPr>
          <w:rFonts w:cs="Arial"/>
          <w:color w:val="000000"/>
          <w:shd w:val="clear" w:color="auto" w:fill="FFFFFF"/>
        </w:rPr>
        <w:t xml:space="preserve"> that ERCOT has committed to bring in early 2025</w:t>
      </w:r>
      <w:r>
        <w:rPr>
          <w:rFonts w:cs="Arial"/>
          <w:color w:val="000000"/>
          <w:shd w:val="clear" w:color="auto" w:fill="FFFFFF"/>
        </w:rPr>
        <w:t>.</w:t>
      </w:r>
    </w:p>
    <w:p w14:paraId="560304B9" w14:textId="77777777" w:rsidR="00E94233" w:rsidRDefault="00E94233" w:rsidP="00E94233">
      <w:pPr>
        <w:pStyle w:val="NormalArial"/>
        <w:rPr>
          <w:rFonts w:cs="Arial"/>
          <w:color w:val="000000"/>
          <w:shd w:val="clear" w:color="auto" w:fill="FFFFFF"/>
        </w:rPr>
      </w:pPr>
    </w:p>
    <w:p w14:paraId="6BF35CDD" w14:textId="058F9394" w:rsidR="00014498" w:rsidRDefault="00E94233" w:rsidP="00E94233">
      <w:pPr>
        <w:pStyle w:val="NormalArial"/>
        <w:rPr>
          <w:rFonts w:cs="Arial"/>
          <w:color w:val="000000"/>
          <w:shd w:val="clear" w:color="auto" w:fill="FFFFFF"/>
        </w:rPr>
      </w:pPr>
      <w:r>
        <w:rPr>
          <w:rFonts w:cs="Arial"/>
          <w:color w:val="000000"/>
          <w:shd w:val="clear" w:color="auto" w:fill="FFFFFF"/>
        </w:rPr>
        <w:t xml:space="preserve">The merits of </w:t>
      </w:r>
      <w:r w:rsidR="00D2479B">
        <w:rPr>
          <w:rFonts w:cs="Arial"/>
          <w:color w:val="000000"/>
          <w:shd w:val="clear" w:color="auto" w:fill="FFFFFF"/>
        </w:rPr>
        <w:t xml:space="preserve">the </w:t>
      </w:r>
      <w:r>
        <w:rPr>
          <w:rFonts w:cs="Arial"/>
          <w:color w:val="000000"/>
          <w:shd w:val="clear" w:color="auto" w:fill="FFFFFF"/>
        </w:rPr>
        <w:t>E3</w:t>
      </w:r>
      <w:r w:rsidR="00D2479B">
        <w:rPr>
          <w:rFonts w:cs="Arial"/>
          <w:color w:val="000000"/>
          <w:shd w:val="clear" w:color="auto" w:fill="FFFFFF"/>
        </w:rPr>
        <w:t>-</w:t>
      </w:r>
      <w:r w:rsidR="00B87A1C">
        <w:rPr>
          <w:rFonts w:cs="Arial"/>
          <w:color w:val="000000"/>
          <w:shd w:val="clear" w:color="auto" w:fill="FFFFFF"/>
        </w:rPr>
        <w:t xml:space="preserve">recommended test </w:t>
      </w:r>
      <w:r>
        <w:rPr>
          <w:rFonts w:cs="Arial"/>
          <w:color w:val="000000"/>
          <w:shd w:val="clear" w:color="auto" w:fill="FFFFFF"/>
        </w:rPr>
        <w:t xml:space="preserve">are also summarized below based on the </w:t>
      </w:r>
      <w:r w:rsidR="00AA12DE">
        <w:rPr>
          <w:rFonts w:cs="Arial"/>
          <w:color w:val="000000"/>
          <w:shd w:val="clear" w:color="auto" w:fill="FFFFFF"/>
        </w:rPr>
        <w:t xml:space="preserve">E3 </w:t>
      </w:r>
      <w:r w:rsidR="00D2479B">
        <w:rPr>
          <w:rFonts w:cs="Arial"/>
          <w:color w:val="000000"/>
          <w:shd w:val="clear" w:color="auto" w:fill="FFFFFF"/>
        </w:rPr>
        <w:t>report</w:t>
      </w:r>
      <w:r w:rsidR="00862066">
        <w:rPr>
          <w:rFonts w:cs="Arial"/>
          <w:color w:val="000000"/>
          <w:shd w:val="clear" w:color="auto" w:fill="FFFFFF"/>
        </w:rPr>
        <w:t>,</w:t>
      </w:r>
      <w:r w:rsidR="00D2479B">
        <w:rPr>
          <w:rFonts w:cs="Arial"/>
          <w:color w:val="000000"/>
          <w:shd w:val="clear" w:color="auto" w:fill="FFFFFF"/>
        </w:rPr>
        <w:t xml:space="preserve"> </w:t>
      </w:r>
      <w:hyperlink r:id="rId11" w:history="1">
        <w:r w:rsidR="00AA12DE" w:rsidRPr="00AA12DE">
          <w:rPr>
            <w:rStyle w:val="Hyperlink"/>
            <w:rFonts w:cs="Arial"/>
            <w:shd w:val="clear" w:color="auto" w:fill="FFFFFF"/>
          </w:rPr>
          <w:t>“Congestion Cost Savings Test for Economic Evaluation of ERCOT Transmission Projects”</w:t>
        </w:r>
      </w:hyperlink>
      <w:r w:rsidR="00014498">
        <w:rPr>
          <w:rFonts w:cs="Arial"/>
          <w:color w:val="000000"/>
          <w:shd w:val="clear" w:color="auto" w:fill="FFFFFF"/>
        </w:rPr>
        <w:t>:</w:t>
      </w:r>
    </w:p>
    <w:p w14:paraId="717957DE" w14:textId="77777777" w:rsidR="00E94233" w:rsidRDefault="00E94233" w:rsidP="00E94233">
      <w:pPr>
        <w:pStyle w:val="NormalArial"/>
        <w:rPr>
          <w:rFonts w:cs="Arial"/>
          <w:color w:val="000000"/>
          <w:shd w:val="clear" w:color="auto" w:fill="FFFFFF"/>
        </w:rPr>
      </w:pPr>
    </w:p>
    <w:p w14:paraId="7057F7B3" w14:textId="6A14ACA3" w:rsidR="00385BD8" w:rsidRDefault="00385BD8" w:rsidP="00943F60">
      <w:pPr>
        <w:pStyle w:val="NormalArial"/>
        <w:numPr>
          <w:ilvl w:val="0"/>
          <w:numId w:val="15"/>
        </w:numPr>
        <w:rPr>
          <w:rFonts w:cs="Arial"/>
          <w:color w:val="000000"/>
          <w:shd w:val="clear" w:color="auto" w:fill="FFFFFF"/>
        </w:rPr>
      </w:pPr>
      <w:r>
        <w:rPr>
          <w:rFonts w:cs="Arial"/>
          <w:color w:val="000000"/>
          <w:shd w:val="clear" w:color="auto" w:fill="FFFFFF"/>
        </w:rPr>
        <w:t>“</w:t>
      </w:r>
      <w:r w:rsidRPr="00943F60">
        <w:rPr>
          <w:rFonts w:cs="Arial"/>
          <w:color w:val="000000"/>
          <w:shd w:val="clear" w:color="auto" w:fill="FFFFFF"/>
        </w:rPr>
        <w:t>The System-Wide GLC Test directly estimates the impact of new transmission on the energy costs for ERCOT consumers by calculating how transmission changes the total payment for energy consumption incurred by ERCOT load customers.</w:t>
      </w:r>
      <w:r>
        <w:rPr>
          <w:rFonts w:cs="Arial"/>
          <w:color w:val="000000"/>
          <w:shd w:val="clear" w:color="auto" w:fill="FFFFFF"/>
        </w:rPr>
        <w:t>”</w:t>
      </w:r>
    </w:p>
    <w:p w14:paraId="3F033AA5" w14:textId="675BCE6D" w:rsidR="00014498" w:rsidRDefault="00AA12DE" w:rsidP="00943F60">
      <w:pPr>
        <w:pStyle w:val="NormalArial"/>
        <w:numPr>
          <w:ilvl w:val="0"/>
          <w:numId w:val="15"/>
        </w:numPr>
        <w:rPr>
          <w:rFonts w:cs="Arial"/>
          <w:color w:val="000000"/>
          <w:shd w:val="clear" w:color="auto" w:fill="FFFFFF"/>
        </w:rPr>
      </w:pPr>
      <w:r>
        <w:rPr>
          <w:rFonts w:cs="Arial"/>
          <w:color w:val="000000"/>
          <w:shd w:val="clear" w:color="auto" w:fill="FFFFFF"/>
        </w:rPr>
        <w:t>“</w:t>
      </w:r>
      <w:r w:rsidR="00385BD8" w:rsidRPr="00943F60">
        <w:rPr>
          <w:rFonts w:cs="Arial"/>
          <w:color w:val="000000"/>
          <w:shd w:val="clear" w:color="auto" w:fill="FFFFFF"/>
        </w:rPr>
        <w:t>This approach has a clear link to ERCOT customer savings and a sound fit with key features of the ERCOT market.</w:t>
      </w:r>
      <w:r>
        <w:rPr>
          <w:rFonts w:cs="Arial"/>
          <w:color w:val="000000"/>
          <w:shd w:val="clear" w:color="auto" w:fill="FFFFFF"/>
        </w:rPr>
        <w:t>”</w:t>
      </w:r>
    </w:p>
    <w:p w14:paraId="77FB238B" w14:textId="29737A18" w:rsidR="00385BD8" w:rsidRDefault="00385BD8" w:rsidP="00943F60">
      <w:pPr>
        <w:pStyle w:val="NormalArial"/>
        <w:numPr>
          <w:ilvl w:val="0"/>
          <w:numId w:val="15"/>
        </w:numPr>
        <w:rPr>
          <w:rFonts w:cs="Arial"/>
          <w:color w:val="000000"/>
          <w:shd w:val="clear" w:color="auto" w:fill="FFFFFF"/>
        </w:rPr>
      </w:pPr>
      <w:r>
        <w:rPr>
          <w:rFonts w:cs="Arial"/>
          <w:color w:val="000000"/>
          <w:shd w:val="clear" w:color="auto" w:fill="FFFFFF"/>
        </w:rPr>
        <w:t>“</w:t>
      </w:r>
      <w:r w:rsidRPr="00943F60">
        <w:rPr>
          <w:rFonts w:cs="Arial"/>
          <w:color w:val="000000"/>
          <w:shd w:val="clear" w:color="auto" w:fill="FFFFFF"/>
        </w:rPr>
        <w:t>The approach is able to positively identify the potential benefit of reducing congestion in the ERCOT system, and it is straightforward to implement using ERCOT’s existing study approach and software.</w:t>
      </w:r>
      <w:r>
        <w:rPr>
          <w:rFonts w:cs="Arial"/>
          <w:color w:val="000000"/>
          <w:shd w:val="clear" w:color="auto" w:fill="FFFFFF"/>
        </w:rPr>
        <w:t>”</w:t>
      </w:r>
    </w:p>
    <w:p w14:paraId="7CB77CD1" w14:textId="14287DB7" w:rsidR="00385BD8" w:rsidRDefault="00385BD8" w:rsidP="00943F60">
      <w:pPr>
        <w:pStyle w:val="NormalArial"/>
        <w:numPr>
          <w:ilvl w:val="0"/>
          <w:numId w:val="15"/>
        </w:numPr>
        <w:rPr>
          <w:rFonts w:cs="Arial"/>
          <w:color w:val="000000"/>
          <w:shd w:val="clear" w:color="auto" w:fill="FFFFFF"/>
        </w:rPr>
      </w:pPr>
      <w:r>
        <w:rPr>
          <w:rFonts w:cs="Arial"/>
          <w:color w:val="000000"/>
          <w:shd w:val="clear" w:color="auto" w:fill="FFFFFF"/>
        </w:rPr>
        <w:t>“</w:t>
      </w:r>
      <w:r w:rsidRPr="00943F60">
        <w:rPr>
          <w:rFonts w:cs="Arial"/>
          <w:color w:val="000000"/>
          <w:shd w:val="clear" w:color="auto" w:fill="FFFFFF"/>
        </w:rPr>
        <w:t>It also provides a complementary perspective that is distinct from the Production Cost Savings Test, which ERCOT will also continue to use for transmission benefit evaluation in parallel with the consumer benefits test.</w:t>
      </w:r>
      <w:r>
        <w:rPr>
          <w:rFonts w:cs="Arial"/>
          <w:color w:val="000000"/>
          <w:shd w:val="clear" w:color="auto" w:fill="FFFFFF"/>
        </w:rPr>
        <w:t>”</w:t>
      </w:r>
    </w:p>
    <w:p w14:paraId="02B0FD5C" w14:textId="77777777" w:rsidR="00014498" w:rsidRDefault="00014498" w:rsidP="00C6121C">
      <w:pPr>
        <w:pStyle w:val="NormalArial"/>
        <w:rPr>
          <w:rFonts w:cs="Arial"/>
          <w:color w:val="000000"/>
          <w:shd w:val="clear" w:color="auto" w:fill="FFFFFF"/>
        </w:rPr>
      </w:pPr>
    </w:p>
    <w:p w14:paraId="28FCDD73" w14:textId="58B13D13" w:rsidR="00E94233" w:rsidRPr="00E94233" w:rsidRDefault="00E94233" w:rsidP="00C6121C">
      <w:pPr>
        <w:pStyle w:val="NormalArial"/>
        <w:rPr>
          <w:rFonts w:cs="Arial"/>
          <w:b/>
          <w:bCs/>
          <w:color w:val="000000"/>
          <w:shd w:val="clear" w:color="auto" w:fill="FFFFFF"/>
        </w:rPr>
      </w:pPr>
      <w:r w:rsidRPr="00E94233">
        <w:rPr>
          <w:rFonts w:cs="Arial"/>
          <w:b/>
          <w:bCs/>
          <w:color w:val="000000"/>
          <w:shd w:val="clear" w:color="auto" w:fill="FFFFFF"/>
        </w:rPr>
        <w:t>Stakeholder comments summary and ERCOT responses:</w:t>
      </w:r>
    </w:p>
    <w:p w14:paraId="454F9020" w14:textId="77777777" w:rsidR="00E94233" w:rsidRDefault="00E94233" w:rsidP="00C6121C">
      <w:pPr>
        <w:pStyle w:val="NormalArial"/>
        <w:rPr>
          <w:rFonts w:cs="Arial"/>
          <w:color w:val="000000"/>
          <w:shd w:val="clear" w:color="auto" w:fill="FFFFFF"/>
        </w:rPr>
      </w:pPr>
    </w:p>
    <w:p w14:paraId="21D8420C" w14:textId="7C8B2892" w:rsidR="009C6F3E" w:rsidRDefault="008900B8" w:rsidP="00C6121C">
      <w:pPr>
        <w:pStyle w:val="NormalArial"/>
        <w:rPr>
          <w:rFonts w:cs="Arial"/>
          <w:color w:val="000000"/>
          <w:shd w:val="clear" w:color="auto" w:fill="FFFFFF"/>
        </w:rPr>
      </w:pPr>
      <w:r>
        <w:rPr>
          <w:rFonts w:cs="Arial"/>
          <w:color w:val="000000"/>
          <w:shd w:val="clear" w:color="auto" w:fill="FFFFFF"/>
        </w:rPr>
        <w:t xml:space="preserve">Since NPRR1247 was </w:t>
      </w:r>
      <w:r w:rsidR="0056497D">
        <w:rPr>
          <w:rFonts w:cs="Arial"/>
          <w:color w:val="000000"/>
          <w:shd w:val="clear" w:color="auto" w:fill="FFFFFF"/>
        </w:rPr>
        <w:t>posted</w:t>
      </w:r>
      <w:r>
        <w:rPr>
          <w:rFonts w:cs="Arial"/>
          <w:color w:val="000000"/>
          <w:shd w:val="clear" w:color="auto" w:fill="FFFFFF"/>
        </w:rPr>
        <w:t xml:space="preserve">, </w:t>
      </w:r>
      <w:r w:rsidR="00B87A1C">
        <w:rPr>
          <w:rFonts w:cs="Arial"/>
          <w:color w:val="000000"/>
          <w:shd w:val="clear" w:color="auto" w:fill="FFFFFF"/>
        </w:rPr>
        <w:t xml:space="preserve">it </w:t>
      </w:r>
      <w:r w:rsidR="00991A05">
        <w:rPr>
          <w:rFonts w:cs="Arial"/>
          <w:color w:val="000000"/>
          <w:shd w:val="clear" w:color="auto" w:fill="FFFFFF"/>
        </w:rPr>
        <w:t xml:space="preserve">had been discussed </w:t>
      </w:r>
      <w:r w:rsidR="007745C0">
        <w:rPr>
          <w:rFonts w:cs="Arial"/>
          <w:color w:val="000000"/>
          <w:shd w:val="clear" w:color="auto" w:fill="FFFFFF"/>
        </w:rPr>
        <w:t xml:space="preserve">with stakeholders </w:t>
      </w:r>
      <w:r w:rsidR="00991A05">
        <w:rPr>
          <w:rFonts w:cs="Arial"/>
          <w:color w:val="000000"/>
          <w:shd w:val="clear" w:color="auto" w:fill="FFFFFF"/>
        </w:rPr>
        <w:t>at the August</w:t>
      </w:r>
      <w:r w:rsidR="00B87A1C">
        <w:rPr>
          <w:rFonts w:cs="Arial"/>
          <w:color w:val="000000"/>
          <w:shd w:val="clear" w:color="auto" w:fill="FFFFFF"/>
        </w:rPr>
        <w:t xml:space="preserve"> 2024</w:t>
      </w:r>
      <w:r w:rsidR="00991A05">
        <w:rPr>
          <w:rFonts w:cs="Arial"/>
          <w:color w:val="000000"/>
          <w:shd w:val="clear" w:color="auto" w:fill="FFFFFF"/>
        </w:rPr>
        <w:t>, September</w:t>
      </w:r>
      <w:r w:rsidR="00B87A1C">
        <w:rPr>
          <w:rFonts w:cs="Arial"/>
          <w:color w:val="000000"/>
          <w:shd w:val="clear" w:color="auto" w:fill="FFFFFF"/>
        </w:rPr>
        <w:t xml:space="preserve"> 2024</w:t>
      </w:r>
      <w:r w:rsidR="00991A05">
        <w:rPr>
          <w:rFonts w:cs="Arial"/>
          <w:color w:val="000000"/>
          <w:shd w:val="clear" w:color="auto" w:fill="FFFFFF"/>
        </w:rPr>
        <w:t xml:space="preserve">, </w:t>
      </w:r>
      <w:r w:rsidR="007745C0">
        <w:rPr>
          <w:rFonts w:cs="Arial"/>
          <w:color w:val="000000"/>
          <w:shd w:val="clear" w:color="auto" w:fill="FFFFFF"/>
        </w:rPr>
        <w:t xml:space="preserve">and </w:t>
      </w:r>
      <w:r w:rsidR="00991A05">
        <w:rPr>
          <w:rFonts w:cs="Arial"/>
          <w:color w:val="000000"/>
          <w:shd w:val="clear" w:color="auto" w:fill="FFFFFF"/>
        </w:rPr>
        <w:t>October</w:t>
      </w:r>
      <w:r w:rsidR="00B87A1C">
        <w:rPr>
          <w:rFonts w:cs="Arial"/>
          <w:color w:val="000000"/>
          <w:shd w:val="clear" w:color="auto" w:fill="FFFFFF"/>
        </w:rPr>
        <w:t xml:space="preserve"> 2024</w:t>
      </w:r>
      <w:r w:rsidR="00991A05">
        <w:rPr>
          <w:rFonts w:cs="Arial"/>
          <w:color w:val="000000"/>
          <w:shd w:val="clear" w:color="auto" w:fill="FFFFFF"/>
        </w:rPr>
        <w:t xml:space="preserve"> PLWG meetings</w:t>
      </w:r>
      <w:r w:rsidR="007745C0">
        <w:rPr>
          <w:rFonts w:cs="Arial"/>
          <w:color w:val="000000"/>
          <w:shd w:val="clear" w:color="auto" w:fill="FFFFFF"/>
        </w:rPr>
        <w:t xml:space="preserve">, </w:t>
      </w:r>
      <w:r w:rsidR="00C72C38">
        <w:rPr>
          <w:rFonts w:cs="Arial"/>
          <w:color w:val="000000"/>
          <w:shd w:val="clear" w:color="auto" w:fill="FFFFFF"/>
        </w:rPr>
        <w:t xml:space="preserve">an additional </w:t>
      </w:r>
      <w:r w:rsidR="00254853">
        <w:rPr>
          <w:rFonts w:cs="Arial"/>
          <w:color w:val="000000"/>
          <w:shd w:val="clear" w:color="auto" w:fill="FFFFFF"/>
        </w:rPr>
        <w:t xml:space="preserve">Special </w:t>
      </w:r>
      <w:r w:rsidR="00C72C38">
        <w:rPr>
          <w:rFonts w:cs="Arial"/>
          <w:color w:val="000000"/>
          <w:shd w:val="clear" w:color="auto" w:fill="FFFFFF"/>
        </w:rPr>
        <w:t>PLWG meeting in</w:t>
      </w:r>
      <w:r w:rsidR="00991A05">
        <w:rPr>
          <w:rFonts w:cs="Arial"/>
          <w:color w:val="000000"/>
          <w:shd w:val="clear" w:color="auto" w:fill="FFFFFF"/>
        </w:rPr>
        <w:t xml:space="preserve"> October </w:t>
      </w:r>
      <w:r w:rsidR="00B87A1C">
        <w:rPr>
          <w:rFonts w:cs="Arial"/>
          <w:color w:val="000000"/>
          <w:shd w:val="clear" w:color="auto" w:fill="FFFFFF"/>
        </w:rPr>
        <w:t xml:space="preserve">2024 </w:t>
      </w:r>
      <w:r w:rsidR="00C72C38">
        <w:rPr>
          <w:rFonts w:cs="Arial"/>
          <w:color w:val="000000"/>
          <w:shd w:val="clear" w:color="auto" w:fill="FFFFFF"/>
        </w:rPr>
        <w:t>specific to NPRR1247</w:t>
      </w:r>
      <w:r w:rsidR="00991A05">
        <w:rPr>
          <w:rFonts w:cs="Arial"/>
          <w:color w:val="000000"/>
          <w:shd w:val="clear" w:color="auto" w:fill="FFFFFF"/>
        </w:rPr>
        <w:t xml:space="preserve">, and the </w:t>
      </w:r>
      <w:r w:rsidR="00C72C38">
        <w:rPr>
          <w:rFonts w:cs="Arial"/>
          <w:color w:val="000000"/>
          <w:shd w:val="clear" w:color="auto" w:fill="FFFFFF"/>
        </w:rPr>
        <w:t xml:space="preserve">November </w:t>
      </w:r>
      <w:r w:rsidR="00943F60">
        <w:rPr>
          <w:rFonts w:cs="Arial"/>
          <w:color w:val="000000"/>
          <w:shd w:val="clear" w:color="auto" w:fill="FFFFFF"/>
        </w:rPr>
        <w:t xml:space="preserve">2024 </w:t>
      </w:r>
      <w:r w:rsidR="00991A05">
        <w:rPr>
          <w:rFonts w:cs="Arial"/>
          <w:color w:val="000000"/>
          <w:shd w:val="clear" w:color="auto" w:fill="FFFFFF"/>
        </w:rPr>
        <w:t>Reliability and Operations Subcommittee (ROS)</w:t>
      </w:r>
      <w:r w:rsidR="00C72C38">
        <w:rPr>
          <w:rFonts w:cs="Arial"/>
          <w:color w:val="000000"/>
          <w:shd w:val="clear" w:color="auto" w:fill="FFFFFF"/>
        </w:rPr>
        <w:t>,</w:t>
      </w:r>
      <w:r w:rsidR="00991A05">
        <w:rPr>
          <w:rFonts w:cs="Arial"/>
          <w:color w:val="000000"/>
          <w:shd w:val="clear" w:color="auto" w:fill="FFFFFF"/>
        </w:rPr>
        <w:t xml:space="preserve"> Protocol Revision Subcommittee (PRS)</w:t>
      </w:r>
      <w:r w:rsidR="00C72C38">
        <w:rPr>
          <w:rFonts w:cs="Arial"/>
          <w:color w:val="000000"/>
          <w:shd w:val="clear" w:color="auto" w:fill="FFFFFF"/>
        </w:rPr>
        <w:t>, and Technical Advisory Committee (TAC)</w:t>
      </w:r>
      <w:r w:rsidR="00991A05">
        <w:rPr>
          <w:rFonts w:cs="Arial"/>
          <w:color w:val="000000"/>
          <w:shd w:val="clear" w:color="auto" w:fill="FFFFFF"/>
        </w:rPr>
        <w:t xml:space="preserve"> meetings. </w:t>
      </w:r>
      <w:r w:rsidR="00862066">
        <w:rPr>
          <w:rFonts w:cs="Arial"/>
          <w:color w:val="000000"/>
          <w:shd w:val="clear" w:color="auto" w:fill="FFFFFF"/>
        </w:rPr>
        <w:t xml:space="preserve"> </w:t>
      </w:r>
      <w:r w:rsidR="007745C0">
        <w:rPr>
          <w:rFonts w:cs="Arial"/>
          <w:color w:val="000000"/>
          <w:shd w:val="clear" w:color="auto" w:fill="FFFFFF"/>
        </w:rPr>
        <w:t>Seven sets of written comments from stakeholder</w:t>
      </w:r>
      <w:r w:rsidR="00B71F38">
        <w:rPr>
          <w:rFonts w:cs="Arial"/>
          <w:color w:val="000000"/>
          <w:shd w:val="clear" w:color="auto" w:fill="FFFFFF"/>
        </w:rPr>
        <w:t>s</w:t>
      </w:r>
      <w:r w:rsidR="007745C0">
        <w:rPr>
          <w:rFonts w:cs="Arial"/>
          <w:color w:val="000000"/>
          <w:shd w:val="clear" w:color="auto" w:fill="FFFFFF"/>
        </w:rPr>
        <w:t xml:space="preserve"> were </w:t>
      </w:r>
      <w:r w:rsidR="00C72C38">
        <w:rPr>
          <w:rFonts w:cs="Arial"/>
          <w:color w:val="000000"/>
          <w:shd w:val="clear" w:color="auto" w:fill="FFFFFF"/>
        </w:rPr>
        <w:t>submitted throughout the process</w:t>
      </w:r>
      <w:r w:rsidR="007745C0">
        <w:rPr>
          <w:rFonts w:cs="Arial"/>
          <w:color w:val="000000"/>
          <w:shd w:val="clear" w:color="auto" w:fill="FFFFFF"/>
        </w:rPr>
        <w:t xml:space="preserve"> and those comments together with the five sets of response comments from ERCOT were discussed </w:t>
      </w:r>
      <w:r w:rsidR="00B71F38">
        <w:rPr>
          <w:rFonts w:cs="Arial"/>
          <w:color w:val="000000"/>
          <w:shd w:val="clear" w:color="auto" w:fill="FFFFFF"/>
        </w:rPr>
        <w:t>at</w:t>
      </w:r>
      <w:r w:rsidR="007745C0">
        <w:rPr>
          <w:rFonts w:cs="Arial"/>
          <w:color w:val="000000"/>
          <w:shd w:val="clear" w:color="auto" w:fill="FFFFFF"/>
        </w:rPr>
        <w:t xml:space="preserve"> those stakeholder meetings.</w:t>
      </w:r>
      <w:r w:rsidR="009C6F3E">
        <w:rPr>
          <w:rFonts w:cs="Arial"/>
          <w:color w:val="000000"/>
          <w:shd w:val="clear" w:color="auto" w:fill="FFFFFF"/>
        </w:rPr>
        <w:t xml:space="preserve"> </w:t>
      </w:r>
    </w:p>
    <w:p w14:paraId="10F8EB19" w14:textId="77777777" w:rsidR="009C6F3E" w:rsidRDefault="009C6F3E" w:rsidP="00C6121C">
      <w:pPr>
        <w:pStyle w:val="NormalArial"/>
        <w:rPr>
          <w:rFonts w:cs="Arial"/>
          <w:color w:val="000000"/>
          <w:shd w:val="clear" w:color="auto" w:fill="FFFFFF"/>
        </w:rPr>
      </w:pPr>
    </w:p>
    <w:p w14:paraId="3F6DBF8D" w14:textId="7BA6854C" w:rsidR="009C6F3E" w:rsidRDefault="009C6F3E" w:rsidP="009C6F3E">
      <w:pPr>
        <w:pStyle w:val="NormalArial"/>
        <w:rPr>
          <w:rFonts w:cs="Arial"/>
          <w:color w:val="000000"/>
          <w:shd w:val="clear" w:color="auto" w:fill="FFFFFF"/>
        </w:rPr>
      </w:pPr>
      <w:r>
        <w:rPr>
          <w:rFonts w:cs="Arial"/>
          <w:color w:val="000000"/>
          <w:shd w:val="clear" w:color="auto" w:fill="FFFFFF"/>
        </w:rPr>
        <w:t>Significant stakeholder feedback was incorporated into the revised NPRR1247</w:t>
      </w:r>
      <w:r w:rsidR="00503768">
        <w:rPr>
          <w:rFonts w:cs="Arial"/>
          <w:color w:val="000000"/>
          <w:shd w:val="clear" w:color="auto" w:fill="FFFFFF"/>
        </w:rPr>
        <w:t>, including</w:t>
      </w:r>
      <w:r>
        <w:rPr>
          <w:rFonts w:cs="Arial"/>
          <w:color w:val="000000"/>
          <w:shd w:val="clear" w:color="auto" w:fill="FFFFFF"/>
        </w:rPr>
        <w:t>:</w:t>
      </w:r>
    </w:p>
    <w:p w14:paraId="0080CC18" w14:textId="37CB5BA7" w:rsidR="009C6F3E" w:rsidRPr="00503768" w:rsidRDefault="009C6F3E" w:rsidP="00893D7D">
      <w:pPr>
        <w:pStyle w:val="NormalArial"/>
        <w:numPr>
          <w:ilvl w:val="0"/>
          <w:numId w:val="14"/>
        </w:numPr>
        <w:rPr>
          <w:rFonts w:cs="Arial"/>
          <w:color w:val="000000"/>
          <w:shd w:val="clear" w:color="auto" w:fill="FFFFFF"/>
        </w:rPr>
      </w:pPr>
      <w:r w:rsidRPr="00503768">
        <w:rPr>
          <w:rFonts w:cs="Arial"/>
          <w:color w:val="000000"/>
          <w:shd w:val="clear" w:color="auto" w:fill="FFFFFF"/>
        </w:rPr>
        <w:t>Specify</w:t>
      </w:r>
      <w:r w:rsidR="00254853">
        <w:rPr>
          <w:rFonts w:cs="Arial"/>
          <w:color w:val="000000"/>
          <w:shd w:val="clear" w:color="auto" w:fill="FFFFFF"/>
        </w:rPr>
        <w:t>ing</w:t>
      </w:r>
      <w:r w:rsidRPr="00503768">
        <w:rPr>
          <w:rFonts w:cs="Arial"/>
          <w:color w:val="000000"/>
          <w:shd w:val="clear" w:color="auto" w:fill="FFFFFF"/>
        </w:rPr>
        <w:t xml:space="preserve"> that economic benefit simulation projections are for the planning horizon established for the Regional Transmission Plan</w:t>
      </w:r>
      <w:r w:rsidR="00503768" w:rsidRPr="00503768">
        <w:rPr>
          <w:rFonts w:cs="Arial"/>
          <w:color w:val="000000"/>
          <w:shd w:val="clear" w:color="auto" w:fill="FFFFFF"/>
        </w:rPr>
        <w:t>;</w:t>
      </w:r>
    </w:p>
    <w:p w14:paraId="62062FFF" w14:textId="73FD2E8C" w:rsidR="009C6F3E" w:rsidRDefault="009C6F3E" w:rsidP="00893D7D">
      <w:pPr>
        <w:pStyle w:val="NormalArial"/>
        <w:numPr>
          <w:ilvl w:val="0"/>
          <w:numId w:val="14"/>
        </w:numPr>
        <w:rPr>
          <w:rFonts w:cs="Arial"/>
          <w:color w:val="000000"/>
          <w:shd w:val="clear" w:color="auto" w:fill="FFFFFF"/>
        </w:rPr>
      </w:pPr>
      <w:r w:rsidRPr="009C6F3E">
        <w:rPr>
          <w:rFonts w:cs="Arial"/>
          <w:color w:val="000000"/>
          <w:shd w:val="clear" w:color="auto" w:fill="FFFFFF"/>
        </w:rPr>
        <w:lastRenderedPageBreak/>
        <w:t>Clarify</w:t>
      </w:r>
      <w:r w:rsidR="00254853">
        <w:rPr>
          <w:rFonts w:cs="Arial"/>
          <w:color w:val="000000"/>
          <w:shd w:val="clear" w:color="auto" w:fill="FFFFFF"/>
        </w:rPr>
        <w:t>ing</w:t>
      </w:r>
      <w:r w:rsidRPr="009C6F3E">
        <w:rPr>
          <w:rFonts w:cs="Arial"/>
          <w:color w:val="000000"/>
          <w:shd w:val="clear" w:color="auto" w:fill="FFFFFF"/>
        </w:rPr>
        <w:t xml:space="preserve"> that a comparison of simulations with and without the project are used to perform the test</w:t>
      </w:r>
      <w:r w:rsidR="00503768">
        <w:rPr>
          <w:rFonts w:cs="Arial"/>
          <w:color w:val="000000"/>
          <w:shd w:val="clear" w:color="auto" w:fill="FFFFFF"/>
        </w:rPr>
        <w:t>;</w:t>
      </w:r>
    </w:p>
    <w:p w14:paraId="6E93620F" w14:textId="0F87E552" w:rsidR="009C6F3E" w:rsidRDefault="00254853" w:rsidP="00893D7D">
      <w:pPr>
        <w:pStyle w:val="NormalArial"/>
        <w:numPr>
          <w:ilvl w:val="0"/>
          <w:numId w:val="14"/>
        </w:numPr>
        <w:rPr>
          <w:rFonts w:cs="Arial"/>
          <w:color w:val="000000"/>
          <w:shd w:val="clear" w:color="auto" w:fill="FFFFFF"/>
        </w:rPr>
      </w:pPr>
      <w:r w:rsidRPr="009C6F3E">
        <w:rPr>
          <w:rFonts w:cs="Arial"/>
          <w:color w:val="000000"/>
          <w:shd w:val="clear" w:color="auto" w:fill="FFFFFF"/>
        </w:rPr>
        <w:t>Mak</w:t>
      </w:r>
      <w:r>
        <w:rPr>
          <w:rFonts w:cs="Arial"/>
          <w:color w:val="000000"/>
          <w:shd w:val="clear" w:color="auto" w:fill="FFFFFF"/>
        </w:rPr>
        <w:t>ing</w:t>
      </w:r>
      <w:r w:rsidRPr="009C6F3E">
        <w:rPr>
          <w:rFonts w:cs="Arial"/>
          <w:color w:val="000000"/>
          <w:shd w:val="clear" w:color="auto" w:fill="FFFFFF"/>
        </w:rPr>
        <w:t xml:space="preserve"> </w:t>
      </w:r>
      <w:r w:rsidR="009C6F3E" w:rsidRPr="009C6F3E">
        <w:rPr>
          <w:rFonts w:cs="Arial"/>
          <w:color w:val="000000"/>
          <w:shd w:val="clear" w:color="auto" w:fill="FFFFFF"/>
        </w:rPr>
        <w:t xml:space="preserve">explicit that ERCOT will publish upon stakeholder request additional modeling inputs, assumptions, and outputs utilized in the test if </w:t>
      </w:r>
      <w:r w:rsidR="00503768">
        <w:rPr>
          <w:rFonts w:cs="Arial"/>
          <w:color w:val="000000"/>
          <w:shd w:val="clear" w:color="auto" w:fill="FFFFFF"/>
        </w:rPr>
        <w:t xml:space="preserve">such information is </w:t>
      </w:r>
      <w:r w:rsidR="009C6F3E" w:rsidRPr="009C6F3E">
        <w:rPr>
          <w:rFonts w:cs="Arial"/>
          <w:color w:val="000000"/>
          <w:shd w:val="clear" w:color="auto" w:fill="FFFFFF"/>
        </w:rPr>
        <w:t>not confidential or infeasibly voluminous</w:t>
      </w:r>
      <w:r w:rsidR="00503768">
        <w:rPr>
          <w:rFonts w:cs="Arial"/>
          <w:color w:val="000000"/>
          <w:shd w:val="clear" w:color="auto" w:fill="FFFFFF"/>
        </w:rPr>
        <w:t>;</w:t>
      </w:r>
    </w:p>
    <w:p w14:paraId="5CACF600" w14:textId="3DDC4396" w:rsidR="009C6F3E" w:rsidRDefault="009C6F3E" w:rsidP="00893D7D">
      <w:pPr>
        <w:pStyle w:val="NormalArial"/>
        <w:numPr>
          <w:ilvl w:val="0"/>
          <w:numId w:val="14"/>
        </w:numPr>
        <w:rPr>
          <w:rFonts w:cs="Arial"/>
          <w:color w:val="000000"/>
          <w:shd w:val="clear" w:color="auto" w:fill="FFFFFF"/>
        </w:rPr>
      </w:pPr>
      <w:r w:rsidRPr="009C6F3E">
        <w:rPr>
          <w:rFonts w:cs="Arial"/>
          <w:color w:val="000000"/>
          <w:shd w:val="clear" w:color="auto" w:fill="FFFFFF"/>
        </w:rPr>
        <w:t xml:space="preserve">Reorganization of </w:t>
      </w:r>
      <w:r w:rsidR="000F3049">
        <w:rPr>
          <w:rFonts w:cs="Arial"/>
          <w:color w:val="000000"/>
          <w:shd w:val="clear" w:color="auto" w:fill="FFFFFF"/>
        </w:rPr>
        <w:t>Section</w:t>
      </w:r>
      <w:r w:rsidR="000F3049" w:rsidRPr="009C6F3E">
        <w:rPr>
          <w:rFonts w:cs="Arial"/>
          <w:color w:val="000000"/>
          <w:shd w:val="clear" w:color="auto" w:fill="FFFFFF"/>
        </w:rPr>
        <w:t xml:space="preserve"> </w:t>
      </w:r>
      <w:r w:rsidRPr="009C6F3E">
        <w:rPr>
          <w:rFonts w:cs="Arial"/>
          <w:color w:val="000000"/>
          <w:shd w:val="clear" w:color="auto" w:fill="FFFFFF"/>
        </w:rPr>
        <w:t>3.11.2</w:t>
      </w:r>
      <w:r w:rsidR="000F3049">
        <w:rPr>
          <w:rFonts w:cs="Arial"/>
          <w:color w:val="000000"/>
          <w:shd w:val="clear" w:color="auto" w:fill="FFFFFF"/>
        </w:rPr>
        <w:t>, Planning Criteria,</w:t>
      </w:r>
      <w:r w:rsidRPr="009C6F3E">
        <w:rPr>
          <w:rFonts w:cs="Arial"/>
          <w:color w:val="000000"/>
          <w:shd w:val="clear" w:color="auto" w:fill="FFFFFF"/>
        </w:rPr>
        <w:t xml:space="preserve"> and various language clarifications</w:t>
      </w:r>
      <w:r w:rsidR="00503768">
        <w:rPr>
          <w:rFonts w:cs="Arial"/>
          <w:color w:val="000000"/>
          <w:shd w:val="clear" w:color="auto" w:fill="FFFFFF"/>
        </w:rPr>
        <w:t>; and</w:t>
      </w:r>
    </w:p>
    <w:p w14:paraId="2B16F62A" w14:textId="4E56D698" w:rsidR="009C6F3E" w:rsidRDefault="00503768" w:rsidP="00893D7D">
      <w:pPr>
        <w:pStyle w:val="NormalArial"/>
        <w:numPr>
          <w:ilvl w:val="0"/>
          <w:numId w:val="4"/>
        </w:numPr>
        <w:rPr>
          <w:rFonts w:cs="Arial"/>
          <w:color w:val="000000"/>
          <w:shd w:val="clear" w:color="auto" w:fill="FFFFFF"/>
        </w:rPr>
      </w:pPr>
      <w:r>
        <w:rPr>
          <w:rFonts w:cs="Arial"/>
          <w:color w:val="000000"/>
          <w:shd w:val="clear" w:color="auto" w:fill="FFFFFF"/>
        </w:rPr>
        <w:t>A c</w:t>
      </w:r>
      <w:r w:rsidR="009C6F3E" w:rsidRPr="009C6F3E">
        <w:rPr>
          <w:rFonts w:cs="Arial"/>
          <w:color w:val="000000"/>
          <w:shd w:val="clear" w:color="auto" w:fill="FFFFFF"/>
        </w:rPr>
        <w:t xml:space="preserve">ompromise </w:t>
      </w:r>
      <w:r>
        <w:rPr>
          <w:rFonts w:cs="Arial"/>
          <w:color w:val="000000"/>
          <w:shd w:val="clear" w:color="auto" w:fill="FFFFFF"/>
        </w:rPr>
        <w:t xml:space="preserve">was also reached </w:t>
      </w:r>
      <w:r w:rsidR="009C6F3E" w:rsidRPr="009C6F3E">
        <w:rPr>
          <w:rFonts w:cs="Arial"/>
          <w:color w:val="000000"/>
          <w:shd w:val="clear" w:color="auto" w:fill="FFFFFF"/>
        </w:rPr>
        <w:t>to refer to white papers providing further details of the test in NPRR1247</w:t>
      </w:r>
      <w:r>
        <w:rPr>
          <w:rFonts w:cs="Arial"/>
          <w:color w:val="000000"/>
          <w:shd w:val="clear" w:color="auto" w:fill="FFFFFF"/>
        </w:rPr>
        <w:t>’s</w:t>
      </w:r>
      <w:r w:rsidR="009C6F3E" w:rsidRPr="009C6F3E">
        <w:rPr>
          <w:rFonts w:cs="Arial"/>
          <w:color w:val="000000"/>
          <w:shd w:val="clear" w:color="auto" w:fill="FFFFFF"/>
        </w:rPr>
        <w:t xml:space="preserve"> preamble </w:t>
      </w:r>
      <w:r>
        <w:rPr>
          <w:rFonts w:cs="Arial"/>
          <w:color w:val="000000"/>
          <w:shd w:val="clear" w:color="auto" w:fill="FFFFFF"/>
        </w:rPr>
        <w:t xml:space="preserve">Revision Description </w:t>
      </w:r>
      <w:r w:rsidR="009C6F3E" w:rsidRPr="009C6F3E">
        <w:rPr>
          <w:rFonts w:cs="Arial"/>
          <w:color w:val="000000"/>
          <w:shd w:val="clear" w:color="auto" w:fill="FFFFFF"/>
        </w:rPr>
        <w:t xml:space="preserve">rather than in </w:t>
      </w:r>
      <w:r>
        <w:rPr>
          <w:rFonts w:cs="Arial"/>
          <w:color w:val="000000"/>
          <w:shd w:val="clear" w:color="auto" w:fill="FFFFFF"/>
        </w:rPr>
        <w:t xml:space="preserve">the </w:t>
      </w:r>
      <w:r w:rsidR="009C6F3E" w:rsidRPr="009C6F3E">
        <w:rPr>
          <w:rFonts w:cs="Arial"/>
          <w:color w:val="000000"/>
          <w:shd w:val="clear" w:color="auto" w:fill="FFFFFF"/>
        </w:rPr>
        <w:t>Protocol language</w:t>
      </w:r>
      <w:r>
        <w:rPr>
          <w:rFonts w:cs="Arial"/>
          <w:color w:val="000000"/>
          <w:shd w:val="clear" w:color="auto" w:fill="FFFFFF"/>
        </w:rPr>
        <w:t xml:space="preserve"> itself</w:t>
      </w:r>
      <w:r w:rsidR="009C6F3E">
        <w:rPr>
          <w:rFonts w:cs="Arial"/>
          <w:color w:val="000000"/>
          <w:shd w:val="clear" w:color="auto" w:fill="FFFFFF"/>
        </w:rPr>
        <w:t>.</w:t>
      </w:r>
      <w:r>
        <w:rPr>
          <w:rFonts w:cs="Arial"/>
          <w:color w:val="000000"/>
          <w:shd w:val="clear" w:color="auto" w:fill="FFFFFF"/>
        </w:rPr>
        <w:t xml:space="preserve">  This was for consistency with best practice not to refer to white papers in the Protocols.</w:t>
      </w:r>
    </w:p>
    <w:p w14:paraId="7BA35F96" w14:textId="77777777" w:rsidR="00503768" w:rsidRDefault="00503768" w:rsidP="00893D7D">
      <w:pPr>
        <w:pStyle w:val="NormalArial"/>
        <w:rPr>
          <w:rFonts w:cs="Arial"/>
          <w:color w:val="000000"/>
          <w:shd w:val="clear" w:color="auto" w:fill="FFFFFF"/>
        </w:rPr>
      </w:pPr>
    </w:p>
    <w:p w14:paraId="127F306A" w14:textId="34EE27FA" w:rsidR="009C6F3E" w:rsidRPr="009C6F3E" w:rsidRDefault="00503768" w:rsidP="00893D7D">
      <w:pPr>
        <w:pStyle w:val="NormalArial"/>
        <w:rPr>
          <w:rFonts w:cs="Arial"/>
          <w:color w:val="000000"/>
          <w:shd w:val="clear" w:color="auto" w:fill="FFFFFF"/>
        </w:rPr>
      </w:pPr>
      <w:r>
        <w:rPr>
          <w:rFonts w:cs="Arial"/>
          <w:color w:val="000000"/>
          <w:shd w:val="clear" w:color="auto" w:fill="FFFFFF"/>
        </w:rPr>
        <w:t>Stakeholders also agreed</w:t>
      </w:r>
      <w:r w:rsidR="009C6F3E" w:rsidRPr="009C6F3E">
        <w:rPr>
          <w:rFonts w:cs="Arial"/>
          <w:color w:val="000000"/>
          <w:shd w:val="clear" w:color="auto" w:fill="FFFFFF"/>
        </w:rPr>
        <w:t xml:space="preserve"> to defer certain proposed edits with broader planning impacts to subsequent </w:t>
      </w:r>
      <w:r w:rsidR="004B6EF8">
        <w:rPr>
          <w:rFonts w:cs="Arial"/>
          <w:color w:val="000000"/>
          <w:shd w:val="clear" w:color="auto" w:fill="FFFFFF"/>
        </w:rPr>
        <w:t>Revision Requests</w:t>
      </w:r>
      <w:r w:rsidR="00893D7D">
        <w:rPr>
          <w:rFonts w:cs="Arial"/>
          <w:color w:val="000000"/>
          <w:shd w:val="clear" w:color="auto" w:fill="FFFFFF"/>
        </w:rPr>
        <w:t>.</w:t>
      </w:r>
      <w:r>
        <w:rPr>
          <w:rFonts w:cs="Arial"/>
          <w:color w:val="000000"/>
          <w:shd w:val="clear" w:color="auto" w:fill="FFFFFF"/>
        </w:rPr>
        <w:t xml:space="preserve">  This includes a wholistic review of Planning Guide Section 6.9, Addition of Proposed Generation to the Planning Models, to address concerns raised by Reliant Energy Retail Services LLC (Reliant) in their 10/18/24 comments.</w:t>
      </w:r>
    </w:p>
    <w:p w14:paraId="1D8CA261" w14:textId="1C69FEDE" w:rsidR="00457C7D" w:rsidRDefault="00457C7D" w:rsidP="00C6121C">
      <w:pPr>
        <w:pStyle w:val="NormalArial"/>
      </w:pPr>
    </w:p>
    <w:p w14:paraId="4887EAF0" w14:textId="189FB704" w:rsidR="0045296E" w:rsidRDefault="0045296E" w:rsidP="00C6121C">
      <w:pPr>
        <w:pStyle w:val="NormalArial"/>
      </w:pPr>
      <w:r>
        <w:t xml:space="preserve">For these reasons, ERCOT </w:t>
      </w:r>
      <w:r w:rsidR="00503768">
        <w:t xml:space="preserve">respectfully </w:t>
      </w:r>
      <w:r>
        <w:t xml:space="preserve">urges </w:t>
      </w:r>
      <w:r w:rsidR="00503768">
        <w:t xml:space="preserve">the </w:t>
      </w:r>
      <w:r w:rsidR="005247FE">
        <w:t xml:space="preserve">R&amp;M </w:t>
      </w:r>
      <w:r w:rsidR="00503768">
        <w:t>Commi</w:t>
      </w:r>
      <w:r w:rsidR="00893D7D">
        <w:t>ttee</w:t>
      </w:r>
      <w:r w:rsidR="00503768">
        <w:t xml:space="preserve"> </w:t>
      </w:r>
      <w:r w:rsidR="00B71F38">
        <w:t xml:space="preserve">and ERCOT Board </w:t>
      </w:r>
      <w:r>
        <w:t xml:space="preserve">to </w:t>
      </w:r>
      <w:r w:rsidR="00B824F5">
        <w:t>recommend approval of</w:t>
      </w:r>
      <w:r>
        <w:t xml:space="preserve"> NPRR1247 with the language as proposed in </w:t>
      </w:r>
      <w:r w:rsidR="00CE2BBA">
        <w:t xml:space="preserve">the </w:t>
      </w:r>
      <w:r w:rsidR="00A160C8">
        <w:t xml:space="preserve">11/11/24 </w:t>
      </w:r>
      <w:r>
        <w:t>ERCOT</w:t>
      </w:r>
      <w:r w:rsidR="00CE2BBA">
        <w:t xml:space="preserve"> </w:t>
      </w:r>
      <w:r w:rsidR="00F65575">
        <w:t>comments</w:t>
      </w:r>
      <w:r>
        <w:t>.</w:t>
      </w:r>
    </w:p>
    <w:p w14:paraId="4C342312" w14:textId="77777777" w:rsidR="009F5A2D" w:rsidRDefault="009F5A2D" w:rsidP="0064113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27739962" w14:textId="77777777" w:rsidTr="00275BE7">
        <w:trPr>
          <w:trHeight w:val="350"/>
        </w:trPr>
        <w:tc>
          <w:tcPr>
            <w:tcW w:w="10440" w:type="dxa"/>
            <w:tcBorders>
              <w:bottom w:val="single" w:sz="4" w:space="0" w:color="auto"/>
            </w:tcBorders>
            <w:shd w:val="clear" w:color="auto" w:fill="FFFFFF"/>
            <w:vAlign w:val="center"/>
          </w:tcPr>
          <w:p w14:paraId="20BDABC6" w14:textId="77777777" w:rsidR="009F5A2D" w:rsidRDefault="009F5A2D" w:rsidP="00275BE7">
            <w:pPr>
              <w:pStyle w:val="Header"/>
              <w:jc w:val="center"/>
            </w:pPr>
            <w:r>
              <w:t>Revised Cover Page Language</w:t>
            </w:r>
          </w:p>
        </w:tc>
      </w:tr>
    </w:tbl>
    <w:p w14:paraId="18CFFEE6" w14:textId="77777777" w:rsidR="009F5A2D" w:rsidRDefault="009F5A2D" w:rsidP="009F5A2D">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0938BCA2" w14:textId="77777777" w:rsidTr="00275BE7">
        <w:trPr>
          <w:trHeight w:val="350"/>
        </w:trPr>
        <w:tc>
          <w:tcPr>
            <w:tcW w:w="10440" w:type="dxa"/>
            <w:tcBorders>
              <w:bottom w:val="single" w:sz="4" w:space="0" w:color="auto"/>
            </w:tcBorders>
            <w:shd w:val="clear" w:color="auto" w:fill="FFFFFF"/>
            <w:vAlign w:val="center"/>
          </w:tcPr>
          <w:p w14:paraId="7E727D2A" w14:textId="77777777" w:rsidR="009F5A2D" w:rsidRDefault="009F5A2D" w:rsidP="00275BE7">
            <w:pPr>
              <w:pStyle w:val="Header"/>
              <w:jc w:val="center"/>
            </w:pPr>
            <w:r>
              <w:t>Revised Proposed Protocol Language</w:t>
            </w:r>
          </w:p>
        </w:tc>
      </w:tr>
    </w:tbl>
    <w:p w14:paraId="60A93671" w14:textId="77777777" w:rsidR="009F5A2D" w:rsidRPr="007F49E4" w:rsidRDefault="009F5A2D" w:rsidP="009F5A2D">
      <w:pPr>
        <w:pStyle w:val="BodyText"/>
        <w:rPr>
          <w:rFonts w:ascii="Arial" w:hAnsi="Arial" w:cs="Arial"/>
        </w:rPr>
      </w:pPr>
      <w:r w:rsidRPr="007F49E4">
        <w:rPr>
          <w:rFonts w:ascii="Arial" w:hAnsi="Arial" w:cs="Arial"/>
        </w:rPr>
        <w:t>None</w:t>
      </w:r>
    </w:p>
    <w:p w14:paraId="2F77C497" w14:textId="77777777" w:rsidR="009F5A2D" w:rsidRPr="00E74A47" w:rsidRDefault="009F5A2D" w:rsidP="00641135">
      <w:pPr>
        <w:pStyle w:val="NormalArial"/>
      </w:pPr>
    </w:p>
    <w:p w14:paraId="4AE9823D" w14:textId="77777777" w:rsidR="00201EE3" w:rsidRDefault="00201EE3" w:rsidP="00384C7E">
      <w:pPr>
        <w:pStyle w:val="NormalArial"/>
        <w:jc w:val="both"/>
      </w:pPr>
    </w:p>
    <w:p w14:paraId="2DF69812" w14:textId="76A693FE" w:rsidR="00256245" w:rsidRPr="002E6A90" w:rsidRDefault="00256245" w:rsidP="00595110">
      <w:pPr>
        <w:pStyle w:val="NormalArial"/>
      </w:pPr>
    </w:p>
    <w:sectPr w:rsidR="00256245" w:rsidRPr="002E6A90"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3BF8" w14:textId="77777777" w:rsidR="000670AA" w:rsidRDefault="000670AA">
      <w:r>
        <w:separator/>
      </w:r>
    </w:p>
  </w:endnote>
  <w:endnote w:type="continuationSeparator" w:id="0">
    <w:p w14:paraId="4C59A4CF" w14:textId="77777777" w:rsidR="000670AA" w:rsidRDefault="0006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01CEB046"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254853">
      <w:rPr>
        <w:rFonts w:ascii="Arial" w:hAnsi="Arial"/>
        <w:sz w:val="18"/>
      </w:rPr>
      <w:t xml:space="preserve">25 </w:t>
    </w:r>
    <w:r w:rsidR="004E24F9">
      <w:rPr>
        <w:rFonts w:ascii="Arial" w:hAnsi="Arial"/>
        <w:sz w:val="18"/>
      </w:rPr>
      <w:t>ERCOT</w:t>
    </w:r>
    <w:r>
      <w:rPr>
        <w:rFonts w:ascii="Arial" w:hAnsi="Arial"/>
        <w:sz w:val="18"/>
      </w:rPr>
      <w:t xml:space="preserve"> Comments </w:t>
    </w:r>
    <w:r w:rsidR="00254853">
      <w:rPr>
        <w:rFonts w:ascii="Arial" w:hAnsi="Arial"/>
        <w:sz w:val="18"/>
      </w:rPr>
      <w:t>11</w:t>
    </w:r>
    <w:r w:rsidR="00943F60">
      <w:rPr>
        <w:rFonts w:ascii="Arial" w:hAnsi="Arial"/>
        <w:sz w:val="18"/>
      </w:rPr>
      <w:t>26</w:t>
    </w:r>
    <w:r w:rsidR="00254853">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47A3" w14:textId="77777777" w:rsidR="000670AA" w:rsidRDefault="000670AA">
      <w:r>
        <w:separator/>
      </w:r>
    </w:p>
  </w:footnote>
  <w:footnote w:type="continuationSeparator" w:id="0">
    <w:p w14:paraId="634218A3" w14:textId="77777777" w:rsidR="000670AA" w:rsidRDefault="0006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DF7671"/>
    <w:multiLevelType w:val="hybridMultilevel"/>
    <w:tmpl w:val="D1B8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014"/>
    <w:multiLevelType w:val="hybridMultilevel"/>
    <w:tmpl w:val="49B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B5C76"/>
    <w:multiLevelType w:val="hybridMultilevel"/>
    <w:tmpl w:val="B47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548CB"/>
    <w:multiLevelType w:val="hybridMultilevel"/>
    <w:tmpl w:val="B5CE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A625E"/>
    <w:multiLevelType w:val="hybridMultilevel"/>
    <w:tmpl w:val="F402B7E0"/>
    <w:lvl w:ilvl="0" w:tplc="A0600942">
      <w:start w:val="1"/>
      <w:numFmt w:val="bullet"/>
      <w:lvlText w:val="–"/>
      <w:lvlJc w:val="left"/>
      <w:pPr>
        <w:tabs>
          <w:tab w:val="num" w:pos="720"/>
        </w:tabs>
        <w:ind w:left="720" w:hanging="360"/>
      </w:pPr>
      <w:rPr>
        <w:rFonts w:ascii="Arial" w:hAnsi="Arial" w:hint="default"/>
      </w:rPr>
    </w:lvl>
    <w:lvl w:ilvl="1" w:tplc="8ABCF1EE">
      <w:start w:val="1"/>
      <w:numFmt w:val="bullet"/>
      <w:lvlText w:val="–"/>
      <w:lvlJc w:val="left"/>
      <w:pPr>
        <w:tabs>
          <w:tab w:val="num" w:pos="1440"/>
        </w:tabs>
        <w:ind w:left="1440" w:hanging="360"/>
      </w:pPr>
      <w:rPr>
        <w:rFonts w:ascii="Arial" w:hAnsi="Arial" w:hint="default"/>
      </w:rPr>
    </w:lvl>
    <w:lvl w:ilvl="2" w:tplc="E37812A6" w:tentative="1">
      <w:start w:val="1"/>
      <w:numFmt w:val="bullet"/>
      <w:lvlText w:val="–"/>
      <w:lvlJc w:val="left"/>
      <w:pPr>
        <w:tabs>
          <w:tab w:val="num" w:pos="2160"/>
        </w:tabs>
        <w:ind w:left="2160" w:hanging="360"/>
      </w:pPr>
      <w:rPr>
        <w:rFonts w:ascii="Arial" w:hAnsi="Arial" w:hint="default"/>
      </w:rPr>
    </w:lvl>
    <w:lvl w:ilvl="3" w:tplc="C7662CEC" w:tentative="1">
      <w:start w:val="1"/>
      <w:numFmt w:val="bullet"/>
      <w:lvlText w:val="–"/>
      <w:lvlJc w:val="left"/>
      <w:pPr>
        <w:tabs>
          <w:tab w:val="num" w:pos="2880"/>
        </w:tabs>
        <w:ind w:left="2880" w:hanging="360"/>
      </w:pPr>
      <w:rPr>
        <w:rFonts w:ascii="Arial" w:hAnsi="Arial" w:hint="default"/>
      </w:rPr>
    </w:lvl>
    <w:lvl w:ilvl="4" w:tplc="D896A0EA" w:tentative="1">
      <w:start w:val="1"/>
      <w:numFmt w:val="bullet"/>
      <w:lvlText w:val="–"/>
      <w:lvlJc w:val="left"/>
      <w:pPr>
        <w:tabs>
          <w:tab w:val="num" w:pos="3600"/>
        </w:tabs>
        <w:ind w:left="3600" w:hanging="360"/>
      </w:pPr>
      <w:rPr>
        <w:rFonts w:ascii="Arial" w:hAnsi="Arial" w:hint="default"/>
      </w:rPr>
    </w:lvl>
    <w:lvl w:ilvl="5" w:tplc="C23AA500" w:tentative="1">
      <w:start w:val="1"/>
      <w:numFmt w:val="bullet"/>
      <w:lvlText w:val="–"/>
      <w:lvlJc w:val="left"/>
      <w:pPr>
        <w:tabs>
          <w:tab w:val="num" w:pos="4320"/>
        </w:tabs>
        <w:ind w:left="4320" w:hanging="360"/>
      </w:pPr>
      <w:rPr>
        <w:rFonts w:ascii="Arial" w:hAnsi="Arial" w:hint="default"/>
      </w:rPr>
    </w:lvl>
    <w:lvl w:ilvl="6" w:tplc="8B1A05B6" w:tentative="1">
      <w:start w:val="1"/>
      <w:numFmt w:val="bullet"/>
      <w:lvlText w:val="–"/>
      <w:lvlJc w:val="left"/>
      <w:pPr>
        <w:tabs>
          <w:tab w:val="num" w:pos="5040"/>
        </w:tabs>
        <w:ind w:left="5040" w:hanging="360"/>
      </w:pPr>
      <w:rPr>
        <w:rFonts w:ascii="Arial" w:hAnsi="Arial" w:hint="default"/>
      </w:rPr>
    </w:lvl>
    <w:lvl w:ilvl="7" w:tplc="83D86780" w:tentative="1">
      <w:start w:val="1"/>
      <w:numFmt w:val="bullet"/>
      <w:lvlText w:val="–"/>
      <w:lvlJc w:val="left"/>
      <w:pPr>
        <w:tabs>
          <w:tab w:val="num" w:pos="5760"/>
        </w:tabs>
        <w:ind w:left="5760" w:hanging="360"/>
      </w:pPr>
      <w:rPr>
        <w:rFonts w:ascii="Arial" w:hAnsi="Arial" w:hint="default"/>
      </w:rPr>
    </w:lvl>
    <w:lvl w:ilvl="8" w:tplc="2468F7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3A0593"/>
    <w:multiLevelType w:val="hybridMultilevel"/>
    <w:tmpl w:val="21507208"/>
    <w:lvl w:ilvl="0" w:tplc="303A75CE">
      <w:start w:val="1"/>
      <w:numFmt w:val="bullet"/>
      <w:lvlText w:val="–"/>
      <w:lvlJc w:val="left"/>
      <w:pPr>
        <w:tabs>
          <w:tab w:val="num" w:pos="720"/>
        </w:tabs>
        <w:ind w:left="720" w:hanging="360"/>
      </w:pPr>
      <w:rPr>
        <w:rFonts w:ascii="Arial" w:hAnsi="Arial" w:hint="default"/>
      </w:rPr>
    </w:lvl>
    <w:lvl w:ilvl="1" w:tplc="CD5E243E">
      <w:start w:val="1"/>
      <w:numFmt w:val="bullet"/>
      <w:lvlText w:val="–"/>
      <w:lvlJc w:val="left"/>
      <w:pPr>
        <w:tabs>
          <w:tab w:val="num" w:pos="1440"/>
        </w:tabs>
        <w:ind w:left="1440" w:hanging="360"/>
      </w:pPr>
      <w:rPr>
        <w:rFonts w:ascii="Arial" w:hAnsi="Arial" w:hint="default"/>
      </w:rPr>
    </w:lvl>
    <w:lvl w:ilvl="2" w:tplc="C792C8EA" w:tentative="1">
      <w:start w:val="1"/>
      <w:numFmt w:val="bullet"/>
      <w:lvlText w:val="–"/>
      <w:lvlJc w:val="left"/>
      <w:pPr>
        <w:tabs>
          <w:tab w:val="num" w:pos="2160"/>
        </w:tabs>
        <w:ind w:left="2160" w:hanging="360"/>
      </w:pPr>
      <w:rPr>
        <w:rFonts w:ascii="Arial" w:hAnsi="Arial" w:hint="default"/>
      </w:rPr>
    </w:lvl>
    <w:lvl w:ilvl="3" w:tplc="38CAF8D6" w:tentative="1">
      <w:start w:val="1"/>
      <w:numFmt w:val="bullet"/>
      <w:lvlText w:val="–"/>
      <w:lvlJc w:val="left"/>
      <w:pPr>
        <w:tabs>
          <w:tab w:val="num" w:pos="2880"/>
        </w:tabs>
        <w:ind w:left="2880" w:hanging="360"/>
      </w:pPr>
      <w:rPr>
        <w:rFonts w:ascii="Arial" w:hAnsi="Arial" w:hint="default"/>
      </w:rPr>
    </w:lvl>
    <w:lvl w:ilvl="4" w:tplc="D5A6FC0C" w:tentative="1">
      <w:start w:val="1"/>
      <w:numFmt w:val="bullet"/>
      <w:lvlText w:val="–"/>
      <w:lvlJc w:val="left"/>
      <w:pPr>
        <w:tabs>
          <w:tab w:val="num" w:pos="3600"/>
        </w:tabs>
        <w:ind w:left="3600" w:hanging="360"/>
      </w:pPr>
      <w:rPr>
        <w:rFonts w:ascii="Arial" w:hAnsi="Arial" w:hint="default"/>
      </w:rPr>
    </w:lvl>
    <w:lvl w:ilvl="5" w:tplc="12767DF2" w:tentative="1">
      <w:start w:val="1"/>
      <w:numFmt w:val="bullet"/>
      <w:lvlText w:val="–"/>
      <w:lvlJc w:val="left"/>
      <w:pPr>
        <w:tabs>
          <w:tab w:val="num" w:pos="4320"/>
        </w:tabs>
        <w:ind w:left="4320" w:hanging="360"/>
      </w:pPr>
      <w:rPr>
        <w:rFonts w:ascii="Arial" w:hAnsi="Arial" w:hint="default"/>
      </w:rPr>
    </w:lvl>
    <w:lvl w:ilvl="6" w:tplc="24F08616" w:tentative="1">
      <w:start w:val="1"/>
      <w:numFmt w:val="bullet"/>
      <w:lvlText w:val="–"/>
      <w:lvlJc w:val="left"/>
      <w:pPr>
        <w:tabs>
          <w:tab w:val="num" w:pos="5040"/>
        </w:tabs>
        <w:ind w:left="5040" w:hanging="360"/>
      </w:pPr>
      <w:rPr>
        <w:rFonts w:ascii="Arial" w:hAnsi="Arial" w:hint="default"/>
      </w:rPr>
    </w:lvl>
    <w:lvl w:ilvl="7" w:tplc="8F5AD438" w:tentative="1">
      <w:start w:val="1"/>
      <w:numFmt w:val="bullet"/>
      <w:lvlText w:val="–"/>
      <w:lvlJc w:val="left"/>
      <w:pPr>
        <w:tabs>
          <w:tab w:val="num" w:pos="5760"/>
        </w:tabs>
        <w:ind w:left="5760" w:hanging="360"/>
      </w:pPr>
      <w:rPr>
        <w:rFonts w:ascii="Arial" w:hAnsi="Arial" w:hint="default"/>
      </w:rPr>
    </w:lvl>
    <w:lvl w:ilvl="8" w:tplc="088401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C7165D"/>
    <w:multiLevelType w:val="hybridMultilevel"/>
    <w:tmpl w:val="A4F82EB0"/>
    <w:lvl w:ilvl="0" w:tplc="9B36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17481E"/>
    <w:multiLevelType w:val="hybridMultilevel"/>
    <w:tmpl w:val="B9FA45E0"/>
    <w:lvl w:ilvl="0" w:tplc="00BC84C6">
      <w:start w:val="1"/>
      <w:numFmt w:val="bullet"/>
      <w:lvlText w:val="•"/>
      <w:lvlJc w:val="left"/>
      <w:pPr>
        <w:tabs>
          <w:tab w:val="num" w:pos="720"/>
        </w:tabs>
        <w:ind w:left="720" w:hanging="360"/>
      </w:pPr>
      <w:rPr>
        <w:rFonts w:ascii="Arial" w:hAnsi="Arial" w:hint="default"/>
      </w:rPr>
    </w:lvl>
    <w:lvl w:ilvl="1" w:tplc="257C54C8" w:tentative="1">
      <w:start w:val="1"/>
      <w:numFmt w:val="bullet"/>
      <w:lvlText w:val="•"/>
      <w:lvlJc w:val="left"/>
      <w:pPr>
        <w:tabs>
          <w:tab w:val="num" w:pos="1440"/>
        </w:tabs>
        <w:ind w:left="1440" w:hanging="360"/>
      </w:pPr>
      <w:rPr>
        <w:rFonts w:ascii="Arial" w:hAnsi="Arial" w:hint="default"/>
      </w:rPr>
    </w:lvl>
    <w:lvl w:ilvl="2" w:tplc="EBB66C78" w:tentative="1">
      <w:start w:val="1"/>
      <w:numFmt w:val="bullet"/>
      <w:lvlText w:val="•"/>
      <w:lvlJc w:val="left"/>
      <w:pPr>
        <w:tabs>
          <w:tab w:val="num" w:pos="2160"/>
        </w:tabs>
        <w:ind w:left="2160" w:hanging="360"/>
      </w:pPr>
      <w:rPr>
        <w:rFonts w:ascii="Arial" w:hAnsi="Arial" w:hint="default"/>
      </w:rPr>
    </w:lvl>
    <w:lvl w:ilvl="3" w:tplc="9AEA9A34" w:tentative="1">
      <w:start w:val="1"/>
      <w:numFmt w:val="bullet"/>
      <w:lvlText w:val="•"/>
      <w:lvlJc w:val="left"/>
      <w:pPr>
        <w:tabs>
          <w:tab w:val="num" w:pos="2880"/>
        </w:tabs>
        <w:ind w:left="2880" w:hanging="360"/>
      </w:pPr>
      <w:rPr>
        <w:rFonts w:ascii="Arial" w:hAnsi="Arial" w:hint="default"/>
      </w:rPr>
    </w:lvl>
    <w:lvl w:ilvl="4" w:tplc="3590372E" w:tentative="1">
      <w:start w:val="1"/>
      <w:numFmt w:val="bullet"/>
      <w:lvlText w:val="•"/>
      <w:lvlJc w:val="left"/>
      <w:pPr>
        <w:tabs>
          <w:tab w:val="num" w:pos="3600"/>
        </w:tabs>
        <w:ind w:left="3600" w:hanging="360"/>
      </w:pPr>
      <w:rPr>
        <w:rFonts w:ascii="Arial" w:hAnsi="Arial" w:hint="default"/>
      </w:rPr>
    </w:lvl>
    <w:lvl w:ilvl="5" w:tplc="496281DE" w:tentative="1">
      <w:start w:val="1"/>
      <w:numFmt w:val="bullet"/>
      <w:lvlText w:val="•"/>
      <w:lvlJc w:val="left"/>
      <w:pPr>
        <w:tabs>
          <w:tab w:val="num" w:pos="4320"/>
        </w:tabs>
        <w:ind w:left="4320" w:hanging="360"/>
      </w:pPr>
      <w:rPr>
        <w:rFonts w:ascii="Arial" w:hAnsi="Arial" w:hint="default"/>
      </w:rPr>
    </w:lvl>
    <w:lvl w:ilvl="6" w:tplc="94DC54C2" w:tentative="1">
      <w:start w:val="1"/>
      <w:numFmt w:val="bullet"/>
      <w:lvlText w:val="•"/>
      <w:lvlJc w:val="left"/>
      <w:pPr>
        <w:tabs>
          <w:tab w:val="num" w:pos="5040"/>
        </w:tabs>
        <w:ind w:left="5040" w:hanging="360"/>
      </w:pPr>
      <w:rPr>
        <w:rFonts w:ascii="Arial" w:hAnsi="Arial" w:hint="default"/>
      </w:rPr>
    </w:lvl>
    <w:lvl w:ilvl="7" w:tplc="EBC0B3AA" w:tentative="1">
      <w:start w:val="1"/>
      <w:numFmt w:val="bullet"/>
      <w:lvlText w:val="•"/>
      <w:lvlJc w:val="left"/>
      <w:pPr>
        <w:tabs>
          <w:tab w:val="num" w:pos="5760"/>
        </w:tabs>
        <w:ind w:left="5760" w:hanging="360"/>
      </w:pPr>
      <w:rPr>
        <w:rFonts w:ascii="Arial" w:hAnsi="Arial" w:hint="default"/>
      </w:rPr>
    </w:lvl>
    <w:lvl w:ilvl="8" w:tplc="21C6EF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EC258E"/>
    <w:multiLevelType w:val="hybridMultilevel"/>
    <w:tmpl w:val="5E3ECC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2E472D"/>
    <w:multiLevelType w:val="hybridMultilevel"/>
    <w:tmpl w:val="3356D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67BFF"/>
    <w:multiLevelType w:val="hybridMultilevel"/>
    <w:tmpl w:val="A51814AE"/>
    <w:lvl w:ilvl="0" w:tplc="E82C900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3937A0"/>
    <w:multiLevelType w:val="hybridMultilevel"/>
    <w:tmpl w:val="4F90C060"/>
    <w:lvl w:ilvl="0" w:tplc="D8CA6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BB37AE"/>
    <w:multiLevelType w:val="hybridMultilevel"/>
    <w:tmpl w:val="4DEEF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14"/>
  </w:num>
  <w:num w:numId="3" w16cid:durableId="1134641666">
    <w:abstractNumId w:val="2"/>
  </w:num>
  <w:num w:numId="4" w16cid:durableId="753816909">
    <w:abstractNumId w:val="13"/>
  </w:num>
  <w:num w:numId="5" w16cid:durableId="850146399">
    <w:abstractNumId w:val="4"/>
  </w:num>
  <w:num w:numId="6" w16cid:durableId="1232080451">
    <w:abstractNumId w:val="7"/>
  </w:num>
  <w:num w:numId="7" w16cid:durableId="1396852475">
    <w:abstractNumId w:val="3"/>
  </w:num>
  <w:num w:numId="8" w16cid:durableId="750809805">
    <w:abstractNumId w:val="5"/>
  </w:num>
  <w:num w:numId="9" w16cid:durableId="556014973">
    <w:abstractNumId w:val="12"/>
  </w:num>
  <w:num w:numId="10" w16cid:durableId="2078628535">
    <w:abstractNumId w:val="1"/>
  </w:num>
  <w:num w:numId="11" w16cid:durableId="649477257">
    <w:abstractNumId w:val="10"/>
  </w:num>
  <w:num w:numId="12" w16cid:durableId="1938905074">
    <w:abstractNumId w:val="8"/>
  </w:num>
  <w:num w:numId="13" w16cid:durableId="160315957">
    <w:abstractNumId w:val="6"/>
  </w:num>
  <w:num w:numId="14" w16cid:durableId="1716268671">
    <w:abstractNumId w:val="9"/>
  </w:num>
  <w:num w:numId="15" w16cid:durableId="907375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4498"/>
    <w:rsid w:val="000224A9"/>
    <w:rsid w:val="000243E4"/>
    <w:rsid w:val="00037668"/>
    <w:rsid w:val="000464B0"/>
    <w:rsid w:val="00052F7C"/>
    <w:rsid w:val="000670AA"/>
    <w:rsid w:val="000757AC"/>
    <w:rsid w:val="00075A94"/>
    <w:rsid w:val="00076BAF"/>
    <w:rsid w:val="00097DD6"/>
    <w:rsid w:val="000A7825"/>
    <w:rsid w:val="000E2CBD"/>
    <w:rsid w:val="000F3049"/>
    <w:rsid w:val="00100478"/>
    <w:rsid w:val="001123DE"/>
    <w:rsid w:val="00132855"/>
    <w:rsid w:val="00152993"/>
    <w:rsid w:val="00156E89"/>
    <w:rsid w:val="00170297"/>
    <w:rsid w:val="00177EBF"/>
    <w:rsid w:val="00197FC8"/>
    <w:rsid w:val="001A227D"/>
    <w:rsid w:val="001C5AAA"/>
    <w:rsid w:val="001E2032"/>
    <w:rsid w:val="001F12A2"/>
    <w:rsid w:val="001F2ACB"/>
    <w:rsid w:val="00201EE3"/>
    <w:rsid w:val="002162B7"/>
    <w:rsid w:val="0022600A"/>
    <w:rsid w:val="00232277"/>
    <w:rsid w:val="00240BF9"/>
    <w:rsid w:val="0024335E"/>
    <w:rsid w:val="00247330"/>
    <w:rsid w:val="00254853"/>
    <w:rsid w:val="00256245"/>
    <w:rsid w:val="00281F56"/>
    <w:rsid w:val="00283F7A"/>
    <w:rsid w:val="00290218"/>
    <w:rsid w:val="002926D5"/>
    <w:rsid w:val="002962B8"/>
    <w:rsid w:val="002A32C4"/>
    <w:rsid w:val="002B199E"/>
    <w:rsid w:val="002C726E"/>
    <w:rsid w:val="002E0156"/>
    <w:rsid w:val="002E27C4"/>
    <w:rsid w:val="002E6A90"/>
    <w:rsid w:val="003010C0"/>
    <w:rsid w:val="003032AC"/>
    <w:rsid w:val="00307F5D"/>
    <w:rsid w:val="00332A97"/>
    <w:rsid w:val="00334258"/>
    <w:rsid w:val="00350C00"/>
    <w:rsid w:val="00356A2B"/>
    <w:rsid w:val="003573DE"/>
    <w:rsid w:val="00366113"/>
    <w:rsid w:val="003678A9"/>
    <w:rsid w:val="00384C7E"/>
    <w:rsid w:val="00385BD8"/>
    <w:rsid w:val="00386DAC"/>
    <w:rsid w:val="00394C7C"/>
    <w:rsid w:val="00396D05"/>
    <w:rsid w:val="003A0668"/>
    <w:rsid w:val="003A1B30"/>
    <w:rsid w:val="003A551C"/>
    <w:rsid w:val="003C270C"/>
    <w:rsid w:val="003D0994"/>
    <w:rsid w:val="00421BDD"/>
    <w:rsid w:val="00423824"/>
    <w:rsid w:val="0043567D"/>
    <w:rsid w:val="0045296E"/>
    <w:rsid w:val="00454FCF"/>
    <w:rsid w:val="00457C7D"/>
    <w:rsid w:val="0048425F"/>
    <w:rsid w:val="00484486"/>
    <w:rsid w:val="00487465"/>
    <w:rsid w:val="004912C1"/>
    <w:rsid w:val="004A5726"/>
    <w:rsid w:val="004B6EF8"/>
    <w:rsid w:val="004B7B90"/>
    <w:rsid w:val="004D16D5"/>
    <w:rsid w:val="004D23B4"/>
    <w:rsid w:val="004E24F9"/>
    <w:rsid w:val="004E2C19"/>
    <w:rsid w:val="004E65BA"/>
    <w:rsid w:val="004E7A94"/>
    <w:rsid w:val="004F1932"/>
    <w:rsid w:val="004F3479"/>
    <w:rsid w:val="00503768"/>
    <w:rsid w:val="00503E8C"/>
    <w:rsid w:val="00504AE7"/>
    <w:rsid w:val="00521A04"/>
    <w:rsid w:val="005247FE"/>
    <w:rsid w:val="0054545D"/>
    <w:rsid w:val="00557C30"/>
    <w:rsid w:val="00562430"/>
    <w:rsid w:val="0056497D"/>
    <w:rsid w:val="00575116"/>
    <w:rsid w:val="00595110"/>
    <w:rsid w:val="005B62E0"/>
    <w:rsid w:val="005C176D"/>
    <w:rsid w:val="005D05BF"/>
    <w:rsid w:val="005D0FBA"/>
    <w:rsid w:val="005D284C"/>
    <w:rsid w:val="00601685"/>
    <w:rsid w:val="00604512"/>
    <w:rsid w:val="0060784C"/>
    <w:rsid w:val="00633E23"/>
    <w:rsid w:val="006362DC"/>
    <w:rsid w:val="00641135"/>
    <w:rsid w:val="006472CF"/>
    <w:rsid w:val="00660A33"/>
    <w:rsid w:val="00661BCC"/>
    <w:rsid w:val="00673B94"/>
    <w:rsid w:val="00680AC6"/>
    <w:rsid w:val="00683154"/>
    <w:rsid w:val="006831AD"/>
    <w:rsid w:val="006835D8"/>
    <w:rsid w:val="0069325F"/>
    <w:rsid w:val="006B0503"/>
    <w:rsid w:val="006C0FAC"/>
    <w:rsid w:val="006C316E"/>
    <w:rsid w:val="006D0F7C"/>
    <w:rsid w:val="006D4912"/>
    <w:rsid w:val="006D713C"/>
    <w:rsid w:val="006E60B9"/>
    <w:rsid w:val="006F554E"/>
    <w:rsid w:val="006F5A76"/>
    <w:rsid w:val="007018D4"/>
    <w:rsid w:val="00711D44"/>
    <w:rsid w:val="007215D6"/>
    <w:rsid w:val="007264EF"/>
    <w:rsid w:val="007269C4"/>
    <w:rsid w:val="00740791"/>
    <w:rsid w:val="0074209E"/>
    <w:rsid w:val="00745252"/>
    <w:rsid w:val="007629D1"/>
    <w:rsid w:val="007646FB"/>
    <w:rsid w:val="007745C0"/>
    <w:rsid w:val="007A088B"/>
    <w:rsid w:val="007B6437"/>
    <w:rsid w:val="007B6867"/>
    <w:rsid w:val="007C69DB"/>
    <w:rsid w:val="007D1BEC"/>
    <w:rsid w:val="007E1DC4"/>
    <w:rsid w:val="007F2CA8"/>
    <w:rsid w:val="007F7161"/>
    <w:rsid w:val="00816EA8"/>
    <w:rsid w:val="00824335"/>
    <w:rsid w:val="008345F6"/>
    <w:rsid w:val="00837083"/>
    <w:rsid w:val="00855513"/>
    <w:rsid w:val="0085559E"/>
    <w:rsid w:val="00862066"/>
    <w:rsid w:val="00867DB0"/>
    <w:rsid w:val="00870D9E"/>
    <w:rsid w:val="008900B8"/>
    <w:rsid w:val="00893D7D"/>
    <w:rsid w:val="00896B1B"/>
    <w:rsid w:val="008E559E"/>
    <w:rsid w:val="008F340E"/>
    <w:rsid w:val="00904574"/>
    <w:rsid w:val="00916080"/>
    <w:rsid w:val="00921A68"/>
    <w:rsid w:val="0093490E"/>
    <w:rsid w:val="00935301"/>
    <w:rsid w:val="0093569D"/>
    <w:rsid w:val="00943F60"/>
    <w:rsid w:val="0094631F"/>
    <w:rsid w:val="009467F0"/>
    <w:rsid w:val="00966576"/>
    <w:rsid w:val="00976203"/>
    <w:rsid w:val="00991A05"/>
    <w:rsid w:val="009A1317"/>
    <w:rsid w:val="009A18A7"/>
    <w:rsid w:val="009B4F2A"/>
    <w:rsid w:val="009C2247"/>
    <w:rsid w:val="009C6F3E"/>
    <w:rsid w:val="009E162D"/>
    <w:rsid w:val="009E6574"/>
    <w:rsid w:val="009F5A2D"/>
    <w:rsid w:val="00A015C4"/>
    <w:rsid w:val="00A03B04"/>
    <w:rsid w:val="00A15172"/>
    <w:rsid w:val="00A160C8"/>
    <w:rsid w:val="00A246B4"/>
    <w:rsid w:val="00A33202"/>
    <w:rsid w:val="00A44F50"/>
    <w:rsid w:val="00A45832"/>
    <w:rsid w:val="00A631DA"/>
    <w:rsid w:val="00A67CE7"/>
    <w:rsid w:val="00A75EB9"/>
    <w:rsid w:val="00AA12DE"/>
    <w:rsid w:val="00AC2EE1"/>
    <w:rsid w:val="00B05821"/>
    <w:rsid w:val="00B20510"/>
    <w:rsid w:val="00B31A9E"/>
    <w:rsid w:val="00B41002"/>
    <w:rsid w:val="00B5080A"/>
    <w:rsid w:val="00B53ABA"/>
    <w:rsid w:val="00B604BB"/>
    <w:rsid w:val="00B62BD8"/>
    <w:rsid w:val="00B71F38"/>
    <w:rsid w:val="00B71F50"/>
    <w:rsid w:val="00B824F5"/>
    <w:rsid w:val="00B87A1C"/>
    <w:rsid w:val="00B943AE"/>
    <w:rsid w:val="00BA1886"/>
    <w:rsid w:val="00BB1271"/>
    <w:rsid w:val="00BB5537"/>
    <w:rsid w:val="00BD421F"/>
    <w:rsid w:val="00BD7258"/>
    <w:rsid w:val="00BF3204"/>
    <w:rsid w:val="00C0598D"/>
    <w:rsid w:val="00C11956"/>
    <w:rsid w:val="00C47EC4"/>
    <w:rsid w:val="00C50EE3"/>
    <w:rsid w:val="00C602E5"/>
    <w:rsid w:val="00C6121C"/>
    <w:rsid w:val="00C644F3"/>
    <w:rsid w:val="00C72C38"/>
    <w:rsid w:val="00C7364E"/>
    <w:rsid w:val="00C748FD"/>
    <w:rsid w:val="00C85843"/>
    <w:rsid w:val="00CC0DB1"/>
    <w:rsid w:val="00CD1D55"/>
    <w:rsid w:val="00CD22C4"/>
    <w:rsid w:val="00CD2C9F"/>
    <w:rsid w:val="00CD2EC4"/>
    <w:rsid w:val="00CE2BBA"/>
    <w:rsid w:val="00CF756E"/>
    <w:rsid w:val="00D04CB3"/>
    <w:rsid w:val="00D2479B"/>
    <w:rsid w:val="00D27372"/>
    <w:rsid w:val="00D4046E"/>
    <w:rsid w:val="00D4362F"/>
    <w:rsid w:val="00D8635F"/>
    <w:rsid w:val="00D8744A"/>
    <w:rsid w:val="00D906C1"/>
    <w:rsid w:val="00D919BF"/>
    <w:rsid w:val="00DB1275"/>
    <w:rsid w:val="00DC0360"/>
    <w:rsid w:val="00DD4739"/>
    <w:rsid w:val="00DE5F33"/>
    <w:rsid w:val="00DE77D4"/>
    <w:rsid w:val="00DF35FB"/>
    <w:rsid w:val="00DF672C"/>
    <w:rsid w:val="00E00CA9"/>
    <w:rsid w:val="00E07B54"/>
    <w:rsid w:val="00E11F78"/>
    <w:rsid w:val="00E12F5E"/>
    <w:rsid w:val="00E142E0"/>
    <w:rsid w:val="00E330A2"/>
    <w:rsid w:val="00E35677"/>
    <w:rsid w:val="00E36C95"/>
    <w:rsid w:val="00E37259"/>
    <w:rsid w:val="00E5515A"/>
    <w:rsid w:val="00E621E1"/>
    <w:rsid w:val="00E65481"/>
    <w:rsid w:val="00E74A47"/>
    <w:rsid w:val="00E74E6B"/>
    <w:rsid w:val="00E94233"/>
    <w:rsid w:val="00E97150"/>
    <w:rsid w:val="00EC0526"/>
    <w:rsid w:val="00EC55B3"/>
    <w:rsid w:val="00ED58BD"/>
    <w:rsid w:val="00ED7736"/>
    <w:rsid w:val="00EE6681"/>
    <w:rsid w:val="00EF041C"/>
    <w:rsid w:val="00F128B1"/>
    <w:rsid w:val="00F30231"/>
    <w:rsid w:val="00F47A5A"/>
    <w:rsid w:val="00F51171"/>
    <w:rsid w:val="00F56919"/>
    <w:rsid w:val="00F57D7F"/>
    <w:rsid w:val="00F65575"/>
    <w:rsid w:val="00F84225"/>
    <w:rsid w:val="00F9446A"/>
    <w:rsid w:val="00F96FB2"/>
    <w:rsid w:val="00FA3086"/>
    <w:rsid w:val="00FB4493"/>
    <w:rsid w:val="00FB51D8"/>
    <w:rsid w:val="00FC4DAE"/>
    <w:rsid w:val="00FD08E8"/>
    <w:rsid w:val="00FD3320"/>
    <w:rsid w:val="00FD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paragraph" w:styleId="FootnoteText">
    <w:name w:val="footnote text"/>
    <w:basedOn w:val="Normal"/>
    <w:link w:val="FootnoteTextChar"/>
    <w:rsid w:val="006472CF"/>
    <w:rPr>
      <w:sz w:val="20"/>
      <w:szCs w:val="20"/>
    </w:rPr>
  </w:style>
  <w:style w:type="character" w:customStyle="1" w:styleId="FootnoteTextChar">
    <w:name w:val="Footnote Text Char"/>
    <w:basedOn w:val="DefaultParagraphFont"/>
    <w:link w:val="FootnoteText"/>
    <w:rsid w:val="006472CF"/>
  </w:style>
  <w:style w:type="character" w:styleId="FootnoteReference">
    <w:name w:val="footnote reference"/>
    <w:basedOn w:val="DefaultParagraphFont"/>
    <w:rsid w:val="006472CF"/>
    <w:rPr>
      <w:vertAlign w:val="superscript"/>
    </w:rPr>
  </w:style>
  <w:style w:type="character" w:customStyle="1" w:styleId="normaltextrun">
    <w:name w:val="normaltextrun"/>
    <w:basedOn w:val="DefaultParagraphFont"/>
    <w:rsid w:val="00B71F50"/>
  </w:style>
  <w:style w:type="character" w:customStyle="1" w:styleId="eop">
    <w:name w:val="eop"/>
    <w:basedOn w:val="DefaultParagraphFont"/>
    <w:rsid w:val="00B71F50"/>
  </w:style>
  <w:style w:type="character" w:styleId="FollowedHyperlink">
    <w:name w:val="FollowedHyperlink"/>
    <w:basedOn w:val="DefaultParagraphFont"/>
    <w:rsid w:val="003A0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242440">
      <w:bodyDiv w:val="1"/>
      <w:marLeft w:val="0"/>
      <w:marRight w:val="0"/>
      <w:marTop w:val="0"/>
      <w:marBottom w:val="0"/>
      <w:divBdr>
        <w:top w:val="none" w:sz="0" w:space="0" w:color="auto"/>
        <w:left w:val="none" w:sz="0" w:space="0" w:color="auto"/>
        <w:bottom w:val="none" w:sz="0" w:space="0" w:color="auto"/>
        <w:right w:val="none" w:sz="0" w:space="0" w:color="auto"/>
      </w:divBdr>
      <w:divsChild>
        <w:div w:id="707023750">
          <w:marLeft w:val="1166"/>
          <w:marRight w:val="0"/>
          <w:marTop w:val="77"/>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47540106">
      <w:bodyDiv w:val="1"/>
      <w:marLeft w:val="0"/>
      <w:marRight w:val="0"/>
      <w:marTop w:val="0"/>
      <w:marBottom w:val="0"/>
      <w:divBdr>
        <w:top w:val="none" w:sz="0" w:space="0" w:color="auto"/>
        <w:left w:val="none" w:sz="0" w:space="0" w:color="auto"/>
        <w:bottom w:val="none" w:sz="0" w:space="0" w:color="auto"/>
        <w:right w:val="none" w:sz="0" w:space="0" w:color="auto"/>
      </w:divBdr>
      <w:divsChild>
        <w:div w:id="445779728">
          <w:marLeft w:val="1166"/>
          <w:marRight w:val="0"/>
          <w:marTop w:val="86"/>
          <w:marBottom w:val="0"/>
          <w:divBdr>
            <w:top w:val="none" w:sz="0" w:space="0" w:color="auto"/>
            <w:left w:val="none" w:sz="0" w:space="0" w:color="auto"/>
            <w:bottom w:val="none" w:sz="0" w:space="0" w:color="auto"/>
            <w:right w:val="none" w:sz="0" w:space="0" w:color="auto"/>
          </w:divBdr>
        </w:div>
      </w:divsChild>
    </w:div>
    <w:div w:id="1903441942">
      <w:bodyDiv w:val="1"/>
      <w:marLeft w:val="0"/>
      <w:marRight w:val="0"/>
      <w:marTop w:val="0"/>
      <w:marBottom w:val="0"/>
      <w:divBdr>
        <w:top w:val="none" w:sz="0" w:space="0" w:color="auto"/>
        <w:left w:val="none" w:sz="0" w:space="0" w:color="auto"/>
        <w:bottom w:val="none" w:sz="0" w:space="0" w:color="auto"/>
        <w:right w:val="none" w:sz="0" w:space="0" w:color="auto"/>
      </w:divBdr>
      <w:divsChild>
        <w:div w:id="157365539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4/05/23/E3_ERCOT_Congestion_Cost_Savings_Test_for_Economic_Transmission_Report_March_20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arth@ercot.com" TargetMode="External"/><Relationship Id="rId4" Type="http://schemas.openxmlformats.org/officeDocument/2006/relationships/settings" Target="settings.xml"/><Relationship Id="rId9" Type="http://schemas.openxmlformats.org/officeDocument/2006/relationships/hyperlink" Target="mailto:ping.yan@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3B45-EB03-4542-97E7-F8E193F0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824</Words>
  <Characters>5166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5979</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Gnanam, Prabhu</dc:creator>
  <cp:keywords/>
  <dc:description/>
  <cp:lastModifiedBy>Jordan Troublefield</cp:lastModifiedBy>
  <cp:revision>3</cp:revision>
  <cp:lastPrinted>2001-06-20T16:28:00Z</cp:lastPrinted>
  <dcterms:created xsi:type="dcterms:W3CDTF">2024-11-26T17:18:00Z</dcterms:created>
  <dcterms:modified xsi:type="dcterms:W3CDTF">2024-11-26T17:21:00Z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