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Layout w:type="fixed"/>
        <w:tblLook w:val="0000" w:firstRow="0" w:lastRow="0" w:firstColumn="0" w:lastColumn="0" w:noHBand="0" w:noVBand="0"/>
      </w:tblPr>
      <w:tblGrid>
        <w:gridCol w:w="1620"/>
        <w:gridCol w:w="1260"/>
        <w:gridCol w:w="900"/>
        <w:gridCol w:w="6660"/>
      </w:tblGrid>
      <w:tr w:rsidR="0059464D" w14:paraId="3382C190" w14:textId="77777777">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1003B" w14:textId="77777777" w:rsidR="0059464D" w:rsidRDefault="00D0647C">
            <w:pPr>
              <w:pStyle w:val="Header"/>
              <w:widowControl w:val="0"/>
              <w:rPr>
                <w:rFonts w:ascii="Verdana" w:hAnsi="Verdana" w:cs="Verdana"/>
                <w:sz w:val="22"/>
              </w:rPr>
            </w:pPr>
            <w:r>
              <w:t>NPRR Number</w:t>
            </w:r>
          </w:p>
        </w:tc>
        <w:tc>
          <w:tcPr>
            <w:tcW w:w="1260" w:type="dxa"/>
            <w:tcBorders>
              <w:top w:val="single" w:sz="4" w:space="0" w:color="000000"/>
              <w:left w:val="single" w:sz="4" w:space="0" w:color="000000"/>
              <w:bottom w:val="single" w:sz="4" w:space="0" w:color="000000"/>
              <w:right w:val="single" w:sz="4" w:space="0" w:color="000000"/>
            </w:tcBorders>
            <w:vAlign w:val="center"/>
          </w:tcPr>
          <w:p w14:paraId="60F2B11F" w14:textId="77777777" w:rsidR="0059464D" w:rsidRDefault="00FF3351">
            <w:pPr>
              <w:widowControl w:val="0"/>
              <w:snapToGrid w:val="0"/>
              <w:rPr>
                <w:rFonts w:ascii="Verdana" w:hAnsi="Verdana" w:cs="Verdana"/>
                <w:sz w:val="22"/>
              </w:rPr>
            </w:pPr>
            <w:hyperlink r:id="rId7">
              <w:r w:rsidR="00D0647C">
                <w:rPr>
                  <w:rFonts w:ascii="Arial-BoldMT" w:hAnsi="Arial-BoldMT" w:cs="Verdana"/>
                  <w:b/>
                  <w:color w:val="0000FF"/>
                  <w:u w:val="single"/>
                </w:rPr>
                <w:t>1261</w:t>
              </w:r>
            </w:hyperlink>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1DC5C" w14:textId="77777777" w:rsidR="0059464D" w:rsidRDefault="00D0647C">
            <w:pPr>
              <w:pStyle w:val="Header"/>
              <w:widowControl w:val="0"/>
            </w:pPr>
            <w:r>
              <w:t>NPRR Title</w:t>
            </w:r>
          </w:p>
        </w:tc>
        <w:tc>
          <w:tcPr>
            <w:tcW w:w="6659" w:type="dxa"/>
            <w:tcBorders>
              <w:top w:val="single" w:sz="4" w:space="0" w:color="000000"/>
              <w:left w:val="single" w:sz="4" w:space="0" w:color="000000"/>
              <w:bottom w:val="single" w:sz="4" w:space="0" w:color="000000"/>
              <w:right w:val="single" w:sz="4" w:space="0" w:color="000000"/>
            </w:tcBorders>
            <w:vAlign w:val="center"/>
          </w:tcPr>
          <w:p w14:paraId="65EF970D" w14:textId="77777777" w:rsidR="0059464D" w:rsidRDefault="00D0647C">
            <w:pPr>
              <w:widowControl w:val="0"/>
              <w:snapToGrid w:val="0"/>
            </w:pPr>
            <w:r>
              <w:rPr>
                <w:rFonts w:ascii="Arial-BoldMT" w:hAnsi="Arial-BoldMT"/>
                <w:b/>
                <w:color w:val="000000"/>
              </w:rPr>
              <w:t>Operational Flexibility for CRR Auction Transaction Limits</w:t>
            </w:r>
          </w:p>
        </w:tc>
      </w:tr>
      <w:tr w:rsidR="0059464D" w14:paraId="3EC3B7C6" w14:textId="77777777">
        <w:trPr>
          <w:trHeight w:val="413"/>
        </w:trPr>
        <w:tc>
          <w:tcPr>
            <w:tcW w:w="2880" w:type="dxa"/>
            <w:gridSpan w:val="2"/>
            <w:tcBorders>
              <w:bottom w:val="single" w:sz="4" w:space="0" w:color="000000"/>
            </w:tcBorders>
            <w:vAlign w:val="center"/>
          </w:tcPr>
          <w:p w14:paraId="3A48841C" w14:textId="77777777" w:rsidR="0059464D" w:rsidRDefault="0059464D">
            <w:pPr>
              <w:pStyle w:val="NormalArial"/>
              <w:widowControl w:val="0"/>
              <w:snapToGrid w:val="0"/>
            </w:pPr>
          </w:p>
        </w:tc>
        <w:tc>
          <w:tcPr>
            <w:tcW w:w="7559" w:type="dxa"/>
            <w:gridSpan w:val="2"/>
            <w:tcBorders>
              <w:top w:val="single" w:sz="4" w:space="0" w:color="000000"/>
            </w:tcBorders>
            <w:vAlign w:val="center"/>
          </w:tcPr>
          <w:p w14:paraId="0B00F500" w14:textId="77777777" w:rsidR="0059464D" w:rsidRDefault="0059464D">
            <w:pPr>
              <w:pStyle w:val="NormalArial"/>
              <w:widowControl w:val="0"/>
              <w:snapToGrid w:val="0"/>
            </w:pPr>
          </w:p>
        </w:tc>
      </w:tr>
      <w:tr w:rsidR="0059464D" w14:paraId="7EAADAFA"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56DF84D" w14:textId="77777777" w:rsidR="0059464D" w:rsidRDefault="00D0647C">
            <w:pPr>
              <w:pStyle w:val="Header"/>
              <w:widowControl w:val="0"/>
            </w:pPr>
            <w:r>
              <w:t>Date</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16DB85DB" w14:textId="0082694D" w:rsidR="0059464D" w:rsidRDefault="00186C78">
            <w:pPr>
              <w:pStyle w:val="NormalArial"/>
              <w:widowControl w:val="0"/>
              <w:snapToGrid w:val="0"/>
            </w:pPr>
            <w:r>
              <w:t>December 6, 2024</w:t>
            </w:r>
          </w:p>
        </w:tc>
      </w:tr>
      <w:tr w:rsidR="0059464D" w14:paraId="75D21F3B" w14:textId="77777777">
        <w:trPr>
          <w:trHeight w:val="467"/>
        </w:trPr>
        <w:tc>
          <w:tcPr>
            <w:tcW w:w="2880" w:type="dxa"/>
            <w:gridSpan w:val="2"/>
            <w:tcBorders>
              <w:top w:val="single" w:sz="4" w:space="0" w:color="000000"/>
            </w:tcBorders>
            <w:shd w:val="clear" w:color="auto" w:fill="FFFFFF"/>
            <w:vAlign w:val="center"/>
          </w:tcPr>
          <w:p w14:paraId="7B9FA067" w14:textId="77777777" w:rsidR="0059464D" w:rsidRDefault="0059464D">
            <w:pPr>
              <w:pStyle w:val="NormalArial"/>
              <w:widowControl w:val="0"/>
              <w:snapToGrid w:val="0"/>
            </w:pPr>
          </w:p>
        </w:tc>
        <w:tc>
          <w:tcPr>
            <w:tcW w:w="7559" w:type="dxa"/>
            <w:gridSpan w:val="2"/>
            <w:vAlign w:val="center"/>
          </w:tcPr>
          <w:p w14:paraId="35D98BBA" w14:textId="77777777" w:rsidR="0059464D" w:rsidRDefault="0059464D">
            <w:pPr>
              <w:pStyle w:val="NormalArial"/>
              <w:widowControl w:val="0"/>
              <w:snapToGrid w:val="0"/>
            </w:pPr>
          </w:p>
        </w:tc>
      </w:tr>
      <w:tr w:rsidR="0059464D" w14:paraId="72746133" w14:textId="77777777">
        <w:trPr>
          <w:trHeight w:val="440"/>
        </w:trPr>
        <w:tc>
          <w:tcPr>
            <w:tcW w:w="104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9051146" w14:textId="77777777" w:rsidR="0059464D" w:rsidRDefault="00D0647C">
            <w:pPr>
              <w:pStyle w:val="Header"/>
              <w:widowControl w:val="0"/>
              <w:jc w:val="center"/>
            </w:pPr>
            <w:r>
              <w:t>Submitter’s Information</w:t>
            </w:r>
          </w:p>
        </w:tc>
      </w:tr>
      <w:tr w:rsidR="0059464D" w14:paraId="532BD9DE" w14:textId="77777777">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C1D943" w14:textId="77777777" w:rsidR="0059464D" w:rsidRDefault="00D0647C">
            <w:pPr>
              <w:pStyle w:val="Header"/>
              <w:widowControl w:val="0"/>
            </w:pPr>
            <w:r>
              <w:t>Name</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28B8C35F" w14:textId="77777777" w:rsidR="0059464D" w:rsidRDefault="00D0647C">
            <w:pPr>
              <w:pStyle w:val="NormalArial"/>
              <w:widowControl w:val="0"/>
              <w:snapToGrid w:val="0"/>
            </w:pPr>
            <w:r>
              <w:t>Mark Price</w:t>
            </w:r>
          </w:p>
        </w:tc>
      </w:tr>
      <w:tr w:rsidR="0059464D" w14:paraId="4723B9A3" w14:textId="77777777">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5208FE" w14:textId="77777777" w:rsidR="0059464D" w:rsidRDefault="00D0647C">
            <w:pPr>
              <w:pStyle w:val="Header"/>
              <w:widowControl w:val="0"/>
            </w:pPr>
            <w:r>
              <w:t>E-mail Address</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6A2FCEF7" w14:textId="7E45B7B1" w:rsidR="0059464D" w:rsidRDefault="00FF3351">
            <w:pPr>
              <w:pStyle w:val="NormalArial"/>
              <w:widowControl w:val="0"/>
              <w:snapToGrid w:val="0"/>
            </w:pPr>
            <w:hyperlink r:id="rId8" w:history="1">
              <w:r w:rsidR="00D0647C" w:rsidRPr="002306E1">
                <w:rPr>
                  <w:rStyle w:val="Hyperlink"/>
                </w:rPr>
                <w:t>Mark.price@dc-energy.com</w:t>
              </w:r>
            </w:hyperlink>
          </w:p>
        </w:tc>
      </w:tr>
      <w:tr w:rsidR="0059464D" w14:paraId="02A52DE1" w14:textId="77777777">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958F3C" w14:textId="77777777" w:rsidR="0059464D" w:rsidRDefault="00D0647C">
            <w:pPr>
              <w:pStyle w:val="Header"/>
              <w:widowControl w:val="0"/>
            </w:pPr>
            <w:r>
              <w:t>Company</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44A4D5A7" w14:textId="77777777" w:rsidR="0059464D" w:rsidRDefault="00D0647C">
            <w:pPr>
              <w:pStyle w:val="NormalArial"/>
              <w:widowControl w:val="0"/>
              <w:snapToGrid w:val="0"/>
            </w:pPr>
            <w:r>
              <w:t>DC Energy Texas LLC</w:t>
            </w:r>
          </w:p>
        </w:tc>
      </w:tr>
      <w:tr w:rsidR="0059464D" w14:paraId="34A11505" w14:textId="77777777">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DDCBC9" w14:textId="77777777" w:rsidR="0059464D" w:rsidRDefault="00D0647C">
            <w:pPr>
              <w:pStyle w:val="Header"/>
              <w:widowControl w:val="0"/>
            </w:pPr>
            <w:r>
              <w:t>Phone Number</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78DF9697" w14:textId="77777777" w:rsidR="0059464D" w:rsidRDefault="00D0647C">
            <w:pPr>
              <w:pStyle w:val="NormalArial"/>
              <w:widowControl w:val="0"/>
              <w:snapToGrid w:val="0"/>
            </w:pPr>
            <w:r>
              <w:t>703-760-4426</w:t>
            </w:r>
          </w:p>
        </w:tc>
      </w:tr>
      <w:tr w:rsidR="0059464D" w14:paraId="3F47FD9D" w14:textId="77777777">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B02587" w14:textId="77777777" w:rsidR="0059464D" w:rsidRDefault="00D0647C">
            <w:pPr>
              <w:pStyle w:val="Header"/>
              <w:widowControl w:val="0"/>
            </w:pPr>
            <w:r>
              <w:t>Cell Number</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5A9C752C" w14:textId="77777777" w:rsidR="0059464D" w:rsidRDefault="0059464D">
            <w:pPr>
              <w:pStyle w:val="NormalArial"/>
              <w:widowControl w:val="0"/>
              <w:snapToGrid w:val="0"/>
            </w:pPr>
          </w:p>
        </w:tc>
      </w:tr>
      <w:tr w:rsidR="0059464D" w14:paraId="2B1FEEEC" w14:textId="77777777">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D947B3" w14:textId="77777777" w:rsidR="0059464D" w:rsidRDefault="00D0647C">
            <w:pPr>
              <w:pStyle w:val="Header"/>
              <w:widowControl w:val="0"/>
            </w:pPr>
            <w:r>
              <w:t>Market Segment</w:t>
            </w:r>
          </w:p>
        </w:tc>
        <w:tc>
          <w:tcPr>
            <w:tcW w:w="7559" w:type="dxa"/>
            <w:gridSpan w:val="2"/>
            <w:tcBorders>
              <w:top w:val="single" w:sz="4" w:space="0" w:color="000000"/>
              <w:left w:val="single" w:sz="4" w:space="0" w:color="000000"/>
              <w:bottom w:val="single" w:sz="4" w:space="0" w:color="000000"/>
              <w:right w:val="single" w:sz="4" w:space="0" w:color="000000"/>
            </w:tcBorders>
            <w:vAlign w:val="center"/>
          </w:tcPr>
          <w:p w14:paraId="75A08BCB" w14:textId="4ADDF558" w:rsidR="0059464D" w:rsidRDefault="00D0647C">
            <w:pPr>
              <w:pStyle w:val="NormalArial"/>
              <w:widowControl w:val="0"/>
              <w:snapToGrid w:val="0"/>
            </w:pPr>
            <w:r>
              <w:t>Independent Power Market</w:t>
            </w:r>
            <w:r w:rsidR="006303FD">
              <w:t>er</w:t>
            </w:r>
            <w:r>
              <w:t xml:space="preserve"> (IPM)</w:t>
            </w:r>
          </w:p>
        </w:tc>
      </w:tr>
    </w:tbl>
    <w:p w14:paraId="031D9719" w14:textId="77777777" w:rsidR="0059464D" w:rsidRDefault="0059464D">
      <w:pPr>
        <w:pStyle w:val="NormalArial"/>
      </w:pPr>
    </w:p>
    <w:tbl>
      <w:tblPr>
        <w:tblW w:w="10440" w:type="dxa"/>
        <w:tblInd w:w="-432" w:type="dxa"/>
        <w:tblLayout w:type="fixed"/>
        <w:tblLook w:val="0000" w:firstRow="0" w:lastRow="0" w:firstColumn="0" w:lastColumn="0" w:noHBand="0" w:noVBand="0"/>
      </w:tblPr>
      <w:tblGrid>
        <w:gridCol w:w="10440"/>
      </w:tblGrid>
      <w:tr w:rsidR="00186C78" w14:paraId="44C8B604" w14:textId="77777777" w:rsidTr="00F52977">
        <w:trPr>
          <w:trHeight w:val="350"/>
        </w:trPr>
        <w:tc>
          <w:tcPr>
            <w:tcW w:w="10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5EB82" w14:textId="141C873B" w:rsidR="00186C78" w:rsidRDefault="00186C78" w:rsidP="00F52977">
            <w:pPr>
              <w:pStyle w:val="Header"/>
              <w:widowControl w:val="0"/>
              <w:jc w:val="center"/>
            </w:pPr>
            <w:r>
              <w:t>Comments</w:t>
            </w:r>
          </w:p>
        </w:tc>
      </w:tr>
    </w:tbl>
    <w:p w14:paraId="3ED22E99" w14:textId="68DA831F" w:rsidR="0059464D" w:rsidRDefault="00D0647C" w:rsidP="00D0647C">
      <w:pPr>
        <w:pStyle w:val="NormalArial"/>
        <w:spacing w:before="120" w:after="120"/>
      </w:pPr>
      <w:r>
        <w:t xml:space="preserve">DC Energy supports Nodal Protocol Revision Request (NPRR) 1261’s goal of </w:t>
      </w:r>
      <w:r>
        <w:rPr>
          <w:rFonts w:ascii="ArialMT" w:hAnsi="ArialMT"/>
          <w:color w:val="000000"/>
        </w:rPr>
        <w:t xml:space="preserve">maximizing market liquidity while minimizing the risk of performance issues in Congestion Revenue Right (CRR) Long-Term Auction Sequence Auctions.  These two goals can often be in conflict where advancing one could detriment the other. </w:t>
      </w:r>
      <w:r w:rsidR="00FF3351">
        <w:rPr>
          <w:rFonts w:ascii="ArialMT" w:hAnsi="ArialMT"/>
          <w:color w:val="000000"/>
        </w:rPr>
        <w:t xml:space="preserve"> </w:t>
      </w:r>
      <w:r>
        <w:rPr>
          <w:rFonts w:ascii="ArialMT" w:hAnsi="ArialMT"/>
          <w:color w:val="000000"/>
        </w:rPr>
        <w:t>This NPRR will give ERCOT full discretion over decisions that impact this tradeoff.  To ensure that ERCOT’s decisions remain in line with the desire of stakeholders and CRR auction participants, we request that ERCOT continue to provide transparency behind the decisions they are making.</w:t>
      </w:r>
    </w:p>
    <w:p w14:paraId="5908E6CD" w14:textId="24C08720" w:rsidR="0059464D" w:rsidRDefault="00D0647C" w:rsidP="00D0647C">
      <w:pPr>
        <w:pStyle w:val="NormalArial"/>
        <w:spacing w:before="120" w:after="120"/>
        <w:rPr>
          <w:rFonts w:ascii="ArialMT" w:hAnsi="ArialMT"/>
          <w:color w:val="000000"/>
        </w:rPr>
      </w:pPr>
      <w:r>
        <w:rPr>
          <w:rFonts w:ascii="ArialMT" w:hAnsi="ArialMT"/>
          <w:color w:val="000000"/>
        </w:rPr>
        <w:t>Specifically, upon completion of each CRR Long-Term Auction Sequence, we ask that ERCOT continue to disclose the number of transactions and the execution time of that auction to the Congestion Management Working Group (CMWG).  For auctions where a transaction adjustment period is utilized, we recommend ERCOT test the execution time of the auction on the original transaction set.  We understand ERCOT’s computation and analytical time is limited, but we believe this information is important to understand if a transaction adjustment period was indeed needed and whether the implementation of the transaction adjustment period could be modified to better achieve the dual goals of this NPRR.  If ERCOT utilizes any other information to inform their decision around transaction limits, we also ask that this be disclosed.</w:t>
      </w:r>
    </w:p>
    <w:p w14:paraId="458B2E40" w14:textId="757052E5" w:rsidR="0059464D" w:rsidRDefault="00D0647C" w:rsidP="00D0647C">
      <w:pPr>
        <w:pStyle w:val="NormalArial"/>
        <w:spacing w:before="120" w:after="120"/>
      </w:pPr>
      <w:r>
        <w:rPr>
          <w:rFonts w:ascii="ArialMT" w:hAnsi="ArialMT"/>
          <w:color w:val="000000"/>
        </w:rPr>
        <w:t xml:space="preserve">In addition, ERCOT should continue to provide updates to CMWG on future changes to software or hardware that would materially change auction execution times. </w:t>
      </w:r>
    </w:p>
    <w:p w14:paraId="2A85A2E1" w14:textId="2F28474F" w:rsidR="0059464D" w:rsidRDefault="00D0647C" w:rsidP="00D0647C">
      <w:pPr>
        <w:pStyle w:val="NormalArial"/>
        <w:spacing w:before="120" w:after="120"/>
      </w:pPr>
      <w:r>
        <w:rPr>
          <w:rFonts w:ascii="ArialMT" w:hAnsi="ArialMT"/>
          <w:color w:val="000000"/>
        </w:rPr>
        <w:t xml:space="preserve">DC Energy appreciates the transparency on this topic that ERCOT is currently providing to CMWG.  ERCOT staff have indicated that they plan to continue to provide the above transparency going forward.  We submit these comments to memorialize our request for this information on an ongoing basis </w:t>
      </w:r>
      <w:proofErr w:type="gramStart"/>
      <w:r>
        <w:rPr>
          <w:rFonts w:ascii="ArialMT" w:hAnsi="ArialMT"/>
          <w:color w:val="000000"/>
        </w:rPr>
        <w:t>as long as</w:t>
      </w:r>
      <w:proofErr w:type="gramEnd"/>
      <w:r>
        <w:rPr>
          <w:rFonts w:ascii="ArialMT" w:hAnsi="ArialMT"/>
          <w:color w:val="000000"/>
        </w:rPr>
        <w:t xml:space="preserve"> restrictive bid transaction limits are in effect.</w:t>
      </w:r>
    </w:p>
    <w:tbl>
      <w:tblPr>
        <w:tblW w:w="10440" w:type="dxa"/>
        <w:tblInd w:w="-432" w:type="dxa"/>
        <w:tblLayout w:type="fixed"/>
        <w:tblLook w:val="0000" w:firstRow="0" w:lastRow="0" w:firstColumn="0" w:lastColumn="0" w:noHBand="0" w:noVBand="0"/>
      </w:tblPr>
      <w:tblGrid>
        <w:gridCol w:w="10440"/>
      </w:tblGrid>
      <w:tr w:rsidR="0059464D" w14:paraId="4B95FB68" w14:textId="77777777">
        <w:trPr>
          <w:trHeight w:val="350"/>
        </w:trPr>
        <w:tc>
          <w:tcPr>
            <w:tcW w:w="10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65ACB" w14:textId="77777777" w:rsidR="0059464D" w:rsidRDefault="00D0647C">
            <w:pPr>
              <w:pStyle w:val="Header"/>
              <w:widowControl w:val="0"/>
              <w:jc w:val="center"/>
            </w:pPr>
            <w:r>
              <w:lastRenderedPageBreak/>
              <w:t>Revised Cover Page Language</w:t>
            </w:r>
          </w:p>
        </w:tc>
      </w:tr>
    </w:tbl>
    <w:p w14:paraId="4357A71A" w14:textId="6D0B7C38" w:rsidR="0059464D" w:rsidRPr="00D0647C" w:rsidRDefault="00D0647C" w:rsidP="00D0647C">
      <w:pPr>
        <w:pStyle w:val="BodyText"/>
        <w:rPr>
          <w:rFonts w:ascii="Arial" w:hAnsi="Arial" w:cs="Arial"/>
          <w:bCs/>
          <w:color w:val="000000"/>
        </w:rPr>
      </w:pPr>
      <w:r w:rsidRPr="00D0647C">
        <w:rPr>
          <w:rFonts w:ascii="Arial" w:hAnsi="Arial" w:cs="Arial"/>
          <w:bCs/>
          <w:color w:val="000000"/>
        </w:rPr>
        <w:t>None</w:t>
      </w:r>
    </w:p>
    <w:tbl>
      <w:tblPr>
        <w:tblW w:w="10440" w:type="dxa"/>
        <w:tblInd w:w="-432" w:type="dxa"/>
        <w:tblLayout w:type="fixed"/>
        <w:tblLook w:val="0000" w:firstRow="0" w:lastRow="0" w:firstColumn="0" w:lastColumn="0" w:noHBand="0" w:noVBand="0"/>
      </w:tblPr>
      <w:tblGrid>
        <w:gridCol w:w="10440"/>
      </w:tblGrid>
      <w:tr w:rsidR="0059464D" w14:paraId="19C439CB" w14:textId="77777777">
        <w:trPr>
          <w:trHeight w:val="350"/>
        </w:trPr>
        <w:tc>
          <w:tcPr>
            <w:tcW w:w="10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25DC6" w14:textId="77777777" w:rsidR="0059464D" w:rsidRDefault="00D0647C">
            <w:pPr>
              <w:pStyle w:val="Header"/>
              <w:widowControl w:val="0"/>
              <w:jc w:val="center"/>
            </w:pPr>
            <w:r>
              <w:t>Revised Proposed Protocol Language</w:t>
            </w:r>
          </w:p>
        </w:tc>
      </w:tr>
    </w:tbl>
    <w:p w14:paraId="1085785A" w14:textId="232FB0A4" w:rsidR="0059464D" w:rsidRPr="00186C78" w:rsidRDefault="00186C78" w:rsidP="00186C78">
      <w:pPr>
        <w:pStyle w:val="BodyText"/>
        <w:rPr>
          <w:rFonts w:ascii="Arial" w:hAnsi="Arial" w:cs="Arial"/>
          <w:bCs/>
          <w:color w:val="000000"/>
        </w:rPr>
      </w:pPr>
      <w:r w:rsidRPr="00D0647C">
        <w:rPr>
          <w:rFonts w:ascii="Arial" w:hAnsi="Arial" w:cs="Arial"/>
          <w:bCs/>
          <w:color w:val="000000"/>
        </w:rPr>
        <w:t>None</w:t>
      </w:r>
    </w:p>
    <w:sectPr w:rsidR="0059464D" w:rsidRPr="00186C78">
      <w:headerReference w:type="default" r:id="rId9"/>
      <w:footerReference w:type="default" r:id="rId10"/>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6B53" w14:textId="77777777" w:rsidR="00D0647C" w:rsidRDefault="00D0647C">
      <w:r>
        <w:separator/>
      </w:r>
    </w:p>
  </w:endnote>
  <w:endnote w:type="continuationSeparator" w:id="0">
    <w:p w14:paraId="28EE80C4" w14:textId="77777777" w:rsidR="00D0647C" w:rsidRDefault="00D0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PingFang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charset w:val="01"/>
    <w:family w:val="roman"/>
    <w:pitch w:val="variable"/>
  </w:font>
  <w:font w:name="ArialMT">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73C3" w14:textId="19D5CBBE" w:rsidR="0059464D" w:rsidRDefault="00D0647C">
    <w:pPr>
      <w:pStyle w:val="Footer"/>
      <w:tabs>
        <w:tab w:val="clear" w:pos="4320"/>
        <w:tab w:val="clear" w:pos="8640"/>
        <w:tab w:val="right" w:pos="9360"/>
      </w:tabs>
    </w:pPr>
    <w:r>
      <w:rPr>
        <w:rFonts w:ascii="Arial" w:hAnsi="Arial" w:cs="Arial"/>
        <w:sz w:val="18"/>
      </w:rPr>
      <w:t>1261NPRR-03 DC Energy Comments 120624</w:t>
    </w:r>
    <w:r>
      <w:rPr>
        <w:rFonts w:ascii="Arial" w:hAnsi="Arial" w:cs="Arial"/>
        <w:sz w:val="18"/>
      </w:rPr>
      <w:tab/>
      <w:t xml:space="preserve">Page </w:t>
    </w:r>
    <w:r>
      <w:rPr>
        <w:rFonts w:ascii="Arial" w:hAnsi="Arial" w:cs="Arial"/>
        <w:sz w:val="18"/>
      </w:rPr>
      <w:fldChar w:fldCharType="begin"/>
    </w:r>
    <w:r>
      <w:rPr>
        <w:rFonts w:ascii="Arial" w:hAnsi="Arial" w:cs="Arial"/>
        <w:sz w:val="18"/>
      </w:rPr>
      <w:instrText>PAGE</w:instrText>
    </w:r>
    <w:r>
      <w:rPr>
        <w:rFonts w:ascii="Arial" w:hAnsi="Arial" w:cs="Arial"/>
        <w:sz w:val="18"/>
      </w:rPr>
      <w:fldChar w:fldCharType="separate"/>
    </w:r>
    <w:r>
      <w:rPr>
        <w:rFonts w:ascii="Arial" w:hAnsi="Arial" w:cs="Arial"/>
        <w:sz w:val="18"/>
      </w:rPr>
      <w:t>4</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NUMPAGES</w:instrText>
    </w:r>
    <w:r>
      <w:rPr>
        <w:rFonts w:ascii="Arial" w:hAnsi="Arial" w:cs="Arial"/>
        <w:sz w:val="18"/>
      </w:rPr>
      <w:fldChar w:fldCharType="separate"/>
    </w:r>
    <w:r>
      <w:rPr>
        <w:rFonts w:ascii="Arial" w:hAnsi="Arial" w:cs="Arial"/>
        <w:sz w:val="18"/>
      </w:rPr>
      <w:t>4</w:t>
    </w:r>
    <w:r>
      <w:rPr>
        <w:rFonts w:ascii="Arial" w:hAnsi="Arial" w:cs="Arial"/>
        <w:sz w:val="18"/>
      </w:rPr>
      <w:fldChar w:fldCharType="end"/>
    </w:r>
  </w:p>
  <w:p w14:paraId="3F08B590" w14:textId="77777777" w:rsidR="0059464D" w:rsidRDefault="00D0647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D249" w14:textId="77777777" w:rsidR="00D0647C" w:rsidRDefault="00D0647C">
      <w:r>
        <w:separator/>
      </w:r>
    </w:p>
  </w:footnote>
  <w:footnote w:type="continuationSeparator" w:id="0">
    <w:p w14:paraId="67460ABC" w14:textId="77777777" w:rsidR="00D0647C" w:rsidRDefault="00D0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B6F4" w14:textId="77777777" w:rsidR="0059464D" w:rsidRDefault="00D0647C">
    <w:pPr>
      <w:pStyle w:val="Header"/>
      <w:jc w:val="center"/>
      <w:rPr>
        <w:sz w:val="32"/>
      </w:rPr>
    </w:pPr>
    <w:r>
      <w:rPr>
        <w:sz w:val="32"/>
      </w:rPr>
      <w:t>NPRR Comments</w:t>
    </w:r>
  </w:p>
  <w:p w14:paraId="6104B343" w14:textId="77777777" w:rsidR="0059464D" w:rsidRDefault="0059464D">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1642"/>
    <w:multiLevelType w:val="multilevel"/>
    <w:tmpl w:val="4F4ED4DE"/>
    <w:lvl w:ilvl="0">
      <w:start w:val="1"/>
      <w:numFmt w:val="bullet"/>
      <w:pStyle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F164EB"/>
    <w:multiLevelType w:val="multilevel"/>
    <w:tmpl w:val="9F6EAA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25355831">
    <w:abstractNumId w:val="1"/>
  </w:num>
  <w:num w:numId="2" w16cid:durableId="175269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4D"/>
    <w:rsid w:val="00186C78"/>
    <w:rsid w:val="0059464D"/>
    <w:rsid w:val="006303FD"/>
    <w:rsid w:val="00D0647C"/>
    <w:rsid w:val="00FF33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87E6"/>
  <w15:docId w15:val="{813D5D7A-214B-411D-93DE-25D27C87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1">
    <w:name w:val="heading 1"/>
    <w:basedOn w:val="Normal"/>
    <w:next w:val="Normal"/>
    <w:uiPriority w:val="9"/>
    <w:qFormat/>
    <w:pPr>
      <w:keepNext/>
      <w:numPr>
        <w:numId w:val="1"/>
      </w:numPr>
      <w:spacing w:after="240"/>
      <w:outlineLvl w:val="0"/>
    </w:pPr>
    <w:rPr>
      <w:b/>
      <w:caps/>
      <w:szCs w:val="20"/>
    </w:rPr>
  </w:style>
  <w:style w:type="paragraph" w:styleId="Heading2">
    <w:name w:val="heading 2"/>
    <w:basedOn w:val="Normal"/>
    <w:next w:val="Normal"/>
    <w:uiPriority w:val="9"/>
    <w:semiHidden/>
    <w:unhideWhenUsed/>
    <w:qFormat/>
    <w:pPr>
      <w:keepNext/>
      <w:numPr>
        <w:ilvl w:val="1"/>
        <w:numId w:val="1"/>
      </w:numPr>
      <w:spacing w:before="240" w:after="240"/>
      <w:outlineLvl w:val="1"/>
    </w:pPr>
    <w:rPr>
      <w:b/>
      <w:szCs w:val="20"/>
    </w:rPr>
  </w:style>
  <w:style w:type="paragraph" w:styleId="Heading3">
    <w:name w:val="heading 3"/>
    <w:basedOn w:val="Normal"/>
    <w:next w:val="Normal"/>
    <w:uiPriority w:val="9"/>
    <w:semiHidden/>
    <w:unhideWhenUsed/>
    <w:qFormat/>
    <w:pPr>
      <w:keepNext/>
      <w:numPr>
        <w:ilvl w:val="2"/>
        <w:numId w:val="1"/>
      </w:numPr>
      <w:spacing w:before="120" w:after="120"/>
      <w:outlineLvl w:val="2"/>
    </w:pPr>
    <w:rPr>
      <w:b/>
      <w:bCs/>
      <w:i/>
      <w:iCs/>
      <w:szCs w:val="20"/>
    </w:rPr>
  </w:style>
  <w:style w:type="paragraph" w:styleId="Heading4">
    <w:name w:val="heading 4"/>
    <w:basedOn w:val="Normal"/>
    <w:next w:val="Normal"/>
    <w:uiPriority w:val="9"/>
    <w:semiHidden/>
    <w:unhideWhenUsed/>
    <w:qFormat/>
    <w:pPr>
      <w:keepNext/>
      <w:widowControl w:val="0"/>
      <w:numPr>
        <w:ilvl w:val="3"/>
        <w:numId w:val="1"/>
      </w:numPr>
      <w:spacing w:before="360" w:after="240"/>
      <w:outlineLvl w:val="3"/>
    </w:pPr>
    <w:rPr>
      <w:b/>
      <w:bCs/>
      <w:szCs w:val="20"/>
    </w:rPr>
  </w:style>
  <w:style w:type="paragraph" w:styleId="Heading5">
    <w:name w:val="heading 5"/>
    <w:basedOn w:val="Normal"/>
    <w:next w:val="Normal"/>
    <w:uiPriority w:val="9"/>
    <w:semiHidden/>
    <w:unhideWhenUsed/>
    <w:qFormat/>
    <w:pPr>
      <w:spacing w:before="240" w:after="60"/>
      <w:outlineLvl w:val="4"/>
    </w:pPr>
    <w:rPr>
      <w:b/>
      <w:i/>
      <w:sz w:val="26"/>
      <w:szCs w:val="20"/>
    </w:rPr>
  </w:style>
  <w:style w:type="paragraph" w:styleId="Heading6">
    <w:name w:val="heading 6"/>
    <w:basedOn w:val="Normal"/>
    <w:next w:val="Normal"/>
    <w:uiPriority w:val="9"/>
    <w:semiHidden/>
    <w:unhideWhenUsed/>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cs="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styleId="Hyperlink">
    <w:name w:val="Hyperlink"/>
    <w:basedOn w:val="DefaultParagraphFont"/>
    <w:rPr>
      <w:color w:val="0000FF"/>
      <w:u w:val="single"/>
    </w:rPr>
  </w:style>
  <w:style w:type="character" w:styleId="CommentReference">
    <w:name w:val="annotation reference"/>
    <w:basedOn w:val="DefaultParagraphFont"/>
    <w:qFormat/>
    <w:rPr>
      <w:sz w:val="16"/>
      <w:szCs w:val="16"/>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before="120"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rPr>
      <w:rFonts w:ascii="Arial" w:hAnsi="Arial" w:cs="Arial"/>
      <w:b/>
      <w:bCs/>
    </w:rPr>
  </w:style>
  <w:style w:type="paragraph" w:styleId="Footer">
    <w:name w:val="footer"/>
    <w:basedOn w:val="Normal"/>
    <w:pPr>
      <w:tabs>
        <w:tab w:val="center" w:pos="4320"/>
        <w:tab w:val="right" w:pos="8640"/>
      </w:tabs>
    </w:pPr>
  </w:style>
  <w:style w:type="paragraph" w:customStyle="1" w:styleId="TXUNormal">
    <w:name w:val="TXUNormal"/>
    <w:qFormat/>
    <w:pPr>
      <w:spacing w:after="120"/>
    </w:pPr>
    <w:rPr>
      <w:rFonts w:ascii="Times New Roman" w:eastAsia="Times New Roman" w:hAnsi="Times New Roman" w:cs="Times New Roman"/>
      <w:sz w:val="20"/>
      <w:szCs w:val="20"/>
      <w:lang w:bidi="ar-SA"/>
    </w:rPr>
  </w:style>
  <w:style w:type="paragraph" w:customStyle="1" w:styleId="TXUHeader">
    <w:name w:val="TXUHeader"/>
    <w:basedOn w:val="TXUNormal"/>
    <w:qFormat/>
    <w:pPr>
      <w:tabs>
        <w:tab w:val="right" w:pos="9360"/>
      </w:tabs>
      <w:spacing w:after="0"/>
    </w:pPr>
    <w:rPr>
      <w:sz w:val="16"/>
      <w:lang w:eastAsia="en-US"/>
    </w:rPr>
  </w:style>
  <w:style w:type="paragraph" w:customStyle="1" w:styleId="TXUHeaderForm">
    <w:name w:val="TXUHeaderForm"/>
    <w:basedOn w:val="TXUHeader"/>
    <w:next w:val="Normal"/>
    <w:qFormat/>
    <w:rPr>
      <w:sz w:val="24"/>
    </w:rPr>
  </w:style>
  <w:style w:type="paragraph" w:customStyle="1" w:styleId="TXUSubject">
    <w:name w:val="TXUSubject"/>
    <w:basedOn w:val="TXUNormal"/>
    <w:next w:val="TXUNormal"/>
    <w:qFormat/>
    <w:pPr>
      <w:spacing w:after="240"/>
    </w:pPr>
    <w:rPr>
      <w:b/>
    </w:rPr>
  </w:style>
  <w:style w:type="paragraph" w:customStyle="1" w:styleId="TXUFooter">
    <w:name w:val="TXUFooter"/>
    <w:basedOn w:val="TXUNormal"/>
    <w:qFormat/>
    <w:pPr>
      <w:pBdr>
        <w:top w:val="single" w:sz="4" w:space="1" w:color="000000"/>
      </w:pBdr>
      <w:tabs>
        <w:tab w:val="center" w:pos="4536"/>
        <w:tab w:val="right" w:pos="9360"/>
      </w:tabs>
      <w:spacing w:after="0"/>
    </w:pPr>
    <w:rPr>
      <w:sz w:val="16"/>
    </w:rPr>
  </w:style>
  <w:style w:type="paragraph" w:customStyle="1" w:styleId="TXUFooterPage">
    <w:name w:val="TXUFooterPage"/>
    <w:basedOn w:val="TXUFooter"/>
    <w:next w:val="TXUFooter"/>
    <w:qFormat/>
    <w:rPr>
      <w:sz w:val="20"/>
    </w:rPr>
  </w:style>
  <w:style w:type="paragraph" w:customStyle="1" w:styleId="Comments">
    <w:name w:val="Comments"/>
    <w:basedOn w:val="Normal"/>
    <w:qFormat/>
    <w:pPr>
      <w:pBdr>
        <w:top w:val="single" w:sz="4" w:space="1" w:color="000000"/>
        <w:left w:val="single" w:sz="4" w:space="4" w:color="000000"/>
        <w:bottom w:val="single" w:sz="4" w:space="1" w:color="000000"/>
        <w:right w:val="single" w:sz="4" w:space="4" w:color="000000"/>
      </w:pBdr>
      <w:shd w:val="clear" w:color="auto" w:fill="CCCCCC"/>
      <w:spacing w:before="120" w:after="120"/>
      <w:ind w:left="720" w:right="720"/>
    </w:pPr>
    <w:rPr>
      <w:szCs w:val="20"/>
    </w:rPr>
  </w:style>
  <w:style w:type="paragraph" w:styleId="BodyTextIndent">
    <w:name w:val="Body Text Indent"/>
    <w:basedOn w:val="Normal"/>
    <w:pPr>
      <w:spacing w:before="120" w:after="120"/>
      <w:ind w:left="720"/>
    </w:pPr>
  </w:style>
  <w:style w:type="paragraph" w:customStyle="1" w:styleId="Bullet">
    <w:name w:val="Bullet"/>
    <w:basedOn w:val="Normal"/>
    <w:qFormat/>
    <w:pPr>
      <w:numPr>
        <w:numId w:val="2"/>
      </w:numPr>
      <w:spacing w:before="60" w:after="120"/>
    </w:pPr>
    <w:rPr>
      <w:szCs w:val="20"/>
    </w:rPr>
  </w:style>
  <w:style w:type="paragraph" w:styleId="BalloonText">
    <w:name w:val="Balloon Text"/>
    <w:basedOn w:val="Normal"/>
    <w:qFormat/>
    <w:rPr>
      <w:rFonts w:ascii="Tahoma" w:hAnsi="Tahoma" w:cs="Tahoma"/>
      <w:sz w:val="16"/>
      <w:szCs w:val="16"/>
    </w:rPr>
  </w:style>
  <w:style w:type="paragraph" w:customStyle="1" w:styleId="NormalArial">
    <w:name w:val="Normal+Arial"/>
    <w:basedOn w:val="Normal"/>
    <w:qFormat/>
    <w:rPr>
      <w:rFonts w:ascii="Arial" w:hAnsi="Arial" w:cs="Arial"/>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character" w:styleId="UnresolvedMention">
    <w:name w:val="Unresolved Mention"/>
    <w:basedOn w:val="DefaultParagraphFont"/>
    <w:uiPriority w:val="99"/>
    <w:semiHidden/>
    <w:unhideWhenUsed/>
    <w:rsid w:val="00D06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k.price@dc-energy.com" TargetMode="External"/><Relationship Id="rId3" Type="http://schemas.openxmlformats.org/officeDocument/2006/relationships/settings" Target="settings.xml"/><Relationship Id="rId7" Type="http://schemas.openxmlformats.org/officeDocument/2006/relationships/hyperlink" Target="https://www.ercot.com/mktrules/issues/NPRR12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2087</Characters>
  <Application>Microsoft Office Word</Application>
  <DocSecurity>0</DocSecurity>
  <Lines>17</Lines>
  <Paragraphs>4</Paragraphs>
  <ScaleCrop>false</ScaleCrop>
  <Company>ERCOT</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Cory</dc:creator>
  <cp:lastModifiedBy>ERCOT 12XX24</cp:lastModifiedBy>
  <cp:revision>5</cp:revision>
  <dcterms:created xsi:type="dcterms:W3CDTF">2024-12-06T23:17:00Z</dcterms:created>
  <dcterms:modified xsi:type="dcterms:W3CDTF">2024-12-07T01:47:00Z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2011-08-30T15:06:00Z</dcterms:created>
  <dc:creator>ERCOT/if</dc:creator>
  <dc:description/>
  <cp:keywords>  </cp:keywords>
  <dc:language>en-US</dc:language>
  <cp:lastModifiedBy/>
  <cp:lastPrinted>2001-06-20T11:28:00Z</cp:lastPrinted>
  <dcterms:modified xsi:type="dcterms:W3CDTF">2024-12-06T15:51:17Z</dcterms:modified>
  <cp:revision>9</cp:revision>
  <dc:subject/>
  <dc:title>Protocols Workshop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2024-12-06T23:17:05Z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debbd8a6-2643-443b-82fe-b2608a456e30</vt:lpwstr>
  </property>
  <property fmtid="{D5CDD505-2E9C-101B-9397-08002B2CF9AE}" pid="8" name="MSIP_Label_7084cbda-52b8-46fb-a7b7-cb5bd465ed85_ContentBits">
    <vt:lpwstr>0</vt:lpwstr>
  </property>
</Properties>
</file>