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00B88A4B" w:rsidR="00BA5FF8" w:rsidRDefault="007B7A66">
      <w:pPr>
        <w:pStyle w:val="BodyText"/>
        <w:jc w:val="center"/>
        <w:rPr>
          <w:b/>
        </w:rPr>
      </w:pPr>
      <w:r>
        <w:rPr>
          <w:b/>
        </w:rPr>
        <w:t>December 1</w:t>
      </w:r>
      <w:r w:rsidR="00534EF8">
        <w:rPr>
          <w:b/>
        </w:rPr>
        <w:t>, 20</w:t>
      </w:r>
      <w:r w:rsidR="008E5DD6">
        <w:rPr>
          <w:b/>
        </w:rPr>
        <w:t>2</w:t>
      </w:r>
      <w:r w:rsidR="00122C8C">
        <w:rPr>
          <w:b/>
        </w:rPr>
        <w:t>4</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3E2F8BBF" w14:textId="060E7E85" w:rsidR="000E29D6" w:rsidRPr="000E29D6" w:rsidRDefault="00957D0C" w:rsidP="000E29D6">
      <w:pPr>
        <w:pStyle w:val="TOC1"/>
        <w:rPr>
          <w:rFonts w:asciiTheme="minorHAnsi" w:eastAsiaTheme="minorEastAsia" w:hAnsiTheme="minorHAnsi" w:cstheme="minorBidi"/>
          <w:sz w:val="22"/>
          <w:szCs w:val="22"/>
        </w:rPr>
      </w:pPr>
      <w:r w:rsidRPr="00D025A4">
        <w:rPr>
          <w:noProof w:val="0"/>
        </w:rPr>
        <w:lastRenderedPageBreak/>
        <w:fldChar w:fldCharType="begin"/>
      </w:r>
      <w:r w:rsidR="00DC6081" w:rsidRPr="00D025A4">
        <w:instrText xml:space="preserve"> TOC \o "1-5" \h \z \u </w:instrText>
      </w:r>
      <w:r w:rsidRPr="00D025A4">
        <w:rPr>
          <w:noProof w:val="0"/>
        </w:rPr>
        <w:fldChar w:fldCharType="separate"/>
      </w:r>
      <w:hyperlink w:anchor="_Toc148960314" w:history="1">
        <w:r w:rsidR="000E29D6" w:rsidRPr="000E29D6">
          <w:rPr>
            <w:rStyle w:val="Hyperlink"/>
          </w:rPr>
          <w:t>11</w:t>
        </w:r>
        <w:r w:rsidR="000E29D6" w:rsidRPr="000E29D6">
          <w:rPr>
            <w:rFonts w:asciiTheme="minorHAnsi" w:eastAsiaTheme="minorEastAsia" w:hAnsiTheme="minorHAnsi" w:cstheme="minorBidi"/>
            <w:sz w:val="22"/>
            <w:szCs w:val="22"/>
          </w:rPr>
          <w:tab/>
        </w:r>
        <w:r w:rsidR="000E29D6" w:rsidRPr="000E29D6">
          <w:rPr>
            <w:rStyle w:val="Hyperlink"/>
          </w:rPr>
          <w:t>Data Acquisition and Aggregation</w:t>
        </w:r>
        <w:r w:rsidR="000E29D6" w:rsidRPr="000E29D6">
          <w:rPr>
            <w:webHidden/>
          </w:rPr>
          <w:tab/>
          <w:t>11-</w:t>
        </w:r>
        <w:r w:rsidR="000E29D6" w:rsidRPr="000E29D6">
          <w:rPr>
            <w:webHidden/>
          </w:rPr>
          <w:fldChar w:fldCharType="begin"/>
        </w:r>
        <w:r w:rsidR="000E29D6" w:rsidRPr="000E29D6">
          <w:rPr>
            <w:webHidden/>
          </w:rPr>
          <w:instrText xml:space="preserve"> PAGEREF _Toc148960314 \h </w:instrText>
        </w:r>
        <w:r w:rsidR="000E29D6" w:rsidRPr="000E29D6">
          <w:rPr>
            <w:webHidden/>
          </w:rPr>
        </w:r>
        <w:r w:rsidR="000E29D6" w:rsidRPr="000E29D6">
          <w:rPr>
            <w:webHidden/>
          </w:rPr>
          <w:fldChar w:fldCharType="separate"/>
        </w:r>
        <w:r w:rsidR="00E45246">
          <w:rPr>
            <w:webHidden/>
          </w:rPr>
          <w:t>1</w:t>
        </w:r>
        <w:r w:rsidR="000E29D6" w:rsidRPr="000E29D6">
          <w:rPr>
            <w:webHidden/>
          </w:rPr>
          <w:fldChar w:fldCharType="end"/>
        </w:r>
      </w:hyperlink>
    </w:p>
    <w:p w14:paraId="4110E545" w14:textId="4875CB6A" w:rsidR="000E29D6" w:rsidRPr="003A5E09" w:rsidRDefault="00E45246">
      <w:pPr>
        <w:pStyle w:val="TOC2"/>
        <w:rPr>
          <w:rFonts w:asciiTheme="minorHAnsi" w:eastAsiaTheme="minorEastAsia" w:hAnsiTheme="minorHAnsi" w:cstheme="minorBidi"/>
          <w:noProof/>
        </w:rPr>
      </w:pPr>
      <w:hyperlink w:anchor="_Toc148960315" w:history="1">
        <w:r w:rsidR="000E29D6" w:rsidRPr="003A5E09">
          <w:rPr>
            <w:rStyle w:val="Hyperlink"/>
            <w:noProof/>
            <w:u w:val="none"/>
          </w:rPr>
          <w:t>11.1</w:t>
        </w:r>
        <w:r w:rsidR="000E29D6" w:rsidRPr="003A5E09">
          <w:rPr>
            <w:rFonts w:asciiTheme="minorHAnsi" w:eastAsiaTheme="minorEastAsia" w:hAnsiTheme="minorHAnsi" w:cstheme="minorBidi"/>
            <w:noProof/>
          </w:rPr>
          <w:tab/>
        </w:r>
        <w:r w:rsidR="000E29D6" w:rsidRPr="003A5E09">
          <w:rPr>
            <w:rStyle w:val="Hyperlink"/>
            <w:noProof/>
            <w:u w:val="none"/>
          </w:rPr>
          <w:t>Data Acquisition and Aggregation from ERCOT Polled Settlement Metered Entities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_Toc148960315 \h </w:instrText>
        </w:r>
        <w:r w:rsidR="000E29D6" w:rsidRPr="003A5E09">
          <w:rPr>
            <w:noProof/>
            <w:webHidden/>
          </w:rPr>
        </w:r>
        <w:r w:rsidR="000E29D6" w:rsidRPr="003A5E09">
          <w:rPr>
            <w:noProof/>
            <w:webHidden/>
          </w:rPr>
          <w:fldChar w:fldCharType="separate"/>
        </w:r>
        <w:r>
          <w:rPr>
            <w:noProof/>
            <w:webHidden/>
          </w:rPr>
          <w:t>1</w:t>
        </w:r>
        <w:r w:rsidR="000E29D6" w:rsidRPr="003A5E09">
          <w:rPr>
            <w:noProof/>
            <w:webHidden/>
          </w:rPr>
          <w:fldChar w:fldCharType="end"/>
        </w:r>
      </w:hyperlink>
    </w:p>
    <w:p w14:paraId="40385B76" w14:textId="51803FBB" w:rsidR="000E29D6" w:rsidRPr="003A5E09" w:rsidRDefault="00E45246" w:rsidP="00122C8C">
      <w:pPr>
        <w:pStyle w:val="TOC3"/>
        <w:rPr>
          <w:rFonts w:asciiTheme="minorHAnsi" w:eastAsiaTheme="minorEastAsia" w:hAnsiTheme="minorHAnsi" w:cstheme="minorBidi"/>
          <w:bCs w:val="0"/>
          <w:i w:val="0"/>
          <w:iCs w:val="0"/>
        </w:rPr>
      </w:pPr>
      <w:hyperlink w:anchor="_Toc148960316" w:history="1">
        <w:r w:rsidR="000E29D6" w:rsidRPr="003A5E09">
          <w:rPr>
            <w:rStyle w:val="Hyperlink"/>
            <w:bCs w:val="0"/>
            <w:i w:val="0"/>
            <w:iCs w:val="0"/>
            <w:u w:val="none"/>
          </w:rPr>
          <w:t>11.1.1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w:t>
        </w:r>
        <w:r w:rsidR="000E29D6" w:rsidRPr="003A5E09">
          <w:rPr>
            <w:bCs w:val="0"/>
            <w:i w:val="0"/>
            <w:iCs w:val="0"/>
            <w:webHidden/>
          </w:rPr>
          <w:fldChar w:fldCharType="end"/>
        </w:r>
      </w:hyperlink>
    </w:p>
    <w:p w14:paraId="4D199E13" w14:textId="65CF279F" w:rsidR="000E29D6" w:rsidRPr="003A5E09" w:rsidRDefault="00E45246" w:rsidP="00122C8C">
      <w:pPr>
        <w:pStyle w:val="TOC3"/>
        <w:rPr>
          <w:rFonts w:asciiTheme="minorHAnsi" w:eastAsiaTheme="minorEastAsia" w:hAnsiTheme="minorHAnsi" w:cstheme="minorBidi"/>
          <w:bCs w:val="0"/>
          <w:i w:val="0"/>
          <w:iCs w:val="0"/>
        </w:rPr>
      </w:pPr>
      <w:hyperlink w:anchor="_Toc148960317" w:history="1">
        <w:r w:rsidR="000E29D6" w:rsidRPr="003A5E09">
          <w:rPr>
            <w:rStyle w:val="Hyperlink"/>
            <w:bCs w:val="0"/>
            <w:i w:val="0"/>
            <w:iCs w:val="0"/>
            <w:u w:val="none"/>
          </w:rPr>
          <w:t>11.1.2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Data Collection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_Toc148960317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w:t>
        </w:r>
        <w:r w:rsidR="000E29D6" w:rsidRPr="003A5E09">
          <w:rPr>
            <w:bCs w:val="0"/>
            <w:i w:val="0"/>
            <w:iCs w:val="0"/>
            <w:webHidden/>
          </w:rPr>
          <w:fldChar w:fldCharType="end"/>
        </w:r>
      </w:hyperlink>
    </w:p>
    <w:p w14:paraId="6AD2216E" w14:textId="5AC4D06A" w:rsidR="000E29D6" w:rsidRPr="003A5E09" w:rsidRDefault="00E45246" w:rsidP="00122C8C">
      <w:pPr>
        <w:pStyle w:val="TOC3"/>
        <w:rPr>
          <w:rFonts w:asciiTheme="minorHAnsi" w:eastAsiaTheme="minorEastAsia" w:hAnsiTheme="minorHAnsi" w:cstheme="minorBidi"/>
          <w:bCs w:val="0"/>
          <w:i w:val="0"/>
          <w:iCs w:val="0"/>
        </w:rPr>
      </w:pPr>
      <w:hyperlink w:anchor="_Toc148960318" w:history="1">
        <w:r w:rsidR="000E29D6" w:rsidRPr="003A5E09">
          <w:rPr>
            <w:rStyle w:val="Hyperlink"/>
            <w:bCs w:val="0"/>
            <w:i w:val="0"/>
            <w:iCs w:val="0"/>
            <w:u w:val="none"/>
          </w:rPr>
          <w:t>11.1.3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Time Synchronization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_Toc148960318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w:t>
        </w:r>
        <w:r w:rsidR="000E29D6" w:rsidRPr="003A5E09">
          <w:rPr>
            <w:bCs w:val="0"/>
            <w:i w:val="0"/>
            <w:iCs w:val="0"/>
            <w:webHidden/>
          </w:rPr>
          <w:fldChar w:fldCharType="end"/>
        </w:r>
      </w:hyperlink>
    </w:p>
    <w:p w14:paraId="1A5973B2" w14:textId="75FE581F" w:rsidR="000E29D6" w:rsidRPr="003A5E09" w:rsidRDefault="00E45246" w:rsidP="00122C8C">
      <w:pPr>
        <w:pStyle w:val="TOC3"/>
        <w:rPr>
          <w:rFonts w:asciiTheme="minorHAnsi" w:eastAsiaTheme="minorEastAsia" w:hAnsiTheme="minorHAnsi" w:cstheme="minorBidi"/>
          <w:bCs w:val="0"/>
          <w:i w:val="0"/>
          <w:iCs w:val="0"/>
        </w:rPr>
      </w:pPr>
      <w:hyperlink w:anchor="_Toc148960319" w:history="1">
        <w:r w:rsidR="000E29D6" w:rsidRPr="003A5E09">
          <w:rPr>
            <w:rStyle w:val="Hyperlink"/>
            <w:bCs w:val="0"/>
            <w:i w:val="0"/>
            <w:iCs w:val="0"/>
            <w:u w:val="none"/>
          </w:rPr>
          <w:t>11.1.4</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Data Validation, Editing, and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_Toc148960319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w:t>
        </w:r>
        <w:r w:rsidR="000E29D6" w:rsidRPr="003A5E09">
          <w:rPr>
            <w:bCs w:val="0"/>
            <w:i w:val="0"/>
            <w:iCs w:val="0"/>
            <w:webHidden/>
          </w:rPr>
          <w:fldChar w:fldCharType="end"/>
        </w:r>
      </w:hyperlink>
    </w:p>
    <w:p w14:paraId="74B83B84" w14:textId="31AE6677" w:rsidR="000E29D6" w:rsidRPr="003A5E09" w:rsidRDefault="00E45246" w:rsidP="00122C8C">
      <w:pPr>
        <w:pStyle w:val="TOC3"/>
        <w:rPr>
          <w:rFonts w:asciiTheme="minorHAnsi" w:eastAsiaTheme="minorEastAsia" w:hAnsiTheme="minorHAnsi" w:cstheme="minorBidi"/>
          <w:bCs w:val="0"/>
          <w:i w:val="0"/>
          <w:iCs w:val="0"/>
        </w:rPr>
      </w:pPr>
      <w:hyperlink w:anchor="_Toc148960320" w:history="1">
        <w:r w:rsidR="000E29D6" w:rsidRPr="003A5E09">
          <w:rPr>
            <w:rStyle w:val="Hyperlink"/>
            <w:bCs w:val="0"/>
            <w:i w:val="0"/>
            <w:iCs w:val="0"/>
            <w:u w:val="none"/>
          </w:rPr>
          <w:t>11.1.5</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Loss Compensation of ERCOT Polled Settlement Meter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_Toc148960320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w:t>
        </w:r>
        <w:r w:rsidR="000E29D6" w:rsidRPr="003A5E09">
          <w:rPr>
            <w:bCs w:val="0"/>
            <w:i w:val="0"/>
            <w:iCs w:val="0"/>
            <w:webHidden/>
          </w:rPr>
          <w:fldChar w:fldCharType="end"/>
        </w:r>
      </w:hyperlink>
    </w:p>
    <w:p w14:paraId="5AD03E92" w14:textId="25D1B0C0" w:rsidR="000E29D6" w:rsidRPr="003A5E09" w:rsidRDefault="00E45246" w:rsidP="00122C8C">
      <w:pPr>
        <w:pStyle w:val="TOC3"/>
        <w:rPr>
          <w:rFonts w:asciiTheme="minorHAnsi" w:eastAsiaTheme="minorEastAsia" w:hAnsiTheme="minorHAnsi" w:cstheme="minorBidi"/>
          <w:bCs w:val="0"/>
          <w:i w:val="0"/>
          <w:iCs w:val="0"/>
        </w:rPr>
      </w:pPr>
      <w:hyperlink w:anchor="_Toc148960321" w:history="1">
        <w:r w:rsidR="000E29D6" w:rsidRPr="003A5E09">
          <w:rPr>
            <w:rStyle w:val="Hyperlink"/>
            <w:bCs w:val="0"/>
            <w:i w:val="0"/>
            <w:iCs w:val="0"/>
            <w:u w:val="none"/>
          </w:rPr>
          <w:t>11.1.6</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ERCOT-Polled Settlement Meter Netting</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_Toc148960321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3</w:t>
        </w:r>
        <w:r w:rsidR="000E29D6" w:rsidRPr="003A5E09">
          <w:rPr>
            <w:bCs w:val="0"/>
            <w:i w:val="0"/>
            <w:iCs w:val="0"/>
            <w:webHidden/>
          </w:rPr>
          <w:fldChar w:fldCharType="end"/>
        </w:r>
      </w:hyperlink>
    </w:p>
    <w:p w14:paraId="01FD5E8E" w14:textId="65DFFCB8" w:rsidR="000E29D6" w:rsidRPr="003A5E09" w:rsidRDefault="00E45246" w:rsidP="00122C8C">
      <w:pPr>
        <w:pStyle w:val="TOC3"/>
        <w:rPr>
          <w:rFonts w:asciiTheme="minorHAnsi" w:eastAsiaTheme="minorEastAsia" w:hAnsiTheme="minorHAnsi" w:cstheme="minorBidi"/>
          <w:bCs w:val="0"/>
          <w:i w:val="0"/>
          <w:iCs w:val="0"/>
        </w:rPr>
      </w:pPr>
      <w:hyperlink w:anchor="_Toc148960322" w:history="1">
        <w:r w:rsidR="000E29D6" w:rsidRPr="003A5E09">
          <w:rPr>
            <w:rStyle w:val="Hyperlink"/>
            <w:bCs w:val="0"/>
            <w:i w:val="0"/>
            <w:iCs w:val="0"/>
            <w:u w:val="none"/>
          </w:rPr>
          <w:t>11.1.7</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Generation Meter Splitting</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_Toc148960322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7</w:t>
        </w:r>
        <w:r w:rsidR="000E29D6" w:rsidRPr="003A5E09">
          <w:rPr>
            <w:bCs w:val="0"/>
            <w:i w:val="0"/>
            <w:iCs w:val="0"/>
            <w:webHidden/>
          </w:rPr>
          <w:fldChar w:fldCharType="end"/>
        </w:r>
      </w:hyperlink>
    </w:p>
    <w:p w14:paraId="70211632" w14:textId="75F57527" w:rsidR="000E29D6" w:rsidRPr="003A5E09" w:rsidRDefault="00E45246" w:rsidP="00122C8C">
      <w:pPr>
        <w:pStyle w:val="TOC3"/>
        <w:rPr>
          <w:rFonts w:asciiTheme="minorHAnsi" w:eastAsiaTheme="minorEastAsia" w:hAnsiTheme="minorHAnsi" w:cstheme="minorBidi"/>
          <w:bCs w:val="0"/>
          <w:i w:val="0"/>
          <w:iCs w:val="0"/>
        </w:rPr>
      </w:pPr>
      <w:hyperlink w:anchor="_Toc148960323" w:history="1">
        <w:r w:rsidR="000E29D6" w:rsidRPr="003A5E09">
          <w:rPr>
            <w:rStyle w:val="Hyperlink"/>
            <w:bCs w:val="0"/>
            <w:i w:val="0"/>
            <w:iCs w:val="0"/>
            <w:u w:val="none"/>
          </w:rPr>
          <w:t>11.1.8</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Correction of ERCOT Polled Settlement Meter Data for Non-Opt-In Transmission Losses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_Toc148960323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8</w:t>
        </w:r>
        <w:r w:rsidR="000E29D6" w:rsidRPr="003A5E09">
          <w:rPr>
            <w:bCs w:val="0"/>
            <w:i w:val="0"/>
            <w:iCs w:val="0"/>
            <w:webHidden/>
          </w:rPr>
          <w:fldChar w:fldCharType="end"/>
        </w:r>
      </w:hyperlink>
    </w:p>
    <w:p w14:paraId="405D673D" w14:textId="3CAEC303" w:rsidR="000E29D6" w:rsidRPr="003A5E09" w:rsidRDefault="00E45246" w:rsidP="00122C8C">
      <w:pPr>
        <w:pStyle w:val="TOC3"/>
        <w:rPr>
          <w:rFonts w:asciiTheme="minorHAnsi" w:eastAsiaTheme="minorEastAsia" w:hAnsiTheme="minorHAnsi" w:cstheme="minorBidi"/>
          <w:bCs w:val="0"/>
          <w:i w:val="0"/>
          <w:iCs w:val="0"/>
        </w:rPr>
      </w:pPr>
      <w:hyperlink w:anchor="_Toc148960324" w:history="1">
        <w:r w:rsidR="000E29D6" w:rsidRPr="003A5E09">
          <w:rPr>
            <w:rStyle w:val="Hyperlink"/>
            <w:bCs w:val="0"/>
            <w:i w:val="0"/>
            <w:iCs w:val="0"/>
            <w:u w:val="none"/>
          </w:rPr>
          <w:t>11.1.9</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Non-Opt-In Entity or External Load Serving Entity Radially Connected Entities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_Toc148960324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8</w:t>
        </w:r>
        <w:r w:rsidR="000E29D6" w:rsidRPr="003A5E09">
          <w:rPr>
            <w:bCs w:val="0"/>
            <w:i w:val="0"/>
            <w:iCs w:val="0"/>
            <w:webHidden/>
          </w:rPr>
          <w:fldChar w:fldCharType="end"/>
        </w:r>
      </w:hyperlink>
    </w:p>
    <w:p w14:paraId="5A4E6F4B" w14:textId="332931DE" w:rsidR="000E29D6" w:rsidRPr="003A5E09" w:rsidRDefault="00E45246" w:rsidP="00122C8C">
      <w:pPr>
        <w:pStyle w:val="TOC3"/>
        <w:rPr>
          <w:rFonts w:asciiTheme="minorHAnsi" w:eastAsiaTheme="minorEastAsia" w:hAnsiTheme="minorHAnsi" w:cstheme="minorBidi"/>
          <w:bCs w:val="0"/>
          <w:i w:val="0"/>
          <w:iCs w:val="0"/>
        </w:rPr>
      </w:pPr>
      <w:hyperlink w:anchor="_Toc148960325" w:history="1">
        <w:r w:rsidR="000E29D6" w:rsidRPr="003A5E09">
          <w:rPr>
            <w:rStyle w:val="Hyperlink"/>
            <w:bCs w:val="0"/>
            <w:i w:val="0"/>
            <w:iCs w:val="0"/>
            <w:u w:val="none"/>
          </w:rPr>
          <w:t>11.1.10</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 Polled Settlement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_Toc148960325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8</w:t>
        </w:r>
        <w:r w:rsidR="000E29D6" w:rsidRPr="003A5E09">
          <w:rPr>
            <w:bCs w:val="0"/>
            <w:i w:val="0"/>
            <w:iCs w:val="0"/>
            <w:webHidden/>
          </w:rPr>
          <w:fldChar w:fldCharType="end"/>
        </w:r>
      </w:hyperlink>
    </w:p>
    <w:p w14:paraId="0E106BD0" w14:textId="57C39D7C" w:rsidR="000E29D6" w:rsidRPr="003A5E09" w:rsidRDefault="00E45246" w:rsidP="00122C8C">
      <w:pPr>
        <w:pStyle w:val="TOC3"/>
        <w:rPr>
          <w:rFonts w:asciiTheme="minorHAnsi" w:eastAsiaTheme="minorEastAsia" w:hAnsiTheme="minorHAnsi" w:cstheme="minorBidi"/>
          <w:bCs w:val="0"/>
          <w:i w:val="0"/>
          <w:iCs w:val="0"/>
        </w:rPr>
      </w:pPr>
      <w:hyperlink w:anchor="_Toc148960326" w:history="1">
        <w:r w:rsidR="000E29D6" w:rsidRPr="003A5E09">
          <w:rPr>
            <w:rStyle w:val="Hyperlink"/>
            <w:bCs w:val="0"/>
            <w:i w:val="0"/>
            <w:iCs w:val="0"/>
            <w:u w:val="none"/>
          </w:rPr>
          <w:t>11.1.11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 Polled Settlement Resource ID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9</w:t>
        </w:r>
        <w:r w:rsidR="000E29D6" w:rsidRPr="003A5E09">
          <w:rPr>
            <w:bCs w:val="0"/>
            <w:i w:val="0"/>
            <w:iCs w:val="0"/>
            <w:webHidden/>
          </w:rPr>
          <w:fldChar w:fldCharType="end"/>
        </w:r>
      </w:hyperlink>
    </w:p>
    <w:p w14:paraId="2704BCB1" w14:textId="53F48906" w:rsidR="000E29D6" w:rsidRPr="003A5E09" w:rsidRDefault="00E45246" w:rsidP="00122C8C">
      <w:pPr>
        <w:pStyle w:val="TOC3"/>
        <w:rPr>
          <w:rFonts w:asciiTheme="minorHAnsi" w:eastAsiaTheme="minorEastAsia" w:hAnsiTheme="minorHAnsi" w:cstheme="minorBidi"/>
          <w:bCs w:val="0"/>
          <w:i w:val="0"/>
          <w:iCs w:val="0"/>
        </w:rPr>
      </w:pPr>
      <w:hyperlink w:anchor="_Toc148960327" w:history="1">
        <w:r w:rsidR="000E29D6" w:rsidRPr="003A5E09">
          <w:rPr>
            <w:rStyle w:val="Hyperlink"/>
            <w:bCs w:val="0"/>
            <w:i w:val="0"/>
            <w:iCs w:val="0"/>
            <w:u w:val="none"/>
          </w:rPr>
          <w:t>11.1.12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ERCOT-Polled Settlement Energy Storage Resource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_Toc148960327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9</w:t>
        </w:r>
        <w:r w:rsidR="000E29D6" w:rsidRPr="003A5E09">
          <w:rPr>
            <w:bCs w:val="0"/>
            <w:i w:val="0"/>
            <w:iCs w:val="0"/>
            <w:webHidden/>
          </w:rPr>
          <w:fldChar w:fldCharType="end"/>
        </w:r>
      </w:hyperlink>
    </w:p>
    <w:p w14:paraId="7BC799A1" w14:textId="21F3ABB9" w:rsidR="000E29D6" w:rsidRPr="003A5E09" w:rsidRDefault="00E45246">
      <w:pPr>
        <w:pStyle w:val="TOC2"/>
        <w:rPr>
          <w:rFonts w:asciiTheme="minorHAnsi" w:eastAsiaTheme="minorEastAsia" w:hAnsiTheme="minorHAnsi" w:cstheme="minorBidi"/>
          <w:noProof/>
        </w:rPr>
      </w:pPr>
      <w:hyperlink w:anchor="_Toc148960328" w:history="1">
        <w:r w:rsidR="000E29D6" w:rsidRPr="003A5E09">
          <w:rPr>
            <w:rStyle w:val="Hyperlink"/>
            <w:noProof/>
            <w:u w:val="none"/>
          </w:rPr>
          <w:t>11.2</w:t>
        </w:r>
        <w:r w:rsidR="000E29D6" w:rsidRPr="003A5E09">
          <w:rPr>
            <w:rFonts w:asciiTheme="minorHAnsi" w:eastAsiaTheme="minorEastAsia" w:hAnsiTheme="minorHAnsi" w:cstheme="minorBidi"/>
            <w:noProof/>
          </w:rPr>
          <w:tab/>
        </w:r>
        <w:r w:rsidR="000E29D6" w:rsidRPr="003A5E09">
          <w:rPr>
            <w:rStyle w:val="Hyperlink"/>
            <w:noProof/>
            <w:u w:val="none"/>
          </w:rPr>
          <w:t>Data Acquisition from Transmission Service Providers and/or Distribution Service Providers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_Toc148960328 \h </w:instrText>
        </w:r>
        <w:r w:rsidR="000E29D6" w:rsidRPr="003A5E09">
          <w:rPr>
            <w:noProof/>
            <w:webHidden/>
          </w:rPr>
        </w:r>
        <w:r w:rsidR="000E29D6" w:rsidRPr="003A5E09">
          <w:rPr>
            <w:noProof/>
            <w:webHidden/>
          </w:rPr>
          <w:fldChar w:fldCharType="separate"/>
        </w:r>
        <w:r>
          <w:rPr>
            <w:noProof/>
            <w:webHidden/>
          </w:rPr>
          <w:t>10</w:t>
        </w:r>
        <w:r w:rsidR="000E29D6" w:rsidRPr="003A5E09">
          <w:rPr>
            <w:noProof/>
            <w:webHidden/>
          </w:rPr>
          <w:fldChar w:fldCharType="end"/>
        </w:r>
      </w:hyperlink>
    </w:p>
    <w:p w14:paraId="335DB2B2" w14:textId="3D92FB0D" w:rsidR="000E29D6" w:rsidRPr="003A5E09" w:rsidRDefault="00E45246" w:rsidP="00122C8C">
      <w:pPr>
        <w:pStyle w:val="TOC3"/>
        <w:rPr>
          <w:rFonts w:asciiTheme="minorHAnsi" w:eastAsiaTheme="minorEastAsia" w:hAnsiTheme="minorHAnsi" w:cstheme="minorBidi"/>
          <w:bCs w:val="0"/>
          <w:i w:val="0"/>
          <w:iCs w:val="0"/>
        </w:rPr>
      </w:pPr>
      <w:hyperlink w:anchor="_Toc148960329" w:history="1">
        <w:r w:rsidR="000E29D6" w:rsidRPr="003A5E09">
          <w:rPr>
            <w:rStyle w:val="Hyperlink"/>
            <w:bCs w:val="0"/>
            <w:i w:val="0"/>
            <w:iCs w:val="0"/>
            <w:u w:val="none"/>
          </w:rPr>
          <w:t>11.2.1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_Toc148960329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10</w:t>
        </w:r>
        <w:r w:rsidR="000E29D6" w:rsidRPr="003A5E09">
          <w:rPr>
            <w:bCs w:val="0"/>
            <w:i w:val="0"/>
            <w:iCs w:val="0"/>
            <w:webHidden/>
          </w:rPr>
          <w:fldChar w:fldCharType="end"/>
        </w:r>
      </w:hyperlink>
    </w:p>
    <w:p w14:paraId="2C9D1E39" w14:textId="133FF59E" w:rsidR="000E29D6" w:rsidRPr="003A5E09" w:rsidRDefault="00E45246" w:rsidP="00122C8C">
      <w:pPr>
        <w:pStyle w:val="TOC3"/>
        <w:rPr>
          <w:rFonts w:asciiTheme="minorHAnsi" w:eastAsiaTheme="minorEastAsia" w:hAnsiTheme="minorHAnsi" w:cstheme="minorBidi"/>
          <w:bCs w:val="0"/>
          <w:i w:val="0"/>
          <w:iCs w:val="0"/>
        </w:rPr>
      </w:pPr>
      <w:hyperlink w:anchor="_Toc148960330" w:history="1">
        <w:r w:rsidR="000E29D6" w:rsidRPr="003A5E09">
          <w:rPr>
            <w:rStyle w:val="Hyperlink"/>
            <w:bCs w:val="0"/>
            <w:i w:val="0"/>
            <w:iCs w:val="0"/>
            <w:u w:val="none"/>
          </w:rPr>
          <w:t>11.2.2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Data Provision and Verification of Non ERCOT Polled Settlement Metered Points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_Toc148960330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10</w:t>
        </w:r>
        <w:r w:rsidR="000E29D6" w:rsidRPr="003A5E09">
          <w:rPr>
            <w:bCs w:val="0"/>
            <w:i w:val="0"/>
            <w:iCs w:val="0"/>
            <w:webHidden/>
          </w:rPr>
          <w:fldChar w:fldCharType="end"/>
        </w:r>
      </w:hyperlink>
    </w:p>
    <w:p w14:paraId="229D3618" w14:textId="468EED24" w:rsidR="000E29D6" w:rsidRPr="003A5E09" w:rsidRDefault="00E45246">
      <w:pPr>
        <w:pStyle w:val="TOC2"/>
        <w:rPr>
          <w:rFonts w:asciiTheme="minorHAnsi" w:eastAsiaTheme="minorEastAsia" w:hAnsiTheme="minorHAnsi" w:cstheme="minorBidi"/>
          <w:noProof/>
        </w:rPr>
      </w:pPr>
      <w:hyperlink w:anchor="_Toc148960331" w:history="1">
        <w:r w:rsidR="000E29D6" w:rsidRPr="003A5E09">
          <w:rPr>
            <w:rStyle w:val="Hyperlink"/>
            <w:noProof/>
            <w:u w:val="none"/>
          </w:rPr>
          <w:t>11.3</w:t>
        </w:r>
        <w:r w:rsidR="000E29D6" w:rsidRPr="003A5E09">
          <w:rPr>
            <w:rFonts w:asciiTheme="minorHAnsi" w:eastAsiaTheme="minorEastAsia" w:hAnsiTheme="minorHAnsi" w:cstheme="minorBidi"/>
            <w:noProof/>
          </w:rPr>
          <w:tab/>
        </w:r>
        <w:r w:rsidR="000E29D6" w:rsidRPr="003A5E09">
          <w:rPr>
            <w:rStyle w:val="Hyperlink"/>
            <w:noProof/>
            <w:u w:val="none"/>
          </w:rPr>
          <w:t>Electric Service Identifier Synchronization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_Toc148960331 \h </w:instrText>
        </w:r>
        <w:r w:rsidR="000E29D6" w:rsidRPr="003A5E09">
          <w:rPr>
            <w:noProof/>
            <w:webHidden/>
          </w:rPr>
        </w:r>
        <w:r w:rsidR="000E29D6" w:rsidRPr="003A5E09">
          <w:rPr>
            <w:noProof/>
            <w:webHidden/>
          </w:rPr>
          <w:fldChar w:fldCharType="separate"/>
        </w:r>
        <w:r>
          <w:rPr>
            <w:noProof/>
            <w:webHidden/>
          </w:rPr>
          <w:t>11</w:t>
        </w:r>
        <w:r w:rsidR="000E29D6" w:rsidRPr="003A5E09">
          <w:rPr>
            <w:noProof/>
            <w:webHidden/>
          </w:rPr>
          <w:fldChar w:fldCharType="end"/>
        </w:r>
      </w:hyperlink>
    </w:p>
    <w:p w14:paraId="0430F1D7" w14:textId="0D545F82" w:rsidR="000E29D6" w:rsidRPr="003A5E09" w:rsidRDefault="00E45246" w:rsidP="00122C8C">
      <w:pPr>
        <w:pStyle w:val="TOC3"/>
        <w:rPr>
          <w:rFonts w:asciiTheme="minorHAnsi" w:eastAsiaTheme="minorEastAsia" w:hAnsiTheme="minorHAnsi" w:cstheme="minorBidi"/>
          <w:bCs w:val="0"/>
          <w:i w:val="0"/>
          <w:iCs w:val="0"/>
        </w:rPr>
      </w:pPr>
      <w:hyperlink w:anchor="_Toc148960332" w:history="1">
        <w:r w:rsidR="000E29D6" w:rsidRPr="003A5E09">
          <w:rPr>
            <w:rStyle w:val="Hyperlink"/>
            <w:bCs w:val="0"/>
            <w:i w:val="0"/>
            <w:iCs w:val="0"/>
            <w:u w:val="none"/>
          </w:rPr>
          <w:t>11.3.1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Electric Service Identifier Service History and Usage</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_Toc148960332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11</w:t>
        </w:r>
        <w:r w:rsidR="000E29D6" w:rsidRPr="003A5E09">
          <w:rPr>
            <w:bCs w:val="0"/>
            <w:i w:val="0"/>
            <w:iCs w:val="0"/>
            <w:webHidden/>
          </w:rPr>
          <w:fldChar w:fldCharType="end"/>
        </w:r>
      </w:hyperlink>
    </w:p>
    <w:p w14:paraId="64BA84A5" w14:textId="4F012ED8" w:rsidR="000E29D6" w:rsidRPr="003A5E09" w:rsidRDefault="00E45246" w:rsidP="00122C8C">
      <w:pPr>
        <w:pStyle w:val="TOC3"/>
        <w:rPr>
          <w:rFonts w:asciiTheme="minorHAnsi" w:eastAsiaTheme="minorEastAsia" w:hAnsiTheme="minorHAnsi" w:cstheme="minorBidi"/>
          <w:bCs w:val="0"/>
          <w:i w:val="0"/>
          <w:iCs w:val="0"/>
        </w:rPr>
      </w:pPr>
      <w:hyperlink w:anchor="_Toc148960333" w:history="1">
        <w:r w:rsidR="000E29D6" w:rsidRPr="003A5E09">
          <w:rPr>
            <w:rStyle w:val="Hyperlink"/>
            <w:bCs w:val="0"/>
            <w:i w:val="0"/>
            <w:iCs w:val="0"/>
            <w:u w:val="none"/>
          </w:rPr>
          <w:t>11.3.2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Variance Process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_Toc148960333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11</w:t>
        </w:r>
        <w:r w:rsidR="000E29D6" w:rsidRPr="003A5E09">
          <w:rPr>
            <w:bCs w:val="0"/>
            <w:i w:val="0"/>
            <w:iCs w:val="0"/>
            <w:webHidden/>
          </w:rPr>
          <w:fldChar w:fldCharType="end"/>
        </w:r>
      </w:hyperlink>
    </w:p>
    <w:p w14:paraId="627F88FA" w14:textId="299DBD2C" w:rsidR="000E29D6" w:rsidRPr="003A5E09" w:rsidRDefault="00E45246" w:rsidP="00122C8C">
      <w:pPr>
        <w:pStyle w:val="TOC3"/>
        <w:rPr>
          <w:rFonts w:asciiTheme="minorHAnsi" w:eastAsiaTheme="minorEastAsia" w:hAnsiTheme="minorHAnsi" w:cstheme="minorBidi"/>
          <w:bCs w:val="0"/>
          <w:i w:val="0"/>
          <w:iCs w:val="0"/>
        </w:rPr>
      </w:pPr>
      <w:hyperlink w:anchor="_Toc148960334" w:history="1">
        <w:r w:rsidR="000E29D6" w:rsidRPr="003A5E09">
          <w:rPr>
            <w:rStyle w:val="Hyperlink"/>
            <w:bCs w:val="0"/>
            <w:i w:val="0"/>
            <w:iCs w:val="0"/>
            <w:u w:val="none"/>
          </w:rPr>
          <w:t>11.3.3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Alternative Dispute Resolution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_Toc148960334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11</w:t>
        </w:r>
        <w:r w:rsidR="000E29D6" w:rsidRPr="003A5E09">
          <w:rPr>
            <w:bCs w:val="0"/>
            <w:i w:val="0"/>
            <w:iCs w:val="0"/>
            <w:webHidden/>
          </w:rPr>
          <w:fldChar w:fldCharType="end"/>
        </w:r>
      </w:hyperlink>
    </w:p>
    <w:p w14:paraId="51B6D342" w14:textId="72B0DC31" w:rsidR="000E29D6" w:rsidRPr="003A5E09" w:rsidRDefault="00E45246">
      <w:pPr>
        <w:pStyle w:val="TOC2"/>
        <w:rPr>
          <w:rFonts w:asciiTheme="minorHAnsi" w:eastAsiaTheme="minorEastAsia" w:hAnsiTheme="minorHAnsi" w:cstheme="minorBidi"/>
          <w:noProof/>
        </w:rPr>
      </w:pPr>
      <w:hyperlink w:anchor="_Toc148960335" w:history="1">
        <w:r w:rsidR="000E29D6" w:rsidRPr="003A5E09">
          <w:rPr>
            <w:rStyle w:val="Hyperlink"/>
            <w:noProof/>
            <w:u w:val="none"/>
          </w:rPr>
          <w:t>11.4</w:t>
        </w:r>
        <w:r w:rsidR="000E29D6" w:rsidRPr="003A5E09">
          <w:rPr>
            <w:rFonts w:asciiTheme="minorHAnsi" w:eastAsiaTheme="minorEastAsia" w:hAnsiTheme="minorHAnsi" w:cstheme="minorBidi"/>
            <w:noProof/>
          </w:rPr>
          <w:tab/>
        </w:r>
        <w:r w:rsidR="000E29D6" w:rsidRPr="003A5E09">
          <w:rPr>
            <w:rStyle w:val="Hyperlink"/>
            <w:noProof/>
            <w:u w:val="none"/>
          </w:rPr>
          <w:t>Load Data Aggregation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_Toc148960335 \h </w:instrText>
        </w:r>
        <w:r w:rsidR="000E29D6" w:rsidRPr="003A5E09">
          <w:rPr>
            <w:noProof/>
            <w:webHidden/>
          </w:rPr>
        </w:r>
        <w:r w:rsidR="000E29D6" w:rsidRPr="003A5E09">
          <w:rPr>
            <w:noProof/>
            <w:webHidden/>
          </w:rPr>
          <w:fldChar w:fldCharType="separate"/>
        </w:r>
        <w:r>
          <w:rPr>
            <w:noProof/>
            <w:webHidden/>
          </w:rPr>
          <w:t>11</w:t>
        </w:r>
        <w:r w:rsidR="000E29D6" w:rsidRPr="003A5E09">
          <w:rPr>
            <w:noProof/>
            <w:webHidden/>
          </w:rPr>
          <w:fldChar w:fldCharType="end"/>
        </w:r>
      </w:hyperlink>
    </w:p>
    <w:p w14:paraId="6DD36F27" w14:textId="69177067" w:rsidR="000E29D6" w:rsidRPr="003A5E09" w:rsidRDefault="00E45246" w:rsidP="00122C8C">
      <w:pPr>
        <w:pStyle w:val="TOC3"/>
        <w:rPr>
          <w:rFonts w:asciiTheme="minorHAnsi" w:eastAsiaTheme="minorEastAsia" w:hAnsiTheme="minorHAnsi" w:cstheme="minorBidi"/>
          <w:bCs w:val="0"/>
          <w:i w:val="0"/>
          <w:iCs w:val="0"/>
        </w:rPr>
      </w:pPr>
      <w:hyperlink w:anchor="_Toc148960336" w:history="1">
        <w:r w:rsidR="000E29D6" w:rsidRPr="003A5E09">
          <w:rPr>
            <w:rStyle w:val="Hyperlink"/>
            <w:bCs w:val="0"/>
            <w:i w:val="0"/>
            <w:iCs w:val="0"/>
            <w:u w:val="none"/>
          </w:rPr>
          <w:t>11.4.1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Estimation of Missing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11</w:t>
        </w:r>
        <w:r w:rsidR="000E29D6" w:rsidRPr="003A5E09">
          <w:rPr>
            <w:bCs w:val="0"/>
            <w:i w:val="0"/>
            <w:iCs w:val="0"/>
            <w:webHidden/>
          </w:rPr>
          <w:fldChar w:fldCharType="end"/>
        </w:r>
      </w:hyperlink>
    </w:p>
    <w:p w14:paraId="635C25C0" w14:textId="0CB49F68" w:rsidR="000E29D6" w:rsidRPr="003A5E09" w:rsidRDefault="00E45246" w:rsidP="00122C8C">
      <w:pPr>
        <w:pStyle w:val="TOC3"/>
        <w:rPr>
          <w:rFonts w:asciiTheme="minorHAnsi" w:eastAsiaTheme="minorEastAsia" w:hAnsiTheme="minorHAnsi" w:cstheme="minorBidi"/>
          <w:bCs w:val="0"/>
          <w:i w:val="0"/>
          <w:iCs w:val="0"/>
        </w:rPr>
      </w:pPr>
      <w:hyperlink w:anchor="_Toc148960337" w:history="1">
        <w:r w:rsidR="000E29D6" w:rsidRPr="003A5E09">
          <w:rPr>
            <w:rStyle w:val="Hyperlink"/>
            <w:bCs w:val="0"/>
            <w:i w:val="0"/>
            <w:iCs w:val="0"/>
            <w:u w:val="none"/>
          </w:rPr>
          <w:t>11.4.2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Non-Interval Missing Consumption Data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_Toc148960337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12</w:t>
        </w:r>
        <w:r w:rsidR="000E29D6" w:rsidRPr="003A5E09">
          <w:rPr>
            <w:bCs w:val="0"/>
            <w:i w:val="0"/>
            <w:iCs w:val="0"/>
            <w:webHidden/>
          </w:rPr>
          <w:fldChar w:fldCharType="end"/>
        </w:r>
      </w:hyperlink>
    </w:p>
    <w:p w14:paraId="612116E2" w14:textId="0D6EF499" w:rsidR="000E29D6" w:rsidRPr="003A5E09" w:rsidRDefault="00E45246" w:rsidP="00122C8C">
      <w:pPr>
        <w:pStyle w:val="TOC3"/>
        <w:rPr>
          <w:rFonts w:asciiTheme="minorHAnsi" w:eastAsiaTheme="minorEastAsia" w:hAnsiTheme="minorHAnsi" w:cstheme="minorBidi"/>
          <w:bCs w:val="0"/>
          <w:i w:val="0"/>
          <w:iCs w:val="0"/>
        </w:rPr>
      </w:pPr>
      <w:hyperlink w:anchor="_Toc148960338" w:history="1">
        <w:r w:rsidR="000E29D6" w:rsidRPr="003A5E09">
          <w:rPr>
            <w:rStyle w:val="Hyperlink"/>
            <w:bCs w:val="0"/>
            <w:i w:val="0"/>
            <w:iCs w:val="0"/>
            <w:u w:val="none"/>
          </w:rPr>
          <w:t>11.4.3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Interval Consumption Data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_Toc148960338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13</w:t>
        </w:r>
        <w:r w:rsidR="000E29D6" w:rsidRPr="003A5E09">
          <w:rPr>
            <w:bCs w:val="0"/>
            <w:i w:val="0"/>
            <w:iCs w:val="0"/>
            <w:webHidden/>
          </w:rPr>
          <w:fldChar w:fldCharType="end"/>
        </w:r>
      </w:hyperlink>
    </w:p>
    <w:p w14:paraId="4D77B7AA" w14:textId="2FAA8375" w:rsidR="000E29D6" w:rsidRPr="003A5E09" w:rsidRDefault="00E45246">
      <w:pPr>
        <w:pStyle w:val="TOC4"/>
        <w:rPr>
          <w:rFonts w:asciiTheme="minorHAnsi" w:eastAsiaTheme="minorEastAsia" w:hAnsiTheme="minorHAnsi" w:cstheme="minorBidi"/>
          <w:noProof/>
          <w:sz w:val="20"/>
          <w:szCs w:val="20"/>
        </w:rPr>
      </w:pPr>
      <w:hyperlink w:anchor="_Toc148960339" w:history="1">
        <w:r w:rsidR="000E29D6" w:rsidRPr="003A5E09">
          <w:rPr>
            <w:rStyle w:val="Hyperlink"/>
            <w:noProof/>
            <w:sz w:val="20"/>
            <w:szCs w:val="20"/>
            <w:u w:val="none"/>
          </w:rPr>
          <w:t>11.4.3.1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Weather Sensitive Proxy Day Method</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_Toc148960339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13</w:t>
        </w:r>
        <w:r w:rsidR="000E29D6" w:rsidRPr="003A5E09">
          <w:rPr>
            <w:noProof/>
            <w:webHidden/>
            <w:sz w:val="20"/>
            <w:szCs w:val="20"/>
          </w:rPr>
          <w:fldChar w:fldCharType="end"/>
        </w:r>
      </w:hyperlink>
    </w:p>
    <w:p w14:paraId="04CDCD41" w14:textId="5B230601" w:rsidR="000E29D6" w:rsidRPr="003A5E09" w:rsidRDefault="00E45246">
      <w:pPr>
        <w:pStyle w:val="TOC4"/>
        <w:rPr>
          <w:rFonts w:asciiTheme="minorHAnsi" w:eastAsiaTheme="minorEastAsia" w:hAnsiTheme="minorHAnsi" w:cstheme="minorBidi"/>
          <w:noProof/>
          <w:sz w:val="20"/>
          <w:szCs w:val="20"/>
        </w:rPr>
      </w:pPr>
      <w:hyperlink w:anchor="_Toc148960340" w:history="1">
        <w:r w:rsidR="000E29D6" w:rsidRPr="003A5E09">
          <w:rPr>
            <w:rStyle w:val="Hyperlink"/>
            <w:noProof/>
            <w:sz w:val="20"/>
            <w:szCs w:val="20"/>
            <w:u w:val="none"/>
          </w:rPr>
          <w:t>11.4.3.2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Non-Weather Sensitive Proxy Day Method</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_Toc148960340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14</w:t>
        </w:r>
        <w:r w:rsidR="000E29D6" w:rsidRPr="003A5E09">
          <w:rPr>
            <w:noProof/>
            <w:webHidden/>
            <w:sz w:val="20"/>
            <w:szCs w:val="20"/>
          </w:rPr>
          <w:fldChar w:fldCharType="end"/>
        </w:r>
      </w:hyperlink>
    </w:p>
    <w:p w14:paraId="6647D794" w14:textId="6724CF88" w:rsidR="000E29D6" w:rsidRPr="003A5E09" w:rsidRDefault="00E45246">
      <w:pPr>
        <w:pStyle w:val="TOC4"/>
        <w:rPr>
          <w:rFonts w:asciiTheme="minorHAnsi" w:eastAsiaTheme="minorEastAsia" w:hAnsiTheme="minorHAnsi" w:cstheme="minorBidi"/>
          <w:noProof/>
          <w:sz w:val="20"/>
          <w:szCs w:val="20"/>
        </w:rPr>
      </w:pPr>
      <w:hyperlink w:anchor="_Toc148960341" w:history="1">
        <w:r w:rsidR="000E29D6" w:rsidRPr="003A5E09">
          <w:rPr>
            <w:rStyle w:val="Hyperlink"/>
            <w:noProof/>
            <w:sz w:val="20"/>
            <w:szCs w:val="20"/>
            <w:u w:val="none"/>
          </w:rPr>
          <w:t>11.4.3.3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Interval Data Recorder Estimation Reporting</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_Toc148960341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15</w:t>
        </w:r>
        <w:r w:rsidR="000E29D6" w:rsidRPr="003A5E09">
          <w:rPr>
            <w:noProof/>
            <w:webHidden/>
            <w:sz w:val="20"/>
            <w:szCs w:val="20"/>
          </w:rPr>
          <w:fldChar w:fldCharType="end"/>
        </w:r>
      </w:hyperlink>
    </w:p>
    <w:p w14:paraId="6D2645F8" w14:textId="768400FD" w:rsidR="000E29D6" w:rsidRPr="003A5E09" w:rsidRDefault="00E45246" w:rsidP="00122C8C">
      <w:pPr>
        <w:pStyle w:val="TOC3"/>
        <w:rPr>
          <w:rFonts w:asciiTheme="minorHAnsi" w:eastAsiaTheme="minorEastAsia" w:hAnsiTheme="minorHAnsi" w:cstheme="minorBidi"/>
          <w:bCs w:val="0"/>
          <w:i w:val="0"/>
          <w:iCs w:val="0"/>
        </w:rPr>
      </w:pPr>
      <w:hyperlink w:anchor="_Toc148960342" w:history="1">
        <w:r w:rsidR="000E29D6" w:rsidRPr="003A5E09">
          <w:rPr>
            <w:rStyle w:val="Hyperlink"/>
            <w:bCs w:val="0"/>
            <w:i w:val="0"/>
            <w:iCs w:val="0"/>
            <w:u w:val="none"/>
          </w:rPr>
          <w:t>11.4.4</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Data Aggregation Processing for Actual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_Toc148960342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15</w:t>
        </w:r>
        <w:r w:rsidR="000E29D6" w:rsidRPr="003A5E09">
          <w:rPr>
            <w:bCs w:val="0"/>
            <w:i w:val="0"/>
            <w:iCs w:val="0"/>
            <w:webHidden/>
          </w:rPr>
          <w:fldChar w:fldCharType="end"/>
        </w:r>
      </w:hyperlink>
    </w:p>
    <w:p w14:paraId="705728F0" w14:textId="39BD7144" w:rsidR="000E29D6" w:rsidRPr="003A5E09" w:rsidRDefault="00E45246">
      <w:pPr>
        <w:pStyle w:val="TOC4"/>
        <w:rPr>
          <w:rFonts w:asciiTheme="minorHAnsi" w:eastAsiaTheme="minorEastAsia" w:hAnsiTheme="minorHAnsi" w:cstheme="minorBidi"/>
          <w:noProof/>
          <w:sz w:val="20"/>
          <w:szCs w:val="20"/>
        </w:rPr>
      </w:pPr>
      <w:hyperlink w:anchor="_Toc148960343" w:history="1">
        <w:r w:rsidR="000E29D6" w:rsidRPr="003A5E09">
          <w:rPr>
            <w:rStyle w:val="Hyperlink"/>
            <w:noProof/>
            <w:sz w:val="20"/>
            <w:szCs w:val="20"/>
            <w:u w:val="none"/>
          </w:rPr>
          <w:t>11.4.4.1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Application of Profiles to Non-Interval Data</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_Toc148960343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15</w:t>
        </w:r>
        <w:r w:rsidR="000E29D6" w:rsidRPr="003A5E09">
          <w:rPr>
            <w:noProof/>
            <w:webHidden/>
            <w:sz w:val="20"/>
            <w:szCs w:val="20"/>
          </w:rPr>
          <w:fldChar w:fldCharType="end"/>
        </w:r>
      </w:hyperlink>
    </w:p>
    <w:p w14:paraId="5ACA641D" w14:textId="00E80943" w:rsidR="000E29D6" w:rsidRPr="003A5E09" w:rsidRDefault="00E45246">
      <w:pPr>
        <w:pStyle w:val="TOC4"/>
        <w:rPr>
          <w:rFonts w:asciiTheme="minorHAnsi" w:eastAsiaTheme="minorEastAsia" w:hAnsiTheme="minorHAnsi" w:cstheme="minorBidi"/>
          <w:noProof/>
          <w:sz w:val="20"/>
          <w:szCs w:val="20"/>
        </w:rPr>
      </w:pPr>
      <w:hyperlink w:anchor="_Toc148960344" w:history="1">
        <w:r w:rsidR="000E29D6" w:rsidRPr="003A5E09">
          <w:rPr>
            <w:rStyle w:val="Hyperlink"/>
            <w:noProof/>
            <w:sz w:val="20"/>
            <w:szCs w:val="20"/>
            <w:u w:val="none"/>
          </w:rPr>
          <w:t>11.4.4.2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Load Reduction for Excess PhotoVoltaic and Wind Distributed Renewable Generation</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_Toc148960344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16</w:t>
        </w:r>
        <w:r w:rsidR="000E29D6" w:rsidRPr="003A5E09">
          <w:rPr>
            <w:noProof/>
            <w:webHidden/>
            <w:sz w:val="20"/>
            <w:szCs w:val="20"/>
          </w:rPr>
          <w:fldChar w:fldCharType="end"/>
        </w:r>
      </w:hyperlink>
    </w:p>
    <w:p w14:paraId="216FA027" w14:textId="2C45B63F" w:rsidR="000E29D6" w:rsidRPr="003A5E09" w:rsidRDefault="00E45246">
      <w:pPr>
        <w:pStyle w:val="TOC4"/>
        <w:rPr>
          <w:rFonts w:asciiTheme="minorHAnsi" w:eastAsiaTheme="minorEastAsia" w:hAnsiTheme="minorHAnsi" w:cstheme="minorBidi"/>
          <w:noProof/>
          <w:sz w:val="20"/>
          <w:szCs w:val="20"/>
        </w:rPr>
      </w:pPr>
      <w:hyperlink w:anchor="_Toc148960345" w:history="1">
        <w:r w:rsidR="000E29D6" w:rsidRPr="003A5E09">
          <w:rPr>
            <w:rStyle w:val="Hyperlink"/>
            <w:noProof/>
            <w:sz w:val="20"/>
            <w:szCs w:val="20"/>
            <w:u w:val="none"/>
          </w:rPr>
          <w:t>11.4.4.3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Load Reduction for Excess from Other Distributed Generation</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_Toc148960345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17</w:t>
        </w:r>
        <w:r w:rsidR="000E29D6" w:rsidRPr="003A5E09">
          <w:rPr>
            <w:noProof/>
            <w:webHidden/>
            <w:sz w:val="20"/>
            <w:szCs w:val="20"/>
          </w:rPr>
          <w:fldChar w:fldCharType="end"/>
        </w:r>
      </w:hyperlink>
    </w:p>
    <w:p w14:paraId="525FB60F" w14:textId="11B44FF0" w:rsidR="000E29D6" w:rsidRPr="003A5E09" w:rsidRDefault="00E45246" w:rsidP="00122C8C">
      <w:pPr>
        <w:pStyle w:val="TOC3"/>
        <w:rPr>
          <w:rFonts w:asciiTheme="minorHAnsi" w:eastAsiaTheme="minorEastAsia" w:hAnsiTheme="minorHAnsi" w:cstheme="minorBidi"/>
          <w:bCs w:val="0"/>
          <w:i w:val="0"/>
          <w:iCs w:val="0"/>
        </w:rPr>
      </w:pPr>
      <w:hyperlink w:anchor="_Toc148960346" w:history="1">
        <w:r w:rsidR="000E29D6" w:rsidRPr="003A5E09">
          <w:rPr>
            <w:rStyle w:val="Hyperlink"/>
            <w:bCs w:val="0"/>
            <w:i w:val="0"/>
            <w:iCs w:val="0"/>
            <w:u w:val="none"/>
          </w:rPr>
          <w:t>11.4.5</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Adjustment of Consumption Data for Losses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18</w:t>
        </w:r>
        <w:r w:rsidR="000E29D6" w:rsidRPr="003A5E09">
          <w:rPr>
            <w:bCs w:val="0"/>
            <w:i w:val="0"/>
            <w:iCs w:val="0"/>
            <w:webHidden/>
          </w:rPr>
          <w:fldChar w:fldCharType="end"/>
        </w:r>
      </w:hyperlink>
    </w:p>
    <w:p w14:paraId="3CD838A3" w14:textId="7C06D96E" w:rsidR="000E29D6" w:rsidRPr="003A5E09" w:rsidRDefault="00E45246" w:rsidP="00122C8C">
      <w:pPr>
        <w:pStyle w:val="TOC3"/>
        <w:rPr>
          <w:rFonts w:asciiTheme="minorHAnsi" w:eastAsiaTheme="minorEastAsia" w:hAnsiTheme="minorHAnsi" w:cstheme="minorBidi"/>
          <w:bCs w:val="0"/>
          <w:i w:val="0"/>
          <w:iCs w:val="0"/>
        </w:rPr>
      </w:pPr>
      <w:hyperlink w:anchor="_Toc148960347" w:history="1">
        <w:r w:rsidR="000E29D6" w:rsidRPr="003A5E09">
          <w:rPr>
            <w:rStyle w:val="Hyperlink"/>
            <w:bCs w:val="0"/>
            <w:i w:val="0"/>
            <w:iCs w:val="0"/>
            <w:u w:val="none"/>
          </w:rPr>
          <w:t>11.4.6</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Unaccounted for Energy Calculation and Allocation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_Toc148960347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19</w:t>
        </w:r>
        <w:r w:rsidR="000E29D6" w:rsidRPr="003A5E09">
          <w:rPr>
            <w:bCs w:val="0"/>
            <w:i w:val="0"/>
            <w:iCs w:val="0"/>
            <w:webHidden/>
          </w:rPr>
          <w:fldChar w:fldCharType="end"/>
        </w:r>
      </w:hyperlink>
    </w:p>
    <w:p w14:paraId="4E01A13A" w14:textId="70F71EB3" w:rsidR="000E29D6" w:rsidRPr="003A5E09" w:rsidRDefault="00E45246">
      <w:pPr>
        <w:pStyle w:val="TOC4"/>
        <w:rPr>
          <w:rFonts w:asciiTheme="minorHAnsi" w:eastAsiaTheme="minorEastAsia" w:hAnsiTheme="minorHAnsi" w:cstheme="minorBidi"/>
          <w:noProof/>
          <w:sz w:val="20"/>
          <w:szCs w:val="20"/>
        </w:rPr>
      </w:pPr>
      <w:hyperlink w:anchor="_Toc148960348" w:history="1">
        <w:r w:rsidR="000E29D6" w:rsidRPr="003A5E09">
          <w:rPr>
            <w:rStyle w:val="Hyperlink"/>
            <w:noProof/>
            <w:sz w:val="20"/>
            <w:szCs w:val="20"/>
            <w:u w:val="none"/>
          </w:rPr>
          <w:t>11.4.6.1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Calculation of ERCOT-Wide Unaccounted For Energy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_Toc148960348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19</w:t>
        </w:r>
        <w:r w:rsidR="000E29D6" w:rsidRPr="003A5E09">
          <w:rPr>
            <w:noProof/>
            <w:webHidden/>
            <w:sz w:val="20"/>
            <w:szCs w:val="20"/>
          </w:rPr>
          <w:fldChar w:fldCharType="end"/>
        </w:r>
      </w:hyperlink>
    </w:p>
    <w:p w14:paraId="2F930A02" w14:textId="2DAEF0ED" w:rsidR="000E29D6" w:rsidRPr="003A5E09" w:rsidRDefault="00E45246">
      <w:pPr>
        <w:pStyle w:val="TOC4"/>
        <w:rPr>
          <w:rFonts w:asciiTheme="minorHAnsi" w:eastAsiaTheme="minorEastAsia" w:hAnsiTheme="minorHAnsi" w:cstheme="minorBidi"/>
          <w:noProof/>
          <w:sz w:val="20"/>
          <w:szCs w:val="20"/>
        </w:rPr>
      </w:pPr>
      <w:hyperlink w:anchor="_Toc148960349" w:history="1">
        <w:r w:rsidR="000E29D6" w:rsidRPr="003A5E09">
          <w:rPr>
            <w:rStyle w:val="Hyperlink"/>
            <w:noProof/>
            <w:sz w:val="20"/>
            <w:szCs w:val="20"/>
            <w:u w:val="none"/>
          </w:rPr>
          <w:t>11.4.6.2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Allocation of Unaccounted For Energy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_Toc148960349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20</w:t>
        </w:r>
        <w:r w:rsidR="000E29D6" w:rsidRPr="003A5E09">
          <w:rPr>
            <w:noProof/>
            <w:webHidden/>
            <w:sz w:val="20"/>
            <w:szCs w:val="20"/>
          </w:rPr>
          <w:fldChar w:fldCharType="end"/>
        </w:r>
      </w:hyperlink>
    </w:p>
    <w:p w14:paraId="36F3C3B2" w14:textId="138883A2" w:rsidR="000E29D6" w:rsidRPr="003A5E09" w:rsidRDefault="00E45246">
      <w:pPr>
        <w:pStyle w:val="TOC4"/>
        <w:rPr>
          <w:rFonts w:asciiTheme="minorHAnsi" w:eastAsiaTheme="minorEastAsia" w:hAnsiTheme="minorHAnsi" w:cstheme="minorBidi"/>
          <w:noProof/>
          <w:sz w:val="20"/>
          <w:szCs w:val="20"/>
        </w:rPr>
      </w:pPr>
      <w:hyperlink w:anchor="_Toc148960350" w:history="1">
        <w:r w:rsidR="000E29D6" w:rsidRPr="003A5E09">
          <w:rPr>
            <w:rStyle w:val="Hyperlink"/>
            <w:noProof/>
            <w:sz w:val="20"/>
            <w:szCs w:val="20"/>
            <w:u w:val="none"/>
          </w:rPr>
          <w:t>11.4.6.3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Unaccounted For Energy Allocation to Unaccounted For Energy Categories</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_Toc148960350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20</w:t>
        </w:r>
        <w:r w:rsidR="000E29D6" w:rsidRPr="003A5E09">
          <w:rPr>
            <w:noProof/>
            <w:webHidden/>
            <w:sz w:val="20"/>
            <w:szCs w:val="20"/>
          </w:rPr>
          <w:fldChar w:fldCharType="end"/>
        </w:r>
      </w:hyperlink>
    </w:p>
    <w:p w14:paraId="40A75CC1" w14:textId="62F90C6A" w:rsidR="000E29D6" w:rsidRPr="003A5E09" w:rsidRDefault="00E45246">
      <w:pPr>
        <w:pStyle w:val="TOC4"/>
        <w:rPr>
          <w:rFonts w:asciiTheme="minorHAnsi" w:eastAsiaTheme="minorEastAsia" w:hAnsiTheme="minorHAnsi" w:cstheme="minorBidi"/>
          <w:noProof/>
          <w:sz w:val="20"/>
          <w:szCs w:val="20"/>
        </w:rPr>
      </w:pPr>
      <w:hyperlink w:anchor="_Toc148960351" w:history="1">
        <w:r w:rsidR="000E29D6" w:rsidRPr="003A5E09">
          <w:rPr>
            <w:rStyle w:val="Hyperlink"/>
            <w:noProof/>
            <w:sz w:val="20"/>
            <w:szCs w:val="20"/>
            <w:u w:val="none"/>
          </w:rPr>
          <w:t>11.4.6.4</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Unaccounted For Energy Allocation to Load Serving Entities within Unaccounted For Energy Categories</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_Toc148960351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21</w:t>
        </w:r>
        <w:r w:rsidR="000E29D6" w:rsidRPr="003A5E09">
          <w:rPr>
            <w:noProof/>
            <w:webHidden/>
            <w:sz w:val="20"/>
            <w:szCs w:val="20"/>
          </w:rPr>
          <w:fldChar w:fldCharType="end"/>
        </w:r>
      </w:hyperlink>
    </w:p>
    <w:p w14:paraId="6F9E30D3" w14:textId="0674016F" w:rsidR="000E29D6" w:rsidRPr="003A5E09" w:rsidRDefault="00E45246">
      <w:pPr>
        <w:pStyle w:val="TOC2"/>
        <w:rPr>
          <w:rFonts w:asciiTheme="minorHAnsi" w:eastAsiaTheme="minorEastAsia" w:hAnsiTheme="minorHAnsi" w:cstheme="minorBidi"/>
          <w:noProof/>
        </w:rPr>
      </w:pPr>
      <w:hyperlink w:anchor="_Toc148960352" w:history="1">
        <w:r w:rsidR="000E29D6" w:rsidRPr="003A5E09">
          <w:rPr>
            <w:rStyle w:val="Hyperlink"/>
            <w:noProof/>
            <w:u w:val="none"/>
          </w:rPr>
          <w:t>11.5</w:t>
        </w:r>
        <w:r w:rsidR="000E29D6" w:rsidRPr="003A5E09">
          <w:rPr>
            <w:rFonts w:asciiTheme="minorHAnsi" w:eastAsiaTheme="minorEastAsia" w:hAnsiTheme="minorHAnsi" w:cstheme="minorBidi"/>
            <w:noProof/>
          </w:rPr>
          <w:tab/>
        </w:r>
        <w:r w:rsidR="000E29D6" w:rsidRPr="003A5E09">
          <w:rPr>
            <w:rStyle w:val="Hyperlink"/>
            <w:noProof/>
            <w:u w:val="none"/>
          </w:rPr>
          <w:t>Data Aggregation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_Toc148960352 \h </w:instrText>
        </w:r>
        <w:r w:rsidR="000E29D6" w:rsidRPr="003A5E09">
          <w:rPr>
            <w:noProof/>
            <w:webHidden/>
          </w:rPr>
        </w:r>
        <w:r w:rsidR="000E29D6" w:rsidRPr="003A5E09">
          <w:rPr>
            <w:noProof/>
            <w:webHidden/>
          </w:rPr>
          <w:fldChar w:fldCharType="separate"/>
        </w:r>
        <w:r>
          <w:rPr>
            <w:noProof/>
            <w:webHidden/>
          </w:rPr>
          <w:t>22</w:t>
        </w:r>
        <w:r w:rsidR="000E29D6" w:rsidRPr="003A5E09">
          <w:rPr>
            <w:noProof/>
            <w:webHidden/>
          </w:rPr>
          <w:fldChar w:fldCharType="end"/>
        </w:r>
      </w:hyperlink>
    </w:p>
    <w:p w14:paraId="22C41141" w14:textId="1C91E006" w:rsidR="000E29D6" w:rsidRPr="003A5E09" w:rsidRDefault="00E45246" w:rsidP="00122C8C">
      <w:pPr>
        <w:pStyle w:val="TOC3"/>
        <w:rPr>
          <w:rFonts w:asciiTheme="minorHAnsi" w:eastAsiaTheme="minorEastAsia" w:hAnsiTheme="minorHAnsi" w:cstheme="minorBidi"/>
          <w:bCs w:val="0"/>
          <w:i w:val="0"/>
          <w:iCs w:val="0"/>
        </w:rPr>
      </w:pPr>
      <w:hyperlink w:anchor="_Toc148960353" w:history="1">
        <w:r w:rsidR="000E29D6" w:rsidRPr="003A5E09">
          <w:rPr>
            <w:rStyle w:val="Hyperlink"/>
            <w:bCs w:val="0"/>
            <w:i w:val="0"/>
            <w:iCs w:val="0"/>
            <w:u w:val="none"/>
          </w:rPr>
          <w:t>11.5.1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Aggregate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_Toc148960353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22</w:t>
        </w:r>
        <w:r w:rsidR="000E29D6" w:rsidRPr="003A5E09">
          <w:rPr>
            <w:bCs w:val="0"/>
            <w:i w:val="0"/>
            <w:iCs w:val="0"/>
            <w:webHidden/>
          </w:rPr>
          <w:fldChar w:fldCharType="end"/>
        </w:r>
      </w:hyperlink>
    </w:p>
    <w:p w14:paraId="56D6B52A" w14:textId="26E70E18" w:rsidR="000E29D6" w:rsidRPr="003A5E09" w:rsidRDefault="00E45246">
      <w:pPr>
        <w:pStyle w:val="TOC4"/>
        <w:rPr>
          <w:rFonts w:asciiTheme="minorHAnsi" w:eastAsiaTheme="minorEastAsia" w:hAnsiTheme="minorHAnsi" w:cstheme="minorBidi"/>
          <w:noProof/>
          <w:sz w:val="20"/>
          <w:szCs w:val="20"/>
        </w:rPr>
      </w:pPr>
      <w:hyperlink w:anchor="_Toc148960354" w:history="1">
        <w:r w:rsidR="000E29D6" w:rsidRPr="003A5E09">
          <w:rPr>
            <w:rStyle w:val="Hyperlink"/>
            <w:noProof/>
            <w:sz w:val="20"/>
            <w:szCs w:val="20"/>
            <w:u w:val="none"/>
          </w:rPr>
          <w:t>11.5.1.1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Aggregated Load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_Toc148960354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22</w:t>
        </w:r>
        <w:r w:rsidR="000E29D6" w:rsidRPr="003A5E09">
          <w:rPr>
            <w:noProof/>
            <w:webHidden/>
            <w:sz w:val="20"/>
            <w:szCs w:val="20"/>
          </w:rPr>
          <w:fldChar w:fldCharType="end"/>
        </w:r>
      </w:hyperlink>
    </w:p>
    <w:p w14:paraId="05F10233" w14:textId="7D0C917D" w:rsidR="000E29D6" w:rsidRPr="003A5E09" w:rsidRDefault="00E45246">
      <w:pPr>
        <w:pStyle w:val="TOC4"/>
        <w:rPr>
          <w:rFonts w:asciiTheme="minorHAnsi" w:eastAsiaTheme="minorEastAsia" w:hAnsiTheme="minorHAnsi" w:cstheme="minorBidi"/>
          <w:noProof/>
          <w:sz w:val="20"/>
          <w:szCs w:val="20"/>
        </w:rPr>
      </w:pPr>
      <w:hyperlink w:anchor="_Toc148960355" w:history="1">
        <w:r w:rsidR="000E29D6" w:rsidRPr="003A5E09">
          <w:rPr>
            <w:rStyle w:val="Hyperlink"/>
            <w:noProof/>
            <w:sz w:val="20"/>
            <w:szCs w:val="20"/>
            <w:u w:val="none"/>
          </w:rPr>
          <w:t>11.5.1.2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TSP and/or DSP Load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_Toc148960355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23</w:t>
        </w:r>
        <w:r w:rsidR="000E29D6" w:rsidRPr="003A5E09">
          <w:rPr>
            <w:noProof/>
            <w:webHidden/>
            <w:sz w:val="20"/>
            <w:szCs w:val="20"/>
          </w:rPr>
          <w:fldChar w:fldCharType="end"/>
        </w:r>
      </w:hyperlink>
    </w:p>
    <w:p w14:paraId="09EE0E43" w14:textId="5FF91E6D" w:rsidR="000E29D6" w:rsidRPr="003A5E09" w:rsidRDefault="00E45246" w:rsidP="00122C8C">
      <w:pPr>
        <w:pStyle w:val="TOC3"/>
        <w:rPr>
          <w:rFonts w:asciiTheme="minorHAnsi" w:eastAsiaTheme="minorEastAsia" w:hAnsiTheme="minorHAnsi" w:cstheme="minorBidi"/>
          <w:bCs w:val="0"/>
          <w:i w:val="0"/>
          <w:iCs w:val="0"/>
        </w:rPr>
      </w:pPr>
      <w:hyperlink w:anchor="_Toc148960356" w:history="1">
        <w:r w:rsidR="000E29D6" w:rsidRPr="003A5E09">
          <w:rPr>
            <w:rStyle w:val="Hyperlink"/>
            <w:bCs w:val="0"/>
            <w:i w:val="0"/>
            <w:iCs w:val="0"/>
            <w:u w:val="none"/>
          </w:rPr>
          <w:t>11.5.2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Generation Meter Data Aggregation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_Toc148960356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23</w:t>
        </w:r>
        <w:r w:rsidR="000E29D6" w:rsidRPr="003A5E09">
          <w:rPr>
            <w:bCs w:val="0"/>
            <w:i w:val="0"/>
            <w:iCs w:val="0"/>
            <w:webHidden/>
          </w:rPr>
          <w:fldChar w:fldCharType="end"/>
        </w:r>
      </w:hyperlink>
    </w:p>
    <w:p w14:paraId="0CA5C881" w14:textId="5B75AE75" w:rsidR="000E29D6" w:rsidRPr="003A5E09" w:rsidRDefault="00E45246">
      <w:pPr>
        <w:pStyle w:val="TOC4"/>
        <w:rPr>
          <w:rFonts w:asciiTheme="minorHAnsi" w:eastAsiaTheme="minorEastAsia" w:hAnsiTheme="minorHAnsi" w:cstheme="minorBidi"/>
          <w:noProof/>
          <w:sz w:val="20"/>
          <w:szCs w:val="20"/>
        </w:rPr>
      </w:pPr>
      <w:hyperlink w:anchor="_Toc148960357" w:history="1">
        <w:r w:rsidR="000E29D6" w:rsidRPr="003A5E09">
          <w:rPr>
            <w:rStyle w:val="Hyperlink"/>
            <w:noProof/>
            <w:sz w:val="20"/>
            <w:szCs w:val="20"/>
            <w:u w:val="none"/>
          </w:rPr>
          <w:t>11.5.2.1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Participant Specific Generation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_Toc148960357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24</w:t>
        </w:r>
        <w:r w:rsidR="000E29D6" w:rsidRPr="003A5E09">
          <w:rPr>
            <w:noProof/>
            <w:webHidden/>
            <w:sz w:val="20"/>
            <w:szCs w:val="20"/>
          </w:rPr>
          <w:fldChar w:fldCharType="end"/>
        </w:r>
      </w:hyperlink>
    </w:p>
    <w:p w14:paraId="4F09BE20" w14:textId="5525A1DF" w:rsidR="000E29D6" w:rsidRPr="003A5E09" w:rsidRDefault="00E45246">
      <w:pPr>
        <w:pStyle w:val="TOC4"/>
        <w:rPr>
          <w:rFonts w:asciiTheme="minorHAnsi" w:eastAsiaTheme="minorEastAsia" w:hAnsiTheme="minorHAnsi" w:cstheme="minorBidi"/>
          <w:noProof/>
          <w:sz w:val="20"/>
          <w:szCs w:val="20"/>
        </w:rPr>
      </w:pPr>
      <w:hyperlink w:anchor="_Toc148960358" w:history="1">
        <w:r w:rsidR="000E29D6" w:rsidRPr="003A5E09">
          <w:rPr>
            <w:rStyle w:val="Hyperlink"/>
            <w:noProof/>
            <w:sz w:val="20"/>
            <w:szCs w:val="20"/>
            <w:u w:val="none"/>
          </w:rPr>
          <w:t>11.5.2.2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General Public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_Toc148960358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24</w:t>
        </w:r>
        <w:r w:rsidR="000E29D6" w:rsidRPr="003A5E09">
          <w:rPr>
            <w:noProof/>
            <w:webHidden/>
            <w:sz w:val="20"/>
            <w:szCs w:val="20"/>
          </w:rPr>
          <w:fldChar w:fldCharType="end"/>
        </w:r>
      </w:hyperlink>
    </w:p>
    <w:p w14:paraId="43CFB37B" w14:textId="0CDBA923" w:rsidR="000E29D6" w:rsidRPr="003A5E09" w:rsidRDefault="00E45246">
      <w:pPr>
        <w:pStyle w:val="TOC2"/>
        <w:rPr>
          <w:rFonts w:asciiTheme="minorHAnsi" w:eastAsiaTheme="minorEastAsia" w:hAnsiTheme="minorHAnsi" w:cstheme="minorBidi"/>
          <w:noProof/>
        </w:rPr>
      </w:pPr>
      <w:hyperlink w:anchor="_Toc148960359" w:history="1">
        <w:r w:rsidR="000E29D6" w:rsidRPr="003A5E09">
          <w:rPr>
            <w:rStyle w:val="Hyperlink"/>
            <w:noProof/>
            <w:u w:val="none"/>
          </w:rPr>
          <w:t>11.6</w:t>
        </w:r>
        <w:r w:rsidR="000E29D6" w:rsidRPr="003A5E09">
          <w:rPr>
            <w:rFonts w:asciiTheme="minorHAnsi" w:eastAsiaTheme="minorEastAsia" w:hAnsiTheme="minorHAnsi" w:cstheme="minorBidi"/>
            <w:noProof/>
          </w:rPr>
          <w:tab/>
        </w:r>
        <w:r w:rsidR="000E29D6" w:rsidRPr="003A5E09">
          <w:rPr>
            <w:rStyle w:val="Hyperlink"/>
            <w:noProof/>
            <w:u w:val="none"/>
          </w:rPr>
          <w:t>Unaccounted For Energy Analysis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_Toc148960359 \h </w:instrText>
        </w:r>
        <w:r w:rsidR="000E29D6" w:rsidRPr="003A5E09">
          <w:rPr>
            <w:noProof/>
            <w:webHidden/>
          </w:rPr>
        </w:r>
        <w:r w:rsidR="000E29D6" w:rsidRPr="003A5E09">
          <w:rPr>
            <w:noProof/>
            <w:webHidden/>
          </w:rPr>
          <w:fldChar w:fldCharType="separate"/>
        </w:r>
        <w:r>
          <w:rPr>
            <w:noProof/>
            <w:webHidden/>
          </w:rPr>
          <w:t>24</w:t>
        </w:r>
        <w:r w:rsidR="000E29D6" w:rsidRPr="003A5E09">
          <w:rPr>
            <w:noProof/>
            <w:webHidden/>
          </w:rPr>
          <w:fldChar w:fldCharType="end"/>
        </w:r>
      </w:hyperlink>
    </w:p>
    <w:p w14:paraId="12255811" w14:textId="4A9CE6AC" w:rsidR="000E29D6" w:rsidRPr="003A5E09" w:rsidRDefault="00E45246" w:rsidP="00122C8C">
      <w:pPr>
        <w:pStyle w:val="TOC3"/>
        <w:rPr>
          <w:rFonts w:asciiTheme="minorHAnsi" w:eastAsiaTheme="minorEastAsia" w:hAnsiTheme="minorHAnsi" w:cstheme="minorBidi"/>
          <w:bCs w:val="0"/>
          <w:i w:val="0"/>
          <w:iCs w:val="0"/>
        </w:rPr>
      </w:pPr>
      <w:hyperlink w:anchor="_Toc148960360" w:history="1">
        <w:r w:rsidR="000E29D6" w:rsidRPr="003A5E09">
          <w:rPr>
            <w:rStyle w:val="Hyperlink"/>
            <w:bCs w:val="0"/>
            <w:i w:val="0"/>
            <w:iCs w:val="0"/>
            <w:u w:val="none"/>
          </w:rPr>
          <w:t>11.6.1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_Toc148960360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24</w:t>
        </w:r>
        <w:r w:rsidR="000E29D6" w:rsidRPr="003A5E09">
          <w:rPr>
            <w:bCs w:val="0"/>
            <w:i w:val="0"/>
            <w:iCs w:val="0"/>
            <w:webHidden/>
          </w:rPr>
          <w:fldChar w:fldCharType="end"/>
        </w:r>
      </w:hyperlink>
    </w:p>
    <w:p w14:paraId="3DB04A9C" w14:textId="48390F57" w:rsidR="000E29D6" w:rsidRPr="003A5E09" w:rsidRDefault="00E45246" w:rsidP="00122C8C">
      <w:pPr>
        <w:pStyle w:val="TOC3"/>
        <w:rPr>
          <w:rFonts w:asciiTheme="minorHAnsi" w:eastAsiaTheme="minorEastAsia" w:hAnsiTheme="minorHAnsi" w:cstheme="minorBidi"/>
          <w:bCs w:val="0"/>
          <w:i w:val="0"/>
          <w:iCs w:val="0"/>
        </w:rPr>
      </w:pPr>
      <w:hyperlink w:anchor="_Toc148960361" w:history="1">
        <w:r w:rsidR="000E29D6" w:rsidRPr="003A5E09">
          <w:rPr>
            <w:rStyle w:val="Hyperlink"/>
            <w:bCs w:val="0"/>
            <w:i w:val="0"/>
            <w:iCs w:val="0"/>
            <w:u w:val="none"/>
          </w:rPr>
          <w:t>11.6.2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Annual Unaccounted For Energy Analysis Report</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_Toc148960361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25</w:t>
        </w:r>
        <w:r w:rsidR="000E29D6" w:rsidRPr="003A5E09">
          <w:rPr>
            <w:bCs w:val="0"/>
            <w:i w:val="0"/>
            <w:iCs w:val="0"/>
            <w:webHidden/>
          </w:rPr>
          <w:fldChar w:fldCharType="end"/>
        </w:r>
      </w:hyperlink>
    </w:p>
    <w:p w14:paraId="6E08FC35" w14:textId="2F2B129F" w:rsidR="00BA5FF8" w:rsidRDefault="00957D0C" w:rsidP="00122C8C">
      <w:pPr>
        <w:pStyle w:val="TOC3"/>
        <w:sectPr w:rsidR="00BA5FF8">
          <w:headerReference w:type="default" r:id="rId11"/>
          <w:footerReference w:type="default" r:id="rId12"/>
          <w:pgSz w:w="12240" w:h="15840" w:code="1"/>
          <w:pgMar w:top="1440" w:right="1440" w:bottom="1440" w:left="1440" w:header="720" w:footer="720" w:gutter="0"/>
          <w:cols w:space="720"/>
        </w:sectPr>
      </w:pPr>
      <w:r w:rsidRPr="00D025A4">
        <w:fldChar w:fldCharType="end"/>
      </w:r>
    </w:p>
    <w:p w14:paraId="69C06434" w14:textId="77777777" w:rsidR="00BA5FF8" w:rsidRDefault="0085591D">
      <w:pPr>
        <w:pStyle w:val="Heading1"/>
        <w:numPr>
          <w:ilvl w:val="0"/>
          <w:numId w:val="0"/>
        </w:numPr>
      </w:pPr>
      <w:bookmarkStart w:id="6" w:name="_Toc273089315"/>
      <w:bookmarkStart w:id="7" w:name="_Toc148960314"/>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148960315"/>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148960316"/>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148960317"/>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148960318"/>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148960319"/>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148960320"/>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148960321"/>
      <w:bookmarkStart w:id="21" w:name="_Toc273089322"/>
      <w:r>
        <w:lastRenderedPageBreak/>
        <w:t>11.1.6</w:t>
      </w:r>
      <w:r>
        <w:tab/>
        <w:t>ERCOT</w:t>
      </w:r>
      <w:r w:rsidR="00431607">
        <w:t>-</w:t>
      </w:r>
      <w:r>
        <w:t>Polled Settlement Meter Netting</w:t>
      </w:r>
      <w:bookmarkEnd w:id="20"/>
    </w:p>
    <w:p w14:paraId="04E32FED" w14:textId="30C7BA53"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r w:rsidR="0012739E">
        <w:rPr>
          <w:b w:val="0"/>
          <w:i w:val="0"/>
        </w:rPr>
        <w:t xml:space="preserve"> or Energy Storage Resource (ESR)</w:t>
      </w:r>
      <w:r w:rsidRPr="00423E2D">
        <w:rPr>
          <w:b w:val="0"/>
          <w:i w:val="0"/>
        </w:rPr>
        <w:t xml:space="preserve"> site.  </w:t>
      </w:r>
    </w:p>
    <w:p w14:paraId="3FBE7C53" w14:textId="02FD385F" w:rsidR="00FD2D3A" w:rsidRDefault="00FD2D3A" w:rsidP="00C05EBB">
      <w:pPr>
        <w:pStyle w:val="Instructions"/>
        <w:ind w:left="720" w:hanging="720"/>
        <w:rPr>
          <w:b w:val="0"/>
          <w:i w:val="0"/>
        </w:rPr>
      </w:pPr>
      <w:r>
        <w:rPr>
          <w:b w:val="0"/>
          <w:i w:val="0"/>
        </w:rPr>
        <w:t>(2)</w:t>
      </w:r>
      <w:r>
        <w:rPr>
          <w:b w:val="0"/>
          <w:i w:val="0"/>
        </w:rPr>
        <w:tab/>
      </w:r>
      <w:r w:rsidRPr="00423E2D">
        <w:rPr>
          <w:b w:val="0"/>
          <w:i w:val="0"/>
        </w:rPr>
        <w:t xml:space="preserve">Both Load consumption and </w:t>
      </w:r>
      <w:r w:rsidR="00C80518">
        <w:rPr>
          <w:b w:val="0"/>
          <w:i w:val="0"/>
        </w:rPr>
        <w:t>g</w:t>
      </w:r>
      <w:r w:rsidRPr="00423E2D">
        <w:rPr>
          <w:b w:val="0"/>
          <w:i w:val="0"/>
        </w:rPr>
        <w:t xml:space="preserve">eneration production meters will be </w:t>
      </w:r>
      <w:proofErr w:type="gramStart"/>
      <w:r w:rsidRPr="00423E2D">
        <w:rPr>
          <w:b w:val="0"/>
          <w:i w:val="0"/>
        </w:rPr>
        <w:t>combined together</w:t>
      </w:r>
      <w:proofErr w:type="gramEnd"/>
      <w:r w:rsidRPr="00423E2D">
        <w:rPr>
          <w:b w:val="0"/>
          <w:i w:val="0"/>
        </w:rPr>
        <w:t xml:space="preserve"> to obtain a total amount of Load or </w:t>
      </w:r>
      <w:r w:rsidR="00C80518">
        <w:rPr>
          <w:b w:val="0"/>
          <w:i w:val="0"/>
        </w:rPr>
        <w:t>generation</w:t>
      </w:r>
      <w:r w:rsidRPr="00423E2D">
        <w:rPr>
          <w:b w:val="0"/>
          <w:i w:val="0"/>
        </w:rPr>
        <w:t>.</w:t>
      </w:r>
    </w:p>
    <w:p w14:paraId="763D7E00" w14:textId="244639E6" w:rsidR="00FD2D3A" w:rsidRPr="00BB05CF" w:rsidRDefault="00FD2D3A" w:rsidP="00C05EBB">
      <w:pPr>
        <w:spacing w:after="240"/>
        <w:ind w:left="720" w:hanging="720"/>
        <w:rPr>
          <w:szCs w:val="20"/>
        </w:rPr>
      </w:pPr>
      <w:r w:rsidRPr="00BB05CF">
        <w:rPr>
          <w:szCs w:val="20"/>
        </w:rPr>
        <w:t>(3)</w:t>
      </w:r>
      <w:r w:rsidRPr="00BB05CF">
        <w:rPr>
          <w:szCs w:val="20"/>
        </w:rPr>
        <w:tab/>
        <w:t>For a</w:t>
      </w:r>
      <w:r w:rsidR="00C80518">
        <w:rPr>
          <w:szCs w:val="20"/>
        </w:rPr>
        <w:t>n ESR</w:t>
      </w:r>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08D5B177" w:rsidR="007C4377" w:rsidRPr="00E566EB" w:rsidRDefault="007C4377" w:rsidP="00B2597F">
            <w:pPr>
              <w:spacing w:before="120" w:after="240"/>
              <w:rPr>
                <w:b/>
                <w:i/>
                <w:iCs/>
              </w:rPr>
            </w:pPr>
            <w:r>
              <w:rPr>
                <w:b/>
                <w:i/>
                <w:iCs/>
              </w:rPr>
              <w:t>[</w:t>
            </w:r>
            <w:r w:rsidR="00E33509">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049BEA9C"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ESR communicates its auxiliary Load value to the EPS Meter, WSL is calculated by subtracting the auxiliary Load from the total Load measured</w:t>
      </w:r>
      <w:r w:rsidR="004D1CCF">
        <w:t xml:space="preserve"> by the corresponding EPS </w:t>
      </w:r>
      <w:r w:rsidR="003A5E09">
        <w:t>M</w:t>
      </w:r>
      <w:r w:rsidR="004D1CCF">
        <w:t>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71C124E" w14:textId="77777777" w:rsidTr="007B7A66">
        <w:tc>
          <w:tcPr>
            <w:tcW w:w="9766" w:type="dxa"/>
            <w:shd w:val="pct12" w:color="auto" w:fill="auto"/>
          </w:tcPr>
          <w:p w14:paraId="674FB808" w14:textId="0FFF6518"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14EC08E6" w14:textId="77777777" w:rsidR="007B7A66" w:rsidRPr="00812ECB" w:rsidRDefault="007B7A66" w:rsidP="007B7A66">
            <w:pPr>
              <w:spacing w:after="240"/>
              <w:ind w:left="720" w:hanging="720"/>
            </w:pPr>
            <w:r w:rsidRPr="00812ECB">
              <w:rPr>
                <w:szCs w:val="20"/>
              </w:rPr>
              <w:t>(4)</w:t>
            </w:r>
            <w:r w:rsidRPr="00812ECB">
              <w:rPr>
                <w:szCs w:val="20"/>
              </w:rPr>
              <w:tab/>
              <w:t xml:space="preserve">For a single POI Generation Resource site that includes an ESR whose charging Load is not </w:t>
            </w:r>
            <w:r w:rsidRPr="007B7A66">
              <w:t>receiving</w:t>
            </w:r>
            <w:r w:rsidRPr="00812ECB">
              <w:rPr>
                <w:szCs w:val="20"/>
              </w:rPr>
              <w:t xml:space="preserve"> WSL treatment or includes a Controllable Load Resource (CLR):</w:t>
            </w:r>
          </w:p>
          <w:p w14:paraId="3E1E1DAC" w14:textId="6C923999" w:rsidR="007B7A66" w:rsidRPr="00812ECB" w:rsidRDefault="007B7A66" w:rsidP="007B7A66">
            <w:pPr>
              <w:spacing w:after="240"/>
              <w:ind w:left="1440" w:hanging="720"/>
            </w:pPr>
            <w:r w:rsidRPr="00812ECB">
              <w:t>(a)</w:t>
            </w:r>
            <w:r w:rsidRPr="00812ECB">
              <w:tab/>
              <w:t xml:space="preserve">The portion of Non-WSL ESR Charging Load or CLR Load supplied from the grid will be adjusted for Distribution Losses, Transmission Losses, and </w:t>
            </w:r>
            <w:r w:rsidR="007A30B7">
              <w:t>Unaccounted for Energy (</w:t>
            </w:r>
            <w:r w:rsidRPr="00812ECB">
              <w:t>UFE</w:t>
            </w:r>
            <w:r w:rsidR="007A30B7">
              <w:t>)</w:t>
            </w:r>
            <w:r w:rsidRPr="00812ECB">
              <w:t>;</w:t>
            </w:r>
          </w:p>
          <w:p w14:paraId="24651937" w14:textId="77777777" w:rsidR="007B7A66" w:rsidRPr="00812ECB" w:rsidRDefault="007B7A66" w:rsidP="007B7A66">
            <w:pPr>
              <w:spacing w:after="240"/>
              <w:ind w:left="1440" w:hanging="720"/>
            </w:pPr>
            <w:r w:rsidRPr="00812ECB">
              <w:t>(b)</w:t>
            </w:r>
            <w:r w:rsidRPr="00812ECB">
              <w:tab/>
              <w:t>The portion of Non-WSL ESR Charging Load or CLR Load supplied from the co-located generation will not be adjusted for Distribution Losses, Transmission Losses, and UFE;</w:t>
            </w:r>
          </w:p>
          <w:p w14:paraId="558522A1" w14:textId="7F20A6CF" w:rsidR="007B7A66" w:rsidRPr="00812ECB" w:rsidRDefault="007B7A66" w:rsidP="007B7A66">
            <w:pPr>
              <w:spacing w:after="240"/>
              <w:ind w:left="1440" w:hanging="720"/>
            </w:pPr>
            <w:r w:rsidRPr="00812ECB">
              <w:lastRenderedPageBreak/>
              <w:t>(c)</w:t>
            </w:r>
            <w:r w:rsidRPr="00812ECB">
              <w:tab/>
              <w:t>For RTAML, 4-CP, and Load Ratio Share (LRS) volumes, only the Non-WSL ESR Charging Load or CLR Load supplied from the grid (after loss and UFE adjustment) shall be included;</w:t>
            </w:r>
          </w:p>
          <w:p w14:paraId="6F8E578C" w14:textId="77777777" w:rsidR="007B7A66" w:rsidRPr="00812ECB" w:rsidRDefault="007B7A66" w:rsidP="007B7A66">
            <w:pPr>
              <w:spacing w:after="240"/>
              <w:ind w:left="1440" w:hanging="720"/>
            </w:pPr>
            <w:r w:rsidRPr="00812ECB">
              <w:t>(d)</w:t>
            </w:r>
            <w:r w:rsidRPr="00812ECB">
              <w:tab/>
              <w:t xml:space="preserve">For Section 6.6.3.1, </w:t>
            </w:r>
            <w:r w:rsidRPr="00812ECB">
              <w:rPr>
                <w:snapToGrid w:val="0"/>
                <w:szCs w:val="20"/>
              </w:rPr>
              <w:t>Real-Time Energy Imbalance Payment or Charge at a Resource Node,</w:t>
            </w:r>
            <w:r w:rsidRPr="00812ECB" w:rsidDel="00986175">
              <w:t xml:space="preserve"> </w:t>
            </w:r>
            <w:r w:rsidRPr="00812ECB">
              <w:t>(the Non-WSL ESR Charging Load or CLR Load shall be the Load supplied from the grid (after loss and UFE adjustment) plus the Non-WSL ESR Charging Load or CLR Load supplied from the co-located generation;</w:t>
            </w:r>
          </w:p>
          <w:p w14:paraId="42C186A0" w14:textId="1B97E209" w:rsidR="007B7A66" w:rsidRPr="00812ECB" w:rsidRDefault="007B7A66" w:rsidP="007B7A66">
            <w:pPr>
              <w:spacing w:after="240"/>
              <w:ind w:left="1440" w:hanging="720"/>
            </w:pPr>
            <w:r w:rsidRPr="00812ECB">
              <w:t>(e)</w:t>
            </w:r>
            <w:r w:rsidRPr="00812ECB">
              <w:tab/>
              <w:t xml:space="preserve">An </w:t>
            </w:r>
            <w:r w:rsidR="007A30B7">
              <w:t>Electric Service Identifier (</w:t>
            </w:r>
            <w:r w:rsidRPr="00812ECB">
              <w:t>ESI ID</w:t>
            </w:r>
            <w:r w:rsidR="007A30B7">
              <w:t>)</w:t>
            </w:r>
            <w:r w:rsidRPr="00812ECB">
              <w:t xml:space="preserve"> is required for each ESR and CLR and the unadjusted energy supplied from the grid will be allocated to each ESI ID.</w:t>
            </w:r>
          </w:p>
          <w:p w14:paraId="15569034" w14:textId="07C86D52" w:rsidR="007B7A66" w:rsidRPr="00812ECB" w:rsidRDefault="007B7A66" w:rsidP="007B7A66">
            <w:pPr>
              <w:spacing w:after="240"/>
              <w:ind w:left="1440" w:hanging="720"/>
            </w:pPr>
            <w:r w:rsidRPr="00812ECB">
              <w:t>(f)</w:t>
            </w:r>
            <w:r w:rsidRPr="00812ECB">
              <w:tab/>
              <w:t xml:space="preserve">For sites with multiple ESRs or CLRs, the unadjusted energy supplied from the grid will be allocated to each ESI ID based upon load ratio share using metered Non-WSL ESR Charging Load or CLR Load or calculated </w:t>
            </w:r>
            <w:r w:rsidRPr="00812ECB">
              <w:rPr>
                <w:szCs w:val="20"/>
              </w:rPr>
              <w:t>Non-WSL ESR Charging Load</w:t>
            </w:r>
            <w:r w:rsidR="00B95736">
              <w:t>; and</w:t>
            </w:r>
          </w:p>
          <w:p w14:paraId="7853EF9B" w14:textId="34E6D9D5" w:rsidR="007B7A66" w:rsidRPr="007C4377" w:rsidRDefault="007B7A66" w:rsidP="007B7A66">
            <w:pPr>
              <w:spacing w:after="240"/>
              <w:ind w:left="1440" w:hanging="720"/>
              <w:rPr>
                <w:szCs w:val="20"/>
              </w:rPr>
            </w:pPr>
            <w:r w:rsidRPr="00812ECB">
              <w:rPr>
                <w:szCs w:val="20"/>
              </w:rPr>
              <w:t>(g)</w:t>
            </w:r>
            <w:r w:rsidRPr="00812ECB">
              <w:rPr>
                <w:szCs w:val="20"/>
              </w:rPr>
              <w:tab/>
              <w:t>For a single POI Generation Resource site that includes an ESR that has separately metered its charging Load</w:t>
            </w:r>
            <w:r w:rsidRPr="00812ECB">
              <w:t xml:space="preserve">, the Non-WSL ESR Charging Load for the 15-minute interval shall be determined using </w:t>
            </w:r>
            <w:r w:rsidRPr="00812ECB">
              <w:rPr>
                <w:szCs w:val="20"/>
              </w:rPr>
              <w:t>t</w:t>
            </w:r>
            <w:r w:rsidRPr="00812ECB">
              <w:t>he metered ESR Charging Load.</w:t>
            </w:r>
          </w:p>
        </w:tc>
      </w:tr>
    </w:tbl>
    <w:p w14:paraId="4B004028" w14:textId="105EFD9A" w:rsidR="00F30711" w:rsidRDefault="00F30711" w:rsidP="00B95736">
      <w:pPr>
        <w:spacing w:before="240"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0E32AED0" w14:textId="77777777" w:rsidR="007B7A66"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63416C9" w14:textId="77777777" w:rsidTr="00194BF0">
        <w:tc>
          <w:tcPr>
            <w:tcW w:w="9766" w:type="dxa"/>
            <w:shd w:val="pct12" w:color="auto" w:fill="auto"/>
          </w:tcPr>
          <w:p w14:paraId="49690B00" w14:textId="3D8F934C"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Insert paragraph (6) below upon </w:t>
            </w:r>
            <w:r w:rsidRPr="00E566EB">
              <w:rPr>
                <w:b/>
                <w:i/>
                <w:iCs/>
              </w:rPr>
              <w:t>system implementation</w:t>
            </w:r>
            <w:r>
              <w:rPr>
                <w:b/>
                <w:i/>
                <w:iCs/>
              </w:rPr>
              <w:t xml:space="preserve"> and renumber accordingly</w:t>
            </w:r>
            <w:r w:rsidRPr="00E566EB">
              <w:rPr>
                <w:b/>
                <w:i/>
                <w:iCs/>
              </w:rPr>
              <w:t>:]</w:t>
            </w:r>
          </w:p>
          <w:p w14:paraId="0C878633" w14:textId="688EECE9" w:rsidR="007B7A66" w:rsidRPr="007C4377" w:rsidRDefault="007B7A66" w:rsidP="007B7A66">
            <w:pPr>
              <w:spacing w:after="240"/>
              <w:ind w:left="720" w:hanging="720"/>
              <w:rPr>
                <w:szCs w:val="20"/>
              </w:rPr>
            </w:pPr>
            <w:r w:rsidRPr="00812ECB">
              <w:rPr>
                <w:szCs w:val="20"/>
              </w:rPr>
              <w:t>(6)</w:t>
            </w:r>
            <w:r w:rsidRPr="00812ECB">
              <w:rPr>
                <w:szCs w:val="20"/>
              </w:rPr>
              <w:tab/>
              <w:t xml:space="preserve">For a single POI Generation Resource site that includes a CLR, CLR Load shall be metered with an EPS Meter and the metered energy will be </w:t>
            </w:r>
            <w:r w:rsidRPr="00812ECB">
              <w:t xml:space="preserve">considered as </w:t>
            </w:r>
            <w:r w:rsidRPr="00812ECB">
              <w:rPr>
                <w:szCs w:val="20"/>
              </w:rPr>
              <w:t>Generation Resource production to determine the net flows for Settlement of the corresponding generation site.</w:t>
            </w:r>
          </w:p>
        </w:tc>
      </w:tr>
    </w:tbl>
    <w:p w14:paraId="2E84A93C" w14:textId="77777777" w:rsidR="007B7A66" w:rsidRPr="001651A4" w:rsidRDefault="007B7A66" w:rsidP="007B7A66">
      <w:pPr>
        <w:ind w:left="1440" w:hanging="720"/>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35244DA4" w:rsidR="00E33509" w:rsidRPr="00E566EB" w:rsidRDefault="00E33509" w:rsidP="00F90A4D">
            <w:pPr>
              <w:spacing w:before="120" w:after="240"/>
              <w:rPr>
                <w:b/>
                <w:i/>
                <w:iCs/>
              </w:rPr>
            </w:pPr>
            <w:bookmarkStart w:id="22" w:name="_Toc273089323"/>
            <w:r>
              <w:rPr>
                <w:b/>
                <w:i/>
                <w:iCs/>
              </w:rPr>
              <w:t>[NPRR995</w:t>
            </w:r>
            <w:r w:rsidRPr="00E566EB">
              <w:rPr>
                <w:b/>
                <w:i/>
                <w:iCs/>
              </w:rPr>
              <w:t xml:space="preserve">: </w:t>
            </w:r>
            <w:r>
              <w:rPr>
                <w:b/>
                <w:i/>
                <w:iCs/>
              </w:rPr>
              <w:t xml:space="preserve"> Insert paragraphs (6) and (7) below upon </w:t>
            </w:r>
            <w:r w:rsidRPr="00E566EB">
              <w:rPr>
                <w:b/>
                <w:i/>
                <w:iCs/>
              </w:rPr>
              <w:t>system implementation</w:t>
            </w:r>
            <w:r w:rsidR="00122C8C">
              <w:rPr>
                <w:b/>
                <w:i/>
                <w:iCs/>
              </w:rPr>
              <w:t xml:space="preserve"> and renumber accordingly</w:t>
            </w:r>
            <w:r w:rsidRPr="00E566EB">
              <w:rPr>
                <w:b/>
                <w:i/>
                <w:iCs/>
              </w:rPr>
              <w:t>:]</w:t>
            </w:r>
          </w:p>
          <w:p w14:paraId="726F9C2F" w14:textId="582870A4" w:rsidR="00E33509" w:rsidRDefault="00E33509" w:rsidP="00E33509">
            <w:pPr>
              <w:spacing w:after="240"/>
              <w:ind w:left="720" w:hanging="720"/>
              <w:rPr>
                <w:szCs w:val="20"/>
              </w:rPr>
            </w:pPr>
            <w:r>
              <w:lastRenderedPageBreak/>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27563262"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w:t>
            </w:r>
            <w:r w:rsidR="00597CA0">
              <w:t>M</w:t>
            </w:r>
            <w:r w:rsidRPr="001C11EA">
              <w:t>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71F7E636"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w:t>
            </w:r>
            <w:r w:rsidR="00597CA0">
              <w:t>M</w:t>
            </w:r>
            <w:r w:rsidRPr="0096271E">
              <w:t>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oad that is less than or equal to the generation accumulator will be settled as WSL for each 15-minute interval.</w:t>
            </w:r>
          </w:p>
          <w:p w14:paraId="45400D44" w14:textId="7453F343"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w:t>
            </w:r>
            <w:r w:rsidR="00597CA0">
              <w:rPr>
                <w:szCs w:val="20"/>
              </w:rPr>
              <w:t>M</w:t>
            </w:r>
            <w:r w:rsidRPr="00DB7447">
              <w:rPr>
                <w:szCs w:val="20"/>
              </w:rPr>
              <w:t xml:space="preserve">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lastRenderedPageBreak/>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53A84E65" w:rsidR="00E33509" w:rsidRDefault="00E33509" w:rsidP="00E33509">
            <w:pPr>
              <w:spacing w:after="240"/>
              <w:ind w:left="1440" w:hanging="720"/>
            </w:pPr>
            <w:r>
              <w:rPr>
                <w:szCs w:val="20"/>
              </w:rPr>
              <w:t>(a)</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153D0E9"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 xml:space="preserve">for the 15-minute </w:t>
            </w:r>
            <w:r w:rsidR="00597CA0">
              <w:t>S</w:t>
            </w:r>
            <w:r w:rsidRPr="004565BD">
              <w:t xml:space="preserve">ettlement </w:t>
            </w:r>
            <w:r w:rsidR="00597CA0">
              <w:t>I</w:t>
            </w:r>
            <w:r w:rsidRPr="004565BD">
              <w:t>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lastRenderedPageBreak/>
              <w:t>(2)</w:t>
            </w:r>
            <w:r>
              <w:rPr>
                <w:szCs w:val="20"/>
              </w:rPr>
              <w:tab/>
              <w:t xml:space="preserve">15% of the total SODESS or SOTESS metered Load. </w:t>
            </w:r>
          </w:p>
          <w:p w14:paraId="15BC9B38" w14:textId="7CC41E62"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w:t>
            </w:r>
            <w:r w:rsidR="00597CA0">
              <w:rPr>
                <w:szCs w:val="20"/>
              </w:rPr>
              <w:t>M</w:t>
            </w:r>
            <w:r>
              <w:rPr>
                <w:szCs w:val="20"/>
              </w:rPr>
              <w:t xml:space="preserve">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545684BF" w14:textId="5F7A0DDC" w:rsidR="00122C8C" w:rsidRPr="00625F5B" w:rsidRDefault="00122C8C" w:rsidP="00122C8C">
      <w:pPr>
        <w:spacing w:before="240" w:after="240"/>
        <w:ind w:left="720" w:hanging="720"/>
        <w:rPr>
          <w:szCs w:val="20"/>
        </w:rPr>
      </w:pPr>
      <w:bookmarkStart w:id="23" w:name="_Toc148960322"/>
      <w:r w:rsidRPr="00625F5B">
        <w:rPr>
          <w:szCs w:val="20"/>
        </w:rPr>
        <w:lastRenderedPageBreak/>
        <w:t>(</w:t>
      </w:r>
      <w:r>
        <w:rPr>
          <w:szCs w:val="20"/>
        </w:rPr>
        <w:t>6</w:t>
      </w:r>
      <w:r w:rsidRPr="00625F5B">
        <w:rPr>
          <w:szCs w:val="20"/>
        </w:rPr>
        <w:t>)</w:t>
      </w:r>
      <w:r w:rsidRPr="00625F5B">
        <w:rPr>
          <w:szCs w:val="20"/>
        </w:rPr>
        <w:tab/>
        <w:t>For a</w:t>
      </w:r>
      <w:r>
        <w:rPr>
          <w:szCs w:val="20"/>
        </w:rPr>
        <w:t xml:space="preserve"> Generation Resource or</w:t>
      </w:r>
      <w:r w:rsidRPr="00625F5B">
        <w:rPr>
          <w:szCs w:val="20"/>
        </w:rPr>
        <w:t xml:space="preserve"> ESR that excludes its Load(s)</w:t>
      </w:r>
      <w:r>
        <w:rPr>
          <w:szCs w:val="20"/>
        </w:rPr>
        <w:t xml:space="preserve"> from the netting arrangement pursuant to paragraph (9) of Section 10.3.2.3, </w:t>
      </w:r>
      <w:r w:rsidRPr="00E307B3">
        <w:rPr>
          <w:szCs w:val="20"/>
        </w:rPr>
        <w:t>Generation Netting for ERCOT-Polled Settlement Meters</w:t>
      </w:r>
      <w:r w:rsidRPr="00625F5B">
        <w:rPr>
          <w:szCs w:val="20"/>
        </w:rPr>
        <w:t xml:space="preserve">: </w:t>
      </w:r>
    </w:p>
    <w:p w14:paraId="162F7519" w14:textId="77777777" w:rsidR="00122C8C" w:rsidRPr="008C02FD" w:rsidRDefault="00122C8C" w:rsidP="00122C8C">
      <w:pPr>
        <w:spacing w:after="240"/>
        <w:ind w:left="1440" w:hanging="720"/>
        <w:rPr>
          <w:color w:val="000000"/>
          <w:szCs w:val="20"/>
        </w:rPr>
      </w:pPr>
      <w:r w:rsidRPr="00625F5B">
        <w:rPr>
          <w:szCs w:val="20"/>
        </w:rPr>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r>
        <w:rPr>
          <w:color w:val="000000"/>
          <w:szCs w:val="20"/>
        </w:rPr>
        <w:t>L</w:t>
      </w:r>
      <w:r w:rsidRPr="008C02FD">
        <w:rPr>
          <w:color w:val="000000"/>
          <w:szCs w:val="20"/>
        </w:rPr>
        <w:t xml:space="preserve">oad(s) value(s) to the EPS Meter using approved calculation methods. </w:t>
      </w:r>
    </w:p>
    <w:p w14:paraId="35ABEE2A" w14:textId="77777777" w:rsidR="00122C8C" w:rsidRPr="00625F5B" w:rsidRDefault="00122C8C" w:rsidP="00122C8C">
      <w:pPr>
        <w:spacing w:after="240"/>
        <w:ind w:left="1440" w:hanging="720"/>
        <w:rPr>
          <w:szCs w:val="20"/>
        </w:rPr>
      </w:pPr>
      <w:r w:rsidRPr="00625F5B">
        <w:rPr>
          <w:szCs w:val="20"/>
        </w:rPr>
        <w:t>(b)</w:t>
      </w:r>
      <w:r w:rsidRPr="00625F5B">
        <w:rPr>
          <w:szCs w:val="20"/>
        </w:rPr>
        <w:tab/>
        <w:t xml:space="preserve">For non-charging Load(s) that are metered behind the POI metering point, the </w:t>
      </w:r>
      <w:r>
        <w:rPr>
          <w:szCs w:val="20"/>
        </w:rPr>
        <w:t>L</w:t>
      </w:r>
      <w:r w:rsidRPr="00625F5B">
        <w:rPr>
          <w:szCs w:val="20"/>
        </w:rPr>
        <w:t>oad will be added back into the POI metering point to determine the net flows for the POI metering point.</w:t>
      </w:r>
    </w:p>
    <w:p w14:paraId="1FDC8FEF" w14:textId="77777777" w:rsidR="00122C8C" w:rsidRPr="00BE7A92" w:rsidRDefault="00122C8C" w:rsidP="00122C8C">
      <w:pPr>
        <w:spacing w:after="240"/>
        <w:ind w:left="1440" w:hanging="720"/>
        <w:rPr>
          <w:szCs w:val="20"/>
        </w:rPr>
      </w:pPr>
      <w:r w:rsidRPr="00625F5B">
        <w:rPr>
          <w:szCs w:val="20"/>
        </w:rPr>
        <w:t>(c)</w:t>
      </w:r>
      <w:r w:rsidRPr="00625F5B">
        <w:rPr>
          <w:szCs w:val="20"/>
        </w:rPr>
        <w:tab/>
        <w:t xml:space="preserve">For non-charging Load(s) that are separately metered at the POI, the non-charging </w:t>
      </w:r>
      <w:r>
        <w:rPr>
          <w:szCs w:val="20"/>
        </w:rPr>
        <w:t>L</w:t>
      </w:r>
      <w:r w:rsidRPr="00625F5B">
        <w:rPr>
          <w:szCs w:val="20"/>
        </w:rPr>
        <w:t>oad will not be included in the determination of whether the generation site is net generation or net Load for the purpose of Settlement.</w:t>
      </w:r>
    </w:p>
    <w:p w14:paraId="1C7538D8" w14:textId="77777777" w:rsidR="00BA5FF8" w:rsidRDefault="0085591D" w:rsidP="003A5E09">
      <w:pPr>
        <w:pStyle w:val="H3"/>
      </w:pPr>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148960323"/>
      <w:r>
        <w:t>11.1.8</w:t>
      </w:r>
      <w:r>
        <w:tab/>
        <w:t>Correction of ERCOT Polled Settlement Meter Data for Non-Opt-In Transmission Losses</w:t>
      </w:r>
      <w:bookmarkEnd w:id="24"/>
      <w:bookmarkEnd w:id="25"/>
    </w:p>
    <w:p w14:paraId="1E7348B9" w14:textId="77777777"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148960324"/>
      <w:r>
        <w:t>11.1.9</w:t>
      </w:r>
      <w:r>
        <w:tab/>
        <w:t xml:space="preserve">Treatment of Non-Opt-In </w:t>
      </w:r>
      <w:r w:rsidR="00534EF8">
        <w:t xml:space="preserve">Entity or External Load Serving Entity </w:t>
      </w:r>
      <w:r>
        <w:t>Radially Connected Entities</w:t>
      </w:r>
      <w:bookmarkEnd w:id="26"/>
      <w:bookmarkEnd w:id="27"/>
    </w:p>
    <w:p w14:paraId="384CEF6F" w14:textId="77777777"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14:paraId="7A8A3E60" w14:textId="77777777" w:rsidR="00BA5FF8" w:rsidRDefault="0085591D">
      <w:pPr>
        <w:pStyle w:val="H3"/>
      </w:pPr>
      <w:bookmarkStart w:id="28" w:name="_Toc273089326"/>
      <w:bookmarkStart w:id="29" w:name="_Toc148960325"/>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lastRenderedPageBreak/>
        <w:t>(e)</w:t>
      </w:r>
      <w:r>
        <w:tab/>
        <w:t>Make ESI ID interval data available to the TSP and/or DSP and LSE via an extract.</w:t>
      </w:r>
    </w:p>
    <w:p w14:paraId="47CBD8E4" w14:textId="77777777" w:rsidR="00BA5FF8" w:rsidRDefault="0085591D" w:rsidP="00BA5FF8">
      <w:pPr>
        <w:pStyle w:val="BodyText"/>
      </w:pPr>
      <w:r>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148960326"/>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148960327"/>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lastRenderedPageBreak/>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148960328"/>
      <w:r>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148960329"/>
      <w:r>
        <w:t>11.2.1</w:t>
      </w:r>
      <w:r>
        <w:tab/>
        <w:t>Overview</w:t>
      </w:r>
      <w:bookmarkEnd w:id="35"/>
      <w:bookmarkEnd w:id="36"/>
    </w:p>
    <w:p w14:paraId="1F3A838E" w14:textId="1759F24B" w:rsidR="00BA5FF8" w:rsidRDefault="006D71A4" w:rsidP="00AE3579">
      <w:pPr>
        <w:pStyle w:val="BodyText"/>
        <w:ind w:left="720" w:hanging="720"/>
      </w:pPr>
      <w:r>
        <w:t>(1)</w:t>
      </w:r>
      <w:r>
        <w:tab/>
      </w:r>
      <w:r w:rsidR="0085591D">
        <w:t xml:space="preserve">This Section addresses the </w:t>
      </w:r>
      <w:proofErr w:type="gramStart"/>
      <w:r w:rsidR="0085591D">
        <w:t>manner in which</w:t>
      </w:r>
      <w:proofErr w:type="gramEnd"/>
      <w:r w:rsidR="0085591D">
        <w:t xml:space="preserve"> ERCOT will receive and validate data from the Transmission Service Providers (TSPs) and/or Distribution Service Providers (DSPs) regarding </w:t>
      </w:r>
      <w:r w:rsidR="00C80518">
        <w:t>g</w:t>
      </w:r>
      <w:r w:rsidR="0085591D">
        <w:t>eneration and Load from TSP and/or DSP metered Entities as defined in Section 10, Metering.</w:t>
      </w:r>
    </w:p>
    <w:p w14:paraId="6537340D" w14:textId="77777777" w:rsidR="00BA5FF8" w:rsidRDefault="0085591D" w:rsidP="00C05EBB">
      <w:pPr>
        <w:pStyle w:val="H3"/>
      </w:pPr>
      <w:bookmarkStart w:id="37" w:name="_Toc273089330"/>
      <w:bookmarkStart w:id="38" w:name="_Toc148960330"/>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148960331"/>
      <w:r>
        <w:lastRenderedPageBreak/>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148960332"/>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148960333"/>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148960334"/>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148960335"/>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148960336"/>
      <w:r>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148960337"/>
      <w:r>
        <w:lastRenderedPageBreak/>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148960338"/>
      <w:r>
        <w:t>11.4.3</w:t>
      </w:r>
      <w:r>
        <w:tab/>
        <w:t>Interval Consumption Data Estimation</w:t>
      </w:r>
      <w:bookmarkEnd w:id="53"/>
      <w:bookmarkEnd w:id="54"/>
    </w:p>
    <w:p w14:paraId="5F0A9285" w14:textId="0F9F97EC"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r w:rsidR="001227E3">
        <w:t>(</w:t>
      </w:r>
      <w:r w:rsidR="0085591D">
        <w:t>i.e.</w:t>
      </w:r>
      <w:r w:rsidR="001227E3">
        <w:t>,</w:t>
      </w:r>
      <w:r w:rsidR="0085591D">
        <w:t xml:space="preserve"> weather</w:t>
      </w:r>
      <w:r w:rsidR="001227E3">
        <w:t>)</w:t>
      </w:r>
      <w:r w:rsidR="0085591D">
        <w:t xml:space="preserve">.  The classification of ESI IDs </w:t>
      </w:r>
      <w:r>
        <w:t xml:space="preserve">with IDR Meters </w:t>
      </w:r>
      <w:r w:rsidR="0085591D">
        <w:t xml:space="preserve">into a </w:t>
      </w:r>
      <w:r w:rsidR="001227E3">
        <w:t>W</w:t>
      </w:r>
      <w:r w:rsidR="0085591D">
        <w:t>eather</w:t>
      </w:r>
      <w:r w:rsidR="000E29D6">
        <w:t xml:space="preserve"> </w:t>
      </w:r>
      <w:r w:rsidR="001227E3">
        <w:t>S</w:t>
      </w:r>
      <w:r w:rsidR="0085591D">
        <w:t xml:space="preserve">ensitive </w:t>
      </w:r>
      <w:r w:rsidR="001227E3">
        <w:t xml:space="preserve">(WS) </w:t>
      </w:r>
      <w:r w:rsidR="0085591D">
        <w:t xml:space="preserve">group and a </w:t>
      </w:r>
      <w:r w:rsidR="001227E3">
        <w:t>N</w:t>
      </w:r>
      <w:r w:rsidR="0085591D">
        <w:t>on-</w:t>
      </w:r>
      <w:r w:rsidR="001227E3">
        <w:t>W</w:t>
      </w:r>
      <w:r w:rsidR="0085591D">
        <w:t>eather</w:t>
      </w:r>
      <w:r w:rsidR="00ED44B9">
        <w:t xml:space="preserve"> </w:t>
      </w:r>
      <w:r w:rsidR="001227E3">
        <w:t>S</w:t>
      </w:r>
      <w:r w:rsidR="0085591D">
        <w:t xml:space="preserve">ensitive </w:t>
      </w:r>
      <w:r w:rsidR="001227E3">
        <w:t xml:space="preserve">(NWS) </w:t>
      </w:r>
      <w:r w:rsidR="0085591D">
        <w:t>group determines the proxy day method used for estimation purposes.  The proxy day estimation method for each group captures the factors that best predict the ESI ID-specific Load shape for the Operating Day.</w:t>
      </w:r>
    </w:p>
    <w:p w14:paraId="74408D2B" w14:textId="77777777" w:rsidR="001227E3" w:rsidRDefault="001227E3" w:rsidP="001227E3">
      <w:pPr>
        <w:pStyle w:val="BodyText"/>
        <w:ind w:left="720" w:hanging="720"/>
      </w:pPr>
      <w:r>
        <w:t>(2)</w:t>
      </w:r>
      <w:r>
        <w:tab/>
        <w:t>The NWS proxy day method</w:t>
      </w:r>
      <w:r w:rsidRPr="00586318">
        <w:t xml:space="preserve"> </w:t>
      </w:r>
      <w:r>
        <w:t>will be used for estimating interval data for</w:t>
      </w:r>
      <w:r w:rsidRPr="00586318">
        <w:t xml:space="preserve"> </w:t>
      </w:r>
      <w:r>
        <w:t>IDRs where the profile type code is BUSLRG or BUSLRGDG.</w:t>
      </w:r>
    </w:p>
    <w:p w14:paraId="3763FF65" w14:textId="6B74AF04" w:rsidR="001227E3" w:rsidRDefault="001227E3" w:rsidP="001227E3">
      <w:pPr>
        <w:pStyle w:val="BodyText"/>
        <w:ind w:left="720" w:hanging="720"/>
      </w:pPr>
      <w:r>
        <w:t>(3)</w:t>
      </w:r>
      <w:r>
        <w:tab/>
        <w:t>The WS proxy day method</w:t>
      </w:r>
      <w:r w:rsidRPr="00586318">
        <w:t xml:space="preserve"> </w:t>
      </w:r>
      <w:r>
        <w:t>will be used for estimating interval data for</w:t>
      </w:r>
      <w:r w:rsidRPr="00586318">
        <w:t xml:space="preserve"> </w:t>
      </w:r>
      <w:r>
        <w:t>IDRs where the profile type code is not BUSIDRRQ, BUSLRG, or BUSLRGDG.</w:t>
      </w:r>
    </w:p>
    <w:p w14:paraId="4D1B4087" w14:textId="198CD3D8" w:rsidR="00BA5FF8" w:rsidRDefault="0085591D">
      <w:pPr>
        <w:pStyle w:val="H4"/>
      </w:pPr>
      <w:bookmarkStart w:id="55" w:name="_Toc273089340"/>
      <w:bookmarkStart w:id="56" w:name="_Toc148960339"/>
      <w:r>
        <w:t>11.4.3.</w:t>
      </w:r>
      <w:r w:rsidR="001227E3">
        <w:t>1</w:t>
      </w:r>
      <w:r>
        <w:tab/>
        <w:t>Weather Sensitive Proxy Day Method</w:t>
      </w:r>
      <w:bookmarkEnd w:id="55"/>
      <w:bookmarkEnd w:id="56"/>
    </w:p>
    <w:p w14:paraId="298757A8" w14:textId="70EFD424"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W</w:t>
      </w:r>
      <w:r w:rsidR="0085591D">
        <w:t xml:space="preserve">eather </w:t>
      </w:r>
      <w:r w:rsidR="003C170A">
        <w:t>S</w:t>
      </w:r>
      <w:r w:rsidR="0085591D">
        <w:t xml:space="preserve">ensitive IDR (WSIDR), ERCOT will use this </w:t>
      </w:r>
      <w:r w:rsidR="001227E3">
        <w:t>WS</w:t>
      </w:r>
      <w:r w:rsidR="0085591D">
        <w:t xml:space="preserve"> proxy day method.  ESI IDs within the same Weather Zone will be grouped together.  The proxy days will be the same for all ESI IDs within each of the Weather Zones.  This method incorporates the following:</w:t>
      </w:r>
    </w:p>
    <w:p w14:paraId="483A8EFD" w14:textId="008CCFCD" w:rsidR="00BA5FF8" w:rsidRDefault="0085591D" w:rsidP="001227E3">
      <w:pPr>
        <w:pStyle w:val="List"/>
        <w:ind w:left="1440"/>
      </w:pPr>
      <w:r>
        <w:t>(a)</w:t>
      </w:r>
      <w:r>
        <w:tab/>
        <w:t xml:space="preserve">To determine eligible proxy days, select all days (of matching weekday/weekend day type and </w:t>
      </w:r>
      <w:r w:rsidR="00386C0D">
        <w:t>time period</w:t>
      </w:r>
      <w:r>
        <w:t xml:space="preserve">)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w:t>
      </w:r>
      <w:r>
        <w:lastRenderedPageBreak/>
        <w:t>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622C883B" w:rsidR="00BA5FF8" w:rsidRDefault="0085591D" w:rsidP="00BA5FF8">
      <w:pPr>
        <w:pStyle w:val="List2"/>
        <w:ind w:left="2160"/>
      </w:pPr>
      <w:r>
        <w:t>(iii)</w:t>
      </w:r>
      <w:r>
        <w:tab/>
        <w:t>If the second ranked proxy day data is not available, use the third proxy day;</w:t>
      </w:r>
      <w:r w:rsidR="001227E3">
        <w:t xml:space="preserve"> and</w:t>
      </w:r>
    </w:p>
    <w:p w14:paraId="3C0547F6" w14:textId="49B450AD" w:rsidR="00BA5FF8" w:rsidRDefault="0085591D" w:rsidP="00BA5FF8">
      <w:pPr>
        <w:pStyle w:val="List2"/>
        <w:ind w:left="2160"/>
      </w:pPr>
      <w:r>
        <w:t>(iv)</w:t>
      </w:r>
      <w:r>
        <w:tab/>
        <w:t xml:space="preserve">If no data is available for any of the proxy days selected, then default to the </w:t>
      </w:r>
      <w:r w:rsidR="001227E3">
        <w:t>NWS</w:t>
      </w:r>
      <w:r>
        <w:t xml:space="preserve"> proxy </w:t>
      </w:r>
      <w:r w:rsidR="00CF0CB5">
        <w:t xml:space="preserve">day </w:t>
      </w:r>
      <w:r w:rsidR="001227E3">
        <w:t>method.</w:t>
      </w:r>
    </w:p>
    <w:p w14:paraId="5893C2D1" w14:textId="44E290CA" w:rsidR="00BA5FF8" w:rsidRDefault="0085591D" w:rsidP="001227E3">
      <w:pPr>
        <w:pStyle w:val="H4"/>
      </w:pPr>
      <w:bookmarkStart w:id="57" w:name="_Toc273089341"/>
      <w:bookmarkStart w:id="58" w:name="_Toc148960340"/>
      <w:r>
        <w:t>11.4.3.</w:t>
      </w:r>
      <w:r w:rsidR="001227E3">
        <w:t>2</w:t>
      </w:r>
      <w:r>
        <w:tab/>
        <w:t>Non-Weather Sensitive Proxy Day Method</w:t>
      </w:r>
      <w:bookmarkEnd w:id="57"/>
      <w:bookmarkEnd w:id="58"/>
    </w:p>
    <w:p w14:paraId="37A5B786" w14:textId="1453927A"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N</w:t>
      </w:r>
      <w:r w:rsidR="0085591D">
        <w:t>on-</w:t>
      </w:r>
      <w:r w:rsidR="003C170A">
        <w:t>W</w:t>
      </w:r>
      <w:r w:rsidR="0085591D">
        <w:t xml:space="preserve">eather </w:t>
      </w:r>
      <w:r w:rsidR="003C170A">
        <w:t>S</w:t>
      </w:r>
      <w:r w:rsidR="0085591D">
        <w:t xml:space="preserve">ensitive IDR (NWSIDR), ERCOT will use </w:t>
      </w:r>
      <w:r w:rsidR="001227E3">
        <w:t>this NWS</w:t>
      </w:r>
      <w:r w:rsidR="0085591D">
        <w:t xml:space="preserve"> proxy day </w:t>
      </w:r>
      <w:r w:rsidR="001227E3">
        <w:t>method</w:t>
      </w:r>
      <w:r w:rsidR="0085591D">
        <w:t>.  This method incorporates the following:</w:t>
      </w:r>
    </w:p>
    <w:p w14:paraId="6B7E6339" w14:textId="6C8B5941" w:rsidR="00BA5FF8" w:rsidRDefault="0085591D" w:rsidP="001227E3">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lastRenderedPageBreak/>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55D59164" w:rsidR="00BA5FF8" w:rsidRDefault="0085591D">
      <w:pPr>
        <w:pStyle w:val="H4"/>
      </w:pPr>
      <w:bookmarkStart w:id="59" w:name="_Toc273089342"/>
      <w:bookmarkStart w:id="60" w:name="_Toc148960341"/>
      <w:r>
        <w:t>11.4.3.</w:t>
      </w:r>
      <w:r w:rsidR="001227E3">
        <w:t>3</w:t>
      </w:r>
      <w:r>
        <w:tab/>
        <w:t>Interval Data Recorder Estimation Reporting</w:t>
      </w:r>
      <w:bookmarkEnd w:id="59"/>
      <w:bookmarkEnd w:id="60"/>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1" w:name="_Toc273089343"/>
      <w:bookmarkStart w:id="62" w:name="_Toc148960342"/>
      <w:r>
        <w:t>11.4.4</w:t>
      </w:r>
      <w:r>
        <w:tab/>
        <w:t>Data Aggregation Processing for Actual Data</w:t>
      </w:r>
      <w:bookmarkEnd w:id="61"/>
      <w:bookmarkEnd w:id="62"/>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3" w:name="_Toc273089344"/>
      <w:bookmarkStart w:id="64" w:name="_Toc148960343"/>
      <w:r>
        <w:t>11.4.4.1</w:t>
      </w:r>
      <w:r>
        <w:tab/>
        <w:t>Application of Profiles to Non-Interval Data</w:t>
      </w:r>
      <w:bookmarkEnd w:id="63"/>
      <w:bookmarkEnd w:id="64"/>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w:t>
      </w:r>
      <w:r>
        <w:lastRenderedPageBreak/>
        <w:t xml:space="preserve">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5" w:name="_Toc148960344"/>
      <w:r>
        <w:t>11.4.4.2</w:t>
      </w:r>
      <w:r>
        <w:tab/>
        <w:t>Load Reduction for Excess PhotoVoltaic and Wind Distributed Renewable Generation</w:t>
      </w:r>
      <w:bookmarkEnd w:id="65"/>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lastRenderedPageBreak/>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31FBB3D3"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123984">
        <w:rPr>
          <w:szCs w:val="20"/>
        </w:rPr>
        <w:t>Municipally Owned Utility (</w:t>
      </w:r>
      <w:r w:rsidR="004E6AFE">
        <w:rPr>
          <w:bCs/>
          <w:snapToGrid w:val="0"/>
          <w:szCs w:val="20"/>
        </w:rPr>
        <w:t>MOU</w:t>
      </w:r>
      <w:r w:rsidR="00123984">
        <w:rPr>
          <w:bCs/>
          <w:snapToGrid w:val="0"/>
          <w:szCs w:val="20"/>
        </w:rPr>
        <w:t xml:space="preserve">) </w:t>
      </w:r>
      <w:r w:rsidR="004E6AFE">
        <w:rPr>
          <w:bCs/>
          <w:snapToGrid w:val="0"/>
          <w:szCs w:val="20"/>
        </w:rPr>
        <w:t>/</w:t>
      </w:r>
      <w:r w:rsidR="00123984">
        <w:rPr>
          <w:bCs/>
          <w:snapToGrid w:val="0"/>
          <w:szCs w:val="20"/>
        </w:rPr>
        <w:t xml:space="preserve"> Electric Cooperative (</w:t>
      </w:r>
      <w:r w:rsidR="004E6AFE">
        <w:rPr>
          <w:bCs/>
          <w:snapToGrid w:val="0"/>
          <w:szCs w:val="20"/>
        </w:rPr>
        <w:t>EC</w:t>
      </w:r>
      <w:r w:rsidR="00123984">
        <w:rPr>
          <w:bCs/>
          <w:snapToGrid w:val="0"/>
          <w:szCs w:val="20"/>
        </w:rPr>
        <w:t>)</w:t>
      </w:r>
      <w:r w:rsidR="004E6AFE">
        <w:rPr>
          <w:bCs/>
          <w:snapToGrid w:val="0"/>
          <w:szCs w:val="20"/>
        </w:rPr>
        <w:t xml:space="preserve"> Non-BUSIDRRQ IDR </w:t>
      </w:r>
      <w:r>
        <w:t>that measures the excess energy flow into the ERCOT System in 15-minute intervals, shall be determined using the actual 15-minute interval data, if available.</w:t>
      </w:r>
    </w:p>
    <w:p w14:paraId="0567A96E" w14:textId="77777777" w:rsidR="00AE2466" w:rsidRDefault="00AE2466" w:rsidP="00AE2466">
      <w:pPr>
        <w:pStyle w:val="H4"/>
      </w:pPr>
      <w:bookmarkStart w:id="66" w:name="_Toc148960345"/>
      <w:r>
        <w:t>11.4.4.3</w:t>
      </w:r>
      <w:r>
        <w:tab/>
        <w:t>Load Reduction for Excess from Other Distributed Generation</w:t>
      </w:r>
      <w:bookmarkEnd w:id="66"/>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lastRenderedPageBreak/>
        <w:t>DG _adjust</w:t>
      </w:r>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proofErr w:type="spellStart"/>
            <w:r w:rsidRPr="00AA6EB8">
              <w:t>DG_adjust</w:t>
            </w:r>
            <w:proofErr w:type="spellEnd"/>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7" w:name="_Toc273089349"/>
      <w:bookmarkStart w:id="68" w:name="_Toc148960346"/>
      <w:r>
        <w:t>11.4.5</w:t>
      </w:r>
      <w:r>
        <w:tab/>
        <w:t>Adjustment of Consumption Data for Losses</w:t>
      </w:r>
      <w:bookmarkEnd w:id="67"/>
      <w:bookmarkEnd w:id="68"/>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lastRenderedPageBreak/>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69" w:name="_Toc273089350"/>
      <w:bookmarkStart w:id="70" w:name="_Toc148960347"/>
      <w:r>
        <w:t>11.4.6</w:t>
      </w:r>
      <w:r>
        <w:tab/>
        <w:t>Unaccounted for Energy Calculation and Allocation</w:t>
      </w:r>
      <w:bookmarkEnd w:id="69"/>
      <w:bookmarkEnd w:id="70"/>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1" w:name="_Toc273089351"/>
      <w:bookmarkStart w:id="72" w:name="_Toc148960348"/>
      <w:r>
        <w:t>11.4.6.1</w:t>
      </w:r>
      <w:r>
        <w:tab/>
        <w:t>Calculation of ERCOT-Wide Unaccounted For Energy</w:t>
      </w:r>
      <w:bookmarkEnd w:id="71"/>
      <w:bookmarkEnd w:id="72"/>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3"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lastRenderedPageBreak/>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4" w:name="_Toc148960349"/>
      <w:r>
        <w:t>11.4.6.2</w:t>
      </w:r>
      <w:r>
        <w:tab/>
        <w:t>Allocation of Unaccounted For Energy</w:t>
      </w:r>
      <w:bookmarkEnd w:id="73"/>
      <w:bookmarkEnd w:id="74"/>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5" w:name="_Toc273089353"/>
      <w:bookmarkStart w:id="76" w:name="_Toc148960350"/>
      <w:r>
        <w:t>11.4.6.3</w:t>
      </w:r>
      <w:r>
        <w:tab/>
        <w:t>Unaccounted For Energy Allocation to Unaccounted For Energy Categories</w:t>
      </w:r>
      <w:bookmarkEnd w:id="75"/>
      <w:bookmarkEnd w:id="76"/>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lastRenderedPageBreak/>
              <w:t xml:space="preserve">UFE </w:t>
            </w:r>
            <w:proofErr w:type="spellStart"/>
            <w:r w:rsidRPr="00D025A4">
              <w:rPr>
                <w:b w:val="0"/>
                <w:i/>
                <w:vertAlign w:val="subscript"/>
              </w:rPr>
              <w:t>IDRiz</w:t>
            </w:r>
            <w:proofErr w:type="spellEnd"/>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7" w:name="_Toc273089354"/>
      <w:bookmarkStart w:id="78" w:name="_Toc148960351"/>
      <w:r>
        <w:t>11.4.6.4</w:t>
      </w:r>
      <w:r>
        <w:tab/>
        <w:t>Unaccounted For Energy Allocation to Load Serving Entities within Unaccounted For Energy Categories</w:t>
      </w:r>
      <w:bookmarkEnd w:id="77"/>
      <w:bookmarkEnd w:id="78"/>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lastRenderedPageBreak/>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t xml:space="preserve">UFE </w:t>
            </w:r>
            <w:proofErr w:type="spellStart"/>
            <w:r w:rsidRPr="00DA477E">
              <w:rPr>
                <w:b w:val="0"/>
                <w:i/>
                <w:vertAlign w:val="subscript"/>
              </w:rPr>
              <w:t>IDRiz</w:t>
            </w:r>
            <w:proofErr w:type="spellEnd"/>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79" w:name="_Toc273089355"/>
      <w:bookmarkStart w:id="80" w:name="_Toc148960352"/>
      <w:r>
        <w:t>11.5</w:t>
      </w:r>
      <w:r>
        <w:tab/>
        <w:t>Data Aggregation</w:t>
      </w:r>
      <w:bookmarkEnd w:id="79"/>
      <w:bookmarkEnd w:id="80"/>
    </w:p>
    <w:p w14:paraId="47175C40" w14:textId="77777777" w:rsidR="00FD2D3A" w:rsidRDefault="00FD2D3A" w:rsidP="00F44445">
      <w:pPr>
        <w:pStyle w:val="H3"/>
      </w:pPr>
      <w:bookmarkStart w:id="81" w:name="_Toc148960353"/>
      <w:bookmarkStart w:id="82" w:name="_Toc273089356"/>
      <w:r>
        <w:t>11.5.1</w:t>
      </w:r>
      <w:r>
        <w:tab/>
        <w:t>Aggregate Load Data</w:t>
      </w:r>
      <w:bookmarkEnd w:id="81"/>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2"/>
    </w:p>
    <w:p w14:paraId="78AB6AC5" w14:textId="77777777" w:rsidR="00BA5FF8" w:rsidRDefault="0085591D" w:rsidP="00F44445">
      <w:pPr>
        <w:pStyle w:val="H4"/>
        <w:ind w:left="1267" w:hanging="1267"/>
      </w:pPr>
      <w:bookmarkStart w:id="83" w:name="_Toc273089357"/>
      <w:bookmarkStart w:id="84" w:name="_Toc148960354"/>
      <w:r>
        <w:t>11.5.1.1</w:t>
      </w:r>
      <w:r>
        <w:tab/>
        <w:t>Aggregated Load Data Posting/Availability</w:t>
      </w:r>
      <w:bookmarkEnd w:id="83"/>
      <w:bookmarkEnd w:id="84"/>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lastRenderedPageBreak/>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5" w:name="_Toc273089358"/>
      <w:bookmarkStart w:id="86" w:name="_Toc148960355"/>
      <w:r w:rsidRPr="00BA5FF8">
        <w:t>11.5.1.2</w:t>
      </w:r>
      <w:r w:rsidRPr="00BA5FF8">
        <w:tab/>
      </w:r>
      <w:r w:rsidR="0085591D">
        <w:t>TSP and/or DSP</w:t>
      </w:r>
      <w:r w:rsidRPr="00BA5FF8">
        <w:t xml:space="preserve"> Load Data Posting</w:t>
      </w:r>
      <w:r w:rsidR="0085591D">
        <w:t>/Availability</w:t>
      </w:r>
      <w:bookmarkEnd w:id="85"/>
      <w:bookmarkEnd w:id="86"/>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p w14:paraId="51645D8A" w14:textId="77777777" w:rsidR="001D0200" w:rsidRDefault="0085591D">
      <w:pPr>
        <w:pStyle w:val="H3"/>
      </w:pPr>
      <w:bookmarkStart w:id="87" w:name="_Toc273089359"/>
      <w:bookmarkStart w:id="88" w:name="_Toc148960356"/>
      <w:r>
        <w:t>11.5.2</w:t>
      </w:r>
      <w:r>
        <w:tab/>
        <w:t>Generation Meter Data Aggregation</w:t>
      </w:r>
      <w:bookmarkEnd w:id="87"/>
      <w:bookmarkEnd w:id="88"/>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lastRenderedPageBreak/>
        <w:t>(b)</w:t>
      </w:r>
      <w:r>
        <w:tab/>
        <w:t xml:space="preserve">By Generation Resource (Resource ID (RID)), by </w:t>
      </w:r>
      <w:r w:rsidR="0036000B">
        <w:t xml:space="preserve">Resource </w:t>
      </w:r>
      <w:r>
        <w:t>Entities, by QSE and Settlement Point: This data set is passed to the Settlement process for generation imbalance calculations.</w:t>
      </w:r>
    </w:p>
    <w:p w14:paraId="2069C69F" w14:textId="77777777" w:rsidR="00BA5FF8" w:rsidRDefault="0085591D">
      <w:pPr>
        <w:pStyle w:val="H4"/>
      </w:pPr>
      <w:bookmarkStart w:id="89" w:name="_Toc273089360"/>
      <w:bookmarkStart w:id="90" w:name="_Toc148960357"/>
      <w:r>
        <w:t>11.5.2.1</w:t>
      </w:r>
      <w:r>
        <w:tab/>
        <w:t>Participant Specific Generation Data Posting/Availability</w:t>
      </w:r>
      <w:bookmarkEnd w:id="89"/>
      <w:bookmarkEnd w:id="90"/>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p w14:paraId="77BD32F7" w14:textId="77777777" w:rsidR="00BA5FF8" w:rsidRDefault="0085591D" w:rsidP="00BA5FF8">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1" w:name="_Toc148960358"/>
      <w:bookmarkStart w:id="92" w:name="_Toc273089361"/>
      <w:r>
        <w:t>11.5.2.2</w:t>
      </w:r>
      <w:r>
        <w:tab/>
        <w:t>General Public Data Posting/Availability</w:t>
      </w:r>
      <w:bookmarkEnd w:id="91"/>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p w14:paraId="307A8896" w14:textId="77777777"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2"/>
    </w:p>
    <w:p w14:paraId="67D6B5F6" w14:textId="77777777" w:rsidR="00BA5FF8" w:rsidRDefault="0085591D" w:rsidP="00233705">
      <w:pPr>
        <w:pStyle w:val="H2"/>
        <w:ind w:left="907" w:hanging="907"/>
      </w:pPr>
      <w:bookmarkStart w:id="93" w:name="_Toc273089362"/>
      <w:bookmarkStart w:id="94" w:name="_Toc148960359"/>
      <w:r>
        <w:t>11.6</w:t>
      </w:r>
      <w:r>
        <w:tab/>
        <w:t>Unaccounted For Energy Analysis</w:t>
      </w:r>
      <w:bookmarkEnd w:id="93"/>
      <w:bookmarkEnd w:id="94"/>
    </w:p>
    <w:p w14:paraId="330F910C" w14:textId="77777777" w:rsidR="00BA5FF8" w:rsidRDefault="0085591D">
      <w:pPr>
        <w:pStyle w:val="H3"/>
      </w:pPr>
      <w:bookmarkStart w:id="95" w:name="_Toc273089363"/>
      <w:bookmarkStart w:id="96" w:name="_Toc148960360"/>
      <w:r>
        <w:t>11.6.1</w:t>
      </w:r>
      <w:r>
        <w:tab/>
        <w:t>Overview</w:t>
      </w:r>
      <w:bookmarkEnd w:id="95"/>
      <w:bookmarkEnd w:id="96"/>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 xml:space="preserve">Establish a task force for further UFE investigation that may include the establishment of UFE analysis zones.  UFE analysis zones will not be used for </w:t>
      </w:r>
      <w:r>
        <w:lastRenderedPageBreak/>
        <w:t>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7" w:name="_Toc273089364"/>
      <w:bookmarkStart w:id="98" w:name="_Toc148960361"/>
      <w:r>
        <w:t>11.6.2</w:t>
      </w:r>
      <w:r>
        <w:tab/>
        <w:t>Annual Unaccounted For Energy Analysis Report</w:t>
      </w:r>
      <w:bookmarkEnd w:id="97"/>
      <w:bookmarkEnd w:id="98"/>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A2CC" w14:textId="6D26888E"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9D6">
      <w:rPr>
        <w:rStyle w:val="PageNumber"/>
        <w:noProof/>
      </w:rPr>
      <w:t>1</w: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6DEC" w14:textId="75136A72"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7B7A66">
      <w:rPr>
        <w:smallCaps/>
        <w:sz w:val="20"/>
        <w:szCs w:val="20"/>
      </w:rPr>
      <w:t>December 1</w:t>
    </w:r>
    <w:r>
      <w:rPr>
        <w:smallCaps/>
        <w:sz w:val="20"/>
        <w:szCs w:val="20"/>
      </w:rPr>
      <w:t>, 202</w:t>
    </w:r>
    <w:r w:rsidR="00122C8C">
      <w:rPr>
        <w:smallCaps/>
        <w:sz w:val="20"/>
        <w:szCs w:val="20"/>
      </w:rPr>
      <w:t>4</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0AC2" w14:textId="5CB55532"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7B7A66">
      <w:rPr>
        <w:smallCaps/>
        <w:sz w:val="20"/>
        <w:szCs w:val="20"/>
      </w:rPr>
      <w:t>December 1</w:t>
    </w:r>
    <w:r>
      <w:rPr>
        <w:smallCaps/>
        <w:sz w:val="20"/>
        <w:szCs w:val="20"/>
      </w:rPr>
      <w:t xml:space="preserve">, </w:t>
    </w:r>
    <w:proofErr w:type="gramStart"/>
    <w:r>
      <w:rPr>
        <w:smallCaps/>
        <w:sz w:val="20"/>
        <w:szCs w:val="20"/>
      </w:rPr>
      <w:t>202</w:t>
    </w:r>
    <w:r w:rsidR="00122C8C">
      <w:rPr>
        <w:smallCaps/>
        <w:sz w:val="20"/>
        <w:szCs w:val="20"/>
      </w:rPr>
      <w:t>4</w:t>
    </w:r>
    <w:proofErr w:type="gramEnd"/>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Nodal Protocols – Updated September 1, 2008</w:t>
    </w:r>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C026" w14:textId="77777777" w:rsidR="00F90A4D" w:rsidRDefault="00F90A4D">
    <w:pPr>
      <w:pStyle w:val="Header"/>
      <w:numPr>
        <w:ins w:id="99"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10417351">
    <w:abstractNumId w:val="22"/>
  </w:num>
  <w:num w:numId="2" w16cid:durableId="958099471">
    <w:abstractNumId w:val="11"/>
  </w:num>
  <w:num w:numId="3" w16cid:durableId="943415580">
    <w:abstractNumId w:val="18"/>
  </w:num>
  <w:num w:numId="4" w16cid:durableId="603457430">
    <w:abstractNumId w:val="13"/>
  </w:num>
  <w:num w:numId="5" w16cid:durableId="1838223993">
    <w:abstractNumId w:val="23"/>
  </w:num>
  <w:num w:numId="6" w16cid:durableId="276717562">
    <w:abstractNumId w:val="14"/>
  </w:num>
  <w:num w:numId="7" w16cid:durableId="866336833">
    <w:abstractNumId w:val="9"/>
  </w:num>
  <w:num w:numId="8" w16cid:durableId="919944844">
    <w:abstractNumId w:val="7"/>
  </w:num>
  <w:num w:numId="9" w16cid:durableId="1896813558">
    <w:abstractNumId w:val="6"/>
  </w:num>
  <w:num w:numId="10" w16cid:durableId="952324718">
    <w:abstractNumId w:val="5"/>
  </w:num>
  <w:num w:numId="11" w16cid:durableId="2130777310">
    <w:abstractNumId w:val="4"/>
  </w:num>
  <w:num w:numId="12" w16cid:durableId="1693460463">
    <w:abstractNumId w:val="8"/>
  </w:num>
  <w:num w:numId="13" w16cid:durableId="1145050955">
    <w:abstractNumId w:val="3"/>
  </w:num>
  <w:num w:numId="14" w16cid:durableId="602421769">
    <w:abstractNumId w:val="2"/>
  </w:num>
  <w:num w:numId="15" w16cid:durableId="213470005">
    <w:abstractNumId w:val="1"/>
  </w:num>
  <w:num w:numId="16" w16cid:durableId="1738212547">
    <w:abstractNumId w:val="0"/>
  </w:num>
  <w:num w:numId="17" w16cid:durableId="239992908">
    <w:abstractNumId w:val="16"/>
  </w:num>
  <w:num w:numId="18" w16cid:durableId="304241836">
    <w:abstractNumId w:val="10"/>
  </w:num>
  <w:num w:numId="19" w16cid:durableId="1468013328">
    <w:abstractNumId w:val="21"/>
  </w:num>
  <w:num w:numId="20" w16cid:durableId="1079670082">
    <w:abstractNumId w:val="17"/>
  </w:num>
  <w:num w:numId="21" w16cid:durableId="1508519468">
    <w:abstractNumId w:val="19"/>
  </w:num>
  <w:num w:numId="22" w16cid:durableId="1565873390">
    <w:abstractNumId w:val="20"/>
  </w:num>
  <w:num w:numId="23" w16cid:durableId="321736625">
    <w:abstractNumId w:val="15"/>
  </w:num>
  <w:num w:numId="24" w16cid:durableId="1759787803">
    <w:abstractNumId w:val="12"/>
  </w:num>
  <w:num w:numId="25" w16cid:durableId="367875261">
    <w:abstractNumId w:val="12"/>
  </w:num>
  <w:num w:numId="26" w16cid:durableId="192872986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06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4C27"/>
    <w:rsid w:val="00055AEB"/>
    <w:rsid w:val="000577E8"/>
    <w:rsid w:val="00061B0E"/>
    <w:rsid w:val="000647E9"/>
    <w:rsid w:val="000739B0"/>
    <w:rsid w:val="000751C6"/>
    <w:rsid w:val="00082F24"/>
    <w:rsid w:val="00083723"/>
    <w:rsid w:val="00086638"/>
    <w:rsid w:val="0009131D"/>
    <w:rsid w:val="000A4471"/>
    <w:rsid w:val="000B0EBB"/>
    <w:rsid w:val="000B740A"/>
    <w:rsid w:val="000C36E9"/>
    <w:rsid w:val="000C6D3E"/>
    <w:rsid w:val="000D6E2A"/>
    <w:rsid w:val="000E29D6"/>
    <w:rsid w:val="000F2897"/>
    <w:rsid w:val="000F47BE"/>
    <w:rsid w:val="001060B1"/>
    <w:rsid w:val="00115ADB"/>
    <w:rsid w:val="00120870"/>
    <w:rsid w:val="001227E3"/>
    <w:rsid w:val="00122C8C"/>
    <w:rsid w:val="00123984"/>
    <w:rsid w:val="00124A45"/>
    <w:rsid w:val="00126F81"/>
    <w:rsid w:val="0012739E"/>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D6413"/>
    <w:rsid w:val="001E2DB3"/>
    <w:rsid w:val="001E3CA3"/>
    <w:rsid w:val="001E767C"/>
    <w:rsid w:val="001F0F6E"/>
    <w:rsid w:val="00202A36"/>
    <w:rsid w:val="0020663E"/>
    <w:rsid w:val="0021360B"/>
    <w:rsid w:val="00214CAD"/>
    <w:rsid w:val="00215BA0"/>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A5E09"/>
    <w:rsid w:val="003B3ACC"/>
    <w:rsid w:val="003B4E4C"/>
    <w:rsid w:val="003C05D1"/>
    <w:rsid w:val="003C09DC"/>
    <w:rsid w:val="003C170A"/>
    <w:rsid w:val="003E0350"/>
    <w:rsid w:val="003E0DBE"/>
    <w:rsid w:val="003E3956"/>
    <w:rsid w:val="003E607E"/>
    <w:rsid w:val="003E6EB6"/>
    <w:rsid w:val="00410379"/>
    <w:rsid w:val="0041105F"/>
    <w:rsid w:val="0041227D"/>
    <w:rsid w:val="00413590"/>
    <w:rsid w:val="00414813"/>
    <w:rsid w:val="00416576"/>
    <w:rsid w:val="004216BB"/>
    <w:rsid w:val="00423E2D"/>
    <w:rsid w:val="00431277"/>
    <w:rsid w:val="00431607"/>
    <w:rsid w:val="004357C8"/>
    <w:rsid w:val="00444DB2"/>
    <w:rsid w:val="0044694B"/>
    <w:rsid w:val="0044721E"/>
    <w:rsid w:val="00452230"/>
    <w:rsid w:val="004573FF"/>
    <w:rsid w:val="00461D3B"/>
    <w:rsid w:val="004632C7"/>
    <w:rsid w:val="004644A2"/>
    <w:rsid w:val="00471591"/>
    <w:rsid w:val="004722B0"/>
    <w:rsid w:val="00476197"/>
    <w:rsid w:val="004779FE"/>
    <w:rsid w:val="004815BA"/>
    <w:rsid w:val="004864C8"/>
    <w:rsid w:val="004872D0"/>
    <w:rsid w:val="00497ECC"/>
    <w:rsid w:val="004A0EA6"/>
    <w:rsid w:val="004B4067"/>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12A7"/>
    <w:rsid w:val="0056224D"/>
    <w:rsid w:val="005724CC"/>
    <w:rsid w:val="00594C69"/>
    <w:rsid w:val="00597CA0"/>
    <w:rsid w:val="005A1732"/>
    <w:rsid w:val="005A41EC"/>
    <w:rsid w:val="005A6061"/>
    <w:rsid w:val="005B7209"/>
    <w:rsid w:val="005C1703"/>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56B08"/>
    <w:rsid w:val="00663CAF"/>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F54"/>
    <w:rsid w:val="006D4A42"/>
    <w:rsid w:val="006D71A4"/>
    <w:rsid w:val="006D7893"/>
    <w:rsid w:val="006D7CEC"/>
    <w:rsid w:val="006E4C9A"/>
    <w:rsid w:val="006E57E2"/>
    <w:rsid w:val="006E5918"/>
    <w:rsid w:val="006E5B21"/>
    <w:rsid w:val="006F5946"/>
    <w:rsid w:val="00700409"/>
    <w:rsid w:val="00700653"/>
    <w:rsid w:val="007071B1"/>
    <w:rsid w:val="0071123E"/>
    <w:rsid w:val="007114EE"/>
    <w:rsid w:val="00716424"/>
    <w:rsid w:val="007259E7"/>
    <w:rsid w:val="00727FBC"/>
    <w:rsid w:val="00734C3D"/>
    <w:rsid w:val="00737B69"/>
    <w:rsid w:val="00747A42"/>
    <w:rsid w:val="0076246D"/>
    <w:rsid w:val="0076545A"/>
    <w:rsid w:val="00770664"/>
    <w:rsid w:val="00787CE4"/>
    <w:rsid w:val="00790087"/>
    <w:rsid w:val="007A0665"/>
    <w:rsid w:val="007A2AD7"/>
    <w:rsid w:val="007A30B7"/>
    <w:rsid w:val="007B6046"/>
    <w:rsid w:val="007B7A66"/>
    <w:rsid w:val="007C22FA"/>
    <w:rsid w:val="007C39A5"/>
    <w:rsid w:val="007C420D"/>
    <w:rsid w:val="007C4377"/>
    <w:rsid w:val="007D0FE9"/>
    <w:rsid w:val="007E1F6B"/>
    <w:rsid w:val="00800357"/>
    <w:rsid w:val="00805F8F"/>
    <w:rsid w:val="00810F99"/>
    <w:rsid w:val="00825D62"/>
    <w:rsid w:val="0082614F"/>
    <w:rsid w:val="0084562D"/>
    <w:rsid w:val="00851F44"/>
    <w:rsid w:val="008526F0"/>
    <w:rsid w:val="0085591D"/>
    <w:rsid w:val="00860902"/>
    <w:rsid w:val="00862DAB"/>
    <w:rsid w:val="0086694C"/>
    <w:rsid w:val="008736BD"/>
    <w:rsid w:val="00873F5F"/>
    <w:rsid w:val="00896DB9"/>
    <w:rsid w:val="008A0096"/>
    <w:rsid w:val="008A21CD"/>
    <w:rsid w:val="008C435B"/>
    <w:rsid w:val="008C50ED"/>
    <w:rsid w:val="008E5DD6"/>
    <w:rsid w:val="008E730E"/>
    <w:rsid w:val="008F63F5"/>
    <w:rsid w:val="00907DB9"/>
    <w:rsid w:val="0091494A"/>
    <w:rsid w:val="00924F4D"/>
    <w:rsid w:val="00931384"/>
    <w:rsid w:val="00944EB1"/>
    <w:rsid w:val="0094718A"/>
    <w:rsid w:val="009571D4"/>
    <w:rsid w:val="00957D0C"/>
    <w:rsid w:val="009654E1"/>
    <w:rsid w:val="0096727F"/>
    <w:rsid w:val="0096762C"/>
    <w:rsid w:val="00967A6F"/>
    <w:rsid w:val="009768E8"/>
    <w:rsid w:val="00976DE9"/>
    <w:rsid w:val="00980C13"/>
    <w:rsid w:val="0098616F"/>
    <w:rsid w:val="00987BC2"/>
    <w:rsid w:val="009A719A"/>
    <w:rsid w:val="009A7B7C"/>
    <w:rsid w:val="009D1260"/>
    <w:rsid w:val="009E65E0"/>
    <w:rsid w:val="009F1AF4"/>
    <w:rsid w:val="009F35A2"/>
    <w:rsid w:val="009F590E"/>
    <w:rsid w:val="00A30A48"/>
    <w:rsid w:val="00A34799"/>
    <w:rsid w:val="00A47D3D"/>
    <w:rsid w:val="00A5426D"/>
    <w:rsid w:val="00A542C2"/>
    <w:rsid w:val="00A60C72"/>
    <w:rsid w:val="00A80509"/>
    <w:rsid w:val="00A85941"/>
    <w:rsid w:val="00A90879"/>
    <w:rsid w:val="00A90D27"/>
    <w:rsid w:val="00A92458"/>
    <w:rsid w:val="00AA0963"/>
    <w:rsid w:val="00AA566C"/>
    <w:rsid w:val="00AA6CB2"/>
    <w:rsid w:val="00AA6EB8"/>
    <w:rsid w:val="00AB1699"/>
    <w:rsid w:val="00AB2CD1"/>
    <w:rsid w:val="00AC0244"/>
    <w:rsid w:val="00AC2B7F"/>
    <w:rsid w:val="00AD22D1"/>
    <w:rsid w:val="00AE2466"/>
    <w:rsid w:val="00AE3579"/>
    <w:rsid w:val="00AE3ABB"/>
    <w:rsid w:val="00AF03A5"/>
    <w:rsid w:val="00AF4BE5"/>
    <w:rsid w:val="00AF74BD"/>
    <w:rsid w:val="00B028FA"/>
    <w:rsid w:val="00B036E1"/>
    <w:rsid w:val="00B11E59"/>
    <w:rsid w:val="00B121CF"/>
    <w:rsid w:val="00B141D6"/>
    <w:rsid w:val="00B20C46"/>
    <w:rsid w:val="00B2355A"/>
    <w:rsid w:val="00B2386C"/>
    <w:rsid w:val="00B23BB0"/>
    <w:rsid w:val="00B2597F"/>
    <w:rsid w:val="00B26384"/>
    <w:rsid w:val="00B31959"/>
    <w:rsid w:val="00B47323"/>
    <w:rsid w:val="00B56580"/>
    <w:rsid w:val="00B65607"/>
    <w:rsid w:val="00B77A5A"/>
    <w:rsid w:val="00B840FA"/>
    <w:rsid w:val="00B95736"/>
    <w:rsid w:val="00BA5FF8"/>
    <w:rsid w:val="00BA6002"/>
    <w:rsid w:val="00BA693D"/>
    <w:rsid w:val="00BC1B85"/>
    <w:rsid w:val="00BD7EAF"/>
    <w:rsid w:val="00BE316E"/>
    <w:rsid w:val="00BF0BD9"/>
    <w:rsid w:val="00BF381E"/>
    <w:rsid w:val="00BF5769"/>
    <w:rsid w:val="00C027DE"/>
    <w:rsid w:val="00C02C00"/>
    <w:rsid w:val="00C05EBB"/>
    <w:rsid w:val="00C109D0"/>
    <w:rsid w:val="00C21D7D"/>
    <w:rsid w:val="00C25156"/>
    <w:rsid w:val="00C308EF"/>
    <w:rsid w:val="00C32A5A"/>
    <w:rsid w:val="00C36E88"/>
    <w:rsid w:val="00C459F4"/>
    <w:rsid w:val="00C576DE"/>
    <w:rsid w:val="00C60570"/>
    <w:rsid w:val="00C61014"/>
    <w:rsid w:val="00C71F50"/>
    <w:rsid w:val="00C737D6"/>
    <w:rsid w:val="00C7773C"/>
    <w:rsid w:val="00C80518"/>
    <w:rsid w:val="00C80BAD"/>
    <w:rsid w:val="00C81F0E"/>
    <w:rsid w:val="00C9222A"/>
    <w:rsid w:val="00CB6511"/>
    <w:rsid w:val="00CD55D2"/>
    <w:rsid w:val="00CD5A53"/>
    <w:rsid w:val="00CF0CB5"/>
    <w:rsid w:val="00D025A4"/>
    <w:rsid w:val="00D0604E"/>
    <w:rsid w:val="00D10309"/>
    <w:rsid w:val="00D11769"/>
    <w:rsid w:val="00D11C96"/>
    <w:rsid w:val="00D17EB9"/>
    <w:rsid w:val="00D210B0"/>
    <w:rsid w:val="00D25097"/>
    <w:rsid w:val="00D33024"/>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33509"/>
    <w:rsid w:val="00E347B6"/>
    <w:rsid w:val="00E45246"/>
    <w:rsid w:val="00E6125E"/>
    <w:rsid w:val="00E6209B"/>
    <w:rsid w:val="00E63008"/>
    <w:rsid w:val="00E848CF"/>
    <w:rsid w:val="00E879B6"/>
    <w:rsid w:val="00E930CE"/>
    <w:rsid w:val="00EA4A18"/>
    <w:rsid w:val="00EB3A48"/>
    <w:rsid w:val="00EB634A"/>
    <w:rsid w:val="00EC581A"/>
    <w:rsid w:val="00ED44B9"/>
    <w:rsid w:val="00EE34C3"/>
    <w:rsid w:val="00EE484F"/>
    <w:rsid w:val="00EE55BD"/>
    <w:rsid w:val="00EE6C3B"/>
    <w:rsid w:val="00F15606"/>
    <w:rsid w:val="00F24817"/>
    <w:rsid w:val="00F30711"/>
    <w:rsid w:val="00F338EC"/>
    <w:rsid w:val="00F417A3"/>
    <w:rsid w:val="00F42A2E"/>
    <w:rsid w:val="00F42D1C"/>
    <w:rsid w:val="00F43567"/>
    <w:rsid w:val="00F44445"/>
    <w:rsid w:val="00F5054D"/>
    <w:rsid w:val="00F61CE6"/>
    <w:rsid w:val="00F64D9F"/>
    <w:rsid w:val="00F71645"/>
    <w:rsid w:val="00F84121"/>
    <w:rsid w:val="00F84947"/>
    <w:rsid w:val="00F90A4D"/>
    <w:rsid w:val="00F93B3B"/>
    <w:rsid w:val="00FA255F"/>
    <w:rsid w:val="00FC4608"/>
    <w:rsid w:val="00FD0284"/>
    <w:rsid w:val="00FD1584"/>
    <w:rsid w:val="00FD2D3A"/>
    <w:rsid w:val="00FD4137"/>
    <w:rsid w:val="00FE00C9"/>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0E29D6"/>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22C8C"/>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8244</Words>
  <Characters>46677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54812</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2018-12-21T14:50:00Z</cp:lastPrinted>
  <dcterms:created xsi:type="dcterms:W3CDTF">2024-11-25T17:40:00Z</dcterms:created>
  <dcterms:modified xsi:type="dcterms:W3CDTF">2024-11-25T17:41:00Z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2023-08-23T21:15:54Z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fe953f30-9346-4c21-94e0-2aff41e1a958</vt:lpwstr>
  </property>
  <property fmtid="{D5CDD505-2E9C-101B-9397-08002B2CF9AE}" pid="8" name="MSIP_Label_7084cbda-52b8-46fb-a7b7-cb5bd465ed85_ContentBits">
    <vt:lpwstr>0</vt:lpwstr>
  </property>
</Properties>
</file>