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E0653" w14:textId="77777777" w:rsidR="002D4213" w:rsidRPr="002D4213" w:rsidRDefault="002D4213" w:rsidP="002D4213">
      <w:pPr>
        <w:spacing w:after="120" w:line="240" w:lineRule="auto"/>
        <w:jc w:val="center"/>
        <w:rPr>
          <w:rFonts w:ascii="Times New Roman" w:eastAsia="Calibri" w:hAnsi="Times New Roman" w:cs="Times New Roman"/>
          <w:b/>
          <w:bCs/>
          <w:kern w:val="0"/>
          <w:sz w:val="32"/>
          <w:szCs w:val="32"/>
          <w14:ligatures w14:val="none"/>
        </w:rPr>
      </w:pPr>
      <w:r w:rsidRPr="002D4213">
        <w:rPr>
          <w:rFonts w:ascii="Times New Roman" w:eastAsia="Calibri" w:hAnsi="Times New Roman" w:cs="Times New Roman"/>
          <w:b/>
          <w:bCs/>
          <w:kern w:val="0"/>
          <w:sz w:val="32"/>
          <w:szCs w:val="32"/>
          <w14:ligatures w14:val="none"/>
        </w:rPr>
        <w:t>IBRWG Meeting Minutes</w:t>
      </w:r>
    </w:p>
    <w:p w14:paraId="001575D3" w14:textId="2090126A" w:rsidR="002D4213" w:rsidRPr="002D4213" w:rsidRDefault="00D976D9" w:rsidP="002D4213">
      <w:pPr>
        <w:spacing w:after="120" w:line="240" w:lineRule="auto"/>
        <w:jc w:val="center"/>
        <w:rPr>
          <w:rFonts w:ascii="Times New Roman" w:eastAsia="Calibri" w:hAnsi="Times New Roman" w:cs="Times New Roman"/>
          <w:b/>
          <w:bCs/>
          <w:kern w:val="0"/>
          <w:sz w:val="32"/>
          <w:szCs w:val="32"/>
          <w14:ligatures w14:val="none"/>
        </w:rPr>
      </w:pPr>
      <w:r>
        <w:rPr>
          <w:rFonts w:ascii="Times New Roman" w:eastAsia="Calibri" w:hAnsi="Times New Roman" w:cs="Times New Roman"/>
          <w:b/>
          <w:bCs/>
          <w:kern w:val="0"/>
          <w:sz w:val="32"/>
          <w:szCs w:val="32"/>
          <w14:ligatures w14:val="none"/>
        </w:rPr>
        <w:t>December</w:t>
      </w:r>
      <w:r w:rsidR="002D4213" w:rsidRPr="002D4213">
        <w:rPr>
          <w:rFonts w:ascii="Times New Roman" w:eastAsia="Calibri" w:hAnsi="Times New Roman" w:cs="Times New Roman"/>
          <w:b/>
          <w:bCs/>
          <w:kern w:val="0"/>
          <w:sz w:val="32"/>
          <w:szCs w:val="32"/>
          <w14:ligatures w14:val="none"/>
        </w:rPr>
        <w:t xml:space="preserve"> 2024</w:t>
      </w:r>
    </w:p>
    <w:p w14:paraId="5255C0B2" w14:textId="77777777" w:rsidR="002D4213" w:rsidRPr="002D4213" w:rsidRDefault="002D4213" w:rsidP="002D4213">
      <w:pPr>
        <w:spacing w:after="120" w:line="240" w:lineRule="auto"/>
        <w:jc w:val="center"/>
        <w:rPr>
          <w:rFonts w:ascii="Times New Roman" w:eastAsia="Calibri" w:hAnsi="Times New Roman" w:cs="Times New Roman"/>
          <w:b/>
          <w:bCs/>
          <w:kern w:val="0"/>
          <w14:ligatures w14:val="none"/>
        </w:rPr>
      </w:pPr>
      <w:r w:rsidRPr="002D4213">
        <w:rPr>
          <w:rFonts w:ascii="Times New Roman" w:eastAsia="Calibri" w:hAnsi="Times New Roman" w:cs="Times New Roman"/>
          <w:b/>
          <w:bCs/>
          <w:kern w:val="0"/>
          <w14:ligatures w14:val="none"/>
        </w:rPr>
        <w:t>Chair: Julia Matevosyan, Vice-Chair: Miguel Cova Acosta</w:t>
      </w:r>
    </w:p>
    <w:p w14:paraId="3ECE4A7A" w14:textId="77777777" w:rsidR="002D4213" w:rsidRPr="002D4213" w:rsidRDefault="002D4213" w:rsidP="002D4213">
      <w:pPr>
        <w:spacing w:after="120" w:line="240" w:lineRule="auto"/>
        <w:jc w:val="center"/>
        <w:rPr>
          <w:rFonts w:ascii="Times New Roman" w:eastAsia="Calibri" w:hAnsi="Times New Roman" w:cs="Times New Roman"/>
          <w:b/>
          <w:bCs/>
          <w:kern w:val="0"/>
          <w14:ligatures w14:val="none"/>
        </w:rPr>
      </w:pPr>
    </w:p>
    <w:p w14:paraId="0B0BFB52" w14:textId="0DBAF781" w:rsidR="002D4213" w:rsidRPr="002D4213" w:rsidRDefault="002D4213" w:rsidP="002D4213">
      <w:pPr>
        <w:spacing w:line="259" w:lineRule="auto"/>
        <w:rPr>
          <w:rFonts w:ascii="Times New Roman" w:eastAsia="Calibri" w:hAnsi="Times New Roman" w:cs="Times New Roman"/>
          <w:b/>
          <w:bCs/>
          <w:kern w:val="0"/>
          <w:sz w:val="28"/>
          <w:szCs w:val="28"/>
          <w:u w:val="single"/>
          <w14:ligatures w14:val="none"/>
        </w:rPr>
      </w:pPr>
      <w:r w:rsidRPr="002D4213">
        <w:rPr>
          <w:rFonts w:ascii="Times New Roman" w:eastAsia="Calibri" w:hAnsi="Times New Roman" w:cs="Times New Roman"/>
          <w:b/>
          <w:bCs/>
          <w:kern w:val="0"/>
          <w:sz w:val="28"/>
          <w:szCs w:val="28"/>
          <w:u w:val="single"/>
          <w14:ligatures w14:val="none"/>
        </w:rPr>
        <w:t xml:space="preserve">IBRWG met on </w:t>
      </w:r>
      <w:r w:rsidR="00D976D9">
        <w:rPr>
          <w:rFonts w:ascii="Times New Roman" w:eastAsia="Calibri" w:hAnsi="Times New Roman" w:cs="Times New Roman"/>
          <w:b/>
          <w:bCs/>
          <w:kern w:val="0"/>
          <w:sz w:val="28"/>
          <w:szCs w:val="28"/>
          <w:u w:val="single"/>
          <w14:ligatures w14:val="none"/>
        </w:rPr>
        <w:t xml:space="preserve">December </w:t>
      </w:r>
      <w:r w:rsidRPr="002D4213">
        <w:rPr>
          <w:rFonts w:ascii="Times New Roman" w:eastAsia="Calibri" w:hAnsi="Times New Roman" w:cs="Times New Roman"/>
          <w:b/>
          <w:bCs/>
          <w:kern w:val="0"/>
          <w:sz w:val="28"/>
          <w:szCs w:val="28"/>
          <w:u w:val="single"/>
          <w14:ligatures w14:val="none"/>
        </w:rPr>
        <w:t>1</w:t>
      </w:r>
      <w:r w:rsidR="00D976D9">
        <w:rPr>
          <w:rFonts w:ascii="Times New Roman" w:eastAsia="Calibri" w:hAnsi="Times New Roman" w:cs="Times New Roman"/>
          <w:b/>
          <w:bCs/>
          <w:kern w:val="0"/>
          <w:sz w:val="28"/>
          <w:szCs w:val="28"/>
          <w:u w:val="single"/>
          <w14:ligatures w14:val="none"/>
        </w:rPr>
        <w:t>3</w:t>
      </w:r>
      <w:r w:rsidRPr="002D4213">
        <w:rPr>
          <w:rFonts w:ascii="Times New Roman" w:eastAsia="Calibri" w:hAnsi="Times New Roman" w:cs="Times New Roman"/>
          <w:b/>
          <w:bCs/>
          <w:kern w:val="0"/>
          <w:sz w:val="28"/>
          <w:szCs w:val="28"/>
          <w:u w:val="single"/>
          <w:vertAlign w:val="superscript"/>
          <w14:ligatures w14:val="none"/>
        </w:rPr>
        <w:t>th</w:t>
      </w:r>
      <w:r w:rsidRPr="002D4213">
        <w:rPr>
          <w:rFonts w:ascii="Times New Roman" w:eastAsia="Calibri" w:hAnsi="Times New Roman" w:cs="Times New Roman"/>
          <w:b/>
          <w:bCs/>
          <w:kern w:val="0"/>
          <w:sz w:val="28"/>
          <w:szCs w:val="28"/>
          <w:u w:val="single"/>
          <w14:ligatures w14:val="none"/>
        </w:rPr>
        <w:t xml:space="preserve"> (Webex, Open Meeting).</w:t>
      </w:r>
    </w:p>
    <w:p w14:paraId="65B539D3" w14:textId="7448F4CF" w:rsidR="002D4213" w:rsidRDefault="002D4213" w:rsidP="002D4213">
      <w:pPr>
        <w:spacing w:line="259" w:lineRule="auto"/>
      </w:pPr>
      <w:r w:rsidRPr="002D4213">
        <w:rPr>
          <w:rFonts w:ascii="Times New Roman" w:eastAsia="Calibri" w:hAnsi="Times New Roman" w:cs="Times New Roman"/>
          <w:kern w:val="0"/>
          <w:sz w:val="28"/>
          <w:szCs w:val="28"/>
          <w14:ligatures w14:val="none"/>
        </w:rPr>
        <w:t xml:space="preserve">The agenda and the presentation slides are available </w:t>
      </w:r>
      <w:hyperlink r:id="rId5" w:history="1">
        <w:r w:rsidRPr="002D4213">
          <w:rPr>
            <w:rStyle w:val="Hyperlink"/>
            <w:rFonts w:ascii="Times New Roman" w:eastAsia="Calibri" w:hAnsi="Times New Roman" w:cs="Times New Roman"/>
            <w:kern w:val="0"/>
            <w:sz w:val="28"/>
            <w:szCs w:val="28"/>
            <w14:ligatures w14:val="none"/>
          </w:rPr>
          <w:t>here</w:t>
        </w:r>
      </w:hyperlink>
    </w:p>
    <w:p w14:paraId="3D9CC629" w14:textId="019F0A6D" w:rsidR="00D20217" w:rsidRPr="00D20217" w:rsidRDefault="00D20217" w:rsidP="002D4213">
      <w:pPr>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82</w:t>
      </w:r>
      <w:r>
        <w:rPr>
          <w:rFonts w:ascii="Times New Roman" w:eastAsia="Calibri" w:hAnsi="Times New Roman" w:cs="Times New Roman"/>
          <w:kern w:val="0"/>
          <w:sz w:val="28"/>
          <w:szCs w:val="28"/>
          <w14:ligatures w14:val="none"/>
        </w:rPr>
        <w:t xml:space="preserve"> people attended the meeting (at peak)</w:t>
      </w:r>
    </w:p>
    <w:p w14:paraId="747846F7" w14:textId="77777777" w:rsidR="002D4213" w:rsidRPr="002D4213" w:rsidRDefault="002D4213" w:rsidP="002D4213">
      <w:pPr>
        <w:spacing w:line="259" w:lineRule="auto"/>
        <w:rPr>
          <w:rFonts w:ascii="Times New Roman" w:eastAsia="Calibri" w:hAnsi="Times New Roman" w:cs="Times New Roman"/>
          <w:b/>
          <w:bCs/>
          <w:kern w:val="0"/>
          <w:sz w:val="28"/>
          <w:szCs w:val="28"/>
          <w:u w:val="single"/>
          <w14:ligatures w14:val="none"/>
        </w:rPr>
      </w:pPr>
      <w:r w:rsidRPr="002D4213">
        <w:rPr>
          <w:rFonts w:ascii="Times New Roman" w:eastAsia="Calibri" w:hAnsi="Times New Roman" w:cs="Times New Roman"/>
          <w:b/>
          <w:bCs/>
          <w:kern w:val="0"/>
          <w:sz w:val="28"/>
          <w:szCs w:val="28"/>
          <w:u w:val="single"/>
          <w14:ligatures w14:val="none"/>
        </w:rPr>
        <w:t>IBRWG Main Meeting</w:t>
      </w:r>
    </w:p>
    <w:p w14:paraId="45476079" w14:textId="32C23616" w:rsidR="002D4213" w:rsidRPr="002D4213" w:rsidRDefault="00041F89" w:rsidP="002D4213">
      <w:pPr>
        <w:tabs>
          <w:tab w:val="right" w:pos="9360"/>
        </w:tabs>
        <w:spacing w:line="259" w:lineRule="auto"/>
        <w:rPr>
          <w:rFonts w:ascii="Times New Roman" w:eastAsia="Calibri" w:hAnsi="Times New Roman" w:cs="Times New Roman"/>
          <w:b/>
          <w:bCs/>
          <w:kern w:val="0"/>
          <w:sz w:val="28"/>
          <w:szCs w:val="28"/>
          <w14:ligatures w14:val="none"/>
        </w:rPr>
      </w:pPr>
      <w:r w:rsidRPr="00041F89">
        <w:rPr>
          <w:rFonts w:ascii="Times New Roman" w:eastAsia="Calibri" w:hAnsi="Times New Roman" w:cs="Times New Roman"/>
          <w:b/>
          <w:bCs/>
          <w:kern w:val="0"/>
          <w:sz w:val="28"/>
          <w:szCs w:val="28"/>
          <w14:ligatures w14:val="none"/>
        </w:rPr>
        <w:t xml:space="preserve">NERC Update  </w:t>
      </w:r>
      <w:r w:rsidR="002D4213" w:rsidRPr="002D4213">
        <w:rPr>
          <w:rFonts w:ascii="Times New Roman" w:eastAsia="Calibri" w:hAnsi="Times New Roman" w:cs="Times New Roman"/>
          <w:b/>
          <w:bCs/>
          <w:kern w:val="0"/>
          <w:sz w:val="28"/>
          <w:szCs w:val="28"/>
          <w14:ligatures w14:val="none"/>
        </w:rPr>
        <w:tab/>
      </w:r>
    </w:p>
    <w:p w14:paraId="5E4CEDC7" w14:textId="04EAF2C5" w:rsidR="002D4213" w:rsidRPr="002D4213" w:rsidRDefault="00BA3593" w:rsidP="002D4213">
      <w:pPr>
        <w:spacing w:line="259" w:lineRule="auto"/>
        <w:rPr>
          <w:rFonts w:ascii="Times New Roman" w:eastAsia="Calibri" w:hAnsi="Times New Roman" w:cs="Times New Roman"/>
          <w:kern w:val="0"/>
          <w:sz w:val="28"/>
          <w:szCs w:val="28"/>
          <w14:ligatures w14:val="none"/>
        </w:rPr>
      </w:pPr>
      <w:r w:rsidRPr="00BA3593">
        <w:rPr>
          <w:rFonts w:ascii="Times New Roman" w:eastAsia="Calibri" w:hAnsi="Times New Roman" w:cs="Times New Roman"/>
          <w:kern w:val="0"/>
          <w:sz w:val="28"/>
          <w:szCs w:val="28"/>
          <w14:ligatures w14:val="none"/>
        </w:rPr>
        <w:t>Rachele Coyne (TRE)</w:t>
      </w:r>
    </w:p>
    <w:p w14:paraId="522698C4" w14:textId="61F9B752" w:rsidR="00CA6A1A" w:rsidRDefault="00BD37A7" w:rsidP="00CB6424">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hAnsi="Times New Roman" w:cs="Times New Roman"/>
          <w:kern w:val="0"/>
          <w:sz w:val="28"/>
          <w:szCs w:val="28"/>
          <w14:ligatures w14:val="none"/>
        </w:rPr>
        <w:t xml:space="preserve">Presented status of NERC Projects as a part of </w:t>
      </w:r>
      <w:r w:rsidR="00D97238" w:rsidRPr="00CA6A1A">
        <w:rPr>
          <w:rFonts w:ascii="Times New Roman" w:hAnsi="Times New Roman" w:cs="Times New Roman"/>
          <w:kern w:val="0"/>
          <w:sz w:val="28"/>
          <w:szCs w:val="28"/>
          <w14:ligatures w14:val="none"/>
        </w:rPr>
        <w:t xml:space="preserve">Federal Energy Regulatory Commission (FERC) Order, No. 901 Milestone </w:t>
      </w:r>
      <w:r w:rsidR="007F1368">
        <w:rPr>
          <w:rFonts w:ascii="Times New Roman" w:hAnsi="Times New Roman" w:cs="Times New Roman"/>
          <w:kern w:val="0"/>
          <w:sz w:val="28"/>
          <w:szCs w:val="28"/>
          <w14:ligatures w14:val="none"/>
        </w:rPr>
        <w:t xml:space="preserve">2. NERC fulfilled the FERC deadline for these projects. </w:t>
      </w:r>
    </w:p>
    <w:p w14:paraId="371880BC" w14:textId="15EC8387" w:rsidR="00BD37A7" w:rsidRPr="00CA6A1A" w:rsidRDefault="00BD37A7" w:rsidP="00BD37A7">
      <w:pPr>
        <w:pStyle w:val="ListParagraph"/>
        <w:tabs>
          <w:tab w:val="right" w:pos="9360"/>
        </w:tabs>
        <w:spacing w:line="259" w:lineRule="auto"/>
        <w:ind w:left="360"/>
        <w:rPr>
          <w:rFonts w:ascii="Times New Roman" w:eastAsia="Calibri" w:hAnsi="Times New Roman" w:cs="Times New Roman"/>
          <w:b/>
          <w:bCs/>
          <w:kern w:val="0"/>
          <w:sz w:val="28"/>
          <w:szCs w:val="28"/>
          <w14:ligatures w14:val="none"/>
        </w:rPr>
      </w:pPr>
      <w:r w:rsidRPr="00BD37A7">
        <w:rPr>
          <w:rFonts w:ascii="Times New Roman" w:eastAsia="Calibri" w:hAnsi="Times New Roman" w:cs="Times New Roman"/>
          <w:b/>
          <w:bCs/>
          <w:noProof/>
          <w:kern w:val="0"/>
          <w:sz w:val="28"/>
          <w:szCs w:val="28"/>
          <w14:ligatures w14:val="none"/>
        </w:rPr>
        <w:drawing>
          <wp:inline distT="0" distB="0" distL="0" distR="0" wp14:anchorId="2D7EA01F" wp14:editId="718F58CE">
            <wp:extent cx="5943600" cy="3220085"/>
            <wp:effectExtent l="0" t="0" r="0" b="0"/>
            <wp:docPr id="529002921" name="Picture 1"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002921" name="Picture 1" descr="A table with text and numbers&#10;&#10;Description automatically generated"/>
                    <pic:cNvPicPr/>
                  </pic:nvPicPr>
                  <pic:blipFill>
                    <a:blip r:embed="rId6"/>
                    <a:stretch>
                      <a:fillRect/>
                    </a:stretch>
                  </pic:blipFill>
                  <pic:spPr>
                    <a:xfrm>
                      <a:off x="0" y="0"/>
                      <a:ext cx="5943600" cy="3220085"/>
                    </a:xfrm>
                    <a:prstGeom prst="rect">
                      <a:avLst/>
                    </a:prstGeom>
                  </pic:spPr>
                </pic:pic>
              </a:graphicData>
            </a:graphic>
          </wp:inline>
        </w:drawing>
      </w:r>
    </w:p>
    <w:p w14:paraId="3075BCEC" w14:textId="77777777" w:rsidR="005F77BA" w:rsidRDefault="005F77BA" w:rsidP="005F77BA">
      <w:pPr>
        <w:pStyle w:val="ListParagraph"/>
        <w:tabs>
          <w:tab w:val="right" w:pos="9360"/>
        </w:tabs>
        <w:spacing w:line="259" w:lineRule="auto"/>
        <w:ind w:left="360"/>
        <w:rPr>
          <w:rFonts w:ascii="Times New Roman" w:hAnsi="Times New Roman" w:cs="Times New Roman"/>
          <w:kern w:val="0"/>
          <w:sz w:val="28"/>
          <w:szCs w:val="28"/>
          <w14:ligatures w14:val="none"/>
        </w:rPr>
      </w:pPr>
    </w:p>
    <w:p w14:paraId="39D9D97B" w14:textId="77777777" w:rsidR="00D848D7" w:rsidRDefault="007F1368" w:rsidP="005F77BA">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sidRPr="005F77BA">
        <w:rPr>
          <w:rFonts w:ascii="Times New Roman" w:hAnsi="Times New Roman" w:cs="Times New Roman"/>
          <w:kern w:val="0"/>
          <w:sz w:val="28"/>
          <w:szCs w:val="28"/>
          <w14:ligatures w14:val="none"/>
        </w:rPr>
        <w:t xml:space="preserve">NERC is now gearing up for Milestone 3, the projects under this </w:t>
      </w:r>
      <w:r w:rsidR="005F77BA">
        <w:rPr>
          <w:rFonts w:ascii="Times New Roman" w:hAnsi="Times New Roman" w:cs="Times New Roman"/>
          <w:kern w:val="0"/>
          <w:sz w:val="28"/>
          <w:szCs w:val="28"/>
          <w14:ligatures w14:val="none"/>
        </w:rPr>
        <w:t>M</w:t>
      </w:r>
      <w:r w:rsidRPr="005F77BA">
        <w:rPr>
          <w:rFonts w:ascii="Times New Roman" w:hAnsi="Times New Roman" w:cs="Times New Roman"/>
          <w:kern w:val="0"/>
          <w:sz w:val="28"/>
          <w:szCs w:val="28"/>
          <w14:ligatures w14:val="none"/>
        </w:rPr>
        <w:t>il</w:t>
      </w:r>
      <w:r w:rsidR="005F77BA">
        <w:rPr>
          <w:rFonts w:ascii="Times New Roman" w:hAnsi="Times New Roman" w:cs="Times New Roman"/>
          <w:kern w:val="0"/>
          <w:sz w:val="28"/>
          <w:szCs w:val="28"/>
          <w14:ligatures w14:val="none"/>
        </w:rPr>
        <w:t>e</w:t>
      </w:r>
      <w:r w:rsidRPr="005F77BA">
        <w:rPr>
          <w:rFonts w:ascii="Times New Roman" w:hAnsi="Times New Roman" w:cs="Times New Roman"/>
          <w:kern w:val="0"/>
          <w:sz w:val="28"/>
          <w:szCs w:val="28"/>
          <w14:ligatures w14:val="none"/>
        </w:rPr>
        <w:t>stone are</w:t>
      </w:r>
      <w:r w:rsidR="00D848D7">
        <w:rPr>
          <w:rFonts w:ascii="Times New Roman" w:hAnsi="Times New Roman" w:cs="Times New Roman"/>
          <w:kern w:val="0"/>
          <w:sz w:val="28"/>
          <w:szCs w:val="28"/>
          <w14:ligatures w14:val="none"/>
        </w:rPr>
        <w:t xml:space="preserve"> listed on slide 3.</w:t>
      </w:r>
    </w:p>
    <w:p w14:paraId="6ECEF814" w14:textId="20CF57C5" w:rsidR="00370DF7" w:rsidRDefault="00370DF7" w:rsidP="005F77BA">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sidRPr="00370DF7">
        <w:rPr>
          <w:rFonts w:ascii="Times New Roman" w:hAnsi="Times New Roman" w:cs="Times New Roman"/>
          <w:kern w:val="0"/>
          <w:sz w:val="28"/>
          <w:szCs w:val="28"/>
          <w14:ligatures w14:val="none"/>
        </w:rPr>
        <w:lastRenderedPageBreak/>
        <w:t>Discussions underway regarding priority of Project 2022-04 EMT Modeling (FAC-002, MOD-032, TPL-001)</w:t>
      </w:r>
      <w:r w:rsidR="00EC5E81">
        <w:rPr>
          <w:rFonts w:ascii="Times New Roman" w:hAnsi="Times New Roman" w:cs="Times New Roman"/>
          <w:kern w:val="0"/>
          <w:sz w:val="28"/>
          <w:szCs w:val="28"/>
          <w14:ligatures w14:val="none"/>
        </w:rPr>
        <w:t xml:space="preserve">, not directly included as a part of Milestone 3 but very closely related to the scope. </w:t>
      </w:r>
    </w:p>
    <w:p w14:paraId="0532CCCA" w14:textId="5ACB4195" w:rsidR="007F1368" w:rsidRDefault="00E05BED" w:rsidP="005F77BA">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NERC will be holding a Technical Conference on Jan 15-16 in Phoenix to start engaging with industry early on these projects. </w:t>
      </w:r>
      <w:r w:rsidR="007F1368" w:rsidRPr="005F77BA">
        <w:rPr>
          <w:rFonts w:ascii="Times New Roman" w:hAnsi="Times New Roman" w:cs="Times New Roman"/>
          <w:kern w:val="0"/>
          <w:sz w:val="28"/>
          <w:szCs w:val="28"/>
          <w14:ligatures w14:val="none"/>
        </w:rPr>
        <w:t xml:space="preserve"> </w:t>
      </w:r>
    </w:p>
    <w:p w14:paraId="1D8B04EE" w14:textId="29E7885D" w:rsidR="00C772C8" w:rsidRDefault="00C772C8" w:rsidP="005F77BA">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Texas RE Regional Project </w:t>
      </w:r>
      <w:r w:rsidR="00A61C90" w:rsidRPr="00A61C90">
        <w:rPr>
          <w:rFonts w:ascii="Times New Roman" w:hAnsi="Times New Roman" w:cs="Times New Roman"/>
          <w:kern w:val="0"/>
          <w:sz w:val="28"/>
          <w:szCs w:val="28"/>
          <w14:ligatures w14:val="none"/>
        </w:rPr>
        <w:t xml:space="preserve">Standard Authorization Request </w:t>
      </w:r>
      <w:r>
        <w:rPr>
          <w:rFonts w:ascii="Times New Roman" w:hAnsi="Times New Roman" w:cs="Times New Roman"/>
          <w:kern w:val="0"/>
          <w:sz w:val="28"/>
          <w:szCs w:val="28"/>
          <w14:ligatures w14:val="none"/>
        </w:rPr>
        <w:t xml:space="preserve">SAR-013 </w:t>
      </w:r>
      <w:r w:rsidR="00BB5D37">
        <w:rPr>
          <w:rFonts w:ascii="Times New Roman" w:hAnsi="Times New Roman" w:cs="Times New Roman"/>
          <w:kern w:val="0"/>
          <w:sz w:val="28"/>
          <w:szCs w:val="28"/>
          <w14:ligatures w14:val="none"/>
        </w:rPr>
        <w:t>to revise BAL-001-TRE-2</w:t>
      </w:r>
      <w:r w:rsidR="007E73F5">
        <w:rPr>
          <w:rFonts w:ascii="Times New Roman" w:hAnsi="Times New Roman" w:cs="Times New Roman"/>
          <w:kern w:val="0"/>
          <w:sz w:val="28"/>
          <w:szCs w:val="28"/>
          <w14:ligatures w14:val="none"/>
        </w:rPr>
        <w:t xml:space="preserve">. NERC </w:t>
      </w:r>
      <w:r w:rsidR="00B61EDD" w:rsidRPr="00B61EDD">
        <w:rPr>
          <w:rFonts w:ascii="Times New Roman" w:hAnsi="Times New Roman" w:cs="Times New Roman"/>
          <w:kern w:val="0"/>
          <w:sz w:val="28"/>
          <w:szCs w:val="28"/>
          <w14:ligatures w14:val="none"/>
        </w:rPr>
        <w:t>Member Representatives Committee (MRC)</w:t>
      </w:r>
      <w:r w:rsidR="00B61EDD">
        <w:rPr>
          <w:rFonts w:ascii="Times New Roman" w:hAnsi="Times New Roman" w:cs="Times New Roman"/>
          <w:kern w:val="0"/>
          <w:sz w:val="28"/>
          <w:szCs w:val="28"/>
          <w14:ligatures w14:val="none"/>
        </w:rPr>
        <w:t xml:space="preserve"> has approved the SAR </w:t>
      </w:r>
      <w:r w:rsidR="00476EC4">
        <w:rPr>
          <w:rFonts w:ascii="Times New Roman" w:hAnsi="Times New Roman" w:cs="Times New Roman"/>
          <w:kern w:val="0"/>
          <w:sz w:val="28"/>
          <w:szCs w:val="28"/>
          <w14:ligatures w14:val="none"/>
        </w:rPr>
        <w:t xml:space="preserve">on 9/18/2024 and accepts nominations to SDT since December 2024. </w:t>
      </w:r>
    </w:p>
    <w:p w14:paraId="47144C2E" w14:textId="4B658891" w:rsidR="00476EC4" w:rsidRDefault="00285204" w:rsidP="005F77BA">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The scope of the SAR is on slide 5</w:t>
      </w:r>
    </w:p>
    <w:p w14:paraId="11642FC7" w14:textId="4B89946C" w:rsidR="004D7BCC" w:rsidRDefault="004D7BCC" w:rsidP="004D7BCC">
      <w:pPr>
        <w:pStyle w:val="ListParagraph"/>
        <w:numPr>
          <w:ilvl w:val="0"/>
          <w:numId w:val="9"/>
        </w:numPr>
        <w:tabs>
          <w:tab w:val="right" w:pos="9360"/>
        </w:tabs>
        <w:spacing w:line="259" w:lineRule="auto"/>
        <w:rPr>
          <w:rFonts w:ascii="Times New Roman" w:hAnsi="Times New Roman" w:cs="Times New Roman"/>
          <w:kern w:val="0"/>
          <w:sz w:val="28"/>
          <w:szCs w:val="28"/>
          <w14:ligatures w14:val="none"/>
        </w:rPr>
      </w:pPr>
      <w:r w:rsidRPr="004D7BCC">
        <w:rPr>
          <w:rFonts w:ascii="Times New Roman" w:hAnsi="Times New Roman" w:cs="Times New Roman"/>
          <w:kern w:val="0"/>
          <w:sz w:val="28"/>
          <w:szCs w:val="28"/>
          <w14:ligatures w14:val="none"/>
        </w:rPr>
        <w:t xml:space="preserve">provide for widening generator Governor deadband </w:t>
      </w:r>
    </w:p>
    <w:p w14:paraId="39F050B4" w14:textId="77777777" w:rsidR="004D7BCC" w:rsidRDefault="004D7BCC" w:rsidP="004D7BCC">
      <w:pPr>
        <w:pStyle w:val="ListParagraph"/>
        <w:numPr>
          <w:ilvl w:val="0"/>
          <w:numId w:val="9"/>
        </w:numPr>
        <w:tabs>
          <w:tab w:val="right" w:pos="9360"/>
        </w:tabs>
        <w:spacing w:line="259" w:lineRule="auto"/>
        <w:rPr>
          <w:rFonts w:ascii="Times New Roman" w:hAnsi="Times New Roman" w:cs="Times New Roman"/>
          <w:kern w:val="0"/>
          <w:sz w:val="28"/>
          <w:szCs w:val="28"/>
          <w14:ligatures w14:val="none"/>
        </w:rPr>
      </w:pPr>
      <w:r w:rsidRPr="004D7BCC">
        <w:rPr>
          <w:rFonts w:ascii="Times New Roman" w:hAnsi="Times New Roman" w:cs="Times New Roman"/>
          <w:kern w:val="0"/>
          <w:sz w:val="28"/>
          <w:szCs w:val="28"/>
          <w14:ligatures w14:val="none"/>
        </w:rPr>
        <w:t>clarify roles of Generator Owner (GO), Balancing Authority (BA) and Compliance Enforcement Authority (CEA) pertaining to compliance time periods</w:t>
      </w:r>
    </w:p>
    <w:p w14:paraId="46F10211" w14:textId="1AD35F00" w:rsidR="004D7BCC" w:rsidRDefault="004D7BCC" w:rsidP="004D7BCC">
      <w:pPr>
        <w:pStyle w:val="ListParagraph"/>
        <w:numPr>
          <w:ilvl w:val="0"/>
          <w:numId w:val="9"/>
        </w:numPr>
        <w:tabs>
          <w:tab w:val="right" w:pos="9360"/>
        </w:tabs>
        <w:spacing w:line="259" w:lineRule="auto"/>
        <w:rPr>
          <w:rFonts w:ascii="Times New Roman" w:hAnsi="Times New Roman" w:cs="Times New Roman"/>
          <w:kern w:val="0"/>
          <w:sz w:val="28"/>
          <w:szCs w:val="28"/>
          <w14:ligatures w14:val="none"/>
        </w:rPr>
      </w:pPr>
      <w:r w:rsidRPr="004D7BCC">
        <w:rPr>
          <w:rFonts w:ascii="Times New Roman" w:hAnsi="Times New Roman" w:cs="Times New Roman"/>
          <w:kern w:val="0"/>
          <w:sz w:val="28"/>
          <w:szCs w:val="28"/>
          <w14:ligatures w14:val="none"/>
        </w:rPr>
        <w:t>Define PFR performance requirements for Battery Energy Storage Systems (BESS)</w:t>
      </w:r>
    </w:p>
    <w:p w14:paraId="3A23F5FA" w14:textId="0E16A0B2" w:rsidR="00285204" w:rsidRDefault="00A61C90" w:rsidP="00AF04E5">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sidRPr="00A61C90">
        <w:rPr>
          <w:rFonts w:ascii="Times New Roman" w:hAnsi="Times New Roman" w:cs="Times New Roman"/>
          <w:kern w:val="0"/>
          <w:sz w:val="28"/>
          <w:szCs w:val="28"/>
          <w14:ligatures w14:val="none"/>
        </w:rPr>
        <w:t xml:space="preserve">This SAR </w:t>
      </w:r>
      <w:r w:rsidRPr="003C5F98">
        <w:rPr>
          <w:rFonts w:ascii="Times New Roman" w:hAnsi="Times New Roman" w:cs="Times New Roman"/>
          <w:b/>
          <w:bCs/>
          <w:kern w:val="0"/>
          <w:sz w:val="28"/>
          <w:szCs w:val="28"/>
          <w:u w:val="single"/>
          <w14:ligatures w14:val="none"/>
        </w:rPr>
        <w:t>will not</w:t>
      </w:r>
      <w:r w:rsidRPr="00A61C90">
        <w:rPr>
          <w:rFonts w:ascii="Times New Roman" w:hAnsi="Times New Roman" w:cs="Times New Roman"/>
          <w:kern w:val="0"/>
          <w:sz w:val="28"/>
          <w:szCs w:val="28"/>
          <w14:ligatures w14:val="none"/>
        </w:rPr>
        <w:t xml:space="preserve"> be expanded to address concerns with </w:t>
      </w:r>
      <w:r w:rsidR="003C5F98" w:rsidRPr="00A61C90">
        <w:rPr>
          <w:rFonts w:ascii="Times New Roman" w:hAnsi="Times New Roman" w:cs="Times New Roman"/>
          <w:kern w:val="0"/>
          <w:sz w:val="28"/>
          <w:szCs w:val="28"/>
          <w14:ligatures w14:val="none"/>
        </w:rPr>
        <w:t>the impact</w:t>
      </w:r>
      <w:r w:rsidRPr="00A61C90">
        <w:rPr>
          <w:rFonts w:ascii="Times New Roman" w:hAnsi="Times New Roman" w:cs="Times New Roman"/>
          <w:kern w:val="0"/>
          <w:sz w:val="28"/>
          <w:szCs w:val="28"/>
          <w14:ligatures w14:val="none"/>
        </w:rPr>
        <w:t xml:space="preserve"> of curtailment on wind generation discussed in the last two IBRWG meetings. A separate SAR can be drafted if necessary</w:t>
      </w:r>
    </w:p>
    <w:p w14:paraId="7C676187" w14:textId="38A12B91" w:rsidR="00AF04E5" w:rsidRDefault="009B6596" w:rsidP="00AF04E5">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Rachel continued with Standards update, speaking about </w:t>
      </w:r>
      <w:r w:rsidRPr="009B6596">
        <w:rPr>
          <w:rFonts w:ascii="Times New Roman" w:hAnsi="Times New Roman" w:cs="Times New Roman"/>
          <w:kern w:val="0"/>
          <w:sz w:val="28"/>
          <w:szCs w:val="28"/>
          <w14:ligatures w14:val="none"/>
        </w:rPr>
        <w:t>Category 2 IBR Registration – 20-75 MW</w:t>
      </w:r>
      <w:r w:rsidR="00FC5D22">
        <w:rPr>
          <w:rFonts w:ascii="Times New Roman" w:hAnsi="Times New Roman" w:cs="Times New Roman"/>
          <w:kern w:val="0"/>
          <w:sz w:val="28"/>
          <w:szCs w:val="28"/>
          <w14:ligatures w14:val="none"/>
        </w:rPr>
        <w:t xml:space="preserve"> initiative. Right now TRE is in the process of identifying facilities and owners for registration between May 202</w:t>
      </w:r>
      <w:r w:rsidR="007E6DD1">
        <w:rPr>
          <w:rFonts w:ascii="Times New Roman" w:hAnsi="Times New Roman" w:cs="Times New Roman"/>
          <w:kern w:val="0"/>
          <w:sz w:val="28"/>
          <w:szCs w:val="28"/>
          <w14:ligatures w14:val="none"/>
        </w:rPr>
        <w:t xml:space="preserve">5-2026. </w:t>
      </w:r>
    </w:p>
    <w:p w14:paraId="1D154D1E" w14:textId="0952AC99" w:rsidR="007E6DD1" w:rsidRDefault="007E6DD1" w:rsidP="00AF04E5">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There is NERC Standard underway </w:t>
      </w:r>
      <w:hyperlink r:id="rId7" w:history="1">
        <w:r w:rsidRPr="002D1B4A">
          <w:rPr>
            <w:rStyle w:val="Hyperlink"/>
            <w:rFonts w:ascii="Times New Roman" w:hAnsi="Times New Roman" w:cs="Times New Roman"/>
            <w:kern w:val="0"/>
            <w:sz w:val="28"/>
            <w:szCs w:val="28"/>
            <w14:ligatures w14:val="none"/>
          </w:rPr>
          <w:t>Project 202</w:t>
        </w:r>
        <w:r w:rsidR="00864A8F" w:rsidRPr="002D1B4A">
          <w:rPr>
            <w:rStyle w:val="Hyperlink"/>
            <w:rFonts w:ascii="Times New Roman" w:hAnsi="Times New Roman" w:cs="Times New Roman"/>
            <w:kern w:val="0"/>
            <w:sz w:val="28"/>
            <w:szCs w:val="28"/>
            <w14:ligatures w14:val="none"/>
          </w:rPr>
          <w:t xml:space="preserve">4-01 </w:t>
        </w:r>
        <w:r w:rsidR="00AE163E" w:rsidRPr="002D1B4A">
          <w:rPr>
            <w:rStyle w:val="Hyperlink"/>
            <w:rFonts w:ascii="Times New Roman" w:hAnsi="Times New Roman" w:cs="Times New Roman"/>
            <w:kern w:val="0"/>
            <w:sz w:val="28"/>
            <w:szCs w:val="28"/>
            <w14:ligatures w14:val="none"/>
          </w:rPr>
          <w:t>Rules of Procedure Definitions Alignment (Generator Owner and Generator Operator)</w:t>
        </w:r>
        <w:r w:rsidR="00D353B3" w:rsidRPr="002D1B4A">
          <w:rPr>
            <w:rStyle w:val="Hyperlink"/>
            <w:rFonts w:ascii="Times New Roman" w:hAnsi="Times New Roman" w:cs="Times New Roman"/>
            <w:kern w:val="0"/>
            <w:sz w:val="28"/>
            <w:szCs w:val="28"/>
            <w14:ligatures w14:val="none"/>
          </w:rPr>
          <w:t>.</w:t>
        </w:r>
      </w:hyperlink>
      <w:r w:rsidR="00D353B3">
        <w:rPr>
          <w:rFonts w:ascii="Times New Roman" w:hAnsi="Times New Roman" w:cs="Times New Roman"/>
          <w:kern w:val="0"/>
          <w:sz w:val="28"/>
          <w:szCs w:val="28"/>
          <w14:ligatures w14:val="none"/>
        </w:rPr>
        <w:t xml:space="preserve"> Slide 6 has standards that will have to be revised as a result of this project</w:t>
      </w:r>
      <w:r w:rsidR="00D76E60">
        <w:rPr>
          <w:rFonts w:ascii="Times New Roman" w:hAnsi="Times New Roman" w:cs="Times New Roman"/>
          <w:kern w:val="0"/>
          <w:sz w:val="28"/>
          <w:szCs w:val="28"/>
          <w14:ligatures w14:val="none"/>
        </w:rPr>
        <w:t>. It has been a round of commenting</w:t>
      </w:r>
      <w:r w:rsidR="00806C03">
        <w:rPr>
          <w:rFonts w:ascii="Times New Roman" w:hAnsi="Times New Roman" w:cs="Times New Roman"/>
          <w:kern w:val="0"/>
          <w:sz w:val="28"/>
          <w:szCs w:val="28"/>
          <w14:ligatures w14:val="none"/>
        </w:rPr>
        <w:t xml:space="preserve"> and the SDT now is working through those comments.</w:t>
      </w:r>
    </w:p>
    <w:p w14:paraId="6D44D738" w14:textId="09D5A823" w:rsidR="00806C03" w:rsidRDefault="00806C03" w:rsidP="00AF04E5">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There has been NERC Level 2 IBR Modeling Alert</w:t>
      </w:r>
      <w:r w:rsidR="00C8402F">
        <w:rPr>
          <w:rFonts w:ascii="Times New Roman" w:hAnsi="Times New Roman" w:cs="Times New Roman"/>
          <w:kern w:val="0"/>
          <w:sz w:val="28"/>
          <w:szCs w:val="28"/>
          <w14:ligatures w14:val="none"/>
        </w:rPr>
        <w:t xml:space="preserve"> Response, details on that on slide 7</w:t>
      </w:r>
      <w:r w:rsidR="00793976">
        <w:rPr>
          <w:rFonts w:ascii="Times New Roman" w:hAnsi="Times New Roman" w:cs="Times New Roman"/>
          <w:kern w:val="0"/>
          <w:sz w:val="28"/>
          <w:szCs w:val="28"/>
          <w14:ligatures w14:val="none"/>
        </w:rPr>
        <w:t xml:space="preserve">. </w:t>
      </w:r>
      <w:r w:rsidR="00BB2070" w:rsidRPr="00BB2070">
        <w:rPr>
          <w:rFonts w:ascii="Times New Roman" w:hAnsi="Times New Roman" w:cs="Times New Roman"/>
          <w:kern w:val="0"/>
          <w:sz w:val="28"/>
          <w:szCs w:val="28"/>
          <w14:ligatures w14:val="none"/>
        </w:rPr>
        <w:t>Preliminary observations indicate widespread modelling concerns such as lack of verification, tools and metrics for accuracy</w:t>
      </w:r>
      <w:r w:rsidR="00BB2070">
        <w:rPr>
          <w:rFonts w:ascii="Times New Roman" w:hAnsi="Times New Roman" w:cs="Times New Roman"/>
          <w:kern w:val="0"/>
          <w:sz w:val="28"/>
          <w:szCs w:val="28"/>
          <w14:ligatures w14:val="none"/>
        </w:rPr>
        <w:t xml:space="preserve">. </w:t>
      </w:r>
      <w:r w:rsidR="00793976">
        <w:rPr>
          <w:rFonts w:ascii="Times New Roman" w:hAnsi="Times New Roman" w:cs="Times New Roman"/>
          <w:kern w:val="0"/>
          <w:sz w:val="28"/>
          <w:szCs w:val="28"/>
          <w14:ligatures w14:val="none"/>
        </w:rPr>
        <w:t xml:space="preserve">TRE will present the </w:t>
      </w:r>
      <w:r w:rsidR="000D6FB8">
        <w:rPr>
          <w:rFonts w:ascii="Times New Roman" w:hAnsi="Times New Roman" w:cs="Times New Roman"/>
          <w:kern w:val="0"/>
          <w:sz w:val="28"/>
          <w:szCs w:val="28"/>
          <w14:ligatures w14:val="none"/>
        </w:rPr>
        <w:t>results</w:t>
      </w:r>
      <w:r w:rsidR="00793976">
        <w:rPr>
          <w:rFonts w:ascii="Times New Roman" w:hAnsi="Times New Roman" w:cs="Times New Roman"/>
          <w:kern w:val="0"/>
          <w:sz w:val="28"/>
          <w:szCs w:val="28"/>
          <w14:ligatures w14:val="none"/>
        </w:rPr>
        <w:t xml:space="preserve"> </w:t>
      </w:r>
      <w:r w:rsidR="009070C1">
        <w:rPr>
          <w:rFonts w:ascii="Times New Roman" w:hAnsi="Times New Roman" w:cs="Times New Roman"/>
          <w:kern w:val="0"/>
          <w:sz w:val="28"/>
          <w:szCs w:val="28"/>
          <w14:ligatures w14:val="none"/>
        </w:rPr>
        <w:t>at</w:t>
      </w:r>
      <w:r w:rsidR="00793976">
        <w:rPr>
          <w:rFonts w:ascii="Times New Roman" w:hAnsi="Times New Roman" w:cs="Times New Roman"/>
          <w:kern w:val="0"/>
          <w:sz w:val="28"/>
          <w:szCs w:val="28"/>
          <w14:ligatures w14:val="none"/>
        </w:rPr>
        <w:t xml:space="preserve"> January IBRWG</w:t>
      </w:r>
      <w:r w:rsidR="009070C1">
        <w:rPr>
          <w:rFonts w:ascii="Times New Roman" w:hAnsi="Times New Roman" w:cs="Times New Roman"/>
          <w:kern w:val="0"/>
          <w:sz w:val="28"/>
          <w:szCs w:val="28"/>
          <w14:ligatures w14:val="none"/>
        </w:rPr>
        <w:t xml:space="preserve"> meeting</w:t>
      </w:r>
      <w:r w:rsidR="00793976">
        <w:rPr>
          <w:rFonts w:ascii="Times New Roman" w:hAnsi="Times New Roman" w:cs="Times New Roman"/>
          <w:kern w:val="0"/>
          <w:sz w:val="28"/>
          <w:szCs w:val="28"/>
          <w14:ligatures w14:val="none"/>
        </w:rPr>
        <w:t xml:space="preserve">. </w:t>
      </w:r>
      <w:r>
        <w:rPr>
          <w:rFonts w:ascii="Times New Roman" w:hAnsi="Times New Roman" w:cs="Times New Roman"/>
          <w:kern w:val="0"/>
          <w:sz w:val="28"/>
          <w:szCs w:val="28"/>
          <w14:ligatures w14:val="none"/>
        </w:rPr>
        <w:t xml:space="preserve"> </w:t>
      </w:r>
    </w:p>
    <w:p w14:paraId="267BE081" w14:textId="46250D9E" w:rsidR="00821DEC" w:rsidRPr="000D30B9" w:rsidRDefault="000D6FB8" w:rsidP="000D30B9">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sidRPr="000D6FB8">
        <w:rPr>
          <w:rFonts w:ascii="Times New Roman" w:hAnsi="Times New Roman" w:cs="Times New Roman"/>
          <w:kern w:val="0"/>
          <w:sz w:val="28"/>
          <w:szCs w:val="28"/>
          <w14:ligatures w14:val="none"/>
        </w:rPr>
        <w:t>GADS reporting for Q1-Q3 due on Dec 19</w:t>
      </w:r>
      <w:r w:rsidRPr="000D6FB8">
        <w:rPr>
          <w:rFonts w:ascii="Times New Roman" w:hAnsi="Times New Roman" w:cs="Times New Roman"/>
          <w:kern w:val="0"/>
          <w:sz w:val="28"/>
          <w:szCs w:val="28"/>
          <w:vertAlign w:val="superscript"/>
          <w14:ligatures w14:val="none"/>
        </w:rPr>
        <w:t>th</w:t>
      </w:r>
      <w:r>
        <w:rPr>
          <w:rFonts w:ascii="Times New Roman" w:hAnsi="Times New Roman" w:cs="Times New Roman"/>
          <w:kern w:val="0"/>
          <w:sz w:val="28"/>
          <w:szCs w:val="28"/>
          <w14:ligatures w14:val="none"/>
        </w:rPr>
        <w:t xml:space="preserve">, applies to conventional gen, wind and solar (100 MW and up) connected to 100 kV and up. In 2025 applies to solar 20 MW and up. </w:t>
      </w:r>
    </w:p>
    <w:p w14:paraId="6EEF6136" w14:textId="2336B7B8" w:rsidR="00B92718" w:rsidRDefault="00B92718" w:rsidP="00D97238">
      <w:pPr>
        <w:tabs>
          <w:tab w:val="right" w:pos="9360"/>
        </w:tabs>
        <w:spacing w:line="259" w:lineRule="auto"/>
        <w:rPr>
          <w:rFonts w:ascii="Times New Roman" w:eastAsia="Calibri" w:hAnsi="Times New Roman" w:cs="Times New Roman"/>
          <w:b/>
          <w:bCs/>
          <w:kern w:val="0"/>
          <w:sz w:val="28"/>
          <w:szCs w:val="28"/>
          <w14:ligatures w14:val="none"/>
        </w:rPr>
      </w:pPr>
      <w:r w:rsidRPr="00B92718">
        <w:rPr>
          <w:rFonts w:ascii="Times New Roman" w:eastAsia="Calibri" w:hAnsi="Times New Roman" w:cs="Times New Roman"/>
          <w:b/>
          <w:bCs/>
          <w:kern w:val="0"/>
          <w:sz w:val="28"/>
          <w:szCs w:val="28"/>
          <w14:ligatures w14:val="none"/>
        </w:rPr>
        <w:t>Advanced Grid Support Requirements for Inverter-Based ESRs (NOGRR272 &amp; PGRR121)</w:t>
      </w:r>
    </w:p>
    <w:p w14:paraId="2EBE8910" w14:textId="706F6F98" w:rsidR="00A362F2" w:rsidRDefault="000D30B9" w:rsidP="00A362F2">
      <w:p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Fre</w:t>
      </w:r>
      <w:r w:rsidR="00A74F63">
        <w:rPr>
          <w:rFonts w:ascii="Times New Roman" w:eastAsia="Calibri" w:hAnsi="Times New Roman" w:cs="Times New Roman"/>
          <w:kern w:val="0"/>
          <w:sz w:val="28"/>
          <w:szCs w:val="28"/>
          <w14:ligatures w14:val="none"/>
        </w:rPr>
        <w:t>d</w:t>
      </w:r>
      <w:r>
        <w:rPr>
          <w:rFonts w:ascii="Times New Roman" w:eastAsia="Calibri" w:hAnsi="Times New Roman" w:cs="Times New Roman"/>
          <w:kern w:val="0"/>
          <w:sz w:val="28"/>
          <w:szCs w:val="28"/>
          <w14:ligatures w14:val="none"/>
        </w:rPr>
        <w:t xml:space="preserve"> Huang</w:t>
      </w:r>
      <w:r w:rsidR="00E618A8">
        <w:rPr>
          <w:rFonts w:ascii="Times New Roman" w:eastAsia="Calibri" w:hAnsi="Times New Roman" w:cs="Times New Roman"/>
          <w:kern w:val="0"/>
          <w:sz w:val="28"/>
          <w:szCs w:val="28"/>
          <w14:ligatures w14:val="none"/>
        </w:rPr>
        <w:t xml:space="preserve"> </w:t>
      </w:r>
      <w:r w:rsidR="00B92718">
        <w:rPr>
          <w:rFonts w:ascii="Times New Roman" w:eastAsia="Calibri" w:hAnsi="Times New Roman" w:cs="Times New Roman"/>
          <w:kern w:val="0"/>
          <w:sz w:val="28"/>
          <w:szCs w:val="28"/>
          <w14:ligatures w14:val="none"/>
        </w:rPr>
        <w:t>(ERCOT</w:t>
      </w:r>
      <w:r w:rsidR="00E618A8">
        <w:rPr>
          <w:rFonts w:ascii="Times New Roman" w:eastAsia="Calibri" w:hAnsi="Times New Roman" w:cs="Times New Roman"/>
          <w:kern w:val="0"/>
          <w:sz w:val="28"/>
          <w:szCs w:val="28"/>
          <w14:ligatures w14:val="none"/>
        </w:rPr>
        <w:t>)</w:t>
      </w:r>
    </w:p>
    <w:p w14:paraId="7248273F" w14:textId="4EF57B59" w:rsidR="00A74F63" w:rsidRDefault="00363443" w:rsidP="00A74F63">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lastRenderedPageBreak/>
        <w:t xml:space="preserve">Fred went through NOGRR272 </w:t>
      </w:r>
      <w:r w:rsidR="0070714C" w:rsidRPr="0070714C">
        <w:rPr>
          <w:rFonts w:ascii="Times New Roman" w:hAnsi="Times New Roman" w:cs="Times New Roman"/>
          <w:kern w:val="0"/>
          <w:sz w:val="28"/>
          <w:szCs w:val="28"/>
          <w14:ligatures w14:val="none"/>
        </w:rPr>
        <w:t>Advanced Grid Support</w:t>
      </w:r>
      <w:r w:rsidR="003A1C0A">
        <w:rPr>
          <w:rFonts w:ascii="Times New Roman" w:hAnsi="Times New Roman" w:cs="Times New Roman"/>
          <w:kern w:val="0"/>
          <w:sz w:val="28"/>
          <w:szCs w:val="28"/>
          <w14:ligatures w14:val="none"/>
        </w:rPr>
        <w:t xml:space="preserve"> (AGS)</w:t>
      </w:r>
      <w:r w:rsidR="0070714C" w:rsidRPr="0070714C">
        <w:rPr>
          <w:rFonts w:ascii="Times New Roman" w:hAnsi="Times New Roman" w:cs="Times New Roman"/>
          <w:kern w:val="0"/>
          <w:sz w:val="28"/>
          <w:szCs w:val="28"/>
          <w14:ligatures w14:val="none"/>
        </w:rPr>
        <w:t xml:space="preserve"> Requirements for Inverter-Based ESRs</w:t>
      </w:r>
    </w:p>
    <w:p w14:paraId="15F546E5" w14:textId="4859530B" w:rsidR="005E4D68" w:rsidRDefault="005E4D68" w:rsidP="00A74F63">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From 2023 ERCOT </w:t>
      </w:r>
      <w:r w:rsidR="00E93CB4">
        <w:rPr>
          <w:rFonts w:ascii="Times New Roman" w:hAnsi="Times New Roman" w:cs="Times New Roman"/>
          <w:kern w:val="0"/>
          <w:sz w:val="28"/>
          <w:szCs w:val="28"/>
          <w14:ligatures w14:val="none"/>
        </w:rPr>
        <w:t>has been</w:t>
      </w:r>
      <w:r>
        <w:rPr>
          <w:rFonts w:ascii="Times New Roman" w:hAnsi="Times New Roman" w:cs="Times New Roman"/>
          <w:kern w:val="0"/>
          <w:sz w:val="28"/>
          <w:szCs w:val="28"/>
          <w14:ligatures w14:val="none"/>
        </w:rPr>
        <w:t xml:space="preserve"> brining it status updates to IBRWG on this topic and appreciates group’s feedback so far. </w:t>
      </w:r>
    </w:p>
    <w:p w14:paraId="0E907C26" w14:textId="7ED17C1A" w:rsidR="00A30977" w:rsidRDefault="00A30977" w:rsidP="00A74F63">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The draft NOGRR and PGRR were provided even before these were posted. </w:t>
      </w:r>
    </w:p>
    <w:p w14:paraId="3294F04F" w14:textId="7AF08D94" w:rsidR="00A30977" w:rsidRDefault="00A30977" w:rsidP="00A74F63">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Based on today’s </w:t>
      </w:r>
      <w:r w:rsidR="00E17D63">
        <w:rPr>
          <w:rFonts w:ascii="Times New Roman" w:hAnsi="Times New Roman" w:cs="Times New Roman"/>
          <w:kern w:val="0"/>
          <w:sz w:val="28"/>
          <w:szCs w:val="28"/>
          <w14:ligatures w14:val="none"/>
        </w:rPr>
        <w:t>meeting we</w:t>
      </w:r>
      <w:r>
        <w:rPr>
          <w:rFonts w:ascii="Times New Roman" w:hAnsi="Times New Roman" w:cs="Times New Roman"/>
          <w:kern w:val="0"/>
          <w:sz w:val="28"/>
          <w:szCs w:val="28"/>
          <w14:ligatures w14:val="none"/>
        </w:rPr>
        <w:t xml:space="preserve"> will see the need for going in detail through </w:t>
      </w:r>
      <w:r w:rsidR="00E93CB4">
        <w:rPr>
          <w:rFonts w:ascii="Times New Roman" w:hAnsi="Times New Roman" w:cs="Times New Roman"/>
          <w:kern w:val="0"/>
          <w:sz w:val="28"/>
          <w:szCs w:val="28"/>
          <w14:ligatures w14:val="none"/>
        </w:rPr>
        <w:t>these documents</w:t>
      </w:r>
      <w:r>
        <w:rPr>
          <w:rFonts w:ascii="Times New Roman" w:hAnsi="Times New Roman" w:cs="Times New Roman"/>
          <w:kern w:val="0"/>
          <w:sz w:val="28"/>
          <w:szCs w:val="28"/>
          <w14:ligatures w14:val="none"/>
        </w:rPr>
        <w:t xml:space="preserve"> once again. </w:t>
      </w:r>
    </w:p>
    <w:p w14:paraId="660CBDB3" w14:textId="6AC3E309" w:rsidR="004331B7" w:rsidRDefault="004331B7" w:rsidP="00A74F63">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Julia adds that as a </w:t>
      </w:r>
      <w:r w:rsidR="00E17D63">
        <w:rPr>
          <w:rFonts w:ascii="Times New Roman" w:hAnsi="Times New Roman" w:cs="Times New Roman"/>
          <w:kern w:val="0"/>
          <w:sz w:val="28"/>
          <w:szCs w:val="28"/>
          <w14:ligatures w14:val="none"/>
        </w:rPr>
        <w:t>minimum it</w:t>
      </w:r>
      <w:r>
        <w:rPr>
          <w:rFonts w:ascii="Times New Roman" w:hAnsi="Times New Roman" w:cs="Times New Roman"/>
          <w:kern w:val="0"/>
          <w:sz w:val="28"/>
          <w:szCs w:val="28"/>
          <w14:ligatures w14:val="none"/>
        </w:rPr>
        <w:t xml:space="preserve"> would be good to show where all the relevant documents are, especially the document for modelling and testing and how this document is going to be incorporated in ERCOT’s binding documents going forward. </w:t>
      </w:r>
    </w:p>
    <w:p w14:paraId="6BCEEDF2" w14:textId="5BFCCB94" w:rsidR="004331B7" w:rsidRDefault="004331B7" w:rsidP="00A74F63">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Fred continues that ERCO successfully integrated large numbers of IBRs so far and the interconnection queue going forward is also dominated by IBRs. ERCOT is looking for ways to integrate them </w:t>
      </w:r>
      <w:r w:rsidR="00E17D63">
        <w:rPr>
          <w:rFonts w:ascii="Times New Roman" w:hAnsi="Times New Roman" w:cs="Times New Roman"/>
          <w:kern w:val="0"/>
          <w:sz w:val="28"/>
          <w:szCs w:val="28"/>
          <w14:ligatures w14:val="none"/>
        </w:rPr>
        <w:t xml:space="preserve">stably and with the least constraints. </w:t>
      </w:r>
      <w:r w:rsidR="00557BE3">
        <w:rPr>
          <w:rFonts w:ascii="Times New Roman" w:hAnsi="Times New Roman" w:cs="Times New Roman"/>
          <w:kern w:val="0"/>
          <w:sz w:val="28"/>
          <w:szCs w:val="28"/>
          <w14:ligatures w14:val="none"/>
        </w:rPr>
        <w:t xml:space="preserve">Solutions such as </w:t>
      </w:r>
      <w:proofErr w:type="spellStart"/>
      <w:r w:rsidR="00557BE3">
        <w:rPr>
          <w:rFonts w:ascii="Times New Roman" w:hAnsi="Times New Roman" w:cs="Times New Roman"/>
          <w:kern w:val="0"/>
          <w:sz w:val="28"/>
          <w:szCs w:val="28"/>
          <w14:ligatures w14:val="none"/>
        </w:rPr>
        <w:t>SynCons</w:t>
      </w:r>
      <w:proofErr w:type="spellEnd"/>
      <w:r w:rsidR="00557BE3">
        <w:rPr>
          <w:rFonts w:ascii="Times New Roman" w:hAnsi="Times New Roman" w:cs="Times New Roman"/>
          <w:kern w:val="0"/>
          <w:sz w:val="28"/>
          <w:szCs w:val="28"/>
          <w14:ligatures w14:val="none"/>
        </w:rPr>
        <w:t xml:space="preserve"> and transmission expansion </w:t>
      </w:r>
      <w:r w:rsidR="0053332C">
        <w:rPr>
          <w:rFonts w:ascii="Times New Roman" w:hAnsi="Times New Roman" w:cs="Times New Roman"/>
          <w:kern w:val="0"/>
          <w:sz w:val="28"/>
          <w:szCs w:val="28"/>
          <w14:ligatures w14:val="none"/>
        </w:rPr>
        <w:t>are already being applied today but are lagging in time and insufficient to fully remove constraints</w:t>
      </w:r>
      <w:r w:rsidR="00823314">
        <w:rPr>
          <w:rFonts w:ascii="Times New Roman" w:hAnsi="Times New Roman" w:cs="Times New Roman"/>
          <w:kern w:val="0"/>
          <w:sz w:val="28"/>
          <w:szCs w:val="28"/>
          <w14:ligatures w14:val="none"/>
        </w:rPr>
        <w:t>. Moving forward, ERCOT is exploring additional viable options</w:t>
      </w:r>
    </w:p>
    <w:p w14:paraId="13A5D259" w14:textId="5E86D392" w:rsidR="00823314" w:rsidRDefault="00823314" w:rsidP="00A74F63">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In the last 5 years grid forming technology has been picking up in regions experiencing similar growth in IBRs and similar stability issues. </w:t>
      </w:r>
    </w:p>
    <w:p w14:paraId="305A1EFF" w14:textId="034D4109" w:rsidR="00823314" w:rsidRDefault="00823314" w:rsidP="00A74F63">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NERC also recognized the benefits of grid forming publishing two white papers </w:t>
      </w:r>
      <w:r w:rsidR="00682882">
        <w:rPr>
          <w:rFonts w:ascii="Times New Roman" w:hAnsi="Times New Roman" w:cs="Times New Roman"/>
          <w:kern w:val="0"/>
          <w:sz w:val="28"/>
          <w:szCs w:val="28"/>
          <w14:ligatures w14:val="none"/>
        </w:rPr>
        <w:t>in</w:t>
      </w:r>
      <w:r>
        <w:rPr>
          <w:rFonts w:ascii="Times New Roman" w:hAnsi="Times New Roman" w:cs="Times New Roman"/>
          <w:kern w:val="0"/>
          <w:sz w:val="28"/>
          <w:szCs w:val="28"/>
          <w14:ligatures w14:val="none"/>
        </w:rPr>
        <w:t xml:space="preserve"> 2021 and 2023 respectively. </w:t>
      </w:r>
    </w:p>
    <w:p w14:paraId="4BC705A8" w14:textId="6BA3A7FF" w:rsidR="00823314" w:rsidRDefault="00823314" w:rsidP="00A74F63">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ERCOT </w:t>
      </w:r>
      <w:r w:rsidR="00682882">
        <w:rPr>
          <w:rFonts w:ascii="Times New Roman" w:hAnsi="Times New Roman" w:cs="Times New Roman"/>
          <w:kern w:val="0"/>
          <w:sz w:val="28"/>
          <w:szCs w:val="28"/>
          <w14:ligatures w14:val="none"/>
        </w:rPr>
        <w:t>engaged</w:t>
      </w:r>
      <w:r>
        <w:rPr>
          <w:rFonts w:ascii="Times New Roman" w:hAnsi="Times New Roman" w:cs="Times New Roman"/>
          <w:kern w:val="0"/>
          <w:sz w:val="28"/>
          <w:szCs w:val="28"/>
          <w14:ligatures w14:val="none"/>
        </w:rPr>
        <w:t xml:space="preserve"> Electranix to help identify and develop</w:t>
      </w:r>
      <w:r w:rsidR="00DA5BBB">
        <w:rPr>
          <w:rFonts w:ascii="Times New Roman" w:hAnsi="Times New Roman" w:cs="Times New Roman"/>
          <w:kern w:val="0"/>
          <w:sz w:val="28"/>
          <w:szCs w:val="28"/>
          <w14:ligatures w14:val="none"/>
        </w:rPr>
        <w:t xml:space="preserve"> testing framework in case ERCOT were to adapt this technology. </w:t>
      </w:r>
    </w:p>
    <w:p w14:paraId="4BDA4F6C" w14:textId="2B3CCFAE" w:rsidR="00F33A3B" w:rsidRDefault="00F33A3B" w:rsidP="00A74F63">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ERCOT does see benefit from grid forming technologies</w:t>
      </w:r>
      <w:r w:rsidR="00671265">
        <w:rPr>
          <w:rFonts w:ascii="Times New Roman" w:hAnsi="Times New Roman" w:cs="Times New Roman"/>
          <w:kern w:val="0"/>
          <w:sz w:val="28"/>
          <w:szCs w:val="28"/>
          <w14:ligatures w14:val="none"/>
        </w:rPr>
        <w:t xml:space="preserve"> (1)</w:t>
      </w:r>
      <w:r>
        <w:rPr>
          <w:rFonts w:ascii="Times New Roman" w:hAnsi="Times New Roman" w:cs="Times New Roman"/>
          <w:kern w:val="0"/>
          <w:sz w:val="28"/>
          <w:szCs w:val="28"/>
          <w14:ligatures w14:val="none"/>
        </w:rPr>
        <w:t xml:space="preserve"> with regard to transient dynamic voltage and frequency response</w:t>
      </w:r>
      <w:r w:rsidR="0040572D">
        <w:rPr>
          <w:rFonts w:ascii="Times New Roman" w:hAnsi="Times New Roman" w:cs="Times New Roman"/>
          <w:kern w:val="0"/>
          <w:sz w:val="28"/>
          <w:szCs w:val="28"/>
          <w14:ligatures w14:val="none"/>
        </w:rPr>
        <w:t>, particularly in weak grid conditions</w:t>
      </w:r>
      <w:r w:rsidR="00671265">
        <w:rPr>
          <w:rFonts w:ascii="Times New Roman" w:hAnsi="Times New Roman" w:cs="Times New Roman"/>
          <w:kern w:val="0"/>
          <w:sz w:val="28"/>
          <w:szCs w:val="28"/>
          <w14:ligatures w14:val="none"/>
        </w:rPr>
        <w:t xml:space="preserve"> (2)</w:t>
      </w:r>
      <w:r w:rsidR="00A63CE9">
        <w:rPr>
          <w:rFonts w:ascii="Times New Roman" w:hAnsi="Times New Roman" w:cs="Times New Roman"/>
          <w:kern w:val="0"/>
          <w:sz w:val="28"/>
          <w:szCs w:val="28"/>
          <w14:ligatures w14:val="none"/>
        </w:rPr>
        <w:t xml:space="preserve"> reduction of the risk of IBR tripping or unstable operation (3) increase od GTC limits which could reduce generation curtailment due to stability constraints. </w:t>
      </w:r>
    </w:p>
    <w:p w14:paraId="23830F24" w14:textId="29E8CB37" w:rsidR="00682882" w:rsidRDefault="0064238A" w:rsidP="00A74F63">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This is how the proposal for advanced grid support from ESR </w:t>
      </w:r>
      <w:r w:rsidR="003A2B15">
        <w:rPr>
          <w:rFonts w:ascii="Times New Roman" w:hAnsi="Times New Roman" w:cs="Times New Roman"/>
          <w:kern w:val="0"/>
          <w:sz w:val="28"/>
          <w:szCs w:val="28"/>
          <w14:ligatures w14:val="none"/>
        </w:rPr>
        <w:t>was developed. Fred highlighted that unlike in some other region at least at this stage ERCOT doesn’t require any additional hardware</w:t>
      </w:r>
      <w:r w:rsidR="000436D6">
        <w:rPr>
          <w:rFonts w:ascii="Times New Roman" w:hAnsi="Times New Roman" w:cs="Times New Roman"/>
          <w:kern w:val="0"/>
          <w:sz w:val="28"/>
          <w:szCs w:val="28"/>
          <w14:ligatures w14:val="none"/>
        </w:rPr>
        <w:t xml:space="preserve"> or additional overload/overcurrent capability</w:t>
      </w:r>
      <w:r w:rsidR="003A2B15">
        <w:rPr>
          <w:rFonts w:ascii="Times New Roman" w:hAnsi="Times New Roman" w:cs="Times New Roman"/>
          <w:kern w:val="0"/>
          <w:sz w:val="28"/>
          <w:szCs w:val="28"/>
          <w14:ligatures w14:val="none"/>
        </w:rPr>
        <w:t xml:space="preserve"> for provision of these capabilities, i.e. all capabilities are required within equipment rating. </w:t>
      </w:r>
      <w:r w:rsidR="000436D6">
        <w:rPr>
          <w:rFonts w:ascii="Times New Roman" w:hAnsi="Times New Roman" w:cs="Times New Roman"/>
          <w:kern w:val="0"/>
          <w:sz w:val="28"/>
          <w:szCs w:val="28"/>
          <w14:ligatures w14:val="none"/>
        </w:rPr>
        <w:t xml:space="preserve">ERCOT also doesn’t require any changes to energy market dispatch for provision of advance </w:t>
      </w:r>
      <w:r w:rsidR="00E23E9C">
        <w:rPr>
          <w:rFonts w:ascii="Times New Roman" w:hAnsi="Times New Roman" w:cs="Times New Roman"/>
          <w:kern w:val="0"/>
          <w:sz w:val="28"/>
          <w:szCs w:val="28"/>
          <w14:ligatures w14:val="none"/>
        </w:rPr>
        <w:t xml:space="preserve">grid support capabilities. </w:t>
      </w:r>
    </w:p>
    <w:p w14:paraId="765200B1" w14:textId="241262F1" w:rsidR="00EB6472" w:rsidRDefault="00EB6472" w:rsidP="00A74F63">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ERCOT will continue monitoring the technology development to see if such advanced grid support capability can be also reliably </w:t>
      </w:r>
      <w:r w:rsidR="00855671">
        <w:rPr>
          <w:rFonts w:ascii="Times New Roman" w:hAnsi="Times New Roman" w:cs="Times New Roman"/>
          <w:kern w:val="0"/>
          <w:sz w:val="28"/>
          <w:szCs w:val="28"/>
          <w14:ligatures w14:val="none"/>
        </w:rPr>
        <w:t>provided by wind and solar technology in the future.</w:t>
      </w:r>
    </w:p>
    <w:p w14:paraId="40EB96EF" w14:textId="22F947EE" w:rsidR="001E38E4" w:rsidRDefault="001E38E4" w:rsidP="00A74F63">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lastRenderedPageBreak/>
        <w:t>The NOGRR language describes high</w:t>
      </w:r>
      <w:r w:rsidR="003A1C0A">
        <w:rPr>
          <w:rFonts w:ascii="Times New Roman" w:hAnsi="Times New Roman" w:cs="Times New Roman"/>
          <w:kern w:val="0"/>
          <w:sz w:val="28"/>
          <w:szCs w:val="28"/>
          <w14:ligatures w14:val="none"/>
        </w:rPr>
        <w:t xml:space="preserve"> level capability required from ESRs with AGS</w:t>
      </w:r>
      <w:r w:rsidR="003872BA">
        <w:rPr>
          <w:rFonts w:ascii="Times New Roman" w:hAnsi="Times New Roman" w:cs="Times New Roman"/>
          <w:kern w:val="0"/>
          <w:sz w:val="28"/>
          <w:szCs w:val="28"/>
          <w14:ligatures w14:val="none"/>
        </w:rPr>
        <w:t>.</w:t>
      </w:r>
    </w:p>
    <w:p w14:paraId="01F6FC44" w14:textId="77777777" w:rsidR="00DA2BAE" w:rsidRDefault="003872BA" w:rsidP="00DA2BAE">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The planning guide RR </w:t>
      </w:r>
      <w:r w:rsidR="0085396A">
        <w:rPr>
          <w:rFonts w:ascii="Times New Roman" w:hAnsi="Times New Roman" w:cs="Times New Roman"/>
          <w:kern w:val="0"/>
          <w:sz w:val="28"/>
          <w:szCs w:val="28"/>
          <w14:ligatures w14:val="none"/>
        </w:rPr>
        <w:t>provides additional information with regard to modeling details.</w:t>
      </w:r>
    </w:p>
    <w:p w14:paraId="3E62AC48" w14:textId="0B384575" w:rsidR="0085396A" w:rsidRDefault="001467C3" w:rsidP="00DA2BAE">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hyperlink r:id="rId8" w:history="1">
        <w:r w:rsidRPr="00F91950">
          <w:rPr>
            <w:rStyle w:val="Hyperlink"/>
            <w:rFonts w:ascii="Times New Roman" w:hAnsi="Times New Roman" w:cs="Times New Roman"/>
            <w:kern w:val="0"/>
            <w:sz w:val="28"/>
            <w:szCs w:val="28"/>
            <w14:ligatures w14:val="none"/>
          </w:rPr>
          <w:t>Advanced Grid Support Energy Storage Resource (AGS-ESR): Functional Specification and Test Framework</w:t>
        </w:r>
      </w:hyperlink>
      <w:r w:rsidRPr="00DA2BAE">
        <w:rPr>
          <w:rFonts w:ascii="Times New Roman" w:hAnsi="Times New Roman" w:cs="Times New Roman"/>
          <w:kern w:val="0"/>
          <w:sz w:val="28"/>
          <w:szCs w:val="28"/>
          <w14:ligatures w14:val="none"/>
        </w:rPr>
        <w:t xml:space="preserve"> </w:t>
      </w:r>
      <w:r w:rsidR="00DA2BAE" w:rsidRPr="00DA2BAE">
        <w:rPr>
          <w:rFonts w:ascii="Times New Roman" w:hAnsi="Times New Roman" w:cs="Times New Roman"/>
          <w:kern w:val="0"/>
          <w:sz w:val="28"/>
          <w:szCs w:val="28"/>
          <w14:ligatures w14:val="none"/>
        </w:rPr>
        <w:t>that</w:t>
      </w:r>
      <w:r w:rsidR="0085396A" w:rsidRPr="00DA2BAE">
        <w:rPr>
          <w:rFonts w:ascii="Times New Roman" w:hAnsi="Times New Roman" w:cs="Times New Roman"/>
          <w:kern w:val="0"/>
          <w:sz w:val="28"/>
          <w:szCs w:val="28"/>
          <w14:ligatures w14:val="none"/>
        </w:rPr>
        <w:t xml:space="preserve"> </w:t>
      </w:r>
      <w:r w:rsidR="00F91950">
        <w:rPr>
          <w:rFonts w:ascii="Times New Roman" w:hAnsi="Times New Roman" w:cs="Times New Roman"/>
          <w:kern w:val="0"/>
          <w:sz w:val="28"/>
          <w:szCs w:val="28"/>
          <w14:ligatures w14:val="none"/>
        </w:rPr>
        <w:t xml:space="preserve">was </w:t>
      </w:r>
      <w:r w:rsidR="0085396A" w:rsidRPr="00DA2BAE">
        <w:rPr>
          <w:rFonts w:ascii="Times New Roman" w:hAnsi="Times New Roman" w:cs="Times New Roman"/>
          <w:kern w:val="0"/>
          <w:sz w:val="28"/>
          <w:szCs w:val="28"/>
          <w14:ligatures w14:val="none"/>
        </w:rPr>
        <w:t xml:space="preserve">presented in September IBRWG </w:t>
      </w:r>
      <w:r w:rsidR="00DA2BAE">
        <w:rPr>
          <w:rFonts w:ascii="Times New Roman" w:hAnsi="Times New Roman" w:cs="Times New Roman"/>
          <w:kern w:val="0"/>
          <w:sz w:val="28"/>
          <w:szCs w:val="28"/>
          <w14:ligatures w14:val="none"/>
        </w:rPr>
        <w:t>meeting is the initial proposal for tests that will be consequently included in DWG Procedure Manual</w:t>
      </w:r>
      <w:r w:rsidR="00BA179F">
        <w:rPr>
          <w:rFonts w:ascii="Times New Roman" w:hAnsi="Times New Roman" w:cs="Times New Roman"/>
          <w:kern w:val="0"/>
          <w:sz w:val="28"/>
          <w:szCs w:val="28"/>
          <w14:ligatures w14:val="none"/>
        </w:rPr>
        <w:t xml:space="preserve"> as additional model quality tests that will be applied to AGS-ESR to </w:t>
      </w:r>
      <w:r w:rsidR="00607334">
        <w:rPr>
          <w:rFonts w:ascii="Times New Roman" w:hAnsi="Times New Roman" w:cs="Times New Roman"/>
          <w:kern w:val="0"/>
          <w:sz w:val="28"/>
          <w:szCs w:val="28"/>
          <w14:ligatures w14:val="none"/>
        </w:rPr>
        <w:t>assess their AGS capability</w:t>
      </w:r>
      <w:r w:rsidR="00BA179F">
        <w:rPr>
          <w:rFonts w:ascii="Times New Roman" w:hAnsi="Times New Roman" w:cs="Times New Roman"/>
          <w:kern w:val="0"/>
          <w:sz w:val="28"/>
          <w:szCs w:val="28"/>
          <w14:ligatures w14:val="none"/>
        </w:rPr>
        <w:t xml:space="preserve">. </w:t>
      </w:r>
    </w:p>
    <w:p w14:paraId="5F34345C" w14:textId="1AA10FF3" w:rsidR="00607334" w:rsidRDefault="00237EA2" w:rsidP="00DA2BAE">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Kara Beckmann</w:t>
      </w:r>
      <w:r w:rsidR="00022971">
        <w:rPr>
          <w:rFonts w:ascii="Times New Roman" w:hAnsi="Times New Roman" w:cs="Times New Roman"/>
          <w:kern w:val="0"/>
          <w:sz w:val="28"/>
          <w:szCs w:val="28"/>
          <w14:ligatures w14:val="none"/>
        </w:rPr>
        <w:t xml:space="preserve">: Could proposed model quality tests go ahead separately from AGS-ESR requirements? </w:t>
      </w:r>
    </w:p>
    <w:p w14:paraId="0F88EE18" w14:textId="0533F3F4" w:rsidR="00022971" w:rsidRDefault="00B94695" w:rsidP="00DA2BAE">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Fred: One is talking about AGS </w:t>
      </w:r>
      <w:r w:rsidR="0003676D">
        <w:rPr>
          <w:rFonts w:ascii="Times New Roman" w:hAnsi="Times New Roman" w:cs="Times New Roman"/>
          <w:kern w:val="0"/>
          <w:sz w:val="28"/>
          <w:szCs w:val="28"/>
          <w14:ligatures w14:val="none"/>
        </w:rPr>
        <w:t>capability,</w:t>
      </w:r>
      <w:r>
        <w:rPr>
          <w:rFonts w:ascii="Times New Roman" w:hAnsi="Times New Roman" w:cs="Times New Roman"/>
          <w:kern w:val="0"/>
          <w:sz w:val="28"/>
          <w:szCs w:val="28"/>
          <w14:ligatures w14:val="none"/>
        </w:rPr>
        <w:t xml:space="preserve"> and the other one basically looks at once ERCOT does have this requirement how are they going to check for </w:t>
      </w:r>
      <w:r w:rsidR="006D006D">
        <w:rPr>
          <w:rFonts w:ascii="Times New Roman" w:hAnsi="Times New Roman" w:cs="Times New Roman"/>
          <w:kern w:val="0"/>
          <w:sz w:val="28"/>
          <w:szCs w:val="28"/>
          <w14:ligatures w14:val="none"/>
        </w:rPr>
        <w:t xml:space="preserve">it and from that perspective these two are going hand in hand. </w:t>
      </w:r>
    </w:p>
    <w:p w14:paraId="1E44E728" w14:textId="609592B4" w:rsidR="007609F8" w:rsidRPr="00DA2BAE" w:rsidRDefault="007609F8" w:rsidP="007609F8">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Erik Wasik c</w:t>
      </w:r>
      <w:r w:rsidR="00786097">
        <w:rPr>
          <w:rFonts w:ascii="Times New Roman" w:hAnsi="Times New Roman" w:cs="Times New Roman"/>
          <w:kern w:val="0"/>
          <w:sz w:val="28"/>
          <w:szCs w:val="28"/>
          <w14:ligatures w14:val="none"/>
        </w:rPr>
        <w:t xml:space="preserve">omments that generally related PGRR and NOGRR may reach TAC at different </w:t>
      </w:r>
      <w:r w:rsidR="0003676D">
        <w:rPr>
          <w:rFonts w:ascii="Times New Roman" w:hAnsi="Times New Roman" w:cs="Times New Roman"/>
          <w:kern w:val="0"/>
          <w:sz w:val="28"/>
          <w:szCs w:val="28"/>
          <w14:ligatures w14:val="none"/>
        </w:rPr>
        <w:t>times,</w:t>
      </w:r>
      <w:r w:rsidR="00786097">
        <w:rPr>
          <w:rFonts w:ascii="Times New Roman" w:hAnsi="Times New Roman" w:cs="Times New Roman"/>
          <w:kern w:val="0"/>
          <w:sz w:val="28"/>
          <w:szCs w:val="28"/>
          <w14:ligatures w14:val="none"/>
        </w:rPr>
        <w:t xml:space="preserve"> but TAC will table to vote on them together once both are ready. </w:t>
      </w:r>
    </w:p>
    <w:p w14:paraId="7E8F4F13" w14:textId="77777777" w:rsidR="003B6AAA" w:rsidRDefault="00996AA9" w:rsidP="00DA2BAE">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Kara also pointed out that the implementation date shall be set subject to final approval so that it doesn’t apply as soon as. </w:t>
      </w:r>
    </w:p>
    <w:p w14:paraId="5F58F617" w14:textId="77777777" w:rsidR="00757F50" w:rsidRDefault="00996AA9" w:rsidP="00DA2BAE">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Fred </w:t>
      </w:r>
      <w:r w:rsidR="003B6AAA">
        <w:rPr>
          <w:rFonts w:ascii="Times New Roman" w:hAnsi="Times New Roman" w:cs="Times New Roman"/>
          <w:kern w:val="0"/>
          <w:sz w:val="28"/>
          <w:szCs w:val="28"/>
          <w14:ligatures w14:val="none"/>
        </w:rPr>
        <w:t xml:space="preserve">comments that certainly this is just placeholder and is subject to final approval. </w:t>
      </w:r>
      <w:r w:rsidR="005A0653">
        <w:rPr>
          <w:rFonts w:ascii="Times New Roman" w:hAnsi="Times New Roman" w:cs="Times New Roman"/>
          <w:kern w:val="0"/>
          <w:sz w:val="28"/>
          <w:szCs w:val="28"/>
          <w14:ligatures w14:val="none"/>
        </w:rPr>
        <w:t>ERCOT would like to hear feedback about timing, especially if there are any technical limitations.</w:t>
      </w:r>
    </w:p>
    <w:p w14:paraId="2EBD3C14" w14:textId="7FB7DF35" w:rsidR="00996AA9" w:rsidRDefault="00757F50" w:rsidP="00DA2BAE">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Fred also notes that even looking at the interconnection queue with SGIA before 4/1/2025 we are already looking at 25-30 GW of additional IBR capacity</w:t>
      </w:r>
      <w:r w:rsidR="00106AB4">
        <w:rPr>
          <w:rFonts w:ascii="Times New Roman" w:hAnsi="Times New Roman" w:cs="Times New Roman"/>
          <w:kern w:val="0"/>
          <w:sz w:val="28"/>
          <w:szCs w:val="28"/>
          <w14:ligatures w14:val="none"/>
        </w:rPr>
        <w:t xml:space="preserve">. But </w:t>
      </w:r>
      <w:r w:rsidR="004F3CA7">
        <w:rPr>
          <w:rFonts w:ascii="Times New Roman" w:hAnsi="Times New Roman" w:cs="Times New Roman"/>
          <w:kern w:val="0"/>
          <w:sz w:val="28"/>
          <w:szCs w:val="28"/>
          <w14:ligatures w14:val="none"/>
        </w:rPr>
        <w:t>certainly,</w:t>
      </w:r>
      <w:r w:rsidR="00106AB4">
        <w:rPr>
          <w:rFonts w:ascii="Times New Roman" w:hAnsi="Times New Roman" w:cs="Times New Roman"/>
          <w:kern w:val="0"/>
          <w:sz w:val="28"/>
          <w:szCs w:val="28"/>
          <w14:ligatures w14:val="none"/>
        </w:rPr>
        <w:t xml:space="preserve"> ERCOT understands </w:t>
      </w:r>
      <w:r w:rsidR="0003676D">
        <w:rPr>
          <w:rFonts w:ascii="Times New Roman" w:hAnsi="Times New Roman" w:cs="Times New Roman"/>
          <w:kern w:val="0"/>
          <w:sz w:val="28"/>
          <w:szCs w:val="28"/>
          <w14:ligatures w14:val="none"/>
        </w:rPr>
        <w:t>the impact</w:t>
      </w:r>
      <w:r w:rsidR="00106AB4">
        <w:rPr>
          <w:rFonts w:ascii="Times New Roman" w:hAnsi="Times New Roman" w:cs="Times New Roman"/>
          <w:kern w:val="0"/>
          <w:sz w:val="28"/>
          <w:szCs w:val="28"/>
          <w14:ligatures w14:val="none"/>
        </w:rPr>
        <w:t xml:space="preserve"> on the ongoing projects and will work with stakeholders on a reasonable implementation date. </w:t>
      </w:r>
      <w:r>
        <w:rPr>
          <w:rFonts w:ascii="Times New Roman" w:hAnsi="Times New Roman" w:cs="Times New Roman"/>
          <w:kern w:val="0"/>
          <w:sz w:val="28"/>
          <w:szCs w:val="28"/>
          <w14:ligatures w14:val="none"/>
        </w:rPr>
        <w:t xml:space="preserve"> </w:t>
      </w:r>
    </w:p>
    <w:p w14:paraId="136B5BD0" w14:textId="0F841A2F" w:rsidR="0032785B" w:rsidRDefault="0032785B" w:rsidP="00DA2BAE">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Erin adds in the chat that submitting comments is strongly encouraged! </w:t>
      </w:r>
    </w:p>
    <w:p w14:paraId="44B4DA4F" w14:textId="733698A1" w:rsidR="00E00CD7" w:rsidRDefault="00E00CD7" w:rsidP="00DA2BAE">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Mohammed</w:t>
      </w:r>
      <w:r w:rsidR="00226DC7">
        <w:rPr>
          <w:rFonts w:ascii="Times New Roman" w:hAnsi="Times New Roman" w:cs="Times New Roman"/>
          <w:kern w:val="0"/>
          <w:sz w:val="28"/>
          <w:szCs w:val="28"/>
          <w14:ligatures w14:val="none"/>
        </w:rPr>
        <w:t xml:space="preserve"> asked about how to provide comments. Fred said </w:t>
      </w:r>
      <w:r w:rsidR="00AB07B5">
        <w:rPr>
          <w:rFonts w:ascii="Times New Roman" w:hAnsi="Times New Roman" w:cs="Times New Roman"/>
          <w:kern w:val="0"/>
          <w:sz w:val="28"/>
          <w:szCs w:val="28"/>
          <w14:ligatures w14:val="none"/>
        </w:rPr>
        <w:t xml:space="preserve">the commenters either can </w:t>
      </w:r>
      <w:r w:rsidR="0003676D">
        <w:rPr>
          <w:rFonts w:ascii="Times New Roman" w:hAnsi="Times New Roman" w:cs="Times New Roman"/>
          <w:kern w:val="0"/>
          <w:sz w:val="28"/>
          <w:szCs w:val="28"/>
          <w14:ligatures w14:val="none"/>
        </w:rPr>
        <w:t>post</w:t>
      </w:r>
      <w:r w:rsidR="00AB07B5">
        <w:rPr>
          <w:rFonts w:ascii="Times New Roman" w:hAnsi="Times New Roman" w:cs="Times New Roman"/>
          <w:kern w:val="0"/>
          <w:sz w:val="28"/>
          <w:szCs w:val="28"/>
          <w14:ligatures w14:val="none"/>
        </w:rPr>
        <w:t xml:space="preserve"> their comments to NOGRR / PGRR or provide feedback directly to ERCOT. </w:t>
      </w:r>
    </w:p>
    <w:p w14:paraId="725F4892" w14:textId="05C2C2F9" w:rsidR="00AB07B5" w:rsidRDefault="00AB07B5" w:rsidP="00DA2BAE">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Mohammed asked about testing requirements. Fred showed the</w:t>
      </w:r>
      <w:r w:rsidR="00F91950">
        <w:rPr>
          <w:rFonts w:ascii="Times New Roman" w:hAnsi="Times New Roman" w:cs="Times New Roman"/>
          <w:kern w:val="0"/>
          <w:sz w:val="28"/>
          <w:szCs w:val="28"/>
          <w14:ligatures w14:val="none"/>
        </w:rPr>
        <w:t xml:space="preserve"> </w:t>
      </w:r>
      <w:hyperlink r:id="rId9" w:history="1">
        <w:r w:rsidR="00980A1F" w:rsidRPr="00F91950">
          <w:rPr>
            <w:rStyle w:val="Hyperlink"/>
            <w:rFonts w:ascii="Times New Roman" w:hAnsi="Times New Roman" w:cs="Times New Roman"/>
            <w:kern w:val="0"/>
            <w:sz w:val="28"/>
            <w:szCs w:val="28"/>
            <w14:ligatures w14:val="none"/>
          </w:rPr>
          <w:t>Advanced Grid Support Energy Storage Resource (AGS-ESR): Functional Specification and Test Framework</w:t>
        </w:r>
      </w:hyperlink>
      <w:r w:rsidR="00980A1F">
        <w:rPr>
          <w:rFonts w:ascii="Times New Roman" w:hAnsi="Times New Roman" w:cs="Times New Roman"/>
          <w:kern w:val="0"/>
          <w:sz w:val="28"/>
          <w:szCs w:val="28"/>
          <w14:ligatures w14:val="none"/>
        </w:rPr>
        <w:t xml:space="preserve"> document again</w:t>
      </w:r>
      <w:r w:rsidR="007018F7">
        <w:rPr>
          <w:rFonts w:ascii="Times New Roman" w:hAnsi="Times New Roman" w:cs="Times New Roman"/>
          <w:kern w:val="0"/>
          <w:sz w:val="28"/>
          <w:szCs w:val="28"/>
          <w14:ligatures w14:val="none"/>
        </w:rPr>
        <w:t xml:space="preserve"> and mentioned that ERCOT shared it in September with IBRWG and walked the group through </w:t>
      </w:r>
      <w:r w:rsidR="0032785B">
        <w:rPr>
          <w:rFonts w:ascii="Times New Roman" w:hAnsi="Times New Roman" w:cs="Times New Roman"/>
          <w:kern w:val="0"/>
          <w:sz w:val="28"/>
          <w:szCs w:val="28"/>
          <w14:ligatures w14:val="none"/>
        </w:rPr>
        <w:t xml:space="preserve">seven </w:t>
      </w:r>
      <w:r w:rsidR="007018F7">
        <w:rPr>
          <w:rFonts w:ascii="Times New Roman" w:hAnsi="Times New Roman" w:cs="Times New Roman"/>
          <w:kern w:val="0"/>
          <w:sz w:val="28"/>
          <w:szCs w:val="28"/>
          <w14:ligatures w14:val="none"/>
        </w:rPr>
        <w:t>tests in previous meetings</w:t>
      </w:r>
      <w:r w:rsidR="0032785B">
        <w:rPr>
          <w:rFonts w:ascii="Times New Roman" w:hAnsi="Times New Roman" w:cs="Times New Roman"/>
          <w:kern w:val="0"/>
          <w:sz w:val="28"/>
          <w:szCs w:val="28"/>
          <w14:ligatures w14:val="none"/>
        </w:rPr>
        <w:t xml:space="preserve">. </w:t>
      </w:r>
      <w:r w:rsidR="00DF6244">
        <w:rPr>
          <w:rFonts w:ascii="Times New Roman" w:hAnsi="Times New Roman" w:cs="Times New Roman"/>
          <w:kern w:val="0"/>
          <w:sz w:val="28"/>
          <w:szCs w:val="28"/>
          <w14:ligatures w14:val="none"/>
        </w:rPr>
        <w:t>This framework will be transferred into DWG Manual</w:t>
      </w:r>
    </w:p>
    <w:p w14:paraId="741AA0B4" w14:textId="78F5CDF3" w:rsidR="00DF6244" w:rsidRDefault="00DF6244" w:rsidP="00DA2BAE">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Mohammed says that </w:t>
      </w:r>
      <w:r w:rsidR="00D0617E">
        <w:rPr>
          <w:rFonts w:ascii="Times New Roman" w:hAnsi="Times New Roman" w:cs="Times New Roman"/>
          <w:kern w:val="0"/>
          <w:sz w:val="28"/>
          <w:szCs w:val="28"/>
          <w14:ligatures w14:val="none"/>
        </w:rPr>
        <w:t>yes,</w:t>
      </w:r>
      <w:r>
        <w:rPr>
          <w:rFonts w:ascii="Times New Roman" w:hAnsi="Times New Roman" w:cs="Times New Roman"/>
          <w:kern w:val="0"/>
          <w:sz w:val="28"/>
          <w:szCs w:val="28"/>
          <w14:ligatures w14:val="none"/>
        </w:rPr>
        <w:t xml:space="preserve"> he is referring to this document</w:t>
      </w:r>
      <w:r w:rsidR="00CF0DC3">
        <w:rPr>
          <w:rFonts w:ascii="Times New Roman" w:hAnsi="Times New Roman" w:cs="Times New Roman"/>
          <w:kern w:val="0"/>
          <w:sz w:val="28"/>
          <w:szCs w:val="28"/>
          <w14:ligatures w14:val="none"/>
        </w:rPr>
        <w:t xml:space="preserve">, and for example in the voltage step test there is no requirement for damping or settling time, unlike </w:t>
      </w:r>
      <w:r w:rsidR="00CF0DC3">
        <w:rPr>
          <w:rFonts w:ascii="Times New Roman" w:hAnsi="Times New Roman" w:cs="Times New Roman"/>
          <w:kern w:val="0"/>
          <w:sz w:val="28"/>
          <w:szCs w:val="28"/>
          <w14:ligatures w14:val="none"/>
        </w:rPr>
        <w:lastRenderedPageBreak/>
        <w:t xml:space="preserve">in case of phase jump test, </w:t>
      </w:r>
      <w:r w:rsidR="00DF3325">
        <w:rPr>
          <w:rFonts w:ascii="Times New Roman" w:hAnsi="Times New Roman" w:cs="Times New Roman"/>
          <w:kern w:val="0"/>
          <w:sz w:val="28"/>
          <w:szCs w:val="28"/>
          <w14:ligatures w14:val="none"/>
        </w:rPr>
        <w:t>would ERCOT want people make suggestions / comments for these details?</w:t>
      </w:r>
    </w:p>
    <w:p w14:paraId="671BEE7D" w14:textId="1D390CB6" w:rsidR="000674CA" w:rsidRDefault="00DF3325" w:rsidP="000674CA">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Fred says yes. Sun Wook adds </w:t>
      </w:r>
      <w:r w:rsidR="004C38AB">
        <w:rPr>
          <w:rFonts w:ascii="Times New Roman" w:hAnsi="Times New Roman" w:cs="Times New Roman"/>
          <w:kern w:val="0"/>
          <w:sz w:val="28"/>
          <w:szCs w:val="28"/>
          <w14:ligatures w14:val="none"/>
        </w:rPr>
        <w:t xml:space="preserve">that in terms of damping it’s not different for other IBRs. There is a </w:t>
      </w:r>
      <w:r w:rsidR="008A5E67">
        <w:rPr>
          <w:rFonts w:ascii="Times New Roman" w:hAnsi="Times New Roman" w:cs="Times New Roman"/>
          <w:kern w:val="0"/>
          <w:sz w:val="28"/>
          <w:szCs w:val="28"/>
          <w14:ligatures w14:val="none"/>
        </w:rPr>
        <w:t>criterion</w:t>
      </w:r>
      <w:r w:rsidR="004C38AB">
        <w:rPr>
          <w:rFonts w:ascii="Times New Roman" w:hAnsi="Times New Roman" w:cs="Times New Roman"/>
          <w:kern w:val="0"/>
          <w:sz w:val="28"/>
          <w:szCs w:val="28"/>
          <w14:ligatures w14:val="none"/>
        </w:rPr>
        <w:t xml:space="preserve"> for damping requirement in Planning Guide Section 4, same will apply for AGS-ESR</w:t>
      </w:r>
      <w:r w:rsidR="000674CA">
        <w:rPr>
          <w:rFonts w:ascii="Times New Roman" w:hAnsi="Times New Roman" w:cs="Times New Roman"/>
          <w:kern w:val="0"/>
          <w:sz w:val="28"/>
          <w:szCs w:val="28"/>
          <w14:ligatures w14:val="none"/>
        </w:rPr>
        <w:t xml:space="preserve">. For the phase jump the requirement is in the sub-cycle timeframe so additional detail apply there. </w:t>
      </w:r>
    </w:p>
    <w:p w14:paraId="7DCD186D" w14:textId="1A12E4ED" w:rsidR="00247AFD" w:rsidRDefault="00247AFD" w:rsidP="000674CA">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Mohammed asks why there’s a specific requirement for 0.2 </w:t>
      </w:r>
      <w:proofErr w:type="spellStart"/>
      <w:r>
        <w:rPr>
          <w:rFonts w:ascii="Times New Roman" w:hAnsi="Times New Roman" w:cs="Times New Roman"/>
          <w:kern w:val="0"/>
          <w:sz w:val="28"/>
          <w:szCs w:val="28"/>
          <w14:ligatures w14:val="none"/>
        </w:rPr>
        <w:t>pu</w:t>
      </w:r>
      <w:proofErr w:type="spellEnd"/>
      <w:r>
        <w:rPr>
          <w:rFonts w:ascii="Times New Roman" w:hAnsi="Times New Roman" w:cs="Times New Roman"/>
          <w:kern w:val="0"/>
          <w:sz w:val="28"/>
          <w:szCs w:val="28"/>
          <w14:ligatures w14:val="none"/>
        </w:rPr>
        <w:t xml:space="preserve"> response per 10</w:t>
      </w:r>
      <w:r w:rsidR="00B34E38">
        <w:rPr>
          <w:rFonts w:ascii="Times New Roman" w:hAnsi="Times New Roman" w:cs="Times New Roman"/>
          <w:kern w:val="0"/>
          <w:sz w:val="28"/>
          <w:szCs w:val="28"/>
          <w14:ligatures w14:val="none"/>
        </w:rPr>
        <w:t xml:space="preserve"> </w:t>
      </w:r>
      <w:r>
        <w:rPr>
          <w:rFonts w:ascii="Times New Roman" w:hAnsi="Times New Roman" w:cs="Times New Roman"/>
          <w:kern w:val="0"/>
          <w:sz w:val="28"/>
          <w:szCs w:val="28"/>
          <w14:ligatures w14:val="none"/>
        </w:rPr>
        <w:t xml:space="preserve">deg phase jump, why wasn’t it made dependent upon operating </w:t>
      </w:r>
      <w:r w:rsidR="00B34E38">
        <w:rPr>
          <w:rFonts w:ascii="Times New Roman" w:hAnsi="Times New Roman" w:cs="Times New Roman"/>
          <w:kern w:val="0"/>
          <w:sz w:val="28"/>
          <w:szCs w:val="28"/>
          <w14:ligatures w14:val="none"/>
        </w:rPr>
        <w:t>point</w:t>
      </w:r>
      <w:r>
        <w:rPr>
          <w:rFonts w:ascii="Times New Roman" w:hAnsi="Times New Roman" w:cs="Times New Roman"/>
          <w:kern w:val="0"/>
          <w:sz w:val="28"/>
          <w:szCs w:val="28"/>
          <w14:ligatures w14:val="none"/>
        </w:rPr>
        <w:t xml:space="preserve">? </w:t>
      </w:r>
    </w:p>
    <w:p w14:paraId="4B515D4E" w14:textId="3401D4C0" w:rsidR="007C32A5" w:rsidRDefault="007C32A5" w:rsidP="000674CA">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Sun Wook</w:t>
      </w:r>
      <w:r w:rsidR="00EA4443">
        <w:rPr>
          <w:rFonts w:ascii="Times New Roman" w:hAnsi="Times New Roman" w:cs="Times New Roman"/>
          <w:kern w:val="0"/>
          <w:sz w:val="28"/>
          <w:szCs w:val="28"/>
          <w14:ligatures w14:val="none"/>
        </w:rPr>
        <w:t>:</w:t>
      </w:r>
      <w:r>
        <w:rPr>
          <w:rFonts w:ascii="Times New Roman" w:hAnsi="Times New Roman" w:cs="Times New Roman"/>
          <w:kern w:val="0"/>
          <w:sz w:val="28"/>
          <w:szCs w:val="28"/>
          <w14:ligatures w14:val="none"/>
        </w:rPr>
        <w:t xml:space="preserve"> </w:t>
      </w:r>
      <w:r w:rsidR="00EA4443">
        <w:rPr>
          <w:rFonts w:ascii="Times New Roman" w:hAnsi="Times New Roman" w:cs="Times New Roman"/>
          <w:kern w:val="0"/>
          <w:sz w:val="28"/>
          <w:szCs w:val="28"/>
          <w14:ligatures w14:val="none"/>
        </w:rPr>
        <w:t xml:space="preserve">this was based on tests and recommended by Electranix. This was presented in July IBRWG. GFM models that ERCOT tests </w:t>
      </w:r>
      <w:r w:rsidR="008A5E67">
        <w:rPr>
          <w:rFonts w:ascii="Times New Roman" w:hAnsi="Times New Roman" w:cs="Times New Roman"/>
          <w:kern w:val="0"/>
          <w:sz w:val="28"/>
          <w:szCs w:val="28"/>
          <w14:ligatures w14:val="none"/>
        </w:rPr>
        <w:t>pass</w:t>
      </w:r>
      <w:r w:rsidR="00EA4443">
        <w:rPr>
          <w:rFonts w:ascii="Times New Roman" w:hAnsi="Times New Roman" w:cs="Times New Roman"/>
          <w:kern w:val="0"/>
          <w:sz w:val="28"/>
          <w:szCs w:val="28"/>
          <w14:ligatures w14:val="none"/>
        </w:rPr>
        <w:t xml:space="preserve"> through that. </w:t>
      </w:r>
      <w:r w:rsidR="00B96823">
        <w:rPr>
          <w:rFonts w:ascii="Times New Roman" w:hAnsi="Times New Roman" w:cs="Times New Roman"/>
          <w:kern w:val="0"/>
          <w:sz w:val="28"/>
          <w:szCs w:val="28"/>
          <w14:ligatures w14:val="none"/>
        </w:rPr>
        <w:t xml:space="preserve">This is not </w:t>
      </w:r>
      <w:r w:rsidR="00B45C83">
        <w:rPr>
          <w:rFonts w:ascii="Times New Roman" w:hAnsi="Times New Roman" w:cs="Times New Roman"/>
          <w:kern w:val="0"/>
          <w:sz w:val="28"/>
          <w:szCs w:val="28"/>
          <w14:ligatures w14:val="none"/>
        </w:rPr>
        <w:t>only the</w:t>
      </w:r>
      <w:r w:rsidR="00B96823">
        <w:rPr>
          <w:rFonts w:ascii="Times New Roman" w:hAnsi="Times New Roman" w:cs="Times New Roman"/>
          <w:kern w:val="0"/>
          <w:sz w:val="28"/>
          <w:szCs w:val="28"/>
          <w14:ligatures w14:val="none"/>
        </w:rPr>
        <w:t xml:space="preserve"> requirement but also requirement to </w:t>
      </w:r>
      <w:r w:rsidR="008A5E67">
        <w:rPr>
          <w:rFonts w:ascii="Times New Roman" w:hAnsi="Times New Roman" w:cs="Times New Roman"/>
          <w:kern w:val="0"/>
          <w:sz w:val="28"/>
          <w:szCs w:val="28"/>
          <w14:ligatures w14:val="none"/>
        </w:rPr>
        <w:t>rise</w:t>
      </w:r>
      <w:r w:rsidR="00B96823">
        <w:rPr>
          <w:rFonts w:ascii="Times New Roman" w:hAnsi="Times New Roman" w:cs="Times New Roman"/>
          <w:kern w:val="0"/>
          <w:sz w:val="28"/>
          <w:szCs w:val="28"/>
          <w14:ligatures w14:val="none"/>
        </w:rPr>
        <w:t xml:space="preserve"> time and come back time. This also includes some </w:t>
      </w:r>
      <w:r w:rsidR="00B45C83">
        <w:rPr>
          <w:rFonts w:ascii="Times New Roman" w:hAnsi="Times New Roman" w:cs="Times New Roman"/>
          <w:kern w:val="0"/>
          <w:sz w:val="28"/>
          <w:szCs w:val="28"/>
          <w14:ligatures w14:val="none"/>
        </w:rPr>
        <w:t xml:space="preserve">conservative assumptions for impedances between the inverter and the POI. </w:t>
      </w:r>
    </w:p>
    <w:p w14:paraId="7443AE74" w14:textId="7B60DC97" w:rsidR="005D4A9C" w:rsidRDefault="005D4A9C" w:rsidP="000674CA">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Mohammed: Will there be any changes to the commissioning tests? </w:t>
      </w:r>
      <w:r w:rsidR="00A25924">
        <w:rPr>
          <w:rFonts w:ascii="Times New Roman" w:hAnsi="Times New Roman" w:cs="Times New Roman"/>
          <w:kern w:val="0"/>
          <w:sz w:val="28"/>
          <w:szCs w:val="28"/>
          <w14:ligatures w14:val="none"/>
        </w:rPr>
        <w:t>Will there be some specific testing for AGS-ESR at commissioning compared to regular IBRs?</w:t>
      </w:r>
    </w:p>
    <w:p w14:paraId="43D2D544" w14:textId="0713019B" w:rsidR="00A25924" w:rsidRDefault="00A25924" w:rsidP="000674CA">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Fred: No difference from existing IBRs. ERCOT is still looking into this but </w:t>
      </w:r>
      <w:r w:rsidR="008A5E67">
        <w:rPr>
          <w:rFonts w:ascii="Times New Roman" w:hAnsi="Times New Roman" w:cs="Times New Roman"/>
          <w:kern w:val="0"/>
          <w:sz w:val="28"/>
          <w:szCs w:val="28"/>
          <w14:ligatures w14:val="none"/>
        </w:rPr>
        <w:t>there are no</w:t>
      </w:r>
      <w:r>
        <w:rPr>
          <w:rFonts w:ascii="Times New Roman" w:hAnsi="Times New Roman" w:cs="Times New Roman"/>
          <w:kern w:val="0"/>
          <w:sz w:val="28"/>
          <w:szCs w:val="28"/>
          <w14:ligatures w14:val="none"/>
        </w:rPr>
        <w:t xml:space="preserve"> additional requirements for this proposal. </w:t>
      </w:r>
    </w:p>
    <w:p w14:paraId="3507414B" w14:textId="6BEB2FF9" w:rsidR="00A25924" w:rsidRDefault="003A6B6F" w:rsidP="000674CA">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Julia: Considering that all of the discussion is based on the document that is currently not a part of NOGRR or PGRR, </w:t>
      </w:r>
      <w:r w:rsidR="00FE5A3C">
        <w:rPr>
          <w:rFonts w:ascii="Times New Roman" w:hAnsi="Times New Roman" w:cs="Times New Roman"/>
          <w:kern w:val="0"/>
          <w:sz w:val="28"/>
          <w:szCs w:val="28"/>
          <w14:ligatures w14:val="none"/>
        </w:rPr>
        <w:t>how can people submit comment</w:t>
      </w:r>
      <w:r w:rsidR="009E1D6E">
        <w:rPr>
          <w:rFonts w:ascii="Times New Roman" w:hAnsi="Times New Roman" w:cs="Times New Roman"/>
          <w:kern w:val="0"/>
          <w:sz w:val="28"/>
          <w:szCs w:val="28"/>
          <w14:ligatures w14:val="none"/>
        </w:rPr>
        <w:t>s</w:t>
      </w:r>
      <w:r w:rsidR="00FE5A3C">
        <w:rPr>
          <w:rFonts w:ascii="Times New Roman" w:hAnsi="Times New Roman" w:cs="Times New Roman"/>
          <w:kern w:val="0"/>
          <w:sz w:val="28"/>
          <w:szCs w:val="28"/>
          <w14:ligatures w14:val="none"/>
        </w:rPr>
        <w:t xml:space="preserve"> to this? </w:t>
      </w:r>
    </w:p>
    <w:p w14:paraId="6F306C5F" w14:textId="78D1E362" w:rsidR="00FE5A3C" w:rsidRDefault="00FE5A3C" w:rsidP="000674CA">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Fred: </w:t>
      </w:r>
      <w:r w:rsidR="009E1D6E">
        <w:rPr>
          <w:rFonts w:ascii="Times New Roman" w:hAnsi="Times New Roman" w:cs="Times New Roman"/>
          <w:kern w:val="0"/>
          <w:sz w:val="28"/>
          <w:szCs w:val="28"/>
          <w14:ligatures w14:val="none"/>
        </w:rPr>
        <w:t>Directly to ERCOT in writing would help ERCOT to address these comments. ERCOT is also working on redline to DWG Procedure Manual and once it’s ready then comments can also be submitted to this one. But the sooner the better</w:t>
      </w:r>
      <w:r w:rsidR="004C2591">
        <w:rPr>
          <w:rFonts w:ascii="Times New Roman" w:hAnsi="Times New Roman" w:cs="Times New Roman"/>
          <w:kern w:val="0"/>
          <w:sz w:val="28"/>
          <w:szCs w:val="28"/>
          <w14:ligatures w14:val="none"/>
        </w:rPr>
        <w:t xml:space="preserve">, as it helps ERCOT to address your comments sooner. </w:t>
      </w:r>
    </w:p>
    <w:p w14:paraId="3B15A6EF" w14:textId="391D29AE" w:rsidR="004C2591" w:rsidRDefault="004C2591" w:rsidP="000674CA">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Sun Wook</w:t>
      </w:r>
      <w:r w:rsidR="00AA24BA">
        <w:rPr>
          <w:rFonts w:ascii="Times New Roman" w:hAnsi="Times New Roman" w:cs="Times New Roman"/>
          <w:kern w:val="0"/>
          <w:sz w:val="28"/>
          <w:szCs w:val="28"/>
          <w14:ligatures w14:val="none"/>
        </w:rPr>
        <w:t xml:space="preserve">: In October </w:t>
      </w:r>
      <w:r w:rsidR="00B014F6">
        <w:rPr>
          <w:rFonts w:ascii="Times New Roman" w:hAnsi="Times New Roman" w:cs="Times New Roman"/>
          <w:kern w:val="0"/>
          <w:sz w:val="28"/>
          <w:szCs w:val="28"/>
          <w14:ligatures w14:val="none"/>
        </w:rPr>
        <w:t xml:space="preserve">ERCOT went through the proposed test examples and in that </w:t>
      </w:r>
      <w:hyperlink r:id="rId10" w:history="1">
        <w:r w:rsidR="00B014F6" w:rsidRPr="00841E8D">
          <w:rPr>
            <w:rStyle w:val="Hyperlink"/>
            <w:rFonts w:ascii="Times New Roman" w:hAnsi="Times New Roman" w:cs="Times New Roman"/>
            <w:kern w:val="0"/>
            <w:sz w:val="28"/>
            <w:szCs w:val="28"/>
            <w14:ligatures w14:val="none"/>
          </w:rPr>
          <w:t>presentation</w:t>
        </w:r>
      </w:hyperlink>
      <w:r w:rsidR="00B014F6">
        <w:rPr>
          <w:rFonts w:ascii="Times New Roman" w:hAnsi="Times New Roman" w:cs="Times New Roman"/>
          <w:kern w:val="0"/>
          <w:sz w:val="28"/>
          <w:szCs w:val="28"/>
          <w14:ligatures w14:val="none"/>
        </w:rPr>
        <w:t xml:space="preserve"> there is slide 4 with</w:t>
      </w:r>
      <w:r w:rsidR="00841E8D">
        <w:rPr>
          <w:rFonts w:ascii="Times New Roman" w:hAnsi="Times New Roman" w:cs="Times New Roman"/>
          <w:kern w:val="0"/>
          <w:sz w:val="28"/>
          <w:szCs w:val="28"/>
          <w14:ligatures w14:val="none"/>
        </w:rPr>
        <w:t xml:space="preserve"> </w:t>
      </w:r>
      <w:r w:rsidR="00AA24BA">
        <w:rPr>
          <w:rFonts w:ascii="Times New Roman" w:hAnsi="Times New Roman" w:cs="Times New Roman"/>
          <w:kern w:val="0"/>
          <w:sz w:val="28"/>
          <w:szCs w:val="28"/>
          <w14:ligatures w14:val="none"/>
        </w:rPr>
        <w:t>the</w:t>
      </w:r>
      <w:r w:rsidR="00D64271">
        <w:rPr>
          <w:rFonts w:ascii="Times New Roman" w:hAnsi="Times New Roman" w:cs="Times New Roman"/>
          <w:kern w:val="0"/>
          <w:sz w:val="28"/>
          <w:szCs w:val="28"/>
          <w14:ligatures w14:val="none"/>
        </w:rPr>
        <w:t xml:space="preserve"> next steps and</w:t>
      </w:r>
      <w:r w:rsidR="00AA24BA">
        <w:rPr>
          <w:rFonts w:ascii="Times New Roman" w:hAnsi="Times New Roman" w:cs="Times New Roman"/>
          <w:kern w:val="0"/>
          <w:sz w:val="28"/>
          <w:szCs w:val="28"/>
          <w14:ligatures w14:val="none"/>
        </w:rPr>
        <w:t xml:space="preserve"> timeline and email address</w:t>
      </w:r>
      <w:r w:rsidR="00841E8D">
        <w:rPr>
          <w:rFonts w:ascii="Times New Roman" w:hAnsi="Times New Roman" w:cs="Times New Roman"/>
          <w:kern w:val="0"/>
          <w:sz w:val="28"/>
          <w:szCs w:val="28"/>
          <w14:ligatures w14:val="none"/>
        </w:rPr>
        <w:t>es for comments</w:t>
      </w:r>
      <w:r w:rsidR="00D64271">
        <w:rPr>
          <w:rFonts w:ascii="Times New Roman" w:hAnsi="Times New Roman" w:cs="Times New Roman"/>
          <w:kern w:val="0"/>
          <w:sz w:val="28"/>
          <w:szCs w:val="28"/>
          <w14:ligatures w14:val="none"/>
        </w:rPr>
        <w:t>.</w:t>
      </w:r>
    </w:p>
    <w:p w14:paraId="360988B5" w14:textId="26323AB2" w:rsidR="00D64271" w:rsidRDefault="00D64271" w:rsidP="000674CA">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Michael Jewell: </w:t>
      </w:r>
      <w:r w:rsidR="00EF1F19">
        <w:rPr>
          <w:rFonts w:ascii="Times New Roman" w:hAnsi="Times New Roman" w:cs="Times New Roman"/>
          <w:kern w:val="0"/>
          <w:sz w:val="28"/>
          <w:szCs w:val="28"/>
          <w14:ligatures w14:val="none"/>
        </w:rPr>
        <w:t xml:space="preserve">Appreciate the walk through the details once again. There is a real concern about </w:t>
      </w:r>
      <w:r w:rsidR="00454B01">
        <w:rPr>
          <w:rFonts w:ascii="Times New Roman" w:hAnsi="Times New Roman" w:cs="Times New Roman"/>
          <w:kern w:val="0"/>
          <w:sz w:val="28"/>
          <w:szCs w:val="28"/>
          <w14:ligatures w14:val="none"/>
        </w:rPr>
        <w:t>the practical</w:t>
      </w:r>
      <w:r w:rsidR="00EF1F19">
        <w:rPr>
          <w:rFonts w:ascii="Times New Roman" w:hAnsi="Times New Roman" w:cs="Times New Roman"/>
          <w:kern w:val="0"/>
          <w:sz w:val="28"/>
          <w:szCs w:val="28"/>
          <w14:ligatures w14:val="none"/>
        </w:rPr>
        <w:t xml:space="preserve"> process </w:t>
      </w:r>
      <w:r w:rsidR="00D93C2C">
        <w:rPr>
          <w:rFonts w:ascii="Times New Roman" w:hAnsi="Times New Roman" w:cs="Times New Roman"/>
          <w:kern w:val="0"/>
          <w:sz w:val="28"/>
          <w:szCs w:val="28"/>
          <w14:ligatures w14:val="none"/>
        </w:rPr>
        <w:t>for 4/1/25 timeline, because people might have procured the equipment before SGIA was signed and there may be concerns about too fast adoption and stakeholders are working on some comments.</w:t>
      </w:r>
    </w:p>
    <w:p w14:paraId="2C6627D6" w14:textId="057D790C" w:rsidR="00D93C2C" w:rsidRDefault="00D93C2C" w:rsidP="000674CA">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Fred: there are several projects in the queue where developers see the benefit of grid forming already today, ahead of requirements being approved due to system conditions in area</w:t>
      </w:r>
      <w:r w:rsidR="00360584">
        <w:rPr>
          <w:rFonts w:ascii="Times New Roman" w:hAnsi="Times New Roman" w:cs="Times New Roman"/>
          <w:kern w:val="0"/>
          <w:sz w:val="28"/>
          <w:szCs w:val="28"/>
          <w14:ligatures w14:val="none"/>
        </w:rPr>
        <w:t>s</w:t>
      </w:r>
      <w:r>
        <w:rPr>
          <w:rFonts w:ascii="Times New Roman" w:hAnsi="Times New Roman" w:cs="Times New Roman"/>
          <w:kern w:val="0"/>
          <w:sz w:val="28"/>
          <w:szCs w:val="28"/>
          <w14:ligatures w14:val="none"/>
        </w:rPr>
        <w:t xml:space="preserve"> where they would like to connect and looking to implement this </w:t>
      </w:r>
      <w:r w:rsidR="00F84ADD">
        <w:rPr>
          <w:rFonts w:ascii="Times New Roman" w:hAnsi="Times New Roman" w:cs="Times New Roman"/>
          <w:kern w:val="0"/>
          <w:sz w:val="28"/>
          <w:szCs w:val="28"/>
          <w14:ligatures w14:val="none"/>
        </w:rPr>
        <w:t>technology</w:t>
      </w:r>
      <w:r>
        <w:rPr>
          <w:rFonts w:ascii="Times New Roman" w:hAnsi="Times New Roman" w:cs="Times New Roman"/>
          <w:kern w:val="0"/>
          <w:sz w:val="28"/>
          <w:szCs w:val="28"/>
          <w14:ligatures w14:val="none"/>
        </w:rPr>
        <w:t xml:space="preserve"> today. </w:t>
      </w:r>
      <w:r w:rsidR="00360584">
        <w:rPr>
          <w:rFonts w:ascii="Times New Roman" w:hAnsi="Times New Roman" w:cs="Times New Roman"/>
          <w:kern w:val="0"/>
          <w:sz w:val="28"/>
          <w:szCs w:val="28"/>
          <w14:ligatures w14:val="none"/>
        </w:rPr>
        <w:t xml:space="preserve">And </w:t>
      </w:r>
      <w:r w:rsidR="00CD2DAD">
        <w:rPr>
          <w:rFonts w:ascii="Times New Roman" w:hAnsi="Times New Roman" w:cs="Times New Roman"/>
          <w:kern w:val="0"/>
          <w:sz w:val="28"/>
          <w:szCs w:val="28"/>
          <w14:ligatures w14:val="none"/>
        </w:rPr>
        <w:t>these</w:t>
      </w:r>
      <w:r w:rsidR="00360584">
        <w:rPr>
          <w:rFonts w:ascii="Times New Roman" w:hAnsi="Times New Roman" w:cs="Times New Roman"/>
          <w:kern w:val="0"/>
          <w:sz w:val="28"/>
          <w:szCs w:val="28"/>
          <w14:ligatures w14:val="none"/>
        </w:rPr>
        <w:t xml:space="preserve"> are projects with SGIA but they are </w:t>
      </w:r>
      <w:r w:rsidR="00360584">
        <w:rPr>
          <w:rFonts w:ascii="Times New Roman" w:hAnsi="Times New Roman" w:cs="Times New Roman"/>
          <w:kern w:val="0"/>
          <w:sz w:val="28"/>
          <w:szCs w:val="28"/>
          <w14:ligatures w14:val="none"/>
        </w:rPr>
        <w:lastRenderedPageBreak/>
        <w:t xml:space="preserve">able to make this decision to </w:t>
      </w:r>
      <w:r w:rsidR="00454B01">
        <w:rPr>
          <w:rFonts w:ascii="Times New Roman" w:hAnsi="Times New Roman" w:cs="Times New Roman"/>
          <w:kern w:val="0"/>
          <w:sz w:val="28"/>
          <w:szCs w:val="28"/>
          <w14:ligatures w14:val="none"/>
        </w:rPr>
        <w:t xml:space="preserve">turn it to GFM still, even though initially wasn’t planned as such. </w:t>
      </w:r>
    </w:p>
    <w:p w14:paraId="63A06990" w14:textId="2F86A8AD" w:rsidR="00454B01" w:rsidRDefault="00454B01" w:rsidP="000674CA">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Michael: This is related point that this functionality is more beneficial in some areas more than others, while require from all? </w:t>
      </w:r>
      <w:r w:rsidR="002D5622">
        <w:rPr>
          <w:rFonts w:ascii="Times New Roman" w:hAnsi="Times New Roman" w:cs="Times New Roman"/>
          <w:kern w:val="0"/>
          <w:sz w:val="28"/>
          <w:szCs w:val="28"/>
          <w14:ligatures w14:val="none"/>
        </w:rPr>
        <w:t>May be potential benefit from more targeted application?</w:t>
      </w:r>
    </w:p>
    <w:p w14:paraId="49272CDB" w14:textId="1AF84BB2" w:rsidR="002D5622" w:rsidRDefault="008554AD" w:rsidP="000674CA">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Fred: That’s a valid point. ERCOT thought about that one, but based on how the grid will move forward the regions with the issues will expand</w:t>
      </w:r>
      <w:r w:rsidR="00891683">
        <w:rPr>
          <w:rFonts w:ascii="Times New Roman" w:hAnsi="Times New Roman" w:cs="Times New Roman"/>
          <w:kern w:val="0"/>
          <w:sz w:val="28"/>
          <w:szCs w:val="28"/>
          <w14:ligatures w14:val="none"/>
        </w:rPr>
        <w:t xml:space="preserve"> with further gen expansion dominated by IBRs. So ERCOT is trying to be ahead of the game and prevent future issues. </w:t>
      </w:r>
    </w:p>
    <w:p w14:paraId="1DFA6B52" w14:textId="5A1DAA1D" w:rsidR="00646AFE" w:rsidRDefault="00D25DD0" w:rsidP="00646AFE">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Michael: Jupiter has filed some very helpful comments that need to be considered, because the benefit of AGS-ESR is very broad but </w:t>
      </w:r>
      <w:r w:rsidR="00CD2DAD">
        <w:rPr>
          <w:rFonts w:ascii="Times New Roman" w:hAnsi="Times New Roman" w:cs="Times New Roman"/>
          <w:kern w:val="0"/>
          <w:sz w:val="28"/>
          <w:szCs w:val="28"/>
          <w14:ligatures w14:val="none"/>
        </w:rPr>
        <w:t>the obligation</w:t>
      </w:r>
      <w:r>
        <w:rPr>
          <w:rFonts w:ascii="Times New Roman" w:hAnsi="Times New Roman" w:cs="Times New Roman"/>
          <w:kern w:val="0"/>
          <w:sz w:val="28"/>
          <w:szCs w:val="28"/>
          <w14:ligatures w14:val="none"/>
        </w:rPr>
        <w:t xml:space="preserve"> is being placed on a very targeted group. And the concern that has been raised is very fundamental. </w:t>
      </w:r>
    </w:p>
    <w:p w14:paraId="7E0B3C17" w14:textId="00EFA61A" w:rsidR="00646AFE" w:rsidRDefault="00646AFE" w:rsidP="00646AFE">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Sun Wook: The plan is to bring DWG Procedure Manual redline in January or February </w:t>
      </w:r>
    </w:p>
    <w:p w14:paraId="7183002B" w14:textId="6CB09434" w:rsidR="000955CB" w:rsidRPr="00646AFE" w:rsidRDefault="000955CB" w:rsidP="00646AFE">
      <w:pPr>
        <w:pStyle w:val="ListParagraph"/>
        <w:numPr>
          <w:ilvl w:val="0"/>
          <w:numId w:val="1"/>
        </w:numPr>
        <w:tabs>
          <w:tab w:val="right" w:pos="9360"/>
        </w:tabs>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Fred again encouraged stakeholders to submit comments in any way they see convenient either directly to ERCOT or through RR comment</w:t>
      </w:r>
      <w:r w:rsidR="00A30D90">
        <w:rPr>
          <w:rFonts w:ascii="Times New Roman" w:hAnsi="Times New Roman" w:cs="Times New Roman"/>
          <w:kern w:val="0"/>
          <w:sz w:val="28"/>
          <w:szCs w:val="28"/>
          <w14:ligatures w14:val="none"/>
        </w:rPr>
        <w:t xml:space="preserve">ing process. </w:t>
      </w:r>
    </w:p>
    <w:p w14:paraId="152C35FC" w14:textId="67F35C5C" w:rsidR="00E618A8" w:rsidRPr="00E618A8" w:rsidRDefault="00E618A8" w:rsidP="00E618A8">
      <w:pPr>
        <w:pStyle w:val="ListParagraph"/>
        <w:spacing w:line="259" w:lineRule="auto"/>
        <w:rPr>
          <w:rFonts w:ascii="Times New Roman" w:hAnsi="Times New Roman" w:cs="Times New Roman"/>
          <w:kern w:val="0"/>
          <w:sz w:val="28"/>
          <w:szCs w:val="28"/>
          <w14:ligatures w14:val="none"/>
        </w:rPr>
      </w:pPr>
    </w:p>
    <w:p w14:paraId="68DBE054" w14:textId="7FB0D40B" w:rsidR="00E618A8" w:rsidRPr="00E618A8" w:rsidRDefault="00D04F82" w:rsidP="00E618A8">
      <w:pPr>
        <w:tabs>
          <w:tab w:val="right" w:pos="9360"/>
        </w:tabs>
        <w:spacing w:line="259" w:lineRule="auto"/>
        <w:rPr>
          <w:rFonts w:ascii="Times New Roman" w:eastAsia="Calibri" w:hAnsi="Times New Roman" w:cs="Times New Roman"/>
          <w:kern w:val="0"/>
          <w:sz w:val="28"/>
          <w:szCs w:val="28"/>
          <w14:ligatures w14:val="none"/>
        </w:rPr>
      </w:pPr>
      <w:r w:rsidRPr="00D04F82">
        <w:rPr>
          <w:rFonts w:ascii="Times New Roman" w:eastAsia="Calibri" w:hAnsi="Times New Roman" w:cs="Times New Roman"/>
          <w:b/>
          <w:bCs/>
          <w:kern w:val="0"/>
          <w:sz w:val="28"/>
          <w:szCs w:val="28"/>
          <w14:ligatures w14:val="none"/>
        </w:rPr>
        <w:t xml:space="preserve">Global overview of mandatory vs voluntary vs market-based requirements </w:t>
      </w:r>
      <w:r>
        <w:rPr>
          <w:rFonts w:ascii="Times New Roman" w:eastAsia="Calibri" w:hAnsi="Times New Roman" w:cs="Times New Roman"/>
          <w:kern w:val="0"/>
          <w:sz w:val="28"/>
          <w:szCs w:val="28"/>
          <w14:ligatures w14:val="none"/>
        </w:rPr>
        <w:t>Julia Matevosyan</w:t>
      </w:r>
      <w:r w:rsidR="00E618A8" w:rsidRPr="00E618A8">
        <w:rPr>
          <w:rFonts w:ascii="Times New Roman" w:eastAsia="Calibri" w:hAnsi="Times New Roman" w:cs="Times New Roman"/>
          <w:kern w:val="0"/>
          <w:sz w:val="28"/>
          <w:szCs w:val="28"/>
          <w14:ligatures w14:val="none"/>
        </w:rPr>
        <w:t xml:space="preserve"> </w:t>
      </w:r>
      <w:r w:rsidR="00E618A8">
        <w:rPr>
          <w:rFonts w:ascii="Times New Roman" w:eastAsia="Calibri" w:hAnsi="Times New Roman" w:cs="Times New Roman"/>
          <w:kern w:val="0"/>
          <w:sz w:val="28"/>
          <w:szCs w:val="28"/>
          <w14:ligatures w14:val="none"/>
        </w:rPr>
        <w:t>(</w:t>
      </w:r>
      <w:r w:rsidR="00E618A8" w:rsidRPr="00E618A8">
        <w:rPr>
          <w:rFonts w:ascii="Times New Roman" w:eastAsia="Calibri" w:hAnsi="Times New Roman" w:cs="Times New Roman"/>
          <w:kern w:val="0"/>
          <w:sz w:val="28"/>
          <w:szCs w:val="28"/>
          <w14:ligatures w14:val="none"/>
        </w:rPr>
        <w:t>E</w:t>
      </w:r>
      <w:r>
        <w:rPr>
          <w:rFonts w:ascii="Times New Roman" w:eastAsia="Calibri" w:hAnsi="Times New Roman" w:cs="Times New Roman"/>
          <w:kern w:val="0"/>
          <w:sz w:val="28"/>
          <w:szCs w:val="28"/>
          <w14:ligatures w14:val="none"/>
        </w:rPr>
        <w:t>SIG</w:t>
      </w:r>
      <w:r w:rsidR="00E618A8">
        <w:rPr>
          <w:rFonts w:ascii="Times New Roman" w:eastAsia="Calibri" w:hAnsi="Times New Roman" w:cs="Times New Roman"/>
          <w:kern w:val="0"/>
          <w:sz w:val="28"/>
          <w:szCs w:val="28"/>
          <w14:ligatures w14:val="none"/>
        </w:rPr>
        <w:t xml:space="preserve">) </w:t>
      </w:r>
    </w:p>
    <w:p w14:paraId="70AD562E" w14:textId="77777777" w:rsidR="00751683" w:rsidRDefault="00A30D90" w:rsidP="00413929">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Based on the discussion at ROS there was a question about how other areas are implementing grid forming requirements around the world, so this is what this presentation is going to cover. </w:t>
      </w:r>
    </w:p>
    <w:p w14:paraId="51927EA2" w14:textId="34191ADB" w:rsidR="009B2821" w:rsidRDefault="00751683" w:rsidP="00413929">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Definition of GFM</w:t>
      </w:r>
      <w:r w:rsidR="00E15CDF">
        <w:rPr>
          <w:rFonts w:ascii="Times New Roman" w:hAnsi="Times New Roman" w:cs="Times New Roman"/>
          <w:kern w:val="0"/>
          <w:sz w:val="28"/>
          <w:szCs w:val="28"/>
          <w14:ligatures w14:val="none"/>
        </w:rPr>
        <w:t xml:space="preserve"> from NERC whitepaper</w:t>
      </w:r>
      <w:r>
        <w:rPr>
          <w:rFonts w:ascii="Times New Roman" w:hAnsi="Times New Roman" w:cs="Times New Roman"/>
          <w:kern w:val="0"/>
          <w:sz w:val="28"/>
          <w:szCs w:val="28"/>
          <w14:ligatures w14:val="none"/>
        </w:rPr>
        <w:t xml:space="preserve"> on slide 2 just to set the scene</w:t>
      </w:r>
      <w:r w:rsidR="00E15CDF">
        <w:rPr>
          <w:rFonts w:ascii="Times New Roman" w:hAnsi="Times New Roman" w:cs="Times New Roman"/>
          <w:kern w:val="0"/>
          <w:sz w:val="28"/>
          <w:szCs w:val="28"/>
          <w14:ligatures w14:val="none"/>
        </w:rPr>
        <w:t>. This definition is widely used for GFM even globally.</w:t>
      </w:r>
    </w:p>
    <w:p w14:paraId="13D7F373" w14:textId="50E4733D" w:rsidR="00E15CDF" w:rsidRDefault="00E15CDF" w:rsidP="00413929">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Applications of GFM on slide 3, </w:t>
      </w:r>
      <w:r w:rsidR="0011720B">
        <w:rPr>
          <w:rFonts w:ascii="Times New Roman" w:hAnsi="Times New Roman" w:cs="Times New Roman"/>
          <w:kern w:val="0"/>
          <w:sz w:val="28"/>
          <w:szCs w:val="28"/>
          <w14:ligatures w14:val="none"/>
        </w:rPr>
        <w:t xml:space="preserve">specifically weak </w:t>
      </w:r>
      <w:r w:rsidR="00F84ADD">
        <w:rPr>
          <w:rFonts w:ascii="Times New Roman" w:hAnsi="Times New Roman" w:cs="Times New Roman"/>
          <w:kern w:val="0"/>
          <w:sz w:val="28"/>
          <w:szCs w:val="28"/>
          <w14:ligatures w14:val="none"/>
        </w:rPr>
        <w:t>grid,</w:t>
      </w:r>
      <w:r w:rsidR="0011720B">
        <w:rPr>
          <w:rFonts w:ascii="Times New Roman" w:hAnsi="Times New Roman" w:cs="Times New Roman"/>
          <w:kern w:val="0"/>
          <w:sz w:val="28"/>
          <w:szCs w:val="28"/>
          <w14:ligatures w14:val="none"/>
        </w:rPr>
        <w:t xml:space="preserve"> damping of voltage frequency oscillations, resistance to voltage magnitude and phase change, etc. </w:t>
      </w:r>
    </w:p>
    <w:p w14:paraId="26A38FE0" w14:textId="12DDD2B3" w:rsidR="001A4FB6" w:rsidRDefault="0011720B" w:rsidP="00413929">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On slide </w:t>
      </w:r>
      <w:r w:rsidR="00940A6A">
        <w:rPr>
          <w:rFonts w:ascii="Times New Roman" w:hAnsi="Times New Roman" w:cs="Times New Roman"/>
          <w:kern w:val="0"/>
          <w:sz w:val="28"/>
          <w:szCs w:val="28"/>
          <w14:ligatures w14:val="none"/>
        </w:rPr>
        <w:t xml:space="preserve">4, a landscape of GFM requirements, the links to the latest documents are available </w:t>
      </w:r>
      <w:hyperlink r:id="rId11" w:history="1">
        <w:r w:rsidR="00940A6A" w:rsidRPr="001A4FB6">
          <w:rPr>
            <w:rStyle w:val="Hyperlink"/>
            <w:rFonts w:ascii="Times New Roman" w:hAnsi="Times New Roman" w:cs="Times New Roman"/>
            <w:kern w:val="0"/>
            <w:sz w:val="28"/>
            <w:szCs w:val="28"/>
            <w14:ligatures w14:val="none"/>
          </w:rPr>
          <w:t>here</w:t>
        </w:r>
      </w:hyperlink>
      <w:r w:rsidR="001A4FB6">
        <w:rPr>
          <w:rFonts w:ascii="Times New Roman" w:hAnsi="Times New Roman" w:cs="Times New Roman"/>
          <w:kern w:val="0"/>
          <w:sz w:val="28"/>
          <w:szCs w:val="28"/>
          <w14:ligatures w14:val="none"/>
        </w:rPr>
        <w:t>.</w:t>
      </w:r>
      <w:r w:rsidR="001F6E46">
        <w:rPr>
          <w:rFonts w:ascii="Times New Roman" w:hAnsi="Times New Roman" w:cs="Times New Roman"/>
          <w:kern w:val="0"/>
          <w:sz w:val="28"/>
          <w:szCs w:val="28"/>
          <w14:ligatures w14:val="none"/>
        </w:rPr>
        <w:t xml:space="preserve"> </w:t>
      </w:r>
      <w:r w:rsidR="000249C4">
        <w:rPr>
          <w:rFonts w:ascii="Times New Roman" w:hAnsi="Times New Roman" w:cs="Times New Roman"/>
          <w:kern w:val="0"/>
          <w:sz w:val="28"/>
          <w:szCs w:val="28"/>
          <w14:ligatures w14:val="none"/>
        </w:rPr>
        <w:t>S</w:t>
      </w:r>
      <w:r w:rsidR="001F6E46">
        <w:rPr>
          <w:rFonts w:ascii="Times New Roman" w:hAnsi="Times New Roman" w:cs="Times New Roman"/>
          <w:kern w:val="0"/>
          <w:sz w:val="28"/>
          <w:szCs w:val="28"/>
          <w14:ligatures w14:val="none"/>
        </w:rPr>
        <w:t>ystem operators that have GFM requirements</w:t>
      </w:r>
      <w:r w:rsidR="000249C4">
        <w:rPr>
          <w:rFonts w:ascii="Times New Roman" w:hAnsi="Times New Roman" w:cs="Times New Roman"/>
          <w:kern w:val="0"/>
          <w:sz w:val="28"/>
          <w:szCs w:val="28"/>
          <w14:ligatures w14:val="none"/>
        </w:rPr>
        <w:t xml:space="preserve"> or requirement drafts</w:t>
      </w:r>
      <w:r w:rsidR="001F6E46">
        <w:rPr>
          <w:rFonts w:ascii="Times New Roman" w:hAnsi="Times New Roman" w:cs="Times New Roman"/>
          <w:kern w:val="0"/>
          <w:sz w:val="28"/>
          <w:szCs w:val="28"/>
          <w14:ligatures w14:val="none"/>
        </w:rPr>
        <w:t>: HECO (Hawaii), AEMO (Australia, NESO (Great Britain)</w:t>
      </w:r>
      <w:r w:rsidR="009951FA">
        <w:rPr>
          <w:rFonts w:ascii="Times New Roman" w:hAnsi="Times New Roman" w:cs="Times New Roman"/>
          <w:kern w:val="0"/>
          <w:sz w:val="28"/>
          <w:szCs w:val="28"/>
          <w14:ligatures w14:val="none"/>
        </w:rPr>
        <w:t xml:space="preserve">, </w:t>
      </w:r>
      <w:proofErr w:type="spellStart"/>
      <w:r w:rsidR="009951FA">
        <w:rPr>
          <w:rFonts w:ascii="Times New Roman" w:hAnsi="Times New Roman" w:cs="Times New Roman"/>
          <w:kern w:val="0"/>
          <w:sz w:val="28"/>
          <w:szCs w:val="28"/>
          <w14:ligatures w14:val="none"/>
        </w:rPr>
        <w:t>Fingrid</w:t>
      </w:r>
      <w:proofErr w:type="spellEnd"/>
      <w:r w:rsidR="009951FA">
        <w:rPr>
          <w:rFonts w:ascii="Times New Roman" w:hAnsi="Times New Roman" w:cs="Times New Roman"/>
          <w:kern w:val="0"/>
          <w:sz w:val="28"/>
          <w:szCs w:val="28"/>
          <w14:ligatures w14:val="none"/>
        </w:rPr>
        <w:t xml:space="preserve"> (Finland), MISO, </w:t>
      </w:r>
      <w:r w:rsidR="00A12B7B">
        <w:rPr>
          <w:rFonts w:ascii="Times New Roman" w:hAnsi="Times New Roman" w:cs="Times New Roman"/>
          <w:kern w:val="0"/>
          <w:sz w:val="28"/>
          <w:szCs w:val="28"/>
          <w14:ligatures w14:val="none"/>
        </w:rPr>
        <w:t xml:space="preserve">ENTSO-E (Association of European System Operators), </w:t>
      </w:r>
      <w:r w:rsidR="009951FA">
        <w:rPr>
          <w:rFonts w:ascii="Times New Roman" w:hAnsi="Times New Roman" w:cs="Times New Roman"/>
          <w:kern w:val="0"/>
          <w:sz w:val="28"/>
          <w:szCs w:val="28"/>
          <w14:ligatures w14:val="none"/>
        </w:rPr>
        <w:t>ERCOT,</w:t>
      </w:r>
      <w:r w:rsidR="00A12B7B">
        <w:rPr>
          <w:rFonts w:ascii="Times New Roman" w:hAnsi="Times New Roman" w:cs="Times New Roman"/>
          <w:kern w:val="0"/>
          <w:sz w:val="28"/>
          <w:szCs w:val="28"/>
          <w14:ligatures w14:val="none"/>
        </w:rPr>
        <w:t xml:space="preserve"> </w:t>
      </w:r>
      <w:r w:rsidR="009951FA">
        <w:rPr>
          <w:rFonts w:ascii="Times New Roman" w:hAnsi="Times New Roman" w:cs="Times New Roman"/>
          <w:kern w:val="0"/>
          <w:sz w:val="28"/>
          <w:szCs w:val="28"/>
          <w14:ligatures w14:val="none"/>
        </w:rPr>
        <w:t>CEN (Chile).</w:t>
      </w:r>
    </w:p>
    <w:p w14:paraId="05D77838" w14:textId="35B5630E" w:rsidR="0011720B" w:rsidRDefault="009951FA" w:rsidP="00413929">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Often times the GFM specifications have an accompanying document with testing specifications. </w:t>
      </w:r>
    </w:p>
    <w:p w14:paraId="74C363A3" w14:textId="63591CFB" w:rsidR="00662AB9" w:rsidRDefault="00662AB9" w:rsidP="00413929">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lastRenderedPageBreak/>
        <w:t xml:space="preserve">All of the “tests” that are mentioned here are simulation-based except for </w:t>
      </w:r>
      <w:proofErr w:type="spellStart"/>
      <w:r>
        <w:rPr>
          <w:rFonts w:ascii="Times New Roman" w:hAnsi="Times New Roman" w:cs="Times New Roman"/>
          <w:kern w:val="0"/>
          <w:sz w:val="28"/>
          <w:szCs w:val="28"/>
          <w14:ligatures w14:val="none"/>
        </w:rPr>
        <w:t>Fingrid</w:t>
      </w:r>
      <w:proofErr w:type="spellEnd"/>
      <w:r>
        <w:rPr>
          <w:rFonts w:ascii="Times New Roman" w:hAnsi="Times New Roman" w:cs="Times New Roman"/>
          <w:kern w:val="0"/>
          <w:sz w:val="28"/>
          <w:szCs w:val="28"/>
          <w14:ligatures w14:val="none"/>
        </w:rPr>
        <w:t xml:space="preserve"> that has two additional commissioning tests (physical tests) for GFM capability. </w:t>
      </w:r>
    </w:p>
    <w:p w14:paraId="6132F6AA" w14:textId="00817C24" w:rsidR="00A12B7B" w:rsidRDefault="00A12B7B" w:rsidP="00413929">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Germany has new inertia incentive that will be covered later in the presentation but anyone providing service under this incentive has to conform with GFM requirement.</w:t>
      </w:r>
    </w:p>
    <w:p w14:paraId="1F565179" w14:textId="2670EB91" w:rsidR="00A12B7B" w:rsidRDefault="00765F96" w:rsidP="00413929">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The table on slide 5 is sorting out the requirements into drafts vs approved and published by system operators vs research organizations </w:t>
      </w:r>
    </w:p>
    <w:p w14:paraId="13CF6387" w14:textId="4FCFBA47" w:rsidR="00765F96" w:rsidRDefault="00765F96" w:rsidP="00413929">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High level functionalities in the requirements are well aligned but the level of details and details themselves vary.</w:t>
      </w:r>
    </w:p>
    <w:p w14:paraId="3B7E4D56" w14:textId="7FC0C3CB" w:rsidR="00765F96" w:rsidRDefault="00765F96" w:rsidP="00413929">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Requirements are often split into core capabilities (doesn’t require additional hardware design considerations) and advanced capabilities (that do), such as black start capabilities or </w:t>
      </w:r>
      <w:r w:rsidR="003D2A34">
        <w:rPr>
          <w:rFonts w:ascii="Times New Roman" w:hAnsi="Times New Roman" w:cs="Times New Roman"/>
          <w:kern w:val="0"/>
          <w:sz w:val="28"/>
          <w:szCs w:val="28"/>
          <w14:ligatures w14:val="none"/>
        </w:rPr>
        <w:t>capabilities</w:t>
      </w:r>
      <w:r>
        <w:rPr>
          <w:rFonts w:ascii="Times New Roman" w:hAnsi="Times New Roman" w:cs="Times New Roman"/>
          <w:kern w:val="0"/>
          <w:sz w:val="28"/>
          <w:szCs w:val="28"/>
          <w14:ligatures w14:val="none"/>
        </w:rPr>
        <w:t xml:space="preserve"> to sustain a viable electrical island. </w:t>
      </w:r>
    </w:p>
    <w:p w14:paraId="6CE640B8" w14:textId="07CB3361" w:rsidR="003D2A34" w:rsidRDefault="003D2A34" w:rsidP="00413929">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GFM requirements are in addition to existing requirements for IBRs </w:t>
      </w:r>
    </w:p>
    <w:p w14:paraId="2DD6C449" w14:textId="1C0A9552" w:rsidR="003D2A34" w:rsidRDefault="009D4FC1" w:rsidP="00413929">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Next slide is showing which requirements are only for ESR vs for all future IBRs</w:t>
      </w:r>
    </w:p>
    <w:p w14:paraId="29001D41" w14:textId="34072750" w:rsidR="009D4FC1" w:rsidRDefault="00FA6770" w:rsidP="00D612F2">
      <w:pPr>
        <w:spacing w:line="259" w:lineRule="auto"/>
        <w:jc w:val="center"/>
        <w:rPr>
          <w:rFonts w:ascii="Times New Roman" w:hAnsi="Times New Roman" w:cs="Times New Roman"/>
          <w:kern w:val="0"/>
          <w:sz w:val="28"/>
          <w:szCs w:val="28"/>
          <w14:ligatures w14:val="none"/>
        </w:rPr>
      </w:pPr>
      <w:r>
        <w:rPr>
          <w:rFonts w:ascii="Times New Roman" w:hAnsi="Times New Roman" w:cs="Times New Roman"/>
          <w:noProof/>
          <w:kern w:val="0"/>
          <w:sz w:val="28"/>
          <w:szCs w:val="28"/>
          <w14:ligatures w14:val="none"/>
        </w:rPr>
        <w:drawing>
          <wp:inline distT="0" distB="0" distL="0" distR="0" wp14:anchorId="5BAD55CC" wp14:editId="49645FB3">
            <wp:extent cx="5192202" cy="2464065"/>
            <wp:effectExtent l="0" t="0" r="8890" b="0"/>
            <wp:docPr id="1890991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20412" cy="2477452"/>
                    </a:xfrm>
                    <a:prstGeom prst="rect">
                      <a:avLst/>
                    </a:prstGeom>
                    <a:noFill/>
                  </pic:spPr>
                </pic:pic>
              </a:graphicData>
            </a:graphic>
          </wp:inline>
        </w:drawing>
      </w:r>
    </w:p>
    <w:p w14:paraId="338CA24B" w14:textId="3056936A" w:rsidR="00D5052C" w:rsidRDefault="00D5052C" w:rsidP="00651B56">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Nex</w:t>
      </w:r>
      <w:r w:rsidR="00651B56">
        <w:rPr>
          <w:rFonts w:ascii="Times New Roman" w:hAnsi="Times New Roman" w:cs="Times New Roman"/>
          <w:kern w:val="0"/>
          <w:sz w:val="28"/>
          <w:szCs w:val="28"/>
          <w14:ligatures w14:val="none"/>
        </w:rPr>
        <w:t>t</w:t>
      </w:r>
      <w:r>
        <w:rPr>
          <w:rFonts w:ascii="Times New Roman" w:hAnsi="Times New Roman" w:cs="Times New Roman"/>
          <w:kern w:val="0"/>
          <w:sz w:val="28"/>
          <w:szCs w:val="28"/>
          <w14:ligatures w14:val="none"/>
        </w:rPr>
        <w:t xml:space="preserve"> slide is showing GFM Progress Globally on the </w:t>
      </w:r>
      <w:r w:rsidR="00651B56">
        <w:rPr>
          <w:rFonts w:ascii="Times New Roman" w:hAnsi="Times New Roman" w:cs="Times New Roman"/>
          <w:kern w:val="0"/>
          <w:sz w:val="28"/>
          <w:szCs w:val="28"/>
          <w14:ligatures w14:val="none"/>
        </w:rPr>
        <w:t>right-hand</w:t>
      </w:r>
      <w:r>
        <w:rPr>
          <w:rFonts w:ascii="Times New Roman" w:hAnsi="Times New Roman" w:cs="Times New Roman"/>
          <w:kern w:val="0"/>
          <w:sz w:val="28"/>
          <w:szCs w:val="28"/>
          <w14:ligatures w14:val="none"/>
        </w:rPr>
        <w:t xml:space="preserve"> side listing system operators that already have the specs on the </w:t>
      </w:r>
      <w:r w:rsidR="00F84ADD">
        <w:rPr>
          <w:rFonts w:ascii="Times New Roman" w:hAnsi="Times New Roman" w:cs="Times New Roman"/>
          <w:kern w:val="0"/>
          <w:sz w:val="28"/>
          <w:szCs w:val="28"/>
          <w14:ligatures w14:val="none"/>
        </w:rPr>
        <w:t>right-hand</w:t>
      </w:r>
      <w:r>
        <w:rPr>
          <w:rFonts w:ascii="Times New Roman" w:hAnsi="Times New Roman" w:cs="Times New Roman"/>
          <w:kern w:val="0"/>
          <w:sz w:val="28"/>
          <w:szCs w:val="28"/>
          <w14:ligatures w14:val="none"/>
        </w:rPr>
        <w:t xml:space="preserve"> side OEMs that have commercial GFM o</w:t>
      </w:r>
      <w:r w:rsidR="00651B56">
        <w:rPr>
          <w:rFonts w:ascii="Times New Roman" w:hAnsi="Times New Roman" w:cs="Times New Roman"/>
          <w:kern w:val="0"/>
          <w:sz w:val="28"/>
          <w:szCs w:val="28"/>
          <w14:ligatures w14:val="none"/>
        </w:rPr>
        <w:t xml:space="preserve">fferings. </w:t>
      </w:r>
    </w:p>
    <w:p w14:paraId="54DE4359" w14:textId="52D81DD7" w:rsidR="00EB24DF" w:rsidRDefault="00EB24DF" w:rsidP="00D612F2">
      <w:pPr>
        <w:spacing w:line="259" w:lineRule="auto"/>
        <w:jc w:val="center"/>
        <w:rPr>
          <w:rFonts w:ascii="Times New Roman" w:hAnsi="Times New Roman" w:cs="Times New Roman"/>
          <w:kern w:val="0"/>
          <w:sz w:val="28"/>
          <w:szCs w:val="28"/>
          <w14:ligatures w14:val="none"/>
        </w:rPr>
      </w:pPr>
      <w:r w:rsidRPr="00EB24DF">
        <w:rPr>
          <w:rFonts w:ascii="Times New Roman" w:hAnsi="Times New Roman" w:cs="Times New Roman"/>
          <w:noProof/>
          <w:kern w:val="0"/>
          <w:sz w:val="28"/>
          <w:szCs w:val="28"/>
          <w14:ligatures w14:val="none"/>
        </w:rPr>
        <w:lastRenderedPageBreak/>
        <w:drawing>
          <wp:inline distT="0" distB="0" distL="0" distR="0" wp14:anchorId="47FD934D" wp14:editId="023BE32E">
            <wp:extent cx="4731026" cy="1996533"/>
            <wp:effectExtent l="0" t="0" r="0" b="3810"/>
            <wp:docPr id="126917906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179069" name="Picture 1" descr="A screenshot of a computer&#10;&#10;Description automatically generated"/>
                    <pic:cNvPicPr/>
                  </pic:nvPicPr>
                  <pic:blipFill>
                    <a:blip r:embed="rId13"/>
                    <a:stretch>
                      <a:fillRect/>
                    </a:stretch>
                  </pic:blipFill>
                  <pic:spPr>
                    <a:xfrm>
                      <a:off x="0" y="0"/>
                      <a:ext cx="4744262" cy="2002119"/>
                    </a:xfrm>
                    <a:prstGeom prst="rect">
                      <a:avLst/>
                    </a:prstGeom>
                  </pic:spPr>
                </pic:pic>
              </a:graphicData>
            </a:graphic>
          </wp:inline>
        </w:drawing>
      </w:r>
    </w:p>
    <w:p w14:paraId="23606520" w14:textId="573A5E83" w:rsidR="005D0502" w:rsidRDefault="005D0502" w:rsidP="005D0502">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The table of real world grid-connected GFM projects is available </w:t>
      </w:r>
      <w:hyperlink r:id="rId14" w:history="1">
        <w:r w:rsidRPr="005D0502">
          <w:rPr>
            <w:rStyle w:val="Hyperlink"/>
            <w:rFonts w:ascii="Times New Roman" w:hAnsi="Times New Roman" w:cs="Times New Roman"/>
            <w:kern w:val="0"/>
            <w:sz w:val="28"/>
            <w:szCs w:val="28"/>
            <w14:ligatures w14:val="none"/>
          </w:rPr>
          <w:t>here</w:t>
        </w:r>
      </w:hyperlink>
      <w:r>
        <w:rPr>
          <w:rFonts w:ascii="Times New Roman" w:hAnsi="Times New Roman" w:cs="Times New Roman"/>
          <w:kern w:val="0"/>
          <w:sz w:val="28"/>
          <w:szCs w:val="28"/>
          <w14:ligatures w14:val="none"/>
        </w:rPr>
        <w:t xml:space="preserve"> </w:t>
      </w:r>
    </w:p>
    <w:p w14:paraId="50ADC90F" w14:textId="7A4D2478" w:rsidR="005D0502" w:rsidRDefault="00DB183F" w:rsidP="005D0502">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The next slide is sorting out the requirements into voluntary, compulsory or based on incentives</w:t>
      </w:r>
      <w:r w:rsidR="0068254E">
        <w:rPr>
          <w:rFonts w:ascii="Times New Roman" w:hAnsi="Times New Roman" w:cs="Times New Roman"/>
          <w:kern w:val="0"/>
          <w:sz w:val="28"/>
          <w:szCs w:val="28"/>
          <w14:ligatures w14:val="none"/>
        </w:rPr>
        <w:t xml:space="preserve">. </w:t>
      </w:r>
    </w:p>
    <w:p w14:paraId="6A3BEC50" w14:textId="29FAAB6A" w:rsidR="0068254E" w:rsidRDefault="0068254E" w:rsidP="00D612F2">
      <w:pPr>
        <w:spacing w:line="259" w:lineRule="auto"/>
        <w:jc w:val="center"/>
        <w:rPr>
          <w:rFonts w:ascii="Times New Roman" w:hAnsi="Times New Roman" w:cs="Times New Roman"/>
          <w:kern w:val="0"/>
          <w:sz w:val="28"/>
          <w:szCs w:val="28"/>
          <w14:ligatures w14:val="none"/>
        </w:rPr>
      </w:pPr>
      <w:r w:rsidRPr="0068254E">
        <w:rPr>
          <w:rFonts w:ascii="Times New Roman" w:hAnsi="Times New Roman" w:cs="Times New Roman"/>
          <w:noProof/>
          <w:kern w:val="0"/>
          <w:sz w:val="28"/>
          <w:szCs w:val="28"/>
          <w14:ligatures w14:val="none"/>
        </w:rPr>
        <w:drawing>
          <wp:inline distT="0" distB="0" distL="0" distR="0" wp14:anchorId="108ED548" wp14:editId="7525174E">
            <wp:extent cx="4762831" cy="2032345"/>
            <wp:effectExtent l="0" t="0" r="0" b="6350"/>
            <wp:docPr id="480102768" name="Picture 1" descr="A table with text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02768" name="Picture 1" descr="A table with text and numbers&#10;&#10;Description automatically generated with medium confidence"/>
                    <pic:cNvPicPr/>
                  </pic:nvPicPr>
                  <pic:blipFill>
                    <a:blip r:embed="rId15"/>
                    <a:stretch>
                      <a:fillRect/>
                    </a:stretch>
                  </pic:blipFill>
                  <pic:spPr>
                    <a:xfrm>
                      <a:off x="0" y="0"/>
                      <a:ext cx="4776484" cy="2038171"/>
                    </a:xfrm>
                    <a:prstGeom prst="rect">
                      <a:avLst/>
                    </a:prstGeom>
                  </pic:spPr>
                </pic:pic>
              </a:graphicData>
            </a:graphic>
          </wp:inline>
        </w:drawing>
      </w:r>
    </w:p>
    <w:p w14:paraId="63192AC5" w14:textId="0961722C" w:rsidR="0068254E" w:rsidRDefault="0068254E" w:rsidP="00FA1078">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NESO in Great Britain started with voluntary, moved to incentivized through a tender process first and then through market, </w:t>
      </w:r>
      <w:r w:rsidR="0000317D">
        <w:rPr>
          <w:rFonts w:ascii="Times New Roman" w:hAnsi="Times New Roman" w:cs="Times New Roman"/>
          <w:kern w:val="0"/>
          <w:sz w:val="28"/>
          <w:szCs w:val="28"/>
          <w14:ligatures w14:val="none"/>
        </w:rPr>
        <w:t>however,</w:t>
      </w:r>
      <w:r>
        <w:rPr>
          <w:rFonts w:ascii="Times New Roman" w:hAnsi="Times New Roman" w:cs="Times New Roman"/>
          <w:kern w:val="0"/>
          <w:sz w:val="28"/>
          <w:szCs w:val="28"/>
          <w14:ligatures w14:val="none"/>
        </w:rPr>
        <w:t xml:space="preserve"> currently </w:t>
      </w:r>
      <w:r w:rsidR="00050234">
        <w:rPr>
          <w:rFonts w:ascii="Times New Roman" w:hAnsi="Times New Roman" w:cs="Times New Roman"/>
          <w:kern w:val="0"/>
          <w:sz w:val="28"/>
          <w:szCs w:val="28"/>
          <w14:ligatures w14:val="none"/>
        </w:rPr>
        <w:t>working on the proposal to mandate</w:t>
      </w:r>
      <w:r>
        <w:rPr>
          <w:rFonts w:ascii="Times New Roman" w:hAnsi="Times New Roman" w:cs="Times New Roman"/>
          <w:kern w:val="0"/>
          <w:sz w:val="28"/>
          <w:szCs w:val="28"/>
          <w14:ligatures w14:val="none"/>
        </w:rPr>
        <w:t xml:space="preserve"> GFM capability </w:t>
      </w:r>
      <w:r w:rsidR="00050234">
        <w:rPr>
          <w:rFonts w:ascii="Times New Roman" w:hAnsi="Times New Roman" w:cs="Times New Roman"/>
          <w:kern w:val="0"/>
          <w:sz w:val="28"/>
          <w:szCs w:val="28"/>
          <w14:ligatures w14:val="none"/>
        </w:rPr>
        <w:t xml:space="preserve">from future IBRs and HVDC systems </w:t>
      </w:r>
      <w:r>
        <w:rPr>
          <w:rFonts w:ascii="Times New Roman" w:hAnsi="Times New Roman" w:cs="Times New Roman"/>
          <w:kern w:val="0"/>
          <w:sz w:val="28"/>
          <w:szCs w:val="28"/>
          <w14:ligatures w14:val="none"/>
        </w:rPr>
        <w:t>going forward, kind of following ENTSO-E efforts (even though GB is not a part of ENTSO-E any longer)</w:t>
      </w:r>
      <w:r w:rsidR="00FA1078">
        <w:rPr>
          <w:rFonts w:ascii="Times New Roman" w:hAnsi="Times New Roman" w:cs="Times New Roman"/>
          <w:kern w:val="0"/>
          <w:sz w:val="28"/>
          <w:szCs w:val="28"/>
          <w14:ligatures w14:val="none"/>
        </w:rPr>
        <w:t xml:space="preserve">. </w:t>
      </w:r>
    </w:p>
    <w:p w14:paraId="1A7FBB91" w14:textId="70BC13DC" w:rsidR="00FA1078" w:rsidRDefault="00FA1078" w:rsidP="00FA1078">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In Germany the idea is to pay all inertia providers </w:t>
      </w:r>
      <w:r w:rsidR="0018295E">
        <w:rPr>
          <w:rFonts w:ascii="Times New Roman" w:hAnsi="Times New Roman" w:cs="Times New Roman"/>
          <w:kern w:val="0"/>
          <w:sz w:val="28"/>
          <w:szCs w:val="28"/>
          <w14:ligatures w14:val="none"/>
        </w:rPr>
        <w:t>for a few years and then gradually switch to requirement of requiring this capability</w:t>
      </w:r>
      <w:r w:rsidR="0010340F">
        <w:rPr>
          <w:rFonts w:ascii="Times New Roman" w:hAnsi="Times New Roman" w:cs="Times New Roman"/>
          <w:kern w:val="0"/>
          <w:sz w:val="28"/>
          <w:szCs w:val="28"/>
          <w14:ligatures w14:val="none"/>
        </w:rPr>
        <w:t xml:space="preserve">. </w:t>
      </w:r>
    </w:p>
    <w:p w14:paraId="579FE7DF" w14:textId="7506B0F2" w:rsidR="0010340F" w:rsidRDefault="00293374" w:rsidP="00FA1078">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The following</w:t>
      </w:r>
      <w:r w:rsidR="0010340F">
        <w:rPr>
          <w:rFonts w:ascii="Times New Roman" w:hAnsi="Times New Roman" w:cs="Times New Roman"/>
          <w:kern w:val="0"/>
          <w:sz w:val="28"/>
          <w:szCs w:val="28"/>
          <w14:ligatures w14:val="none"/>
        </w:rPr>
        <w:t xml:space="preserve"> slides</w:t>
      </w:r>
      <w:r w:rsidR="00E74377">
        <w:rPr>
          <w:rFonts w:ascii="Times New Roman" w:hAnsi="Times New Roman" w:cs="Times New Roman"/>
          <w:kern w:val="0"/>
          <w:sz w:val="28"/>
          <w:szCs w:val="28"/>
          <w14:ligatures w14:val="none"/>
        </w:rPr>
        <w:t xml:space="preserve"> 9-13</w:t>
      </w:r>
      <w:r w:rsidR="0010340F">
        <w:rPr>
          <w:rFonts w:ascii="Times New Roman" w:hAnsi="Times New Roman" w:cs="Times New Roman"/>
          <w:kern w:val="0"/>
          <w:sz w:val="28"/>
          <w:szCs w:val="28"/>
          <w14:ligatures w14:val="none"/>
        </w:rPr>
        <w:t xml:space="preserve"> provide more details </w:t>
      </w:r>
      <w:r w:rsidR="00E74377">
        <w:rPr>
          <w:rFonts w:ascii="Times New Roman" w:hAnsi="Times New Roman" w:cs="Times New Roman"/>
          <w:kern w:val="0"/>
          <w:sz w:val="28"/>
          <w:szCs w:val="28"/>
          <w14:ligatures w14:val="none"/>
        </w:rPr>
        <w:t xml:space="preserve">of each system operator and how they </w:t>
      </w:r>
      <w:r w:rsidR="00D612F2">
        <w:rPr>
          <w:rFonts w:ascii="Times New Roman" w:hAnsi="Times New Roman" w:cs="Times New Roman"/>
          <w:kern w:val="0"/>
          <w:sz w:val="28"/>
          <w:szCs w:val="28"/>
          <w14:ligatures w14:val="none"/>
        </w:rPr>
        <w:t>incentivize</w:t>
      </w:r>
      <w:r w:rsidR="00E74377">
        <w:rPr>
          <w:rFonts w:ascii="Times New Roman" w:hAnsi="Times New Roman" w:cs="Times New Roman"/>
          <w:kern w:val="0"/>
          <w:sz w:val="28"/>
          <w:szCs w:val="28"/>
          <w14:ligatures w14:val="none"/>
        </w:rPr>
        <w:t xml:space="preserve"> or require GFM. </w:t>
      </w:r>
    </w:p>
    <w:p w14:paraId="01BF689A" w14:textId="7FD79D6F" w:rsidR="005159D4" w:rsidRDefault="005159D4" w:rsidP="00FA1078">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Jeff</w:t>
      </w:r>
      <w:r w:rsidR="00B54134">
        <w:rPr>
          <w:rFonts w:ascii="Times New Roman" w:hAnsi="Times New Roman" w:cs="Times New Roman"/>
          <w:kern w:val="0"/>
          <w:sz w:val="28"/>
          <w:szCs w:val="28"/>
          <w14:ligatures w14:val="none"/>
        </w:rPr>
        <w:t xml:space="preserve">: on AEMO, I also saw a presentation last week that they are also moving towards requirements. </w:t>
      </w:r>
      <w:r w:rsidR="00055558">
        <w:rPr>
          <w:rFonts w:ascii="Times New Roman" w:hAnsi="Times New Roman" w:cs="Times New Roman"/>
          <w:kern w:val="0"/>
          <w:sz w:val="28"/>
          <w:szCs w:val="28"/>
          <w14:ligatures w14:val="none"/>
        </w:rPr>
        <w:t xml:space="preserve">This is something worth checking into. </w:t>
      </w:r>
    </w:p>
    <w:p w14:paraId="0DBC84DD" w14:textId="63899A12" w:rsidR="00055558" w:rsidRDefault="00055558" w:rsidP="00FA1078">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Julia: I </w:t>
      </w:r>
      <w:r w:rsidR="000B388D">
        <w:rPr>
          <w:rFonts w:ascii="Times New Roman" w:hAnsi="Times New Roman" w:cs="Times New Roman"/>
          <w:kern w:val="0"/>
          <w:sz w:val="28"/>
          <w:szCs w:val="28"/>
          <w14:ligatures w14:val="none"/>
        </w:rPr>
        <w:t>heard</w:t>
      </w:r>
      <w:r>
        <w:rPr>
          <w:rFonts w:ascii="Times New Roman" w:hAnsi="Times New Roman" w:cs="Times New Roman"/>
          <w:kern w:val="0"/>
          <w:sz w:val="28"/>
          <w:szCs w:val="28"/>
          <w14:ligatures w14:val="none"/>
        </w:rPr>
        <w:t xml:space="preserve"> the same thing but was not able to confirm it before the meeting. </w:t>
      </w:r>
    </w:p>
    <w:p w14:paraId="002FE1B2" w14:textId="243B5CC4" w:rsidR="00055558" w:rsidRDefault="00055558" w:rsidP="00FA1078">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Jeff: Is it fair to say </w:t>
      </w:r>
      <w:r w:rsidR="000B388D">
        <w:rPr>
          <w:rFonts w:ascii="Times New Roman" w:hAnsi="Times New Roman" w:cs="Times New Roman"/>
          <w:kern w:val="0"/>
          <w:sz w:val="28"/>
          <w:szCs w:val="28"/>
          <w14:ligatures w14:val="none"/>
        </w:rPr>
        <w:t xml:space="preserve">that majority is headed towards mandating grid forming? </w:t>
      </w:r>
    </w:p>
    <w:p w14:paraId="41789A3E" w14:textId="45B2A2D0" w:rsidR="000B388D" w:rsidRDefault="000B388D" w:rsidP="00FA1078">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lastRenderedPageBreak/>
        <w:t xml:space="preserve">Julia: Yes, even without confirming AEMO if you look at the table on slide 8 it looks like the majority is moving towards requirements. </w:t>
      </w:r>
    </w:p>
    <w:p w14:paraId="5C252A73" w14:textId="3325ADCC" w:rsidR="000B388D" w:rsidRDefault="000B388D" w:rsidP="00FA1078">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Jeff: Another question there </w:t>
      </w:r>
      <w:r w:rsidR="00CA4650">
        <w:rPr>
          <w:rFonts w:ascii="Times New Roman" w:hAnsi="Times New Roman" w:cs="Times New Roman"/>
          <w:kern w:val="0"/>
          <w:sz w:val="28"/>
          <w:szCs w:val="28"/>
          <w14:ligatures w14:val="none"/>
        </w:rPr>
        <w:t>have</w:t>
      </w:r>
      <w:r>
        <w:rPr>
          <w:rFonts w:ascii="Times New Roman" w:hAnsi="Times New Roman" w:cs="Times New Roman"/>
          <w:kern w:val="0"/>
          <w:sz w:val="28"/>
          <w:szCs w:val="28"/>
          <w14:ligatures w14:val="none"/>
        </w:rPr>
        <w:t xml:space="preserve"> been some comments that this is discriminatory towards one resource</w:t>
      </w:r>
      <w:r w:rsidR="005623B4">
        <w:rPr>
          <w:rFonts w:ascii="Times New Roman" w:hAnsi="Times New Roman" w:cs="Times New Roman"/>
          <w:kern w:val="0"/>
          <w:sz w:val="28"/>
          <w:szCs w:val="28"/>
          <w14:ligatures w14:val="none"/>
        </w:rPr>
        <w:t xml:space="preserve"> type</w:t>
      </w:r>
      <w:r>
        <w:rPr>
          <w:rFonts w:ascii="Times New Roman" w:hAnsi="Times New Roman" w:cs="Times New Roman"/>
          <w:kern w:val="0"/>
          <w:sz w:val="28"/>
          <w:szCs w:val="28"/>
          <w14:ligatures w14:val="none"/>
        </w:rPr>
        <w:t>, but this can be viewed as PSS requirement for thermal plants</w:t>
      </w:r>
      <w:r w:rsidR="009E0DE0">
        <w:rPr>
          <w:rFonts w:ascii="Times New Roman" w:hAnsi="Times New Roman" w:cs="Times New Roman"/>
          <w:kern w:val="0"/>
          <w:sz w:val="28"/>
          <w:szCs w:val="28"/>
          <w14:ligatures w14:val="none"/>
        </w:rPr>
        <w:t xml:space="preserve"> and this capability is</w:t>
      </w:r>
      <w:r>
        <w:rPr>
          <w:rFonts w:ascii="Times New Roman" w:hAnsi="Times New Roman" w:cs="Times New Roman"/>
          <w:kern w:val="0"/>
          <w:sz w:val="28"/>
          <w:szCs w:val="28"/>
          <w14:ligatures w14:val="none"/>
        </w:rPr>
        <w:t xml:space="preserve"> not required from other technologies </w:t>
      </w:r>
      <w:r w:rsidR="005623B4">
        <w:rPr>
          <w:rFonts w:ascii="Times New Roman" w:hAnsi="Times New Roman" w:cs="Times New Roman"/>
          <w:kern w:val="0"/>
          <w:sz w:val="28"/>
          <w:szCs w:val="28"/>
          <w14:ligatures w14:val="none"/>
        </w:rPr>
        <w:t xml:space="preserve">where it doesn’t make sense. </w:t>
      </w:r>
    </w:p>
    <w:p w14:paraId="65DD4EA0" w14:textId="3451E5BA" w:rsidR="005623B4" w:rsidRDefault="009E0DE0" w:rsidP="00FA1078">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Julia: </w:t>
      </w:r>
      <w:r w:rsidR="00D15CA6">
        <w:rPr>
          <w:rFonts w:ascii="Times New Roman" w:hAnsi="Times New Roman" w:cs="Times New Roman"/>
          <w:kern w:val="0"/>
          <w:sz w:val="28"/>
          <w:szCs w:val="28"/>
          <w14:ligatures w14:val="none"/>
        </w:rPr>
        <w:t>Yes,</w:t>
      </w:r>
      <w:r>
        <w:rPr>
          <w:rFonts w:ascii="Times New Roman" w:hAnsi="Times New Roman" w:cs="Times New Roman"/>
          <w:kern w:val="0"/>
          <w:sz w:val="28"/>
          <w:szCs w:val="28"/>
          <w14:ligatures w14:val="none"/>
        </w:rPr>
        <w:t xml:space="preserve"> it’s a good analogy. But another one also is </w:t>
      </w:r>
      <w:r w:rsidR="00D15CA6">
        <w:rPr>
          <w:rFonts w:ascii="Times New Roman" w:hAnsi="Times New Roman" w:cs="Times New Roman"/>
          <w:kern w:val="0"/>
          <w:sz w:val="28"/>
          <w:szCs w:val="28"/>
          <w14:ligatures w14:val="none"/>
        </w:rPr>
        <w:t>PFR capability requirement. When ERCOT implemented it the idea was that it is beneficial for frequency control for ERCOT system and resources shall have capability</w:t>
      </w:r>
      <w:r w:rsidR="00776742">
        <w:rPr>
          <w:rFonts w:ascii="Times New Roman" w:hAnsi="Times New Roman" w:cs="Times New Roman"/>
          <w:kern w:val="0"/>
          <w:sz w:val="28"/>
          <w:szCs w:val="28"/>
          <w14:ligatures w14:val="none"/>
        </w:rPr>
        <w:t xml:space="preserve"> to provide PFR. Resources that were not capable </w:t>
      </w:r>
      <w:r w:rsidR="003E7B76">
        <w:rPr>
          <w:rFonts w:ascii="Times New Roman" w:hAnsi="Times New Roman" w:cs="Times New Roman"/>
          <w:kern w:val="0"/>
          <w:sz w:val="28"/>
          <w:szCs w:val="28"/>
          <w14:ligatures w14:val="none"/>
        </w:rPr>
        <w:t>of providing</w:t>
      </w:r>
      <w:r w:rsidR="00776742">
        <w:rPr>
          <w:rFonts w:ascii="Times New Roman" w:hAnsi="Times New Roman" w:cs="Times New Roman"/>
          <w:kern w:val="0"/>
          <w:sz w:val="28"/>
          <w:szCs w:val="28"/>
          <w14:ligatures w14:val="none"/>
        </w:rPr>
        <w:t xml:space="preserve"> PFR were exempted </w:t>
      </w:r>
      <w:r w:rsidR="003E7B76">
        <w:rPr>
          <w:rFonts w:ascii="Times New Roman" w:hAnsi="Times New Roman" w:cs="Times New Roman"/>
          <w:kern w:val="0"/>
          <w:sz w:val="28"/>
          <w:szCs w:val="28"/>
          <w14:ligatures w14:val="none"/>
        </w:rPr>
        <w:t>from</w:t>
      </w:r>
      <w:r w:rsidR="00776742">
        <w:rPr>
          <w:rFonts w:ascii="Times New Roman" w:hAnsi="Times New Roman" w:cs="Times New Roman"/>
          <w:kern w:val="0"/>
          <w:sz w:val="28"/>
          <w:szCs w:val="28"/>
          <w14:ligatures w14:val="none"/>
        </w:rPr>
        <w:t xml:space="preserve"> providing it.</w:t>
      </w:r>
      <w:r w:rsidR="003E7B76">
        <w:rPr>
          <w:rFonts w:ascii="Times New Roman" w:hAnsi="Times New Roman" w:cs="Times New Roman"/>
          <w:kern w:val="0"/>
          <w:sz w:val="28"/>
          <w:szCs w:val="28"/>
          <w14:ligatures w14:val="none"/>
        </w:rPr>
        <w:t xml:space="preserve"> A </w:t>
      </w:r>
      <w:r w:rsidR="00833ECB">
        <w:rPr>
          <w:rFonts w:ascii="Times New Roman" w:hAnsi="Times New Roman" w:cs="Times New Roman"/>
          <w:kern w:val="0"/>
          <w:sz w:val="28"/>
          <w:szCs w:val="28"/>
          <w14:ligatures w14:val="none"/>
        </w:rPr>
        <w:t>reserved</w:t>
      </w:r>
      <w:r w:rsidR="00D15CA6">
        <w:rPr>
          <w:rFonts w:ascii="Times New Roman" w:hAnsi="Times New Roman" w:cs="Times New Roman"/>
          <w:kern w:val="0"/>
          <w:sz w:val="28"/>
          <w:szCs w:val="28"/>
          <w14:ligatures w14:val="none"/>
        </w:rPr>
        <w:t xml:space="preserve"> headroom</w:t>
      </w:r>
      <w:r w:rsidR="003E7B76">
        <w:rPr>
          <w:rFonts w:ascii="Times New Roman" w:hAnsi="Times New Roman" w:cs="Times New Roman"/>
          <w:kern w:val="0"/>
          <w:sz w:val="28"/>
          <w:szCs w:val="28"/>
          <w14:ligatures w14:val="none"/>
        </w:rPr>
        <w:t xml:space="preserve"> was not required</w:t>
      </w:r>
      <w:r w:rsidR="00D15CA6">
        <w:rPr>
          <w:rFonts w:ascii="Times New Roman" w:hAnsi="Times New Roman" w:cs="Times New Roman"/>
          <w:kern w:val="0"/>
          <w:sz w:val="28"/>
          <w:szCs w:val="28"/>
          <w14:ligatures w14:val="none"/>
        </w:rPr>
        <w:t xml:space="preserve"> and only </w:t>
      </w:r>
      <w:r w:rsidR="00EF6046">
        <w:rPr>
          <w:rFonts w:ascii="Times New Roman" w:hAnsi="Times New Roman" w:cs="Times New Roman"/>
          <w:kern w:val="0"/>
          <w:sz w:val="28"/>
          <w:szCs w:val="28"/>
          <w14:ligatures w14:val="none"/>
        </w:rPr>
        <w:t>provides</w:t>
      </w:r>
      <w:r w:rsidR="00D15CA6">
        <w:rPr>
          <w:rFonts w:ascii="Times New Roman" w:hAnsi="Times New Roman" w:cs="Times New Roman"/>
          <w:kern w:val="0"/>
          <w:sz w:val="28"/>
          <w:szCs w:val="28"/>
          <w14:ligatures w14:val="none"/>
        </w:rPr>
        <w:t xml:space="preserve"> the response when they have headroom available, on the other hand ERCOT also determines how much PFR they need as a minimum and procure it as a service but now they have resources to provide that service because all resources have this capability. </w:t>
      </w:r>
      <w:r w:rsidR="00833ECB">
        <w:rPr>
          <w:rFonts w:ascii="Times New Roman" w:hAnsi="Times New Roman" w:cs="Times New Roman"/>
          <w:kern w:val="0"/>
          <w:sz w:val="28"/>
          <w:szCs w:val="28"/>
          <w14:ligatures w14:val="none"/>
        </w:rPr>
        <w:t xml:space="preserve">The analogy with GFM is that “core” capability is required from all capable resources and in the future if there is a clear need to make sure certain amount of the services from these resources are available at all times then a market can be created to procure it and you’ll have resources capable to do so. </w:t>
      </w:r>
    </w:p>
    <w:p w14:paraId="004CC5BA" w14:textId="7CE3E43F" w:rsidR="00FB1419" w:rsidRDefault="00FB1419" w:rsidP="00FA1078">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Michael Jewell: Very helpful presentation.</w:t>
      </w:r>
      <w:r w:rsidR="00FB4B19">
        <w:rPr>
          <w:rFonts w:ascii="Times New Roman" w:hAnsi="Times New Roman" w:cs="Times New Roman"/>
          <w:kern w:val="0"/>
          <w:sz w:val="28"/>
          <w:szCs w:val="28"/>
          <w14:ligatures w14:val="none"/>
        </w:rPr>
        <w:t xml:space="preserve"> If you had a market where utility procures resources and they are required to be grid forming then there’s going to be compensation because any cost of GFM would be baked into their price. Is that correct? </w:t>
      </w:r>
    </w:p>
    <w:p w14:paraId="30CF3A13" w14:textId="6A220430" w:rsidR="00FB4B19" w:rsidRDefault="006E0255" w:rsidP="00FA1078">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Julia: We can ask Li Yu from HECO to answer the question. But </w:t>
      </w:r>
      <w:r w:rsidR="004126DE">
        <w:rPr>
          <w:rFonts w:ascii="Times New Roman" w:hAnsi="Times New Roman" w:cs="Times New Roman"/>
          <w:kern w:val="0"/>
          <w:sz w:val="28"/>
          <w:szCs w:val="28"/>
          <w14:ligatures w14:val="none"/>
        </w:rPr>
        <w:t>basically,</w:t>
      </w:r>
      <w:r>
        <w:rPr>
          <w:rFonts w:ascii="Times New Roman" w:hAnsi="Times New Roman" w:cs="Times New Roman"/>
          <w:kern w:val="0"/>
          <w:sz w:val="28"/>
          <w:szCs w:val="28"/>
          <w14:ligatures w14:val="none"/>
        </w:rPr>
        <w:t xml:space="preserve"> it’s not a </w:t>
      </w:r>
      <w:r w:rsidR="004126DE">
        <w:rPr>
          <w:rFonts w:ascii="Times New Roman" w:hAnsi="Times New Roman" w:cs="Times New Roman"/>
          <w:kern w:val="0"/>
          <w:sz w:val="28"/>
          <w:szCs w:val="28"/>
          <w14:ligatures w14:val="none"/>
        </w:rPr>
        <w:t>market,</w:t>
      </w:r>
      <w:r>
        <w:rPr>
          <w:rFonts w:ascii="Times New Roman" w:hAnsi="Times New Roman" w:cs="Times New Roman"/>
          <w:kern w:val="0"/>
          <w:sz w:val="28"/>
          <w:szCs w:val="28"/>
          <w14:ligatures w14:val="none"/>
        </w:rPr>
        <w:t xml:space="preserve"> it’s a procurement. HECO is asking for resources they need with </w:t>
      </w:r>
      <w:r w:rsidR="004126DE">
        <w:rPr>
          <w:rFonts w:ascii="Times New Roman" w:hAnsi="Times New Roman" w:cs="Times New Roman"/>
          <w:kern w:val="0"/>
          <w:sz w:val="28"/>
          <w:szCs w:val="28"/>
          <w14:ligatures w14:val="none"/>
        </w:rPr>
        <w:t>the capability</w:t>
      </w:r>
      <w:r>
        <w:rPr>
          <w:rFonts w:ascii="Times New Roman" w:hAnsi="Times New Roman" w:cs="Times New Roman"/>
          <w:kern w:val="0"/>
          <w:sz w:val="28"/>
          <w:szCs w:val="28"/>
          <w14:ligatures w14:val="none"/>
        </w:rPr>
        <w:t xml:space="preserve"> they need and picks resources that comply with the requirements at lowest cost. </w:t>
      </w:r>
    </w:p>
    <w:p w14:paraId="5D5F0247" w14:textId="246769A7" w:rsidR="004126DE" w:rsidRDefault="004126DE" w:rsidP="00FA1078">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Li Yu: There’s no market specifically for GFM, and no market in Hawaii, so the price </w:t>
      </w:r>
      <w:r w:rsidR="00C410CD">
        <w:rPr>
          <w:rFonts w:ascii="Times New Roman" w:hAnsi="Times New Roman" w:cs="Times New Roman"/>
          <w:kern w:val="0"/>
          <w:sz w:val="28"/>
          <w:szCs w:val="28"/>
          <w14:ligatures w14:val="none"/>
        </w:rPr>
        <w:t xml:space="preserve">in RFP </w:t>
      </w:r>
      <w:r w:rsidR="001B564D">
        <w:rPr>
          <w:rFonts w:ascii="Times New Roman" w:hAnsi="Times New Roman" w:cs="Times New Roman"/>
          <w:kern w:val="0"/>
          <w:sz w:val="28"/>
          <w:szCs w:val="28"/>
          <w14:ligatures w14:val="none"/>
        </w:rPr>
        <w:t xml:space="preserve">covers </w:t>
      </w:r>
      <w:r w:rsidR="00C410CD">
        <w:rPr>
          <w:rFonts w:ascii="Times New Roman" w:hAnsi="Times New Roman" w:cs="Times New Roman"/>
          <w:kern w:val="0"/>
          <w:sz w:val="28"/>
          <w:szCs w:val="28"/>
          <w14:ligatures w14:val="none"/>
        </w:rPr>
        <w:t>everything</w:t>
      </w:r>
      <w:r w:rsidR="001B564D">
        <w:rPr>
          <w:rFonts w:ascii="Times New Roman" w:hAnsi="Times New Roman" w:cs="Times New Roman"/>
          <w:kern w:val="0"/>
          <w:sz w:val="28"/>
          <w:szCs w:val="28"/>
          <w14:ligatures w14:val="none"/>
        </w:rPr>
        <w:t>.</w:t>
      </w:r>
    </w:p>
    <w:p w14:paraId="572A73D4" w14:textId="4FB66F1B" w:rsidR="001B564D" w:rsidRDefault="001B564D" w:rsidP="00FA1078">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Michael: It makes sense. </w:t>
      </w:r>
      <w:r w:rsidR="007F099C">
        <w:rPr>
          <w:rFonts w:ascii="Times New Roman" w:hAnsi="Times New Roman" w:cs="Times New Roman"/>
          <w:kern w:val="0"/>
          <w:sz w:val="28"/>
          <w:szCs w:val="28"/>
          <w14:ligatures w14:val="none"/>
        </w:rPr>
        <w:t xml:space="preserve">And there is a project that Plus Power has developed and has GFM inverters and it was part of the cost of the overall </w:t>
      </w:r>
      <w:r w:rsidR="00CA4650">
        <w:rPr>
          <w:rFonts w:ascii="Times New Roman" w:hAnsi="Times New Roman" w:cs="Times New Roman"/>
          <w:kern w:val="0"/>
          <w:sz w:val="28"/>
          <w:szCs w:val="28"/>
          <w14:ligatures w14:val="none"/>
        </w:rPr>
        <w:t>project,</w:t>
      </w:r>
      <w:r w:rsidR="007F099C">
        <w:rPr>
          <w:rFonts w:ascii="Times New Roman" w:hAnsi="Times New Roman" w:cs="Times New Roman"/>
          <w:kern w:val="0"/>
          <w:sz w:val="28"/>
          <w:szCs w:val="28"/>
          <w14:ligatures w14:val="none"/>
        </w:rPr>
        <w:t xml:space="preserve"> so they factored it into RFP and got paid for it in that context. </w:t>
      </w:r>
    </w:p>
    <w:p w14:paraId="70BC2E66" w14:textId="70E40498" w:rsidR="007F099C" w:rsidRDefault="007F099C" w:rsidP="00FA1078">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Li Yu: Yes</w:t>
      </w:r>
    </w:p>
    <w:p w14:paraId="3A348BEB" w14:textId="4BBCAEAC" w:rsidR="007F099C" w:rsidRDefault="007F099C" w:rsidP="00FA1078">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Michael: In Germany they are setting up an incentive to procure inertia and get people to come forward with that capability. So, one thing that I was wondering about ERCOT, couldn’t they do the same? And other resources like thermal </w:t>
      </w:r>
      <w:r>
        <w:rPr>
          <w:rFonts w:ascii="Times New Roman" w:hAnsi="Times New Roman" w:cs="Times New Roman"/>
          <w:kern w:val="0"/>
          <w:sz w:val="28"/>
          <w:szCs w:val="28"/>
          <w14:ligatures w14:val="none"/>
        </w:rPr>
        <w:lastRenderedPageBreak/>
        <w:t xml:space="preserve">generation could get paid for it as well. Just wondering about more “carrot” kind of approach? </w:t>
      </w:r>
    </w:p>
    <w:p w14:paraId="4C248B28" w14:textId="7A21E3F6" w:rsidR="007F099C" w:rsidRDefault="007F099C" w:rsidP="00FA1078">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Julia: I would let ERCOT respond but for Germany I would just say that it’s a head start to incentivize </w:t>
      </w:r>
      <w:r w:rsidR="0019724B">
        <w:rPr>
          <w:rFonts w:ascii="Times New Roman" w:hAnsi="Times New Roman" w:cs="Times New Roman"/>
          <w:kern w:val="0"/>
          <w:sz w:val="28"/>
          <w:szCs w:val="28"/>
          <w14:ligatures w14:val="none"/>
        </w:rPr>
        <w:t xml:space="preserve">early adopters, also recognizing that ENTSO-E’s requirement is in the approval process + implementation timeline and that there’s this window of opportunity now to capture the resources that could provide this capability already today that they don’t want to miss.  </w:t>
      </w:r>
    </w:p>
    <w:p w14:paraId="5E4A73E5" w14:textId="77777777" w:rsidR="005655C2" w:rsidRPr="005655C2" w:rsidRDefault="0099683B" w:rsidP="005655C2">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Jeff: </w:t>
      </w:r>
      <w:r w:rsidR="00CB3A32">
        <w:rPr>
          <w:rFonts w:ascii="Times New Roman" w:hAnsi="Times New Roman" w:cs="Times New Roman"/>
          <w:kern w:val="0"/>
          <w:sz w:val="28"/>
          <w:szCs w:val="28"/>
          <w14:ligatures w14:val="none"/>
        </w:rPr>
        <w:t>Yes,</w:t>
      </w:r>
      <w:r>
        <w:rPr>
          <w:rFonts w:ascii="Times New Roman" w:hAnsi="Times New Roman" w:cs="Times New Roman"/>
          <w:kern w:val="0"/>
          <w:sz w:val="28"/>
          <w:szCs w:val="28"/>
          <w14:ligatures w14:val="none"/>
        </w:rPr>
        <w:t xml:space="preserve"> I can comment on ERCOT’s side. Inertia market idea is something ERCOT was considering </w:t>
      </w:r>
      <w:r w:rsidR="00CB3A32">
        <w:rPr>
          <w:rFonts w:ascii="Times New Roman" w:hAnsi="Times New Roman" w:cs="Times New Roman"/>
          <w:kern w:val="0"/>
          <w:sz w:val="28"/>
          <w:szCs w:val="28"/>
          <w14:ligatures w14:val="none"/>
        </w:rPr>
        <w:t xml:space="preserve">for 8-10 years now and it’s some </w:t>
      </w:r>
      <w:r w:rsidR="00175CA5">
        <w:rPr>
          <w:rFonts w:ascii="Times New Roman" w:hAnsi="Times New Roman" w:cs="Times New Roman"/>
          <w:kern w:val="0"/>
          <w:sz w:val="28"/>
          <w:szCs w:val="28"/>
          <w14:ligatures w14:val="none"/>
        </w:rPr>
        <w:t>discussion on this in</w:t>
      </w:r>
      <w:r w:rsidR="00CB3A32">
        <w:rPr>
          <w:rFonts w:ascii="Times New Roman" w:hAnsi="Times New Roman" w:cs="Times New Roman"/>
          <w:kern w:val="0"/>
          <w:sz w:val="28"/>
          <w:szCs w:val="28"/>
          <w14:ligatures w14:val="none"/>
        </w:rPr>
        <w:t xml:space="preserve"> PUC</w:t>
      </w:r>
      <w:r w:rsidR="00175CA5">
        <w:rPr>
          <w:rFonts w:ascii="Times New Roman" w:hAnsi="Times New Roman" w:cs="Times New Roman"/>
          <w:kern w:val="0"/>
          <w:sz w:val="28"/>
          <w:szCs w:val="28"/>
          <w14:ligatures w14:val="none"/>
        </w:rPr>
        <w:t xml:space="preserve">’s AS study, the draft report. This is something that ERCOT is continuing to monitor. ERCOT just recently updated inertia whitepaper and would encourage the stakeholders to have a look at that </w:t>
      </w:r>
      <w:hyperlink r:id="rId16" w:history="1">
        <w:r w:rsidR="005655C2" w:rsidRPr="005655C2">
          <w:rPr>
            <w:rStyle w:val="Hyperlink"/>
            <w:rFonts w:ascii="Times New Roman" w:hAnsi="Times New Roman" w:cs="Times New Roman"/>
            <w:kern w:val="0"/>
            <w:sz w:val="28"/>
            <w:szCs w:val="28"/>
            <w14:ligatures w14:val="none"/>
          </w:rPr>
          <w:t>https://www.ercot.com/files/docs/2018/04/04/Inertia_Basic%20Concepts%20and%20Impacts%20on%20the%20ERCOT%20Grid_2024.docx</w:t>
        </w:r>
      </w:hyperlink>
    </w:p>
    <w:p w14:paraId="5241D9CD" w14:textId="0C4E142A" w:rsidR="0099683B" w:rsidRDefault="00360C6D" w:rsidP="00FA1078">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Michael: With AEMO moving towards mandatory </w:t>
      </w:r>
      <w:r w:rsidR="009A7EAF">
        <w:rPr>
          <w:rFonts w:ascii="Times New Roman" w:hAnsi="Times New Roman" w:cs="Times New Roman"/>
          <w:kern w:val="0"/>
          <w:sz w:val="28"/>
          <w:szCs w:val="28"/>
          <w14:ligatures w14:val="none"/>
        </w:rPr>
        <w:t>requirements,</w:t>
      </w:r>
      <w:r>
        <w:rPr>
          <w:rFonts w:ascii="Times New Roman" w:hAnsi="Times New Roman" w:cs="Times New Roman"/>
          <w:kern w:val="0"/>
          <w:sz w:val="28"/>
          <w:szCs w:val="28"/>
          <w14:ligatures w14:val="none"/>
        </w:rPr>
        <w:t xml:space="preserve"> is there a sense about how </w:t>
      </w:r>
      <w:r w:rsidR="009A7EAF">
        <w:rPr>
          <w:rFonts w:ascii="Times New Roman" w:hAnsi="Times New Roman" w:cs="Times New Roman"/>
          <w:kern w:val="0"/>
          <w:sz w:val="28"/>
          <w:szCs w:val="28"/>
          <w14:ligatures w14:val="none"/>
        </w:rPr>
        <w:t>much</w:t>
      </w:r>
      <w:r w:rsidR="00044BA1">
        <w:rPr>
          <w:rFonts w:ascii="Times New Roman" w:hAnsi="Times New Roman" w:cs="Times New Roman"/>
          <w:kern w:val="0"/>
          <w:sz w:val="28"/>
          <w:szCs w:val="28"/>
          <w14:ligatures w14:val="none"/>
        </w:rPr>
        <w:t xml:space="preserve"> lea</w:t>
      </w:r>
      <w:r w:rsidR="009A7EAF">
        <w:rPr>
          <w:rFonts w:ascii="Times New Roman" w:hAnsi="Times New Roman" w:cs="Times New Roman"/>
          <w:kern w:val="0"/>
          <w:sz w:val="28"/>
          <w:szCs w:val="28"/>
          <w14:ligatures w14:val="none"/>
        </w:rPr>
        <w:t>d</w:t>
      </w:r>
      <w:r w:rsidR="00044BA1">
        <w:rPr>
          <w:rFonts w:ascii="Times New Roman" w:hAnsi="Times New Roman" w:cs="Times New Roman"/>
          <w:kern w:val="0"/>
          <w:sz w:val="28"/>
          <w:szCs w:val="28"/>
          <w14:ligatures w14:val="none"/>
        </w:rPr>
        <w:t xml:space="preserve"> time they are giving to </w:t>
      </w:r>
      <w:r w:rsidR="00B27E0C">
        <w:rPr>
          <w:rFonts w:ascii="Times New Roman" w:hAnsi="Times New Roman" w:cs="Times New Roman"/>
          <w:kern w:val="0"/>
          <w:sz w:val="28"/>
          <w:szCs w:val="28"/>
          <w14:ligatures w14:val="none"/>
        </w:rPr>
        <w:t>implement this?</w:t>
      </w:r>
    </w:p>
    <w:p w14:paraId="4F727558" w14:textId="77777777" w:rsidR="00B85094" w:rsidRDefault="00B27E0C" w:rsidP="00FA1078">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Julia: As Jeff said this is fresh off the press </w:t>
      </w:r>
      <w:r w:rsidR="00B459F5">
        <w:rPr>
          <w:rFonts w:ascii="Times New Roman" w:hAnsi="Times New Roman" w:cs="Times New Roman"/>
          <w:kern w:val="0"/>
          <w:sz w:val="28"/>
          <w:szCs w:val="28"/>
          <w14:ligatures w14:val="none"/>
        </w:rPr>
        <w:t>and it’s hard to say how much le</w:t>
      </w:r>
      <w:r w:rsidR="009A7EAF">
        <w:rPr>
          <w:rFonts w:ascii="Times New Roman" w:hAnsi="Times New Roman" w:cs="Times New Roman"/>
          <w:kern w:val="0"/>
          <w:sz w:val="28"/>
          <w:szCs w:val="28"/>
          <w14:ligatures w14:val="none"/>
        </w:rPr>
        <w:t>ad</w:t>
      </w:r>
      <w:r w:rsidR="00B459F5">
        <w:rPr>
          <w:rFonts w:ascii="Times New Roman" w:hAnsi="Times New Roman" w:cs="Times New Roman"/>
          <w:kern w:val="0"/>
          <w:sz w:val="28"/>
          <w:szCs w:val="28"/>
          <w14:ligatures w14:val="none"/>
        </w:rPr>
        <w:t xml:space="preserve"> time they are thinking about </w:t>
      </w:r>
      <w:r w:rsidR="009A7EAF">
        <w:rPr>
          <w:rFonts w:ascii="Times New Roman" w:hAnsi="Times New Roman" w:cs="Times New Roman"/>
          <w:kern w:val="0"/>
          <w:sz w:val="28"/>
          <w:szCs w:val="28"/>
          <w14:ligatures w14:val="none"/>
        </w:rPr>
        <w:t xml:space="preserve">but overall </w:t>
      </w:r>
      <w:r w:rsidR="00AF6EAA">
        <w:rPr>
          <w:rFonts w:ascii="Times New Roman" w:hAnsi="Times New Roman" w:cs="Times New Roman"/>
          <w:kern w:val="0"/>
          <w:sz w:val="28"/>
          <w:szCs w:val="28"/>
          <w14:ligatures w14:val="none"/>
        </w:rPr>
        <w:t xml:space="preserve">from the documents that I have seen from the moment of requirement approval to commissioning date </w:t>
      </w:r>
      <w:r w:rsidR="00B85094">
        <w:rPr>
          <w:rFonts w:ascii="Times New Roman" w:hAnsi="Times New Roman" w:cs="Times New Roman"/>
          <w:kern w:val="0"/>
          <w:sz w:val="28"/>
          <w:szCs w:val="28"/>
          <w14:ligatures w14:val="none"/>
        </w:rPr>
        <w:t xml:space="preserve">of the first GFM resource is 3 years. </w:t>
      </w:r>
    </w:p>
    <w:p w14:paraId="730D8110" w14:textId="77777777" w:rsidR="007B6F7D" w:rsidRDefault="00B85094" w:rsidP="00FA1078">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Michael: I don’t know how to translate that to the timeline from SGIA in ERCOT to the commissioning date? Because the developers are concerned about the </w:t>
      </w:r>
      <w:r w:rsidR="007B6F7D">
        <w:rPr>
          <w:rFonts w:ascii="Times New Roman" w:hAnsi="Times New Roman" w:cs="Times New Roman"/>
          <w:kern w:val="0"/>
          <w:sz w:val="28"/>
          <w:szCs w:val="28"/>
          <w14:ligatures w14:val="none"/>
        </w:rPr>
        <w:t xml:space="preserve">implementation date. </w:t>
      </w:r>
    </w:p>
    <w:p w14:paraId="5C3A98B0" w14:textId="77777777" w:rsidR="00F400D9" w:rsidRDefault="007B6F7D" w:rsidP="00907421">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Julia: I just attended a training organized by local IEEE Chapter in Austin on the interconnection process and Jennifer Fernandez from ERCOT Resource Integration has presented there, she said in general it takes it takes 18-36 month for IBRs to connect to ERCOT grid</w:t>
      </w:r>
      <w:r w:rsidR="000E49C4">
        <w:rPr>
          <w:rFonts w:ascii="Times New Roman" w:hAnsi="Times New Roman" w:cs="Times New Roman"/>
          <w:kern w:val="0"/>
          <w:sz w:val="28"/>
          <w:szCs w:val="28"/>
          <w14:ligatures w14:val="none"/>
        </w:rPr>
        <w:t xml:space="preserve">, but not sure how long it takes from the initial application to the signed interconnection agreement. </w:t>
      </w:r>
      <w:r w:rsidR="00907421">
        <w:rPr>
          <w:rFonts w:ascii="Times New Roman" w:hAnsi="Times New Roman" w:cs="Times New Roman"/>
          <w:kern w:val="0"/>
          <w:sz w:val="28"/>
          <w:szCs w:val="28"/>
          <w14:ligatures w14:val="none"/>
        </w:rPr>
        <w:t xml:space="preserve">I </w:t>
      </w:r>
      <w:r w:rsidR="005B78D3">
        <w:rPr>
          <w:rFonts w:ascii="Times New Roman" w:hAnsi="Times New Roman" w:cs="Times New Roman"/>
          <w:kern w:val="0"/>
          <w:sz w:val="28"/>
          <w:szCs w:val="28"/>
          <w14:ligatures w14:val="none"/>
        </w:rPr>
        <w:t>believe</w:t>
      </w:r>
      <w:r w:rsidR="00907421">
        <w:rPr>
          <w:rFonts w:ascii="Times New Roman" w:hAnsi="Times New Roman" w:cs="Times New Roman"/>
          <w:kern w:val="0"/>
          <w:sz w:val="28"/>
          <w:szCs w:val="28"/>
          <w14:ligatures w14:val="none"/>
        </w:rPr>
        <w:t xml:space="preserve"> in ERCOT Resource Handbook </w:t>
      </w:r>
      <w:r w:rsidR="0027107D">
        <w:rPr>
          <w:rFonts w:ascii="Times New Roman" w:hAnsi="Times New Roman" w:cs="Times New Roman"/>
          <w:kern w:val="0"/>
          <w:sz w:val="28"/>
          <w:szCs w:val="28"/>
          <w14:ligatures w14:val="none"/>
        </w:rPr>
        <w:t xml:space="preserve">on </w:t>
      </w:r>
      <w:hyperlink r:id="rId17" w:history="1">
        <w:r w:rsidR="0027107D" w:rsidRPr="0027107D">
          <w:rPr>
            <w:rStyle w:val="Hyperlink"/>
            <w:rFonts w:ascii="Times New Roman" w:hAnsi="Times New Roman" w:cs="Times New Roman"/>
            <w:kern w:val="0"/>
            <w:sz w:val="28"/>
            <w:szCs w:val="28"/>
            <w14:ligatures w14:val="none"/>
          </w:rPr>
          <w:t>Resource Integration page</w:t>
        </w:r>
      </w:hyperlink>
      <w:r w:rsidR="0027107D">
        <w:rPr>
          <w:rFonts w:ascii="Times New Roman" w:hAnsi="Times New Roman" w:cs="Times New Roman"/>
          <w:kern w:val="0"/>
          <w:sz w:val="28"/>
          <w:szCs w:val="28"/>
          <w14:ligatures w14:val="none"/>
        </w:rPr>
        <w:t xml:space="preserve"> has examples showing </w:t>
      </w:r>
      <w:r w:rsidR="00F400D9">
        <w:rPr>
          <w:rFonts w:ascii="Times New Roman" w:hAnsi="Times New Roman" w:cs="Times New Roman"/>
          <w:kern w:val="0"/>
          <w:sz w:val="28"/>
          <w:szCs w:val="28"/>
          <w14:ligatures w14:val="none"/>
        </w:rPr>
        <w:t>approximate</w:t>
      </w:r>
      <w:r w:rsidR="0027107D">
        <w:rPr>
          <w:rFonts w:ascii="Times New Roman" w:hAnsi="Times New Roman" w:cs="Times New Roman"/>
          <w:kern w:val="0"/>
          <w:sz w:val="28"/>
          <w:szCs w:val="28"/>
          <w14:ligatures w14:val="none"/>
        </w:rPr>
        <w:t xml:space="preserve"> timelines</w:t>
      </w:r>
      <w:r w:rsidR="00F400D9">
        <w:rPr>
          <w:rFonts w:ascii="Times New Roman" w:hAnsi="Times New Roman" w:cs="Times New Roman"/>
          <w:kern w:val="0"/>
          <w:sz w:val="28"/>
          <w:szCs w:val="28"/>
          <w14:ligatures w14:val="none"/>
        </w:rPr>
        <w:t xml:space="preserve"> for each of the steps</w:t>
      </w:r>
      <w:r w:rsidR="0027107D">
        <w:rPr>
          <w:rFonts w:ascii="Times New Roman" w:hAnsi="Times New Roman" w:cs="Times New Roman"/>
          <w:kern w:val="0"/>
          <w:sz w:val="28"/>
          <w:szCs w:val="28"/>
          <w14:ligatures w14:val="none"/>
        </w:rPr>
        <w:t xml:space="preserve">. </w:t>
      </w:r>
    </w:p>
    <w:p w14:paraId="339EB703" w14:textId="55C8A062" w:rsidR="000E49C4" w:rsidRDefault="00F400D9" w:rsidP="00F400D9">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Michael: Just thinking about implementation timeline, if AEMO e.g. has 3 years implementation timeline </w:t>
      </w:r>
      <w:r w:rsidR="003756F7">
        <w:rPr>
          <w:rFonts w:ascii="Times New Roman" w:hAnsi="Times New Roman" w:cs="Times New Roman"/>
          <w:kern w:val="0"/>
          <w:sz w:val="28"/>
          <w:szCs w:val="28"/>
          <w14:ligatures w14:val="none"/>
        </w:rPr>
        <w:t xml:space="preserve">to the commissioning of the first </w:t>
      </w:r>
      <w:r w:rsidR="00824879">
        <w:rPr>
          <w:rFonts w:ascii="Times New Roman" w:hAnsi="Times New Roman" w:cs="Times New Roman"/>
          <w:kern w:val="0"/>
          <w:sz w:val="28"/>
          <w:szCs w:val="28"/>
          <w14:ligatures w14:val="none"/>
        </w:rPr>
        <w:t xml:space="preserve">GFM resource being deployed, then ERCOT should count back from commissioning to SGIA and have something comparable. </w:t>
      </w:r>
    </w:p>
    <w:p w14:paraId="47C06539" w14:textId="7DA5FE5C" w:rsidR="006A6CCA" w:rsidRDefault="006A6CCA" w:rsidP="00F400D9">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Julia: As we continue talking about AGS-ESR requirements would it be helpful to bring OEMs to talk about their capabilities and reflect on ERCOT’s requirements similarly to how we did during NOGRR245 process</w:t>
      </w:r>
    </w:p>
    <w:p w14:paraId="23903EE0" w14:textId="269FE298" w:rsidR="006A6CCA" w:rsidRDefault="006A6CCA" w:rsidP="00F400D9">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lastRenderedPageBreak/>
        <w:t>Michael: Yes, that would be very helpful and also get them to talk about any incremental costs</w:t>
      </w:r>
    </w:p>
    <w:p w14:paraId="440DC61C" w14:textId="131DB732" w:rsidR="006A6CCA" w:rsidRDefault="006A6CCA" w:rsidP="00F400D9">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Julia: Incremental costs are usually difficult to get out of OEMs. </w:t>
      </w:r>
      <w:r w:rsidR="00AD10C2">
        <w:rPr>
          <w:rFonts w:ascii="Times New Roman" w:hAnsi="Times New Roman" w:cs="Times New Roman"/>
          <w:kern w:val="0"/>
          <w:sz w:val="28"/>
          <w:szCs w:val="28"/>
          <w14:ligatures w14:val="none"/>
        </w:rPr>
        <w:t>May be at least some feel for the cost, a ballpark or percentage is something we could get</w:t>
      </w:r>
    </w:p>
    <w:p w14:paraId="302CA803" w14:textId="2DE562E1" w:rsidR="00AD10C2" w:rsidRDefault="00AD10C2" w:rsidP="00AD10C2">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Caitlin: Yes, I also agree OEMs’ presentations will be helpful. Where we are struggling </w:t>
      </w:r>
      <w:r w:rsidR="00B76981">
        <w:rPr>
          <w:rFonts w:ascii="Times New Roman" w:hAnsi="Times New Roman" w:cs="Times New Roman"/>
          <w:kern w:val="0"/>
          <w:sz w:val="28"/>
          <w:szCs w:val="28"/>
          <w14:ligatures w14:val="none"/>
        </w:rPr>
        <w:t xml:space="preserve">is that we haven’t been able to get feedback about their capabilities from our OEMs. </w:t>
      </w:r>
    </w:p>
    <w:p w14:paraId="7D906988" w14:textId="4379EC5C" w:rsidR="00B76981" w:rsidRDefault="00C950D2" w:rsidP="00AD10C2">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Julia: The </w:t>
      </w:r>
      <w:hyperlink r:id="rId18" w:history="1">
        <w:r w:rsidRPr="00935CFC">
          <w:rPr>
            <w:rStyle w:val="Hyperlink"/>
            <w:rFonts w:ascii="Times New Roman" w:hAnsi="Times New Roman" w:cs="Times New Roman"/>
            <w:kern w:val="0"/>
            <w:sz w:val="28"/>
            <w:szCs w:val="28"/>
            <w14:ligatures w14:val="none"/>
          </w:rPr>
          <w:t>link for existing and under construction GFM projects</w:t>
        </w:r>
      </w:hyperlink>
      <w:r>
        <w:rPr>
          <w:rFonts w:ascii="Times New Roman" w:hAnsi="Times New Roman" w:cs="Times New Roman"/>
          <w:kern w:val="0"/>
          <w:sz w:val="28"/>
          <w:szCs w:val="28"/>
          <w14:ligatures w14:val="none"/>
        </w:rPr>
        <w:t xml:space="preserve"> </w:t>
      </w:r>
      <w:r w:rsidR="008B216F">
        <w:rPr>
          <w:rFonts w:ascii="Times New Roman" w:hAnsi="Times New Roman" w:cs="Times New Roman"/>
          <w:kern w:val="0"/>
          <w:sz w:val="28"/>
          <w:szCs w:val="28"/>
          <w14:ligatures w14:val="none"/>
        </w:rPr>
        <w:t>that were on the slides and for some of the projects you can see OEMs that they used</w:t>
      </w:r>
      <w:r w:rsidR="00935CFC">
        <w:rPr>
          <w:rFonts w:ascii="Times New Roman" w:hAnsi="Times New Roman" w:cs="Times New Roman"/>
          <w:kern w:val="0"/>
          <w:sz w:val="28"/>
          <w:szCs w:val="28"/>
          <w14:ligatures w14:val="none"/>
        </w:rPr>
        <w:t xml:space="preserve"> (even though those were not included in the slides)</w:t>
      </w:r>
      <w:r w:rsidR="008B216F">
        <w:rPr>
          <w:rFonts w:ascii="Times New Roman" w:hAnsi="Times New Roman" w:cs="Times New Roman"/>
          <w:kern w:val="0"/>
          <w:sz w:val="28"/>
          <w:szCs w:val="28"/>
          <w14:ligatures w14:val="none"/>
        </w:rPr>
        <w:t xml:space="preserve">. </w:t>
      </w:r>
      <w:r>
        <w:rPr>
          <w:rFonts w:ascii="Times New Roman" w:hAnsi="Times New Roman" w:cs="Times New Roman"/>
          <w:kern w:val="0"/>
          <w:sz w:val="28"/>
          <w:szCs w:val="28"/>
          <w14:ligatures w14:val="none"/>
        </w:rPr>
        <w:t xml:space="preserve"> </w:t>
      </w:r>
    </w:p>
    <w:p w14:paraId="4635289F" w14:textId="034FFF3E" w:rsidR="00505F14" w:rsidRDefault="00172AEF" w:rsidP="00505F14">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Stephen Solis: Can OEMs also share the knowledge about wear and tear on the equipment from providing GFM capability</w:t>
      </w:r>
      <w:r w:rsidR="0032395D">
        <w:rPr>
          <w:rFonts w:ascii="Times New Roman" w:hAnsi="Times New Roman" w:cs="Times New Roman"/>
          <w:kern w:val="0"/>
          <w:sz w:val="28"/>
          <w:szCs w:val="28"/>
          <w14:ligatures w14:val="none"/>
        </w:rPr>
        <w:t xml:space="preserve">, are there other things that have to be done on the PPC side. Understanding some of the integration issues may help shed some light on the impact on the rest of the plant. </w:t>
      </w:r>
    </w:p>
    <w:p w14:paraId="1D328CCF" w14:textId="5A2E4FEF" w:rsidR="00505F14" w:rsidRPr="00505F14" w:rsidRDefault="00505F14" w:rsidP="00505F14">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Julia: will try. </w:t>
      </w:r>
    </w:p>
    <w:p w14:paraId="28C1F5FA" w14:textId="77777777" w:rsidR="00651B56" w:rsidRPr="009D4FC1" w:rsidRDefault="00651B56" w:rsidP="009D4FC1">
      <w:pPr>
        <w:spacing w:line="259" w:lineRule="auto"/>
        <w:rPr>
          <w:rFonts w:ascii="Times New Roman" w:hAnsi="Times New Roman" w:cs="Times New Roman"/>
          <w:kern w:val="0"/>
          <w:sz w:val="28"/>
          <w:szCs w:val="28"/>
          <w14:ligatures w14:val="none"/>
        </w:rPr>
      </w:pPr>
    </w:p>
    <w:sectPr w:rsidR="00651B56" w:rsidRPr="009D4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95BC2"/>
    <w:multiLevelType w:val="hybridMultilevel"/>
    <w:tmpl w:val="D4E4E48E"/>
    <w:lvl w:ilvl="0" w:tplc="BE60201E">
      <w:start w:val="1"/>
      <w:numFmt w:val="bullet"/>
      <w:lvlText w:val="•"/>
      <w:lvlJc w:val="left"/>
      <w:pPr>
        <w:tabs>
          <w:tab w:val="num" w:pos="720"/>
        </w:tabs>
        <w:ind w:left="720" w:hanging="360"/>
      </w:pPr>
      <w:rPr>
        <w:rFonts w:ascii="Arial" w:hAnsi="Arial" w:hint="default"/>
      </w:rPr>
    </w:lvl>
    <w:lvl w:ilvl="1" w:tplc="615EB9BC" w:tentative="1">
      <w:start w:val="1"/>
      <w:numFmt w:val="bullet"/>
      <w:lvlText w:val="•"/>
      <w:lvlJc w:val="left"/>
      <w:pPr>
        <w:tabs>
          <w:tab w:val="num" w:pos="1440"/>
        </w:tabs>
        <w:ind w:left="1440" w:hanging="360"/>
      </w:pPr>
      <w:rPr>
        <w:rFonts w:ascii="Arial" w:hAnsi="Arial" w:hint="default"/>
      </w:rPr>
    </w:lvl>
    <w:lvl w:ilvl="2" w:tplc="DC2C1CF4" w:tentative="1">
      <w:start w:val="1"/>
      <w:numFmt w:val="bullet"/>
      <w:lvlText w:val="•"/>
      <w:lvlJc w:val="left"/>
      <w:pPr>
        <w:tabs>
          <w:tab w:val="num" w:pos="2160"/>
        </w:tabs>
        <w:ind w:left="2160" w:hanging="360"/>
      </w:pPr>
      <w:rPr>
        <w:rFonts w:ascii="Arial" w:hAnsi="Arial" w:hint="default"/>
      </w:rPr>
    </w:lvl>
    <w:lvl w:ilvl="3" w:tplc="3230A20A" w:tentative="1">
      <w:start w:val="1"/>
      <w:numFmt w:val="bullet"/>
      <w:lvlText w:val="•"/>
      <w:lvlJc w:val="left"/>
      <w:pPr>
        <w:tabs>
          <w:tab w:val="num" w:pos="2880"/>
        </w:tabs>
        <w:ind w:left="2880" w:hanging="360"/>
      </w:pPr>
      <w:rPr>
        <w:rFonts w:ascii="Arial" w:hAnsi="Arial" w:hint="default"/>
      </w:rPr>
    </w:lvl>
    <w:lvl w:ilvl="4" w:tplc="FDB6D55A" w:tentative="1">
      <w:start w:val="1"/>
      <w:numFmt w:val="bullet"/>
      <w:lvlText w:val="•"/>
      <w:lvlJc w:val="left"/>
      <w:pPr>
        <w:tabs>
          <w:tab w:val="num" w:pos="3600"/>
        </w:tabs>
        <w:ind w:left="3600" w:hanging="360"/>
      </w:pPr>
      <w:rPr>
        <w:rFonts w:ascii="Arial" w:hAnsi="Arial" w:hint="default"/>
      </w:rPr>
    </w:lvl>
    <w:lvl w:ilvl="5" w:tplc="60D677EE" w:tentative="1">
      <w:start w:val="1"/>
      <w:numFmt w:val="bullet"/>
      <w:lvlText w:val="•"/>
      <w:lvlJc w:val="left"/>
      <w:pPr>
        <w:tabs>
          <w:tab w:val="num" w:pos="4320"/>
        </w:tabs>
        <w:ind w:left="4320" w:hanging="360"/>
      </w:pPr>
      <w:rPr>
        <w:rFonts w:ascii="Arial" w:hAnsi="Arial" w:hint="default"/>
      </w:rPr>
    </w:lvl>
    <w:lvl w:ilvl="6" w:tplc="7D18A098" w:tentative="1">
      <w:start w:val="1"/>
      <w:numFmt w:val="bullet"/>
      <w:lvlText w:val="•"/>
      <w:lvlJc w:val="left"/>
      <w:pPr>
        <w:tabs>
          <w:tab w:val="num" w:pos="5040"/>
        </w:tabs>
        <w:ind w:left="5040" w:hanging="360"/>
      </w:pPr>
      <w:rPr>
        <w:rFonts w:ascii="Arial" w:hAnsi="Arial" w:hint="default"/>
      </w:rPr>
    </w:lvl>
    <w:lvl w:ilvl="7" w:tplc="77DE0C44" w:tentative="1">
      <w:start w:val="1"/>
      <w:numFmt w:val="bullet"/>
      <w:lvlText w:val="•"/>
      <w:lvlJc w:val="left"/>
      <w:pPr>
        <w:tabs>
          <w:tab w:val="num" w:pos="5760"/>
        </w:tabs>
        <w:ind w:left="5760" w:hanging="360"/>
      </w:pPr>
      <w:rPr>
        <w:rFonts w:ascii="Arial" w:hAnsi="Arial" w:hint="default"/>
      </w:rPr>
    </w:lvl>
    <w:lvl w:ilvl="8" w:tplc="E006C1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4D7556"/>
    <w:multiLevelType w:val="hybridMultilevel"/>
    <w:tmpl w:val="F000E15A"/>
    <w:lvl w:ilvl="0" w:tplc="FFFFFFFF">
      <w:start w:val="1"/>
      <w:numFmt w:val="bullet"/>
      <w:lvlText w:val="o"/>
      <w:lvlJc w:val="left"/>
      <w:pPr>
        <w:ind w:left="720" w:hanging="360"/>
      </w:pPr>
      <w:rPr>
        <w:rFonts w:ascii="Courier New" w:hAnsi="Courier New" w:cs="Courier New" w:hint="default"/>
      </w:rPr>
    </w:lvl>
    <w:lvl w:ilvl="1" w:tplc="C37279E8">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C1484D"/>
    <w:multiLevelType w:val="hybridMultilevel"/>
    <w:tmpl w:val="255C8BFA"/>
    <w:lvl w:ilvl="0" w:tplc="19961482">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D064A0"/>
    <w:multiLevelType w:val="hybridMultilevel"/>
    <w:tmpl w:val="2E32A09A"/>
    <w:lvl w:ilvl="0" w:tplc="C7382FD0">
      <w:start w:val="1"/>
      <w:numFmt w:val="bullet"/>
      <w:lvlText w:val=""/>
      <w:lvlJc w:val="left"/>
      <w:pPr>
        <w:tabs>
          <w:tab w:val="num" w:pos="720"/>
        </w:tabs>
        <w:ind w:left="720" w:hanging="360"/>
      </w:pPr>
      <w:rPr>
        <w:rFonts w:ascii="Wingdings" w:hAnsi="Wingdings" w:hint="default"/>
      </w:rPr>
    </w:lvl>
    <w:lvl w:ilvl="1" w:tplc="C8A4E2C6" w:tentative="1">
      <w:start w:val="1"/>
      <w:numFmt w:val="bullet"/>
      <w:lvlText w:val=""/>
      <w:lvlJc w:val="left"/>
      <w:pPr>
        <w:tabs>
          <w:tab w:val="num" w:pos="1440"/>
        </w:tabs>
        <w:ind w:left="1440" w:hanging="360"/>
      </w:pPr>
      <w:rPr>
        <w:rFonts w:ascii="Wingdings" w:hAnsi="Wingdings" w:hint="default"/>
      </w:rPr>
    </w:lvl>
    <w:lvl w:ilvl="2" w:tplc="6CCE8FAA" w:tentative="1">
      <w:start w:val="1"/>
      <w:numFmt w:val="bullet"/>
      <w:lvlText w:val=""/>
      <w:lvlJc w:val="left"/>
      <w:pPr>
        <w:tabs>
          <w:tab w:val="num" w:pos="2160"/>
        </w:tabs>
        <w:ind w:left="2160" w:hanging="360"/>
      </w:pPr>
      <w:rPr>
        <w:rFonts w:ascii="Wingdings" w:hAnsi="Wingdings" w:hint="default"/>
      </w:rPr>
    </w:lvl>
    <w:lvl w:ilvl="3" w:tplc="093A42B2" w:tentative="1">
      <w:start w:val="1"/>
      <w:numFmt w:val="bullet"/>
      <w:lvlText w:val=""/>
      <w:lvlJc w:val="left"/>
      <w:pPr>
        <w:tabs>
          <w:tab w:val="num" w:pos="2880"/>
        </w:tabs>
        <w:ind w:left="2880" w:hanging="360"/>
      </w:pPr>
      <w:rPr>
        <w:rFonts w:ascii="Wingdings" w:hAnsi="Wingdings" w:hint="default"/>
      </w:rPr>
    </w:lvl>
    <w:lvl w:ilvl="4" w:tplc="2A986ADC" w:tentative="1">
      <w:start w:val="1"/>
      <w:numFmt w:val="bullet"/>
      <w:lvlText w:val=""/>
      <w:lvlJc w:val="left"/>
      <w:pPr>
        <w:tabs>
          <w:tab w:val="num" w:pos="3600"/>
        </w:tabs>
        <w:ind w:left="3600" w:hanging="360"/>
      </w:pPr>
      <w:rPr>
        <w:rFonts w:ascii="Wingdings" w:hAnsi="Wingdings" w:hint="default"/>
      </w:rPr>
    </w:lvl>
    <w:lvl w:ilvl="5" w:tplc="E15ABEE8" w:tentative="1">
      <w:start w:val="1"/>
      <w:numFmt w:val="bullet"/>
      <w:lvlText w:val=""/>
      <w:lvlJc w:val="left"/>
      <w:pPr>
        <w:tabs>
          <w:tab w:val="num" w:pos="4320"/>
        </w:tabs>
        <w:ind w:left="4320" w:hanging="360"/>
      </w:pPr>
      <w:rPr>
        <w:rFonts w:ascii="Wingdings" w:hAnsi="Wingdings" w:hint="default"/>
      </w:rPr>
    </w:lvl>
    <w:lvl w:ilvl="6" w:tplc="4EEC1D10" w:tentative="1">
      <w:start w:val="1"/>
      <w:numFmt w:val="bullet"/>
      <w:lvlText w:val=""/>
      <w:lvlJc w:val="left"/>
      <w:pPr>
        <w:tabs>
          <w:tab w:val="num" w:pos="5040"/>
        </w:tabs>
        <w:ind w:left="5040" w:hanging="360"/>
      </w:pPr>
      <w:rPr>
        <w:rFonts w:ascii="Wingdings" w:hAnsi="Wingdings" w:hint="default"/>
      </w:rPr>
    </w:lvl>
    <w:lvl w:ilvl="7" w:tplc="60B6BF48" w:tentative="1">
      <w:start w:val="1"/>
      <w:numFmt w:val="bullet"/>
      <w:lvlText w:val=""/>
      <w:lvlJc w:val="left"/>
      <w:pPr>
        <w:tabs>
          <w:tab w:val="num" w:pos="5760"/>
        </w:tabs>
        <w:ind w:left="5760" w:hanging="360"/>
      </w:pPr>
      <w:rPr>
        <w:rFonts w:ascii="Wingdings" w:hAnsi="Wingdings" w:hint="default"/>
      </w:rPr>
    </w:lvl>
    <w:lvl w:ilvl="8" w:tplc="B8E2479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2F7726"/>
    <w:multiLevelType w:val="hybridMultilevel"/>
    <w:tmpl w:val="8DC2DF4C"/>
    <w:lvl w:ilvl="0" w:tplc="F68C0608">
      <w:start w:val="1"/>
      <w:numFmt w:val="bullet"/>
      <w:lvlText w:val=""/>
      <w:lvlJc w:val="left"/>
      <w:pPr>
        <w:tabs>
          <w:tab w:val="num" w:pos="720"/>
        </w:tabs>
        <w:ind w:left="720" w:hanging="360"/>
      </w:pPr>
      <w:rPr>
        <w:rFonts w:ascii="Wingdings" w:hAnsi="Wingdings" w:hint="default"/>
      </w:rPr>
    </w:lvl>
    <w:lvl w:ilvl="1" w:tplc="B1106624" w:tentative="1">
      <w:start w:val="1"/>
      <w:numFmt w:val="bullet"/>
      <w:lvlText w:val=""/>
      <w:lvlJc w:val="left"/>
      <w:pPr>
        <w:tabs>
          <w:tab w:val="num" w:pos="1440"/>
        </w:tabs>
        <w:ind w:left="1440" w:hanging="360"/>
      </w:pPr>
      <w:rPr>
        <w:rFonts w:ascii="Wingdings" w:hAnsi="Wingdings" w:hint="default"/>
      </w:rPr>
    </w:lvl>
    <w:lvl w:ilvl="2" w:tplc="D750B2BC" w:tentative="1">
      <w:start w:val="1"/>
      <w:numFmt w:val="bullet"/>
      <w:lvlText w:val=""/>
      <w:lvlJc w:val="left"/>
      <w:pPr>
        <w:tabs>
          <w:tab w:val="num" w:pos="2160"/>
        </w:tabs>
        <w:ind w:left="2160" w:hanging="360"/>
      </w:pPr>
      <w:rPr>
        <w:rFonts w:ascii="Wingdings" w:hAnsi="Wingdings" w:hint="default"/>
      </w:rPr>
    </w:lvl>
    <w:lvl w:ilvl="3" w:tplc="43DE2840" w:tentative="1">
      <w:start w:val="1"/>
      <w:numFmt w:val="bullet"/>
      <w:lvlText w:val=""/>
      <w:lvlJc w:val="left"/>
      <w:pPr>
        <w:tabs>
          <w:tab w:val="num" w:pos="2880"/>
        </w:tabs>
        <w:ind w:left="2880" w:hanging="360"/>
      </w:pPr>
      <w:rPr>
        <w:rFonts w:ascii="Wingdings" w:hAnsi="Wingdings" w:hint="default"/>
      </w:rPr>
    </w:lvl>
    <w:lvl w:ilvl="4" w:tplc="A9C0B6B2" w:tentative="1">
      <w:start w:val="1"/>
      <w:numFmt w:val="bullet"/>
      <w:lvlText w:val=""/>
      <w:lvlJc w:val="left"/>
      <w:pPr>
        <w:tabs>
          <w:tab w:val="num" w:pos="3600"/>
        </w:tabs>
        <w:ind w:left="3600" w:hanging="360"/>
      </w:pPr>
      <w:rPr>
        <w:rFonts w:ascii="Wingdings" w:hAnsi="Wingdings" w:hint="default"/>
      </w:rPr>
    </w:lvl>
    <w:lvl w:ilvl="5" w:tplc="742AFDFC" w:tentative="1">
      <w:start w:val="1"/>
      <w:numFmt w:val="bullet"/>
      <w:lvlText w:val=""/>
      <w:lvlJc w:val="left"/>
      <w:pPr>
        <w:tabs>
          <w:tab w:val="num" w:pos="4320"/>
        </w:tabs>
        <w:ind w:left="4320" w:hanging="360"/>
      </w:pPr>
      <w:rPr>
        <w:rFonts w:ascii="Wingdings" w:hAnsi="Wingdings" w:hint="default"/>
      </w:rPr>
    </w:lvl>
    <w:lvl w:ilvl="6" w:tplc="514C3182" w:tentative="1">
      <w:start w:val="1"/>
      <w:numFmt w:val="bullet"/>
      <w:lvlText w:val=""/>
      <w:lvlJc w:val="left"/>
      <w:pPr>
        <w:tabs>
          <w:tab w:val="num" w:pos="5040"/>
        </w:tabs>
        <w:ind w:left="5040" w:hanging="360"/>
      </w:pPr>
      <w:rPr>
        <w:rFonts w:ascii="Wingdings" w:hAnsi="Wingdings" w:hint="default"/>
      </w:rPr>
    </w:lvl>
    <w:lvl w:ilvl="7" w:tplc="AE8E158C" w:tentative="1">
      <w:start w:val="1"/>
      <w:numFmt w:val="bullet"/>
      <w:lvlText w:val=""/>
      <w:lvlJc w:val="left"/>
      <w:pPr>
        <w:tabs>
          <w:tab w:val="num" w:pos="5760"/>
        </w:tabs>
        <w:ind w:left="5760" w:hanging="360"/>
      </w:pPr>
      <w:rPr>
        <w:rFonts w:ascii="Wingdings" w:hAnsi="Wingdings" w:hint="default"/>
      </w:rPr>
    </w:lvl>
    <w:lvl w:ilvl="8" w:tplc="E2A2DD9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2D61AB"/>
    <w:multiLevelType w:val="hybridMultilevel"/>
    <w:tmpl w:val="2D8A81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6A736F"/>
    <w:multiLevelType w:val="hybridMultilevel"/>
    <w:tmpl w:val="6D749D86"/>
    <w:lvl w:ilvl="0" w:tplc="BB2AA948">
      <w:start w:val="1"/>
      <w:numFmt w:val="decimal"/>
      <w:lvlText w:val="%1."/>
      <w:lvlJc w:val="left"/>
      <w:pPr>
        <w:tabs>
          <w:tab w:val="num" w:pos="720"/>
        </w:tabs>
        <w:ind w:left="720" w:hanging="360"/>
      </w:pPr>
    </w:lvl>
    <w:lvl w:ilvl="1" w:tplc="E0DC12C6" w:tentative="1">
      <w:start w:val="1"/>
      <w:numFmt w:val="decimal"/>
      <w:lvlText w:val="%2."/>
      <w:lvlJc w:val="left"/>
      <w:pPr>
        <w:tabs>
          <w:tab w:val="num" w:pos="1440"/>
        </w:tabs>
        <w:ind w:left="1440" w:hanging="360"/>
      </w:pPr>
    </w:lvl>
    <w:lvl w:ilvl="2" w:tplc="A7D65EA8" w:tentative="1">
      <w:start w:val="1"/>
      <w:numFmt w:val="decimal"/>
      <w:lvlText w:val="%3."/>
      <w:lvlJc w:val="left"/>
      <w:pPr>
        <w:tabs>
          <w:tab w:val="num" w:pos="2160"/>
        </w:tabs>
        <w:ind w:left="2160" w:hanging="360"/>
      </w:pPr>
    </w:lvl>
    <w:lvl w:ilvl="3" w:tplc="AB242C4A" w:tentative="1">
      <w:start w:val="1"/>
      <w:numFmt w:val="decimal"/>
      <w:lvlText w:val="%4."/>
      <w:lvlJc w:val="left"/>
      <w:pPr>
        <w:tabs>
          <w:tab w:val="num" w:pos="2880"/>
        </w:tabs>
        <w:ind w:left="2880" w:hanging="360"/>
      </w:pPr>
    </w:lvl>
    <w:lvl w:ilvl="4" w:tplc="5F18B99A" w:tentative="1">
      <w:start w:val="1"/>
      <w:numFmt w:val="decimal"/>
      <w:lvlText w:val="%5."/>
      <w:lvlJc w:val="left"/>
      <w:pPr>
        <w:tabs>
          <w:tab w:val="num" w:pos="3600"/>
        </w:tabs>
        <w:ind w:left="3600" w:hanging="360"/>
      </w:pPr>
    </w:lvl>
    <w:lvl w:ilvl="5" w:tplc="C8CCF328" w:tentative="1">
      <w:start w:val="1"/>
      <w:numFmt w:val="decimal"/>
      <w:lvlText w:val="%6."/>
      <w:lvlJc w:val="left"/>
      <w:pPr>
        <w:tabs>
          <w:tab w:val="num" w:pos="4320"/>
        </w:tabs>
        <w:ind w:left="4320" w:hanging="360"/>
      </w:pPr>
    </w:lvl>
    <w:lvl w:ilvl="6" w:tplc="DD28FB2A" w:tentative="1">
      <w:start w:val="1"/>
      <w:numFmt w:val="decimal"/>
      <w:lvlText w:val="%7."/>
      <w:lvlJc w:val="left"/>
      <w:pPr>
        <w:tabs>
          <w:tab w:val="num" w:pos="5040"/>
        </w:tabs>
        <w:ind w:left="5040" w:hanging="360"/>
      </w:pPr>
    </w:lvl>
    <w:lvl w:ilvl="7" w:tplc="4528A376" w:tentative="1">
      <w:start w:val="1"/>
      <w:numFmt w:val="decimal"/>
      <w:lvlText w:val="%8."/>
      <w:lvlJc w:val="left"/>
      <w:pPr>
        <w:tabs>
          <w:tab w:val="num" w:pos="5760"/>
        </w:tabs>
        <w:ind w:left="5760" w:hanging="360"/>
      </w:pPr>
    </w:lvl>
    <w:lvl w:ilvl="8" w:tplc="64825422" w:tentative="1">
      <w:start w:val="1"/>
      <w:numFmt w:val="decimal"/>
      <w:lvlText w:val="%9."/>
      <w:lvlJc w:val="left"/>
      <w:pPr>
        <w:tabs>
          <w:tab w:val="num" w:pos="6480"/>
        </w:tabs>
        <w:ind w:left="6480" w:hanging="360"/>
      </w:pPr>
    </w:lvl>
  </w:abstractNum>
  <w:abstractNum w:abstractNumId="7" w15:restartNumberingAfterBreak="0">
    <w:nsid w:val="76E57AEB"/>
    <w:multiLevelType w:val="hybridMultilevel"/>
    <w:tmpl w:val="A0C63C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4C51E2"/>
    <w:multiLevelType w:val="hybridMultilevel"/>
    <w:tmpl w:val="0BE21AC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88731345">
    <w:abstractNumId w:val="5"/>
  </w:num>
  <w:num w:numId="2" w16cid:durableId="443354048">
    <w:abstractNumId w:val="8"/>
  </w:num>
  <w:num w:numId="3" w16cid:durableId="327945492">
    <w:abstractNumId w:val="3"/>
  </w:num>
  <w:num w:numId="4" w16cid:durableId="1254169350">
    <w:abstractNumId w:val="7"/>
  </w:num>
  <w:num w:numId="5" w16cid:durableId="726223235">
    <w:abstractNumId w:val="4"/>
  </w:num>
  <w:num w:numId="6" w16cid:durableId="1418747488">
    <w:abstractNumId w:val="0"/>
  </w:num>
  <w:num w:numId="7" w16cid:durableId="163984290">
    <w:abstractNumId w:val="6"/>
  </w:num>
  <w:num w:numId="8" w16cid:durableId="630133820">
    <w:abstractNumId w:val="1"/>
  </w:num>
  <w:num w:numId="9" w16cid:durableId="1881697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EAF"/>
    <w:rsid w:val="00001BED"/>
    <w:rsid w:val="00002EE8"/>
    <w:rsid w:val="0000317D"/>
    <w:rsid w:val="00003FB9"/>
    <w:rsid w:val="000072F8"/>
    <w:rsid w:val="00010054"/>
    <w:rsid w:val="00022971"/>
    <w:rsid w:val="000249C4"/>
    <w:rsid w:val="000348A7"/>
    <w:rsid w:val="0003676D"/>
    <w:rsid w:val="00041F89"/>
    <w:rsid w:val="000436D6"/>
    <w:rsid w:val="00044BA1"/>
    <w:rsid w:val="00050234"/>
    <w:rsid w:val="00055558"/>
    <w:rsid w:val="000601BA"/>
    <w:rsid w:val="00064BE5"/>
    <w:rsid w:val="000674CA"/>
    <w:rsid w:val="00070DAB"/>
    <w:rsid w:val="00073413"/>
    <w:rsid w:val="00084FA8"/>
    <w:rsid w:val="000903BA"/>
    <w:rsid w:val="000927CD"/>
    <w:rsid w:val="00092835"/>
    <w:rsid w:val="000934F8"/>
    <w:rsid w:val="000955CB"/>
    <w:rsid w:val="000A2E37"/>
    <w:rsid w:val="000A3CA4"/>
    <w:rsid w:val="000B388D"/>
    <w:rsid w:val="000C42C3"/>
    <w:rsid w:val="000D30B9"/>
    <w:rsid w:val="000D6FB8"/>
    <w:rsid w:val="000D7D01"/>
    <w:rsid w:val="000E111F"/>
    <w:rsid w:val="000E49C4"/>
    <w:rsid w:val="0010035B"/>
    <w:rsid w:val="0010340F"/>
    <w:rsid w:val="00106AB4"/>
    <w:rsid w:val="00110420"/>
    <w:rsid w:val="001138B3"/>
    <w:rsid w:val="0011720B"/>
    <w:rsid w:val="001258BD"/>
    <w:rsid w:val="00141E54"/>
    <w:rsid w:val="001467C3"/>
    <w:rsid w:val="0015686E"/>
    <w:rsid w:val="00163370"/>
    <w:rsid w:val="00172AEF"/>
    <w:rsid w:val="00175CA5"/>
    <w:rsid w:val="0018295E"/>
    <w:rsid w:val="00183B72"/>
    <w:rsid w:val="00195A6B"/>
    <w:rsid w:val="0019724B"/>
    <w:rsid w:val="001A4FB6"/>
    <w:rsid w:val="001B00A6"/>
    <w:rsid w:val="001B564D"/>
    <w:rsid w:val="001D2F2C"/>
    <w:rsid w:val="001E38E4"/>
    <w:rsid w:val="001F028B"/>
    <w:rsid w:val="001F1CEA"/>
    <w:rsid w:val="001F6E46"/>
    <w:rsid w:val="002055D1"/>
    <w:rsid w:val="00212937"/>
    <w:rsid w:val="00226DC7"/>
    <w:rsid w:val="00237EA2"/>
    <w:rsid w:val="00245AE3"/>
    <w:rsid w:val="00247AFD"/>
    <w:rsid w:val="0027107D"/>
    <w:rsid w:val="00272FAE"/>
    <w:rsid w:val="002827C4"/>
    <w:rsid w:val="00285204"/>
    <w:rsid w:val="00291C74"/>
    <w:rsid w:val="00293374"/>
    <w:rsid w:val="002A7A50"/>
    <w:rsid w:val="002B02F6"/>
    <w:rsid w:val="002D1B4A"/>
    <w:rsid w:val="002D4213"/>
    <w:rsid w:val="002D5622"/>
    <w:rsid w:val="002E5C82"/>
    <w:rsid w:val="002F4BBA"/>
    <w:rsid w:val="00300EAF"/>
    <w:rsid w:val="00301F9B"/>
    <w:rsid w:val="00302C51"/>
    <w:rsid w:val="0032395D"/>
    <w:rsid w:val="0032785B"/>
    <w:rsid w:val="00330C50"/>
    <w:rsid w:val="00331BB1"/>
    <w:rsid w:val="00333835"/>
    <w:rsid w:val="003338B4"/>
    <w:rsid w:val="003401B1"/>
    <w:rsid w:val="00350E20"/>
    <w:rsid w:val="00360584"/>
    <w:rsid w:val="00360C6D"/>
    <w:rsid w:val="00363443"/>
    <w:rsid w:val="00370DF7"/>
    <w:rsid w:val="00372882"/>
    <w:rsid w:val="0037393A"/>
    <w:rsid w:val="003756F7"/>
    <w:rsid w:val="003872BA"/>
    <w:rsid w:val="00391C1D"/>
    <w:rsid w:val="003A1C0A"/>
    <w:rsid w:val="003A2B15"/>
    <w:rsid w:val="003A6B6F"/>
    <w:rsid w:val="003A7016"/>
    <w:rsid w:val="003A7281"/>
    <w:rsid w:val="003B3D91"/>
    <w:rsid w:val="003B6AAA"/>
    <w:rsid w:val="003C041D"/>
    <w:rsid w:val="003C5F98"/>
    <w:rsid w:val="003D2A34"/>
    <w:rsid w:val="003D5BD3"/>
    <w:rsid w:val="003E0170"/>
    <w:rsid w:val="003E7B76"/>
    <w:rsid w:val="004027C3"/>
    <w:rsid w:val="0040572D"/>
    <w:rsid w:val="00410AD0"/>
    <w:rsid w:val="004126DE"/>
    <w:rsid w:val="004138B9"/>
    <w:rsid w:val="00413929"/>
    <w:rsid w:val="004201AD"/>
    <w:rsid w:val="0043147A"/>
    <w:rsid w:val="004318D9"/>
    <w:rsid w:val="004331B7"/>
    <w:rsid w:val="00454B01"/>
    <w:rsid w:val="00457947"/>
    <w:rsid w:val="00476EC4"/>
    <w:rsid w:val="004A6EB2"/>
    <w:rsid w:val="004B7835"/>
    <w:rsid w:val="004C2591"/>
    <w:rsid w:val="004C38AB"/>
    <w:rsid w:val="004C3A84"/>
    <w:rsid w:val="004D7BCC"/>
    <w:rsid w:val="004E1948"/>
    <w:rsid w:val="004F3CA7"/>
    <w:rsid w:val="004F69BA"/>
    <w:rsid w:val="00502037"/>
    <w:rsid w:val="00505F14"/>
    <w:rsid w:val="005159D4"/>
    <w:rsid w:val="0053332C"/>
    <w:rsid w:val="00557AA5"/>
    <w:rsid w:val="00557BE3"/>
    <w:rsid w:val="005623B4"/>
    <w:rsid w:val="00564403"/>
    <w:rsid w:val="00564E8D"/>
    <w:rsid w:val="005655C2"/>
    <w:rsid w:val="00570607"/>
    <w:rsid w:val="00583640"/>
    <w:rsid w:val="005848CD"/>
    <w:rsid w:val="005931AE"/>
    <w:rsid w:val="005A0653"/>
    <w:rsid w:val="005B1D88"/>
    <w:rsid w:val="005B78D3"/>
    <w:rsid w:val="005D0502"/>
    <w:rsid w:val="005D4A9C"/>
    <w:rsid w:val="005E167E"/>
    <w:rsid w:val="005E4D68"/>
    <w:rsid w:val="005F3AF6"/>
    <w:rsid w:val="005F68AB"/>
    <w:rsid w:val="005F77BA"/>
    <w:rsid w:val="00607334"/>
    <w:rsid w:val="00627E3F"/>
    <w:rsid w:val="0064238A"/>
    <w:rsid w:val="00643BD2"/>
    <w:rsid w:val="00645E51"/>
    <w:rsid w:val="00646AFE"/>
    <w:rsid w:val="00651B56"/>
    <w:rsid w:val="00660D71"/>
    <w:rsid w:val="00662AB9"/>
    <w:rsid w:val="00671265"/>
    <w:rsid w:val="0068254E"/>
    <w:rsid w:val="00682882"/>
    <w:rsid w:val="006879B5"/>
    <w:rsid w:val="006A64E8"/>
    <w:rsid w:val="006A6AC7"/>
    <w:rsid w:val="006A6CCA"/>
    <w:rsid w:val="006B7300"/>
    <w:rsid w:val="006D006D"/>
    <w:rsid w:val="006D2155"/>
    <w:rsid w:val="006D62EB"/>
    <w:rsid w:val="006E0255"/>
    <w:rsid w:val="006F1AC3"/>
    <w:rsid w:val="006F6AB4"/>
    <w:rsid w:val="007018F7"/>
    <w:rsid w:val="00702CAC"/>
    <w:rsid w:val="0070714C"/>
    <w:rsid w:val="00751683"/>
    <w:rsid w:val="00753BD9"/>
    <w:rsid w:val="00757F50"/>
    <w:rsid w:val="007609F8"/>
    <w:rsid w:val="00765F96"/>
    <w:rsid w:val="00765F99"/>
    <w:rsid w:val="007723F4"/>
    <w:rsid w:val="00773D9B"/>
    <w:rsid w:val="00775427"/>
    <w:rsid w:val="00775834"/>
    <w:rsid w:val="00776742"/>
    <w:rsid w:val="00786097"/>
    <w:rsid w:val="00793976"/>
    <w:rsid w:val="00795968"/>
    <w:rsid w:val="0079628F"/>
    <w:rsid w:val="007B1122"/>
    <w:rsid w:val="007B4CF5"/>
    <w:rsid w:val="007B5892"/>
    <w:rsid w:val="007B6F7D"/>
    <w:rsid w:val="007C32A5"/>
    <w:rsid w:val="007E0B77"/>
    <w:rsid w:val="007E6DD1"/>
    <w:rsid w:val="007E73F5"/>
    <w:rsid w:val="007F099C"/>
    <w:rsid w:val="007F1368"/>
    <w:rsid w:val="007F4041"/>
    <w:rsid w:val="00806C03"/>
    <w:rsid w:val="00821DEC"/>
    <w:rsid w:val="00823314"/>
    <w:rsid w:val="00824879"/>
    <w:rsid w:val="0082779E"/>
    <w:rsid w:val="00833358"/>
    <w:rsid w:val="00833ECB"/>
    <w:rsid w:val="00837910"/>
    <w:rsid w:val="00841E8D"/>
    <w:rsid w:val="0085396A"/>
    <w:rsid w:val="008554AD"/>
    <w:rsid w:val="00855671"/>
    <w:rsid w:val="008560A4"/>
    <w:rsid w:val="0085610F"/>
    <w:rsid w:val="00864A8F"/>
    <w:rsid w:val="00873DAE"/>
    <w:rsid w:val="00880BFF"/>
    <w:rsid w:val="00891683"/>
    <w:rsid w:val="00894EEF"/>
    <w:rsid w:val="008A5E67"/>
    <w:rsid w:val="008B216F"/>
    <w:rsid w:val="008C0C44"/>
    <w:rsid w:val="008C2FD5"/>
    <w:rsid w:val="008C48FA"/>
    <w:rsid w:val="008C4EE0"/>
    <w:rsid w:val="008F47A9"/>
    <w:rsid w:val="008F7062"/>
    <w:rsid w:val="00901535"/>
    <w:rsid w:val="00903BCF"/>
    <w:rsid w:val="00903CE3"/>
    <w:rsid w:val="009069AD"/>
    <w:rsid w:val="009070C1"/>
    <w:rsid w:val="00907421"/>
    <w:rsid w:val="0091795B"/>
    <w:rsid w:val="0092335B"/>
    <w:rsid w:val="00926DB3"/>
    <w:rsid w:val="00935CFC"/>
    <w:rsid w:val="0093710C"/>
    <w:rsid w:val="00940A6A"/>
    <w:rsid w:val="00964112"/>
    <w:rsid w:val="009647CA"/>
    <w:rsid w:val="00977860"/>
    <w:rsid w:val="00980A1F"/>
    <w:rsid w:val="009951FA"/>
    <w:rsid w:val="0099683B"/>
    <w:rsid w:val="00996AA9"/>
    <w:rsid w:val="009A29E1"/>
    <w:rsid w:val="009A3ADA"/>
    <w:rsid w:val="009A7EAF"/>
    <w:rsid w:val="009B0176"/>
    <w:rsid w:val="009B079C"/>
    <w:rsid w:val="009B1EFC"/>
    <w:rsid w:val="009B2821"/>
    <w:rsid w:val="009B353D"/>
    <w:rsid w:val="009B6596"/>
    <w:rsid w:val="009C3312"/>
    <w:rsid w:val="009D4FC1"/>
    <w:rsid w:val="009E0DE0"/>
    <w:rsid w:val="009E1D6E"/>
    <w:rsid w:val="009E20F9"/>
    <w:rsid w:val="009F6F79"/>
    <w:rsid w:val="00A015C7"/>
    <w:rsid w:val="00A05F48"/>
    <w:rsid w:val="00A12B7B"/>
    <w:rsid w:val="00A214BA"/>
    <w:rsid w:val="00A22925"/>
    <w:rsid w:val="00A24BAA"/>
    <w:rsid w:val="00A25924"/>
    <w:rsid w:val="00A30977"/>
    <w:rsid w:val="00A30D90"/>
    <w:rsid w:val="00A30E9B"/>
    <w:rsid w:val="00A362F2"/>
    <w:rsid w:val="00A563EA"/>
    <w:rsid w:val="00A613A6"/>
    <w:rsid w:val="00A6194F"/>
    <w:rsid w:val="00A61C90"/>
    <w:rsid w:val="00A63CE9"/>
    <w:rsid w:val="00A65F87"/>
    <w:rsid w:val="00A72C45"/>
    <w:rsid w:val="00A74F63"/>
    <w:rsid w:val="00A77203"/>
    <w:rsid w:val="00A836A2"/>
    <w:rsid w:val="00AA24BA"/>
    <w:rsid w:val="00AA2CAC"/>
    <w:rsid w:val="00AA4EF1"/>
    <w:rsid w:val="00AA6E27"/>
    <w:rsid w:val="00AB07B5"/>
    <w:rsid w:val="00AD10C2"/>
    <w:rsid w:val="00AD69AC"/>
    <w:rsid w:val="00AE163E"/>
    <w:rsid w:val="00AF04E5"/>
    <w:rsid w:val="00AF6EAA"/>
    <w:rsid w:val="00B014F6"/>
    <w:rsid w:val="00B021AF"/>
    <w:rsid w:val="00B27E0C"/>
    <w:rsid w:val="00B32A9F"/>
    <w:rsid w:val="00B34E38"/>
    <w:rsid w:val="00B35B8E"/>
    <w:rsid w:val="00B4067B"/>
    <w:rsid w:val="00B41A95"/>
    <w:rsid w:val="00B459F5"/>
    <w:rsid w:val="00B45C83"/>
    <w:rsid w:val="00B54134"/>
    <w:rsid w:val="00B61EDD"/>
    <w:rsid w:val="00B76981"/>
    <w:rsid w:val="00B85094"/>
    <w:rsid w:val="00B90C36"/>
    <w:rsid w:val="00B92718"/>
    <w:rsid w:val="00B94695"/>
    <w:rsid w:val="00B96823"/>
    <w:rsid w:val="00BA130B"/>
    <w:rsid w:val="00BA179F"/>
    <w:rsid w:val="00BA3593"/>
    <w:rsid w:val="00BA4FE6"/>
    <w:rsid w:val="00BB2070"/>
    <w:rsid w:val="00BB570A"/>
    <w:rsid w:val="00BB5D37"/>
    <w:rsid w:val="00BB5E5F"/>
    <w:rsid w:val="00BD37A7"/>
    <w:rsid w:val="00BD68D5"/>
    <w:rsid w:val="00BE5B28"/>
    <w:rsid w:val="00BE7795"/>
    <w:rsid w:val="00BF13C1"/>
    <w:rsid w:val="00BF446A"/>
    <w:rsid w:val="00C00148"/>
    <w:rsid w:val="00C028E3"/>
    <w:rsid w:val="00C230D8"/>
    <w:rsid w:val="00C410CD"/>
    <w:rsid w:val="00C638CF"/>
    <w:rsid w:val="00C738D5"/>
    <w:rsid w:val="00C772C8"/>
    <w:rsid w:val="00C8402F"/>
    <w:rsid w:val="00C950D2"/>
    <w:rsid w:val="00C96FB7"/>
    <w:rsid w:val="00C97F40"/>
    <w:rsid w:val="00CA4650"/>
    <w:rsid w:val="00CA6A1A"/>
    <w:rsid w:val="00CB33D2"/>
    <w:rsid w:val="00CB3A32"/>
    <w:rsid w:val="00CB5DF9"/>
    <w:rsid w:val="00CD2DAD"/>
    <w:rsid w:val="00CD6F77"/>
    <w:rsid w:val="00CE02E5"/>
    <w:rsid w:val="00CF0DC3"/>
    <w:rsid w:val="00CF6EBB"/>
    <w:rsid w:val="00D00AA8"/>
    <w:rsid w:val="00D04F82"/>
    <w:rsid w:val="00D0617E"/>
    <w:rsid w:val="00D14FFD"/>
    <w:rsid w:val="00D15CA6"/>
    <w:rsid w:val="00D20217"/>
    <w:rsid w:val="00D21778"/>
    <w:rsid w:val="00D25DD0"/>
    <w:rsid w:val="00D31B07"/>
    <w:rsid w:val="00D353B3"/>
    <w:rsid w:val="00D502D1"/>
    <w:rsid w:val="00D5052C"/>
    <w:rsid w:val="00D612F2"/>
    <w:rsid w:val="00D64271"/>
    <w:rsid w:val="00D76E60"/>
    <w:rsid w:val="00D771DD"/>
    <w:rsid w:val="00D848D7"/>
    <w:rsid w:val="00D90BE5"/>
    <w:rsid w:val="00D93C2C"/>
    <w:rsid w:val="00D97238"/>
    <w:rsid w:val="00D976D9"/>
    <w:rsid w:val="00DA2BAE"/>
    <w:rsid w:val="00DA5BBB"/>
    <w:rsid w:val="00DB183F"/>
    <w:rsid w:val="00DC2965"/>
    <w:rsid w:val="00DE00B5"/>
    <w:rsid w:val="00DE67BA"/>
    <w:rsid w:val="00DF3325"/>
    <w:rsid w:val="00DF6244"/>
    <w:rsid w:val="00E00CD7"/>
    <w:rsid w:val="00E024BC"/>
    <w:rsid w:val="00E057C9"/>
    <w:rsid w:val="00E05BED"/>
    <w:rsid w:val="00E11590"/>
    <w:rsid w:val="00E15CDF"/>
    <w:rsid w:val="00E17742"/>
    <w:rsid w:val="00E17D63"/>
    <w:rsid w:val="00E23E9C"/>
    <w:rsid w:val="00E30E84"/>
    <w:rsid w:val="00E502D6"/>
    <w:rsid w:val="00E509DD"/>
    <w:rsid w:val="00E530B4"/>
    <w:rsid w:val="00E618A8"/>
    <w:rsid w:val="00E65188"/>
    <w:rsid w:val="00E74377"/>
    <w:rsid w:val="00E9203E"/>
    <w:rsid w:val="00E93CB4"/>
    <w:rsid w:val="00EA4443"/>
    <w:rsid w:val="00EA4C2A"/>
    <w:rsid w:val="00EA5547"/>
    <w:rsid w:val="00EA61C7"/>
    <w:rsid w:val="00EB24DF"/>
    <w:rsid w:val="00EB6472"/>
    <w:rsid w:val="00EC5E81"/>
    <w:rsid w:val="00EE5E40"/>
    <w:rsid w:val="00EF1F19"/>
    <w:rsid w:val="00EF6046"/>
    <w:rsid w:val="00EF7174"/>
    <w:rsid w:val="00F03B2B"/>
    <w:rsid w:val="00F10AF1"/>
    <w:rsid w:val="00F30E77"/>
    <w:rsid w:val="00F33A3B"/>
    <w:rsid w:val="00F379F1"/>
    <w:rsid w:val="00F400D9"/>
    <w:rsid w:val="00F515F1"/>
    <w:rsid w:val="00F5283B"/>
    <w:rsid w:val="00F55217"/>
    <w:rsid w:val="00F63FF4"/>
    <w:rsid w:val="00F72E17"/>
    <w:rsid w:val="00F832D7"/>
    <w:rsid w:val="00F84ADD"/>
    <w:rsid w:val="00F91950"/>
    <w:rsid w:val="00F94CB6"/>
    <w:rsid w:val="00F95432"/>
    <w:rsid w:val="00FA1078"/>
    <w:rsid w:val="00FA3CB5"/>
    <w:rsid w:val="00FA6770"/>
    <w:rsid w:val="00FB1419"/>
    <w:rsid w:val="00FB3D99"/>
    <w:rsid w:val="00FB4B19"/>
    <w:rsid w:val="00FC5D22"/>
    <w:rsid w:val="00FD1BFE"/>
    <w:rsid w:val="00FD3D7D"/>
    <w:rsid w:val="00FE5A3C"/>
    <w:rsid w:val="00FF102F"/>
    <w:rsid w:val="00FF275E"/>
    <w:rsid w:val="00FF3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2D0E"/>
  <w15:chartTrackingRefBased/>
  <w15:docId w15:val="{F470AFFD-CB1F-452D-BA79-7E3A0B27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E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E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E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E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E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E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E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E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E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E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E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E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E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E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E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E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E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EAF"/>
    <w:rPr>
      <w:rFonts w:eastAsiaTheme="majorEastAsia" w:cstheme="majorBidi"/>
      <w:color w:val="272727" w:themeColor="text1" w:themeTint="D8"/>
    </w:rPr>
  </w:style>
  <w:style w:type="paragraph" w:styleId="Title">
    <w:name w:val="Title"/>
    <w:basedOn w:val="Normal"/>
    <w:next w:val="Normal"/>
    <w:link w:val="TitleChar"/>
    <w:uiPriority w:val="10"/>
    <w:qFormat/>
    <w:rsid w:val="00300E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E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E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E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EAF"/>
    <w:pPr>
      <w:spacing w:before="160"/>
      <w:jc w:val="center"/>
    </w:pPr>
    <w:rPr>
      <w:i/>
      <w:iCs/>
      <w:color w:val="404040" w:themeColor="text1" w:themeTint="BF"/>
    </w:rPr>
  </w:style>
  <w:style w:type="character" w:customStyle="1" w:styleId="QuoteChar">
    <w:name w:val="Quote Char"/>
    <w:basedOn w:val="DefaultParagraphFont"/>
    <w:link w:val="Quote"/>
    <w:uiPriority w:val="29"/>
    <w:rsid w:val="00300EAF"/>
    <w:rPr>
      <w:i/>
      <w:iCs/>
      <w:color w:val="404040" w:themeColor="text1" w:themeTint="BF"/>
    </w:rPr>
  </w:style>
  <w:style w:type="paragraph" w:styleId="ListParagraph">
    <w:name w:val="List Paragraph"/>
    <w:basedOn w:val="Normal"/>
    <w:uiPriority w:val="34"/>
    <w:qFormat/>
    <w:rsid w:val="00300EAF"/>
    <w:pPr>
      <w:ind w:left="720"/>
      <w:contextualSpacing/>
    </w:pPr>
  </w:style>
  <w:style w:type="character" w:styleId="IntenseEmphasis">
    <w:name w:val="Intense Emphasis"/>
    <w:basedOn w:val="DefaultParagraphFont"/>
    <w:uiPriority w:val="21"/>
    <w:qFormat/>
    <w:rsid w:val="00300EAF"/>
    <w:rPr>
      <w:i/>
      <w:iCs/>
      <w:color w:val="0F4761" w:themeColor="accent1" w:themeShade="BF"/>
    </w:rPr>
  </w:style>
  <w:style w:type="paragraph" w:styleId="IntenseQuote">
    <w:name w:val="Intense Quote"/>
    <w:basedOn w:val="Normal"/>
    <w:next w:val="Normal"/>
    <w:link w:val="IntenseQuoteChar"/>
    <w:uiPriority w:val="30"/>
    <w:qFormat/>
    <w:rsid w:val="00300E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EAF"/>
    <w:rPr>
      <w:i/>
      <w:iCs/>
      <w:color w:val="0F4761" w:themeColor="accent1" w:themeShade="BF"/>
    </w:rPr>
  </w:style>
  <w:style w:type="character" w:styleId="IntenseReference">
    <w:name w:val="Intense Reference"/>
    <w:basedOn w:val="DefaultParagraphFont"/>
    <w:uiPriority w:val="32"/>
    <w:qFormat/>
    <w:rsid w:val="00300EAF"/>
    <w:rPr>
      <w:b/>
      <w:bCs/>
      <w:smallCaps/>
      <w:color w:val="0F4761" w:themeColor="accent1" w:themeShade="BF"/>
      <w:spacing w:val="5"/>
    </w:rPr>
  </w:style>
  <w:style w:type="character" w:styleId="Hyperlink">
    <w:name w:val="Hyperlink"/>
    <w:basedOn w:val="DefaultParagraphFont"/>
    <w:uiPriority w:val="99"/>
    <w:unhideWhenUsed/>
    <w:rsid w:val="000E111F"/>
    <w:rPr>
      <w:color w:val="467886" w:themeColor="hyperlink"/>
      <w:u w:val="single"/>
    </w:rPr>
  </w:style>
  <w:style w:type="character" w:styleId="UnresolvedMention">
    <w:name w:val="Unresolved Mention"/>
    <w:basedOn w:val="DefaultParagraphFont"/>
    <w:uiPriority w:val="99"/>
    <w:semiHidden/>
    <w:unhideWhenUsed/>
    <w:rsid w:val="000E111F"/>
    <w:rPr>
      <w:color w:val="605E5C"/>
      <w:shd w:val="clear" w:color="auto" w:fill="E1DFDD"/>
    </w:rPr>
  </w:style>
  <w:style w:type="character" w:styleId="CommentReference">
    <w:name w:val="annotation reference"/>
    <w:basedOn w:val="DefaultParagraphFont"/>
    <w:uiPriority w:val="99"/>
    <w:semiHidden/>
    <w:unhideWhenUsed/>
    <w:rsid w:val="00757F50"/>
    <w:rPr>
      <w:sz w:val="16"/>
      <w:szCs w:val="16"/>
    </w:rPr>
  </w:style>
  <w:style w:type="paragraph" w:styleId="CommentText">
    <w:name w:val="annotation text"/>
    <w:basedOn w:val="Normal"/>
    <w:link w:val="CommentTextChar"/>
    <w:uiPriority w:val="99"/>
    <w:unhideWhenUsed/>
    <w:rsid w:val="00757F50"/>
    <w:pPr>
      <w:spacing w:line="240" w:lineRule="auto"/>
    </w:pPr>
    <w:rPr>
      <w:sz w:val="20"/>
      <w:szCs w:val="20"/>
    </w:rPr>
  </w:style>
  <w:style w:type="character" w:customStyle="1" w:styleId="CommentTextChar">
    <w:name w:val="Comment Text Char"/>
    <w:basedOn w:val="DefaultParagraphFont"/>
    <w:link w:val="CommentText"/>
    <w:uiPriority w:val="99"/>
    <w:rsid w:val="00757F50"/>
    <w:rPr>
      <w:sz w:val="20"/>
      <w:szCs w:val="20"/>
    </w:rPr>
  </w:style>
  <w:style w:type="paragraph" w:styleId="CommentSubject">
    <w:name w:val="annotation subject"/>
    <w:basedOn w:val="CommentText"/>
    <w:next w:val="CommentText"/>
    <w:link w:val="CommentSubjectChar"/>
    <w:uiPriority w:val="99"/>
    <w:semiHidden/>
    <w:unhideWhenUsed/>
    <w:rsid w:val="00757F50"/>
    <w:rPr>
      <w:b/>
      <w:bCs/>
    </w:rPr>
  </w:style>
  <w:style w:type="character" w:customStyle="1" w:styleId="CommentSubjectChar">
    <w:name w:val="Comment Subject Char"/>
    <w:basedOn w:val="CommentTextChar"/>
    <w:link w:val="CommentSubject"/>
    <w:uiPriority w:val="99"/>
    <w:semiHidden/>
    <w:rsid w:val="00757F50"/>
    <w:rPr>
      <w:b/>
      <w:bCs/>
      <w:sz w:val="20"/>
      <w:szCs w:val="20"/>
    </w:rPr>
  </w:style>
  <w:style w:type="character" w:styleId="FollowedHyperlink">
    <w:name w:val="FollowedHyperlink"/>
    <w:basedOn w:val="DefaultParagraphFont"/>
    <w:uiPriority w:val="99"/>
    <w:semiHidden/>
    <w:unhideWhenUsed/>
    <w:rsid w:val="00360C6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938987">
      <w:bodyDiv w:val="1"/>
      <w:marLeft w:val="0"/>
      <w:marRight w:val="0"/>
      <w:marTop w:val="0"/>
      <w:marBottom w:val="0"/>
      <w:divBdr>
        <w:top w:val="none" w:sz="0" w:space="0" w:color="auto"/>
        <w:left w:val="none" w:sz="0" w:space="0" w:color="auto"/>
        <w:bottom w:val="none" w:sz="0" w:space="0" w:color="auto"/>
        <w:right w:val="none" w:sz="0" w:space="0" w:color="auto"/>
      </w:divBdr>
    </w:div>
    <w:div w:id="799569619">
      <w:bodyDiv w:val="1"/>
      <w:marLeft w:val="0"/>
      <w:marRight w:val="0"/>
      <w:marTop w:val="0"/>
      <w:marBottom w:val="0"/>
      <w:divBdr>
        <w:top w:val="none" w:sz="0" w:space="0" w:color="auto"/>
        <w:left w:val="none" w:sz="0" w:space="0" w:color="auto"/>
        <w:bottom w:val="none" w:sz="0" w:space="0" w:color="auto"/>
        <w:right w:val="none" w:sz="0" w:space="0" w:color="auto"/>
      </w:divBdr>
      <w:divsChild>
        <w:div w:id="1738089789">
          <w:marLeft w:val="720"/>
          <w:marRight w:val="0"/>
          <w:marTop w:val="0"/>
          <w:marBottom w:val="0"/>
          <w:divBdr>
            <w:top w:val="none" w:sz="0" w:space="0" w:color="auto"/>
            <w:left w:val="none" w:sz="0" w:space="0" w:color="auto"/>
            <w:bottom w:val="none" w:sz="0" w:space="0" w:color="auto"/>
            <w:right w:val="none" w:sz="0" w:space="0" w:color="auto"/>
          </w:divBdr>
        </w:div>
      </w:divsChild>
    </w:div>
    <w:div w:id="822503987">
      <w:bodyDiv w:val="1"/>
      <w:marLeft w:val="0"/>
      <w:marRight w:val="0"/>
      <w:marTop w:val="0"/>
      <w:marBottom w:val="0"/>
      <w:divBdr>
        <w:top w:val="none" w:sz="0" w:space="0" w:color="auto"/>
        <w:left w:val="none" w:sz="0" w:space="0" w:color="auto"/>
        <w:bottom w:val="none" w:sz="0" w:space="0" w:color="auto"/>
        <w:right w:val="none" w:sz="0" w:space="0" w:color="auto"/>
      </w:divBdr>
    </w:div>
    <w:div w:id="1213083472">
      <w:bodyDiv w:val="1"/>
      <w:marLeft w:val="0"/>
      <w:marRight w:val="0"/>
      <w:marTop w:val="0"/>
      <w:marBottom w:val="0"/>
      <w:divBdr>
        <w:top w:val="none" w:sz="0" w:space="0" w:color="auto"/>
        <w:left w:val="none" w:sz="0" w:space="0" w:color="auto"/>
        <w:bottom w:val="none" w:sz="0" w:space="0" w:color="auto"/>
        <w:right w:val="none" w:sz="0" w:space="0" w:color="auto"/>
      </w:divBdr>
      <w:divsChild>
        <w:div w:id="221528033">
          <w:marLeft w:val="274"/>
          <w:marRight w:val="0"/>
          <w:marTop w:val="0"/>
          <w:marBottom w:val="120"/>
          <w:divBdr>
            <w:top w:val="none" w:sz="0" w:space="0" w:color="auto"/>
            <w:left w:val="none" w:sz="0" w:space="0" w:color="auto"/>
            <w:bottom w:val="none" w:sz="0" w:space="0" w:color="auto"/>
            <w:right w:val="none" w:sz="0" w:space="0" w:color="auto"/>
          </w:divBdr>
        </w:div>
      </w:divsChild>
    </w:div>
    <w:div w:id="1554733705">
      <w:bodyDiv w:val="1"/>
      <w:marLeft w:val="0"/>
      <w:marRight w:val="0"/>
      <w:marTop w:val="0"/>
      <w:marBottom w:val="0"/>
      <w:divBdr>
        <w:top w:val="none" w:sz="0" w:space="0" w:color="auto"/>
        <w:left w:val="none" w:sz="0" w:space="0" w:color="auto"/>
        <w:bottom w:val="none" w:sz="0" w:space="0" w:color="auto"/>
        <w:right w:val="none" w:sz="0" w:space="0" w:color="auto"/>
      </w:divBdr>
      <w:divsChild>
        <w:div w:id="42490615">
          <w:marLeft w:val="274"/>
          <w:marRight w:val="0"/>
          <w:marTop w:val="0"/>
          <w:marBottom w:val="120"/>
          <w:divBdr>
            <w:top w:val="none" w:sz="0" w:space="0" w:color="auto"/>
            <w:left w:val="none" w:sz="0" w:space="0" w:color="auto"/>
            <w:bottom w:val="none" w:sz="0" w:space="0" w:color="auto"/>
            <w:right w:val="none" w:sz="0" w:space="0" w:color="auto"/>
          </w:divBdr>
        </w:div>
        <w:div w:id="1315135309">
          <w:marLeft w:val="274"/>
          <w:marRight w:val="0"/>
          <w:marTop w:val="0"/>
          <w:marBottom w:val="120"/>
          <w:divBdr>
            <w:top w:val="none" w:sz="0" w:space="0" w:color="auto"/>
            <w:left w:val="none" w:sz="0" w:space="0" w:color="auto"/>
            <w:bottom w:val="none" w:sz="0" w:space="0" w:color="auto"/>
            <w:right w:val="none" w:sz="0" w:space="0" w:color="auto"/>
          </w:divBdr>
        </w:div>
        <w:div w:id="1176918951">
          <w:marLeft w:val="274"/>
          <w:marRight w:val="0"/>
          <w:marTop w:val="0"/>
          <w:marBottom w:val="120"/>
          <w:divBdr>
            <w:top w:val="none" w:sz="0" w:space="0" w:color="auto"/>
            <w:left w:val="none" w:sz="0" w:space="0" w:color="auto"/>
            <w:bottom w:val="none" w:sz="0" w:space="0" w:color="auto"/>
            <w:right w:val="none" w:sz="0" w:space="0" w:color="auto"/>
          </w:divBdr>
        </w:div>
        <w:div w:id="2076201116">
          <w:marLeft w:val="274"/>
          <w:marRight w:val="0"/>
          <w:marTop w:val="0"/>
          <w:marBottom w:val="120"/>
          <w:divBdr>
            <w:top w:val="none" w:sz="0" w:space="0" w:color="auto"/>
            <w:left w:val="none" w:sz="0" w:space="0" w:color="auto"/>
            <w:bottom w:val="none" w:sz="0" w:space="0" w:color="auto"/>
            <w:right w:val="none" w:sz="0" w:space="0" w:color="auto"/>
          </w:divBdr>
        </w:div>
        <w:div w:id="1693140180">
          <w:marLeft w:val="274"/>
          <w:marRight w:val="0"/>
          <w:marTop w:val="0"/>
          <w:marBottom w:val="120"/>
          <w:divBdr>
            <w:top w:val="none" w:sz="0" w:space="0" w:color="auto"/>
            <w:left w:val="none" w:sz="0" w:space="0" w:color="auto"/>
            <w:bottom w:val="none" w:sz="0" w:space="0" w:color="auto"/>
            <w:right w:val="none" w:sz="0" w:space="0" w:color="auto"/>
          </w:divBdr>
        </w:div>
        <w:div w:id="1915168052">
          <w:marLeft w:val="274"/>
          <w:marRight w:val="0"/>
          <w:marTop w:val="0"/>
          <w:marBottom w:val="120"/>
          <w:divBdr>
            <w:top w:val="none" w:sz="0" w:space="0" w:color="auto"/>
            <w:left w:val="none" w:sz="0" w:space="0" w:color="auto"/>
            <w:bottom w:val="none" w:sz="0" w:space="0" w:color="auto"/>
            <w:right w:val="none" w:sz="0" w:space="0" w:color="auto"/>
          </w:divBdr>
        </w:div>
      </w:divsChild>
    </w:div>
    <w:div w:id="1623614448">
      <w:bodyDiv w:val="1"/>
      <w:marLeft w:val="0"/>
      <w:marRight w:val="0"/>
      <w:marTop w:val="0"/>
      <w:marBottom w:val="0"/>
      <w:divBdr>
        <w:top w:val="none" w:sz="0" w:space="0" w:color="auto"/>
        <w:left w:val="none" w:sz="0" w:space="0" w:color="auto"/>
        <w:bottom w:val="none" w:sz="0" w:space="0" w:color="auto"/>
        <w:right w:val="none" w:sz="0" w:space="0" w:color="auto"/>
      </w:divBdr>
      <w:divsChild>
        <w:div w:id="1864130656">
          <w:marLeft w:val="720"/>
          <w:marRight w:val="0"/>
          <w:marTop w:val="0"/>
          <w:marBottom w:val="0"/>
          <w:divBdr>
            <w:top w:val="none" w:sz="0" w:space="0" w:color="auto"/>
            <w:left w:val="none" w:sz="0" w:space="0" w:color="auto"/>
            <w:bottom w:val="none" w:sz="0" w:space="0" w:color="auto"/>
            <w:right w:val="none" w:sz="0" w:space="0" w:color="auto"/>
          </w:divBdr>
        </w:div>
      </w:divsChild>
    </w:div>
    <w:div w:id="1942105818">
      <w:bodyDiv w:val="1"/>
      <w:marLeft w:val="0"/>
      <w:marRight w:val="0"/>
      <w:marTop w:val="0"/>
      <w:marBottom w:val="0"/>
      <w:divBdr>
        <w:top w:val="none" w:sz="0" w:space="0" w:color="auto"/>
        <w:left w:val="none" w:sz="0" w:space="0" w:color="auto"/>
        <w:bottom w:val="none" w:sz="0" w:space="0" w:color="auto"/>
        <w:right w:val="none" w:sz="0" w:space="0" w:color="auto"/>
      </w:divBdr>
      <w:divsChild>
        <w:div w:id="2041710220">
          <w:marLeft w:val="187"/>
          <w:marRight w:val="0"/>
          <w:marTop w:val="200"/>
          <w:marBottom w:val="0"/>
          <w:divBdr>
            <w:top w:val="none" w:sz="0" w:space="0" w:color="auto"/>
            <w:left w:val="none" w:sz="0" w:space="0" w:color="auto"/>
            <w:bottom w:val="none" w:sz="0" w:space="0" w:color="auto"/>
            <w:right w:val="none" w:sz="0" w:space="0" w:color="auto"/>
          </w:divBdr>
        </w:div>
        <w:div w:id="381641428">
          <w:marLeft w:val="187"/>
          <w:marRight w:val="0"/>
          <w:marTop w:val="200"/>
          <w:marBottom w:val="0"/>
          <w:divBdr>
            <w:top w:val="none" w:sz="0" w:space="0" w:color="auto"/>
            <w:left w:val="none" w:sz="0" w:space="0" w:color="auto"/>
            <w:bottom w:val="none" w:sz="0" w:space="0" w:color="auto"/>
            <w:right w:val="none" w:sz="0" w:space="0" w:color="auto"/>
          </w:divBdr>
        </w:div>
      </w:divsChild>
    </w:div>
    <w:div w:id="194441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files/docs/2024/09/16/ERCOT%20Advanced%20Grid%20Support%20ESR%20Test%20Requirement_.pdf" TargetMode="External"/><Relationship Id="rId13" Type="http://schemas.openxmlformats.org/officeDocument/2006/relationships/image" Target="media/image3.png"/><Relationship Id="rId18" Type="http://schemas.openxmlformats.org/officeDocument/2006/relationships/hyperlink" Target="https://www.esig.energy/working-users-groups/reliability/grid-forming/gfm-landscape/projects/" TargetMode="External"/><Relationship Id="rId3" Type="http://schemas.openxmlformats.org/officeDocument/2006/relationships/settings" Target="settings.xml"/><Relationship Id="rId7" Type="http://schemas.openxmlformats.org/officeDocument/2006/relationships/hyperlink" Target="https://www.nerc.com/pa/Stand/Pages/Project-2024-01-Rules-of-Procedure-Definitions-Alignment_GO-and-GOP.aspx" TargetMode="External"/><Relationship Id="rId12" Type="http://schemas.openxmlformats.org/officeDocument/2006/relationships/image" Target="media/image2.png"/><Relationship Id="rId17" Type="http://schemas.openxmlformats.org/officeDocument/2006/relationships/hyperlink" Target="https://www.ercot.com/services/rq/integration" TargetMode="External"/><Relationship Id="rId2" Type="http://schemas.openxmlformats.org/officeDocument/2006/relationships/styles" Target="styles.xml"/><Relationship Id="rId16" Type="http://schemas.openxmlformats.org/officeDocument/2006/relationships/hyperlink" Target="https://www.ercot.com/files/docs/2018/04/04/Inertia_Basic%20Concepts%20and%20Impacts%20on%20the%20ERCOT%20Grid_2024.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esig.energy/working-users-groups/reliability/grid-forming/gfm-landscape/specifications-and-requirements/" TargetMode="External"/><Relationship Id="rId5" Type="http://schemas.openxmlformats.org/officeDocument/2006/relationships/hyperlink" Target="https://www.ercot.com/calendar/12132024-IBRWG-Meeting-_-Webex" TargetMode="External"/><Relationship Id="rId15" Type="http://schemas.openxmlformats.org/officeDocument/2006/relationships/image" Target="media/image4.png"/><Relationship Id="rId10" Type="http://schemas.openxmlformats.org/officeDocument/2006/relationships/hyperlink" Target="https://www.ercot.com/files/docs/2024/10/09/ERCOT%20AGS-ESR%20Oct-11-2024%20IBRWG.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rcot.com/files/docs/2024/09/16/ERCOT%20Advanced%20Grid%20Support%20ESR%20Test%20Requirement_.pdf" TargetMode="External"/><Relationship Id="rId14" Type="http://schemas.openxmlformats.org/officeDocument/2006/relationships/hyperlink" Target="https://www.esig.energy/working-users-groups/reliability/grid-forming/gfm-landscape/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420</TotalTime>
  <Pages>11</Pages>
  <Words>3118</Words>
  <Characters>17775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Matevosyan</dc:creator>
  <cp:keywords/>
  <dc:description/>
  <cp:lastModifiedBy>Julia Matevosyan</cp:lastModifiedBy>
  <cp:revision>215</cp:revision>
  <dcterms:created xsi:type="dcterms:W3CDTF">2025-01-03T20:02:00Z</dcterms:created>
  <dcterms:modified xsi:type="dcterms:W3CDTF">2025-01-04T18:11:00Z</dcterms:modified>
</cp:coreProperties>
</file>