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561EB40" w14:textId="77777777">
        <w:tc>
          <w:tcPr>
            <w:tcW w:w="1620" w:type="dxa"/>
            <w:tcBorders>
              <w:bottom w:val="single" w:sz="4" w:space="0" w:color="auto"/>
            </w:tcBorders>
            <w:shd w:val="clear" w:color="auto" w:fill="FFFFFF"/>
            <w:vAlign w:val="center"/>
          </w:tcPr>
          <w:p w14:paraId="3A230384"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6C4AB74B" w14:textId="2927FA4F" w:rsidR="00152993" w:rsidRDefault="004C2892" w:rsidP="009C53D1">
            <w:pPr>
              <w:pStyle w:val="Header"/>
              <w:jc w:val="center"/>
            </w:pPr>
            <w:hyperlink r:id="rId8" w:history="1">
              <w:r w:rsidR="009C53D1">
                <w:rPr>
                  <w:rStyle w:val="Hyperlink"/>
                </w:rPr>
                <w:t>272</w:t>
              </w:r>
            </w:hyperlink>
          </w:p>
        </w:tc>
        <w:tc>
          <w:tcPr>
            <w:tcW w:w="1440" w:type="dxa"/>
            <w:tcBorders>
              <w:bottom w:val="single" w:sz="4" w:space="0" w:color="auto"/>
            </w:tcBorders>
            <w:shd w:val="clear" w:color="auto" w:fill="FFFFFF"/>
            <w:vAlign w:val="center"/>
          </w:tcPr>
          <w:p w14:paraId="09669802"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3FE23D99" w14:textId="7ECF527E" w:rsidR="00152993" w:rsidRDefault="009C53D1">
            <w:pPr>
              <w:pStyle w:val="Header"/>
            </w:pPr>
            <w:r>
              <w:t>Advanced Grid Support Requirements for Inverter-Based ESRs</w:t>
            </w:r>
          </w:p>
        </w:tc>
      </w:tr>
    </w:tbl>
    <w:p w14:paraId="788AD9D4" w14:textId="77777777" w:rsidR="002771E6" w:rsidRDefault="002771E6"/>
    <w:p w14:paraId="01D3833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6EE77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A5DAFB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72AFE69" w14:textId="5400D74E" w:rsidR="00152993" w:rsidRDefault="009C53D1">
            <w:pPr>
              <w:pStyle w:val="NormalArial"/>
            </w:pPr>
            <w:r>
              <w:t xml:space="preserve">January </w:t>
            </w:r>
            <w:r w:rsidR="00A132CD">
              <w:t>1</w:t>
            </w:r>
            <w:r w:rsidR="004C2892">
              <w:t>5</w:t>
            </w:r>
            <w:r>
              <w:t>, 2025</w:t>
            </w:r>
          </w:p>
        </w:tc>
      </w:tr>
    </w:tbl>
    <w:p w14:paraId="74B1F06E" w14:textId="77777777" w:rsidR="002771E6" w:rsidRDefault="002771E6"/>
    <w:p w14:paraId="69619B14"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E424CA6" w14:textId="77777777">
        <w:trPr>
          <w:trHeight w:val="440"/>
        </w:trPr>
        <w:tc>
          <w:tcPr>
            <w:tcW w:w="10440" w:type="dxa"/>
            <w:gridSpan w:val="2"/>
            <w:tcBorders>
              <w:top w:val="single" w:sz="4" w:space="0" w:color="auto"/>
            </w:tcBorders>
            <w:shd w:val="clear" w:color="auto" w:fill="FFFFFF"/>
            <w:vAlign w:val="center"/>
          </w:tcPr>
          <w:p w14:paraId="6087367D" w14:textId="77777777" w:rsidR="00152993" w:rsidRDefault="00152993">
            <w:pPr>
              <w:pStyle w:val="Header"/>
              <w:jc w:val="center"/>
            </w:pPr>
            <w:r>
              <w:t>Submitter’s Information</w:t>
            </w:r>
          </w:p>
        </w:tc>
      </w:tr>
      <w:tr w:rsidR="00152993" w14:paraId="61507096" w14:textId="77777777">
        <w:trPr>
          <w:trHeight w:val="350"/>
        </w:trPr>
        <w:tc>
          <w:tcPr>
            <w:tcW w:w="2880" w:type="dxa"/>
            <w:shd w:val="clear" w:color="auto" w:fill="FFFFFF"/>
            <w:vAlign w:val="center"/>
          </w:tcPr>
          <w:p w14:paraId="10836415" w14:textId="77777777" w:rsidR="00152993" w:rsidRPr="00EC55B3" w:rsidRDefault="00152993" w:rsidP="00EC55B3">
            <w:pPr>
              <w:pStyle w:val="Header"/>
            </w:pPr>
            <w:r w:rsidRPr="00EC55B3">
              <w:t>Name</w:t>
            </w:r>
          </w:p>
        </w:tc>
        <w:tc>
          <w:tcPr>
            <w:tcW w:w="7560" w:type="dxa"/>
            <w:vAlign w:val="center"/>
          </w:tcPr>
          <w:p w14:paraId="1BA34310" w14:textId="6C231672" w:rsidR="00152993" w:rsidRDefault="0043597B">
            <w:pPr>
              <w:pStyle w:val="NormalArial"/>
            </w:pPr>
            <w:r>
              <w:t>Polly Shaw</w:t>
            </w:r>
          </w:p>
        </w:tc>
      </w:tr>
      <w:tr w:rsidR="00152993" w14:paraId="26A87DDC" w14:textId="77777777">
        <w:trPr>
          <w:trHeight w:val="350"/>
        </w:trPr>
        <w:tc>
          <w:tcPr>
            <w:tcW w:w="2880" w:type="dxa"/>
            <w:shd w:val="clear" w:color="auto" w:fill="FFFFFF"/>
            <w:vAlign w:val="center"/>
          </w:tcPr>
          <w:p w14:paraId="65FC1809" w14:textId="77777777" w:rsidR="00152993" w:rsidRPr="00EC55B3" w:rsidRDefault="00152993" w:rsidP="00EC55B3">
            <w:pPr>
              <w:pStyle w:val="Header"/>
            </w:pPr>
            <w:r w:rsidRPr="00EC55B3">
              <w:t>E-mail Address</w:t>
            </w:r>
          </w:p>
        </w:tc>
        <w:tc>
          <w:tcPr>
            <w:tcW w:w="7560" w:type="dxa"/>
            <w:vAlign w:val="center"/>
          </w:tcPr>
          <w:p w14:paraId="1333008B" w14:textId="55DFF64C" w:rsidR="00152993" w:rsidRDefault="004C2892">
            <w:pPr>
              <w:pStyle w:val="NormalArial"/>
            </w:pPr>
            <w:hyperlink r:id="rId9" w:history="1">
              <w:r w:rsidR="0043597B" w:rsidRPr="000D5BA7">
                <w:rPr>
                  <w:rStyle w:val="Hyperlink"/>
                </w:rPr>
                <w:t>pshaw@pluspower.com</w:t>
              </w:r>
            </w:hyperlink>
          </w:p>
        </w:tc>
      </w:tr>
      <w:tr w:rsidR="00152993" w14:paraId="42AF2017" w14:textId="77777777">
        <w:trPr>
          <w:trHeight w:val="350"/>
        </w:trPr>
        <w:tc>
          <w:tcPr>
            <w:tcW w:w="2880" w:type="dxa"/>
            <w:shd w:val="clear" w:color="auto" w:fill="FFFFFF"/>
            <w:vAlign w:val="center"/>
          </w:tcPr>
          <w:p w14:paraId="28F11E97" w14:textId="77777777" w:rsidR="00152993" w:rsidRPr="00EC55B3" w:rsidRDefault="00152993" w:rsidP="00EC55B3">
            <w:pPr>
              <w:pStyle w:val="Header"/>
            </w:pPr>
            <w:r w:rsidRPr="00EC55B3">
              <w:t>Company</w:t>
            </w:r>
          </w:p>
        </w:tc>
        <w:tc>
          <w:tcPr>
            <w:tcW w:w="7560" w:type="dxa"/>
            <w:vAlign w:val="center"/>
          </w:tcPr>
          <w:p w14:paraId="452F4D23" w14:textId="7AAEF758" w:rsidR="00152993" w:rsidRDefault="00D42F69">
            <w:pPr>
              <w:pStyle w:val="NormalArial"/>
            </w:pPr>
            <w:r>
              <w:t>Plus Power</w:t>
            </w:r>
          </w:p>
        </w:tc>
      </w:tr>
      <w:tr w:rsidR="00152993" w14:paraId="092E4AB7" w14:textId="77777777">
        <w:trPr>
          <w:trHeight w:val="350"/>
        </w:trPr>
        <w:tc>
          <w:tcPr>
            <w:tcW w:w="2880" w:type="dxa"/>
            <w:tcBorders>
              <w:bottom w:val="single" w:sz="4" w:space="0" w:color="auto"/>
            </w:tcBorders>
            <w:shd w:val="clear" w:color="auto" w:fill="FFFFFF"/>
            <w:vAlign w:val="center"/>
          </w:tcPr>
          <w:p w14:paraId="536EED2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618D6A27" w14:textId="2BAA0495" w:rsidR="00152993" w:rsidRDefault="00D42F69">
            <w:pPr>
              <w:pStyle w:val="NormalArial"/>
            </w:pPr>
            <w:r>
              <w:t>(415) 577-5763</w:t>
            </w:r>
          </w:p>
        </w:tc>
      </w:tr>
      <w:tr w:rsidR="00152993" w14:paraId="79AEBD13" w14:textId="77777777">
        <w:trPr>
          <w:trHeight w:val="350"/>
        </w:trPr>
        <w:tc>
          <w:tcPr>
            <w:tcW w:w="2880" w:type="dxa"/>
            <w:shd w:val="clear" w:color="auto" w:fill="FFFFFF"/>
            <w:vAlign w:val="center"/>
          </w:tcPr>
          <w:p w14:paraId="4FF4FB36"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4563152" w14:textId="77777777" w:rsidR="00152993" w:rsidRDefault="00152993">
            <w:pPr>
              <w:pStyle w:val="NormalArial"/>
            </w:pPr>
          </w:p>
        </w:tc>
      </w:tr>
      <w:tr w:rsidR="00075A94" w14:paraId="6636EAFB" w14:textId="77777777">
        <w:trPr>
          <w:trHeight w:val="350"/>
        </w:trPr>
        <w:tc>
          <w:tcPr>
            <w:tcW w:w="2880" w:type="dxa"/>
            <w:tcBorders>
              <w:bottom w:val="single" w:sz="4" w:space="0" w:color="auto"/>
            </w:tcBorders>
            <w:shd w:val="clear" w:color="auto" w:fill="FFFFFF"/>
            <w:vAlign w:val="center"/>
          </w:tcPr>
          <w:p w14:paraId="3F987B2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7B8C3A8" w14:textId="42BB4B8F" w:rsidR="00075A94" w:rsidRDefault="00D42F69">
            <w:pPr>
              <w:pStyle w:val="NormalArial"/>
            </w:pPr>
            <w:r>
              <w:t>Independent Generator</w:t>
            </w:r>
          </w:p>
        </w:tc>
      </w:tr>
    </w:tbl>
    <w:p w14:paraId="63E18F0D" w14:textId="77777777" w:rsidR="00152993" w:rsidRDefault="00152993">
      <w:pPr>
        <w:pStyle w:val="NormalArial"/>
      </w:pPr>
    </w:p>
    <w:p w14:paraId="5F39C6D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41B76455" w14:textId="77777777" w:rsidTr="004D37D7">
        <w:trPr>
          <w:trHeight w:val="422"/>
          <w:jc w:val="center"/>
        </w:trPr>
        <w:tc>
          <w:tcPr>
            <w:tcW w:w="10440" w:type="dxa"/>
            <w:vAlign w:val="center"/>
          </w:tcPr>
          <w:p w14:paraId="468D9C71" w14:textId="77777777" w:rsidR="00075A94" w:rsidRPr="00075A94" w:rsidRDefault="00075A94" w:rsidP="004D37D7">
            <w:pPr>
              <w:pStyle w:val="Header"/>
              <w:jc w:val="center"/>
            </w:pPr>
            <w:r w:rsidRPr="00075A94">
              <w:t>Comments</w:t>
            </w:r>
          </w:p>
        </w:tc>
      </w:tr>
    </w:tbl>
    <w:p w14:paraId="3390DD15" w14:textId="77777777" w:rsidR="00152993" w:rsidRDefault="00152993">
      <w:pPr>
        <w:pStyle w:val="NormalArial"/>
      </w:pPr>
    </w:p>
    <w:p w14:paraId="2BFA4B31" w14:textId="5F04F1D1" w:rsidR="00D4690F" w:rsidRDefault="0006363E">
      <w:pPr>
        <w:pStyle w:val="NormalArial"/>
      </w:pPr>
      <w:r w:rsidRPr="0006363E">
        <w:t xml:space="preserve">Plus Power appreciates </w:t>
      </w:r>
      <w:r w:rsidR="00D4690F">
        <w:t xml:space="preserve">the opportunity to file </w:t>
      </w:r>
      <w:r w:rsidR="00D42F69">
        <w:t>these comments on Noda</w:t>
      </w:r>
      <w:r w:rsidR="00094F9A">
        <w:t xml:space="preserve">l Operating Guide Revision Request (NOGRR) 272.  </w:t>
      </w:r>
      <w:r w:rsidR="00657BF4">
        <w:t>Plus Power currentl</w:t>
      </w:r>
      <w:r w:rsidR="00F24F53">
        <w:t xml:space="preserve">y owns and operates </w:t>
      </w:r>
      <w:r w:rsidR="00657BF4" w:rsidRPr="00657BF4">
        <w:t xml:space="preserve">four standalone </w:t>
      </w:r>
      <w:r w:rsidR="00952BBC">
        <w:t xml:space="preserve">Energy Storage Resources (ESRs) </w:t>
      </w:r>
      <w:r w:rsidR="00657BF4" w:rsidRPr="00657BF4">
        <w:t xml:space="preserve">in ERCOT and </w:t>
      </w:r>
      <w:r w:rsidR="00F24F53">
        <w:t xml:space="preserve">has </w:t>
      </w:r>
      <w:r w:rsidR="00657BF4" w:rsidRPr="00657BF4">
        <w:t xml:space="preserve">more in development.  Our earliest </w:t>
      </w:r>
      <w:r w:rsidR="00952BBC">
        <w:t>ESR</w:t>
      </w:r>
      <w:r w:rsidR="002B6C84">
        <w:t xml:space="preserve"> h</w:t>
      </w:r>
      <w:r w:rsidR="00657BF4" w:rsidRPr="00657BF4">
        <w:t xml:space="preserve">as been operating in ERCOT since 2021. Our Kapolei Energy Storage </w:t>
      </w:r>
      <w:r w:rsidR="004D73BF">
        <w:t>(</w:t>
      </w:r>
      <w:r w:rsidR="00856398">
        <w:t>“</w:t>
      </w:r>
      <w:r w:rsidR="004D73BF">
        <w:t>KES</w:t>
      </w:r>
      <w:r w:rsidR="00856398">
        <w:t>”</w:t>
      </w:r>
      <w:r w:rsidR="004D73BF">
        <w:t xml:space="preserve">) </w:t>
      </w:r>
      <w:r w:rsidR="00657BF4" w:rsidRPr="00657BF4">
        <w:t>facility in Oahu, Hawaii</w:t>
      </w:r>
      <w:r w:rsidR="00986296">
        <w:t>,</w:t>
      </w:r>
      <w:r w:rsidR="00657BF4" w:rsidRPr="00657BF4">
        <w:t xml:space="preserve"> performs grid-forming services as a condition of its contract for Hawaiian Electric, in which we are remunerated for these additional services.</w:t>
      </w:r>
    </w:p>
    <w:p w14:paraId="34327172" w14:textId="77777777" w:rsidR="00D4690F" w:rsidRDefault="00D4690F">
      <w:pPr>
        <w:pStyle w:val="NormalArial"/>
      </w:pPr>
    </w:p>
    <w:p w14:paraId="36927B62" w14:textId="028D5762" w:rsidR="00D4690F" w:rsidRDefault="00F24F53">
      <w:pPr>
        <w:pStyle w:val="NormalArial"/>
      </w:pPr>
      <w:r>
        <w:t xml:space="preserve">Plus Power appreciates </w:t>
      </w:r>
      <w:r w:rsidR="0006363E" w:rsidRPr="0006363E">
        <w:t xml:space="preserve">ERCOT’s efforts in investigating and proactively proposing a </w:t>
      </w:r>
      <w:r w:rsidR="00925BAD">
        <w:t>g</w:t>
      </w:r>
      <w:r w:rsidR="0006363E" w:rsidRPr="0006363E">
        <w:t xml:space="preserve">rid </w:t>
      </w:r>
      <w:r w:rsidR="00925BAD">
        <w:t>f</w:t>
      </w:r>
      <w:r w:rsidR="0006363E" w:rsidRPr="0006363E">
        <w:t xml:space="preserve">orming specification for the ERCOT region.  Plus Power also appreciates </w:t>
      </w:r>
      <w:r w:rsidR="00E05883">
        <w:t xml:space="preserve">ERCOT’s </w:t>
      </w:r>
      <w:r w:rsidR="0006363E" w:rsidRPr="0006363E">
        <w:t xml:space="preserve">effort to </w:t>
      </w:r>
      <w:r w:rsidR="00986296">
        <w:t>‘</w:t>
      </w:r>
      <w:r w:rsidR="0006363E" w:rsidRPr="0006363E">
        <w:t>right</w:t>
      </w:r>
      <w:r w:rsidR="00986296">
        <w:t>-</w:t>
      </w:r>
      <w:r w:rsidR="0006363E" w:rsidRPr="0006363E">
        <w:t>size</w:t>
      </w:r>
      <w:r w:rsidR="00986296">
        <w:t>’</w:t>
      </w:r>
      <w:r w:rsidR="0006363E" w:rsidRPr="0006363E">
        <w:t xml:space="preserve"> the performance requirements through its efforts to test vendor models and not immediately require capabilities such as Black Start capability and inertia requirements</w:t>
      </w:r>
      <w:r w:rsidR="00986296">
        <w:t>, in order</w:t>
      </w:r>
      <w:r w:rsidR="0006363E" w:rsidRPr="0006363E">
        <w:t xml:space="preserve"> to prioritize more universally available capabilities.  </w:t>
      </w:r>
    </w:p>
    <w:p w14:paraId="4E03D030" w14:textId="77777777" w:rsidR="00D4690F" w:rsidRDefault="00D4690F">
      <w:pPr>
        <w:pStyle w:val="NormalArial"/>
      </w:pPr>
    </w:p>
    <w:p w14:paraId="211F673E" w14:textId="4691FC05" w:rsidR="0055032D" w:rsidRDefault="002B6C84">
      <w:pPr>
        <w:pStyle w:val="NormalArial"/>
      </w:pPr>
      <w:r>
        <w:t xml:space="preserve">As the owner and operator of a </w:t>
      </w:r>
      <w:r w:rsidR="00856398">
        <w:t>Battery Energy Storage System (“</w:t>
      </w:r>
      <w:r>
        <w:t>BESS</w:t>
      </w:r>
      <w:r w:rsidR="00856398">
        <w:t>”)</w:t>
      </w:r>
      <w:r>
        <w:t xml:space="preserve"> that is currently providing </w:t>
      </w:r>
      <w:r w:rsidR="00925BAD">
        <w:t>g</w:t>
      </w:r>
      <w:r w:rsidR="0020227A">
        <w:t>rid-</w:t>
      </w:r>
      <w:r w:rsidR="00925BAD">
        <w:t>f</w:t>
      </w:r>
      <w:r w:rsidR="0020227A">
        <w:t xml:space="preserve">orming services in Hawaii, </w:t>
      </w:r>
      <w:r w:rsidR="0006363E" w:rsidRPr="0006363E">
        <w:t xml:space="preserve">Plus Power agrees that </w:t>
      </w:r>
      <w:r w:rsidR="00925BAD">
        <w:t>g</w:t>
      </w:r>
      <w:r w:rsidR="0006363E" w:rsidRPr="0006363E">
        <w:t>rid</w:t>
      </w:r>
      <w:r w:rsidR="00925BAD">
        <w:t>-f</w:t>
      </w:r>
      <w:r w:rsidR="0006363E" w:rsidRPr="0006363E">
        <w:t xml:space="preserve">orming capabilities can be part of </w:t>
      </w:r>
      <w:r w:rsidR="00CB71EF">
        <w:t xml:space="preserve">ERCOT’s </w:t>
      </w:r>
      <w:r w:rsidR="0006363E" w:rsidRPr="0006363E">
        <w:t xml:space="preserve">overall approach </w:t>
      </w:r>
      <w:r w:rsidR="00CB71EF">
        <w:t xml:space="preserve">to improve reliable operations of the ERCOT grid, </w:t>
      </w:r>
      <w:r w:rsidR="0006363E" w:rsidRPr="0006363E">
        <w:t xml:space="preserve">especially in weak grid areas.  </w:t>
      </w:r>
      <w:proofErr w:type="gramStart"/>
      <w:r w:rsidR="0006363E" w:rsidRPr="0006363E">
        <w:t>Plus</w:t>
      </w:r>
      <w:proofErr w:type="gramEnd"/>
      <w:r w:rsidR="0006363E" w:rsidRPr="0006363E">
        <w:t xml:space="preserve"> Power also agrees with making the requirements </w:t>
      </w:r>
      <w:r w:rsidR="00697096">
        <w:t xml:space="preserve">of having the grid-forming capabilities (not required services) </w:t>
      </w:r>
      <w:r w:rsidR="0006363E" w:rsidRPr="0006363E">
        <w:t>forward</w:t>
      </w:r>
      <w:r w:rsidR="00697096">
        <w:t>-</w:t>
      </w:r>
      <w:r w:rsidR="0006363E" w:rsidRPr="0006363E">
        <w:t xml:space="preserve">looking for </w:t>
      </w:r>
      <w:r w:rsidR="00856398">
        <w:t>R</w:t>
      </w:r>
      <w:r w:rsidR="008346EB">
        <w:t>esources that</w:t>
      </w:r>
      <w:r w:rsidR="00420592">
        <w:t xml:space="preserve"> execute a Standard Generation Interconnection Agreement (SGIA) on or after a date in the future </w:t>
      </w:r>
      <w:r w:rsidR="0006363E" w:rsidRPr="0006363E">
        <w:t>and not retroactively to avoid potential challenges of such a policy.  Plus Power believe</w:t>
      </w:r>
      <w:r w:rsidR="00ED546D">
        <w:t>s</w:t>
      </w:r>
      <w:r w:rsidR="0006363E" w:rsidRPr="0006363E">
        <w:t xml:space="preserve"> that</w:t>
      </w:r>
      <w:r w:rsidR="00ED546D">
        <w:t xml:space="preserve"> preparing for </w:t>
      </w:r>
      <w:r w:rsidR="00F020E0">
        <w:t xml:space="preserve">and delivering </w:t>
      </w:r>
      <w:r w:rsidR="00ED546D">
        <w:t>the grid-forming capabilities</w:t>
      </w:r>
      <w:r w:rsidR="0006363E" w:rsidRPr="0006363E">
        <w:t xml:space="preserve"> will provide essential reliability </w:t>
      </w:r>
      <w:r w:rsidR="00ED546D">
        <w:t>benefits</w:t>
      </w:r>
      <w:r w:rsidR="0006363E" w:rsidRPr="0006363E">
        <w:t xml:space="preserve"> </w:t>
      </w:r>
      <w:r w:rsidR="00ED546D">
        <w:t>but</w:t>
      </w:r>
      <w:r w:rsidR="00E83AAE">
        <w:t xml:space="preserve"> also will</w:t>
      </w:r>
      <w:r w:rsidR="0006363E" w:rsidRPr="0006363E">
        <w:t xml:space="preserve"> have associated costs that should be remunerated.  While </w:t>
      </w:r>
      <w:r w:rsidR="00FE766F">
        <w:t>g</w:t>
      </w:r>
      <w:r w:rsidR="0006363E" w:rsidRPr="0006363E">
        <w:t>rid</w:t>
      </w:r>
      <w:r w:rsidR="00FE766F">
        <w:t>-f</w:t>
      </w:r>
      <w:r w:rsidR="0006363E" w:rsidRPr="0006363E">
        <w:t xml:space="preserve">orming technology is more readily available today, these costs cannot be ignored and in fact, many other grid operators around the </w:t>
      </w:r>
      <w:r w:rsidR="0006363E" w:rsidRPr="0006363E">
        <w:lastRenderedPageBreak/>
        <w:t xml:space="preserve">world have recognized these services and have </w:t>
      </w:r>
      <w:r w:rsidR="000A7E7B">
        <w:t xml:space="preserve">compensated </w:t>
      </w:r>
      <w:r w:rsidR="0006363E" w:rsidRPr="0006363E">
        <w:t xml:space="preserve">them to prevent an economic disadvantage or discouragement for such capable </w:t>
      </w:r>
      <w:r w:rsidR="00705A2A">
        <w:t>Resources</w:t>
      </w:r>
      <w:r w:rsidR="0006363E" w:rsidRPr="0006363E">
        <w:t xml:space="preserve">. Plus Power believes a key difference in understanding may be that ERCOT may believe that </w:t>
      </w:r>
      <w:r w:rsidR="00705A2A">
        <w:t xml:space="preserve">providing </w:t>
      </w:r>
      <w:r w:rsidR="0006363E" w:rsidRPr="0006363E">
        <w:t>the new reliability service is free or very low cost</w:t>
      </w:r>
      <w:r w:rsidR="00986296">
        <w:t>.</w:t>
      </w:r>
      <w:r w:rsidR="00986296" w:rsidRPr="0006363E">
        <w:t xml:space="preserve"> </w:t>
      </w:r>
      <w:r w:rsidR="00856398">
        <w:t xml:space="preserve"> </w:t>
      </w:r>
      <w:r w:rsidR="00986296">
        <w:t>However,</w:t>
      </w:r>
      <w:r w:rsidR="0006363E" w:rsidRPr="0006363E">
        <w:t xml:space="preserve"> </w:t>
      </w:r>
      <w:r w:rsidR="00705A2A">
        <w:t xml:space="preserve">ESR </w:t>
      </w:r>
      <w:r w:rsidR="0006363E" w:rsidRPr="0006363E">
        <w:t xml:space="preserve">owners and operators understand that it will have a significant cost impact on the initial capital investment and ongoing </w:t>
      </w:r>
      <w:r w:rsidR="008078C4">
        <w:t>Operations and Maintenance (</w:t>
      </w:r>
      <w:r w:rsidR="00856398">
        <w:t>“</w:t>
      </w:r>
      <w:r w:rsidR="008078C4">
        <w:t>O&amp;M</w:t>
      </w:r>
      <w:r w:rsidR="00856398">
        <w:t>”</w:t>
      </w:r>
      <w:r w:rsidR="008078C4">
        <w:t xml:space="preserve">) </w:t>
      </w:r>
      <w:r w:rsidR="0006363E" w:rsidRPr="0006363E">
        <w:t xml:space="preserve">expenses that uniquely affect </w:t>
      </w:r>
      <w:r w:rsidR="008078C4">
        <w:t xml:space="preserve">ESR </w:t>
      </w:r>
      <w:r w:rsidR="0006363E" w:rsidRPr="0006363E">
        <w:t>owners and operators</w:t>
      </w:r>
      <w:r w:rsidR="00986296">
        <w:t>, but not</w:t>
      </w:r>
      <w:r w:rsidR="0006363E" w:rsidRPr="0006363E">
        <w:t xml:space="preserve"> </w:t>
      </w:r>
      <w:r w:rsidR="00986296">
        <w:t>to</w:t>
      </w:r>
      <w:r w:rsidR="0006363E" w:rsidRPr="0006363E">
        <w:t xml:space="preserve"> other </w:t>
      </w:r>
      <w:r w:rsidR="000A7E7B">
        <w:t>Inverter-Based Resource (</w:t>
      </w:r>
      <w:r w:rsidR="0006363E" w:rsidRPr="0006363E">
        <w:t>IBR</w:t>
      </w:r>
      <w:r w:rsidR="000A7E7B">
        <w:t>)</w:t>
      </w:r>
      <w:r w:rsidR="0006363E" w:rsidRPr="0006363E">
        <w:t xml:space="preserve"> owners and operators</w:t>
      </w:r>
      <w:r w:rsidR="00986296">
        <w:t xml:space="preserve">. </w:t>
      </w:r>
      <w:r w:rsidR="00856398">
        <w:t xml:space="preserve"> </w:t>
      </w:r>
      <w:r w:rsidR="00986296">
        <w:t>Nonetheless,</w:t>
      </w:r>
      <w:r w:rsidR="0006363E" w:rsidRPr="0006363E">
        <w:t xml:space="preserve"> </w:t>
      </w:r>
      <w:r w:rsidR="00986296">
        <w:t>these ESR resources will be</w:t>
      </w:r>
      <w:r w:rsidR="00986296" w:rsidRPr="0006363E">
        <w:t xml:space="preserve"> </w:t>
      </w:r>
      <w:r w:rsidR="0006363E" w:rsidRPr="0006363E">
        <w:t xml:space="preserve">providing </w:t>
      </w:r>
      <w:r w:rsidR="00F53593">
        <w:t xml:space="preserve">a </w:t>
      </w:r>
      <w:r w:rsidR="0006363E" w:rsidRPr="0006363E">
        <w:t>benefit for all other non-</w:t>
      </w:r>
      <w:r w:rsidR="00F53593">
        <w:t xml:space="preserve">ESR </w:t>
      </w:r>
      <w:r w:rsidR="0006363E" w:rsidRPr="0006363E">
        <w:t>Generation Resources (e.g.</w:t>
      </w:r>
      <w:r w:rsidR="00856398">
        <w:t>,</w:t>
      </w:r>
      <w:r w:rsidR="0006363E" w:rsidRPr="0006363E">
        <w:t xml:space="preserve"> non-</w:t>
      </w:r>
      <w:r w:rsidR="00F53593">
        <w:t xml:space="preserve">ESR </w:t>
      </w:r>
      <w:r w:rsidR="0006363E" w:rsidRPr="0006363E">
        <w:t>G</w:t>
      </w:r>
      <w:r w:rsidR="00F53593">
        <w:t>ener</w:t>
      </w:r>
      <w:r w:rsidR="005A0A8C">
        <w:t xml:space="preserve">ation Resources </w:t>
      </w:r>
      <w:r w:rsidR="0006363E" w:rsidRPr="0006363E">
        <w:t>in weak grid area</w:t>
      </w:r>
      <w:r w:rsidR="00ED6B93">
        <w:t>s</w:t>
      </w:r>
      <w:r w:rsidR="0006363E" w:rsidRPr="0006363E">
        <w:t xml:space="preserve"> or behind </w:t>
      </w:r>
      <w:r w:rsidR="005A0A8C">
        <w:t>Generic Transmission Constraint</w:t>
      </w:r>
      <w:r w:rsidR="00ED6B93">
        <w:t>s (GT</w:t>
      </w:r>
      <w:r w:rsidR="007B64F5">
        <w:t>C</w:t>
      </w:r>
      <w:r w:rsidR="00ED6B93">
        <w:t>s))</w:t>
      </w:r>
      <w:r w:rsidR="0006363E" w:rsidRPr="0006363E">
        <w:t xml:space="preserve">.   </w:t>
      </w:r>
    </w:p>
    <w:p w14:paraId="4CC88C4A" w14:textId="77777777" w:rsidR="0055032D" w:rsidRDefault="0055032D">
      <w:pPr>
        <w:pStyle w:val="NormalArial"/>
      </w:pPr>
    </w:p>
    <w:p w14:paraId="6481C3C1" w14:textId="2458D62B" w:rsidR="007B7C55" w:rsidRPr="007B7C55" w:rsidRDefault="00EE7FAD" w:rsidP="00F81E25">
      <w:pPr>
        <w:pStyle w:val="NormalArial"/>
      </w:pPr>
      <w:r>
        <w:t xml:space="preserve">At the outset, ESRs </w:t>
      </w:r>
      <w:r w:rsidR="007B7C55" w:rsidRPr="007B7C55">
        <w:t xml:space="preserve">are uniquely capable of performing a range of capacity and grid services, particularly rapidly </w:t>
      </w:r>
      <w:r>
        <w:t xml:space="preserve">with a </w:t>
      </w:r>
      <w:r w:rsidR="007B7C55" w:rsidRPr="007B7C55">
        <w:t xml:space="preserve">millisecond response, and should be </w:t>
      </w:r>
      <w:r>
        <w:t xml:space="preserve">compensated </w:t>
      </w:r>
      <w:r w:rsidR="007B7C55" w:rsidRPr="007B7C55">
        <w:t>separately for each service that is bid.</w:t>
      </w:r>
      <w:r>
        <w:t xml:space="preserve">  </w:t>
      </w:r>
      <w:r w:rsidR="00C76A3C">
        <w:t>Moreover, re</w:t>
      </w:r>
      <w:r w:rsidR="00CD4D49">
        <w:t>m</w:t>
      </w:r>
      <w:r w:rsidR="00C76A3C">
        <w:t>u</w:t>
      </w:r>
      <w:r w:rsidR="00CD4D49">
        <w:t>n</w:t>
      </w:r>
      <w:r w:rsidR="00C76A3C">
        <w:t xml:space="preserve">eration for grid-forming services </w:t>
      </w:r>
      <w:r w:rsidR="00F81E25">
        <w:t xml:space="preserve">from non-conventional technologies </w:t>
      </w:r>
      <w:r w:rsidR="00797D20">
        <w:t xml:space="preserve">has occurred in other regions.  For </w:t>
      </w:r>
      <w:r w:rsidR="00F81E25">
        <w:t xml:space="preserve">example, in 2019, </w:t>
      </w:r>
      <w:r w:rsidR="007B7C55" w:rsidRPr="007B7C55">
        <w:t xml:space="preserve">Hawaiian Electric Company issued a </w:t>
      </w:r>
      <w:r w:rsidR="007B7C55" w:rsidRPr="004C2892">
        <w:t xml:space="preserve">Request for Proposals </w:t>
      </w:r>
      <w:r w:rsidR="00856398" w:rsidRPr="004C2892">
        <w:t>(“RFP”)</w:t>
      </w:r>
      <w:r w:rsidR="00856398">
        <w:t xml:space="preserve"> </w:t>
      </w:r>
      <w:r w:rsidR="007B7C55" w:rsidRPr="007B7C55">
        <w:t xml:space="preserve">that, among a range of needs, sought bids for fast-frequency response or other grid services and requested grid-forming services. </w:t>
      </w:r>
      <w:r w:rsidR="00856398">
        <w:t xml:space="preserve"> </w:t>
      </w:r>
      <w:r w:rsidR="007B7C55" w:rsidRPr="007B7C55">
        <w:t xml:space="preserve">The RFP sought up to 50 MW / 25 MWh of </w:t>
      </w:r>
      <w:r w:rsidR="00CD4D49">
        <w:t>Fast Frequency Response (</w:t>
      </w:r>
      <w:r w:rsidR="007B7C55" w:rsidRPr="007B7C55">
        <w:t>FFR</w:t>
      </w:r>
      <w:r w:rsidR="00CD4D49">
        <w:t>)</w:t>
      </w:r>
      <w:r w:rsidR="007B7C55" w:rsidRPr="007B7C55">
        <w:t xml:space="preserve"> along with 200 MW / 4 </w:t>
      </w:r>
      <w:r w:rsidR="002550D2">
        <w:t xml:space="preserve">hours </w:t>
      </w:r>
      <w:r w:rsidR="007B7C55" w:rsidRPr="007B7C55">
        <w:t xml:space="preserve">of load shifting.  </w:t>
      </w:r>
      <w:proofErr w:type="gramStart"/>
      <w:r w:rsidR="007B7C55" w:rsidRPr="007B7C55">
        <w:t>Plus</w:t>
      </w:r>
      <w:proofErr w:type="gramEnd"/>
      <w:r w:rsidR="007B7C55" w:rsidRPr="007B7C55">
        <w:t xml:space="preserve"> Power bid fast frequency response with virtual inertia and a form of </w:t>
      </w:r>
      <w:r w:rsidR="004D73BF">
        <w:t>B</w:t>
      </w:r>
      <w:r w:rsidR="007B7C55" w:rsidRPr="007B7C55">
        <w:t>lack</w:t>
      </w:r>
      <w:r w:rsidR="00856398">
        <w:t xml:space="preserve"> S</w:t>
      </w:r>
      <w:r w:rsidR="007B7C55" w:rsidRPr="007B7C55">
        <w:t xml:space="preserve">tart as part of the 185 MW / 565 MWh </w:t>
      </w:r>
      <w:r w:rsidR="00B4504B">
        <w:t>KES fac</w:t>
      </w:r>
      <w:r w:rsidR="007B7C55" w:rsidRPr="007B7C55">
        <w:t xml:space="preserve">ility and was awarded a contract in 2020 that remunerated for each of the bid services. </w:t>
      </w:r>
      <w:r w:rsidR="00856398">
        <w:t xml:space="preserve"> </w:t>
      </w:r>
      <w:r w:rsidR="007B7C55" w:rsidRPr="007B7C55">
        <w:t>The KES facility now often performs FFR and virtual inertia services for Hawaiian Electric.</w:t>
      </w:r>
    </w:p>
    <w:p w14:paraId="0B0A4154" w14:textId="77777777" w:rsidR="007B7C55" w:rsidRPr="007B7C55" w:rsidRDefault="007B7C55" w:rsidP="007B7C55">
      <w:pPr>
        <w:pStyle w:val="NormalArial"/>
      </w:pPr>
    </w:p>
    <w:p w14:paraId="02B51056" w14:textId="12AF3024" w:rsidR="00D70E35" w:rsidRDefault="00CD4D49" w:rsidP="00424DE8">
      <w:pPr>
        <w:pStyle w:val="NormalArial"/>
      </w:pPr>
      <w:r>
        <w:t xml:space="preserve">As noted above, there are additional costs to the operator to enable the ESRs to provide grid-forming services, and Plus Power strongly urges ERCOT to establish a clear compensation framework for these grid-forming services, as is consistent with industry practice in other jurisdictions. </w:t>
      </w:r>
      <w:r w:rsidR="00856398">
        <w:t xml:space="preserve"> </w:t>
      </w:r>
      <w:r w:rsidR="007B7C55" w:rsidRPr="007B7C55">
        <w:t xml:space="preserve">Although components of battery storage systems inherently </w:t>
      </w:r>
      <w:r w:rsidR="007E1308">
        <w:t xml:space="preserve">may be </w:t>
      </w:r>
      <w:r w:rsidR="007B7C55" w:rsidRPr="007B7C55">
        <w:t>technically able to function as grid-forming asset</w:t>
      </w:r>
      <w:r w:rsidR="007E1308">
        <w:t>s</w:t>
      </w:r>
      <w:r w:rsidR="007B7C55" w:rsidRPr="007B7C55">
        <w:t xml:space="preserve">, there is substantial additional planning, design, and operational work to actually enable the function and monitor its performance. </w:t>
      </w:r>
      <w:r w:rsidR="00424DE8">
        <w:t xml:space="preserve"> </w:t>
      </w:r>
      <w:r w:rsidR="00D70E35">
        <w:t>Examples of these additional costs include:</w:t>
      </w:r>
    </w:p>
    <w:p w14:paraId="6F64A38B" w14:textId="420D9A52" w:rsidR="007B7C55" w:rsidRPr="007B7C55" w:rsidRDefault="007B7C55" w:rsidP="00D70E35">
      <w:pPr>
        <w:pStyle w:val="NormalArial"/>
        <w:numPr>
          <w:ilvl w:val="0"/>
          <w:numId w:val="6"/>
        </w:numPr>
      </w:pPr>
      <w:r w:rsidRPr="007B7C55">
        <w:t>Design planning costs</w:t>
      </w:r>
      <w:r w:rsidR="00D70E35">
        <w:t>;</w:t>
      </w:r>
    </w:p>
    <w:p w14:paraId="563A08B8" w14:textId="6A138F57" w:rsidR="00414553" w:rsidRDefault="007B7C55" w:rsidP="00414553">
      <w:pPr>
        <w:pStyle w:val="NormalArial"/>
        <w:numPr>
          <w:ilvl w:val="0"/>
          <w:numId w:val="6"/>
        </w:numPr>
      </w:pPr>
      <w:r w:rsidRPr="007B7C55">
        <w:t xml:space="preserve">Headroom must be maintained to allow for a level of charging at high State of Charge </w:t>
      </w:r>
      <w:r w:rsidR="00953154">
        <w:t xml:space="preserve">(SOC) </w:t>
      </w:r>
      <w:r w:rsidRPr="007B7C55">
        <w:t xml:space="preserve">levels and conversely a level of discharging at low </w:t>
      </w:r>
      <w:r w:rsidR="00953154">
        <w:t>SOC</w:t>
      </w:r>
      <w:r w:rsidRPr="007B7C55">
        <w:t xml:space="preserve"> levels.  These operational points are not static and may vary over time and with calibration and balancing activities.</w:t>
      </w:r>
      <w:r w:rsidR="00930E82">
        <w:t xml:space="preserve"> </w:t>
      </w:r>
      <w:r w:rsidR="00856398">
        <w:t xml:space="preserve"> </w:t>
      </w:r>
      <w:r w:rsidR="00414553" w:rsidRPr="007B7C55">
        <w:t xml:space="preserve">Additional </w:t>
      </w:r>
      <w:r w:rsidR="00CD4D49">
        <w:t>resources</w:t>
      </w:r>
      <w:r w:rsidR="00414553" w:rsidRPr="007B7C55">
        <w:t xml:space="preserve"> may be needed to monitor and maintain enough charge and discharge capabilities on a daily basis</w:t>
      </w:r>
      <w:r w:rsidR="00414553">
        <w:t>;</w:t>
      </w:r>
      <w:r w:rsidR="00414553" w:rsidRPr="007B7C55">
        <w:t xml:space="preserve">  </w:t>
      </w:r>
    </w:p>
    <w:p w14:paraId="1B94ACF7" w14:textId="160C8DB2" w:rsidR="007B7C55" w:rsidRPr="007B7C55" w:rsidRDefault="007B7C55" w:rsidP="004C0994">
      <w:pPr>
        <w:pStyle w:val="NormalArial"/>
        <w:numPr>
          <w:ilvl w:val="0"/>
          <w:numId w:val="6"/>
        </w:numPr>
      </w:pPr>
      <w:r w:rsidRPr="007B7C55">
        <w:t xml:space="preserve">This </w:t>
      </w:r>
      <w:r w:rsidR="00414553">
        <w:t xml:space="preserve">additional </w:t>
      </w:r>
      <w:r w:rsidRPr="007B7C55">
        <w:t xml:space="preserve">headroom preservation </w:t>
      </w:r>
      <w:r w:rsidR="007210A4">
        <w:t>(</w:t>
      </w:r>
      <w:r w:rsidR="00F923D1">
        <w:t>in addition to other SOC requirements imposed by ERCOT</w:t>
      </w:r>
      <w:r w:rsidR="007210A4">
        <w:t>)</w:t>
      </w:r>
      <w:r w:rsidR="00F923D1">
        <w:t xml:space="preserve"> </w:t>
      </w:r>
      <w:r w:rsidR="007210A4">
        <w:t xml:space="preserve">will </w:t>
      </w:r>
      <w:r w:rsidRPr="007B7C55">
        <w:t xml:space="preserve">result in opportunity costs </w:t>
      </w:r>
      <w:r w:rsidR="00A13D78" w:rsidRPr="00A13D78">
        <w:t xml:space="preserve">for the </w:t>
      </w:r>
      <w:r w:rsidR="00414553">
        <w:t xml:space="preserve">ESR </w:t>
      </w:r>
      <w:r w:rsidR="00A13D78" w:rsidRPr="00A13D78">
        <w:t xml:space="preserve">operator to maintain SOC readiness for potential grid-forming responses versus providing real time energy or providing other Ancillary </w:t>
      </w:r>
      <w:r w:rsidR="00C30ED1">
        <w:t>S</w:t>
      </w:r>
      <w:r w:rsidR="00A13D78" w:rsidRPr="00A13D78">
        <w:t>ervices.</w:t>
      </w:r>
      <w:r w:rsidR="00023CCC">
        <w:t xml:space="preserve">  </w:t>
      </w:r>
      <w:r w:rsidRPr="007B7C55">
        <w:t>This headroom preservation</w:t>
      </w:r>
      <w:r w:rsidR="00347F50">
        <w:t xml:space="preserve"> </w:t>
      </w:r>
      <w:r w:rsidR="00C30ED1">
        <w:t xml:space="preserve">also </w:t>
      </w:r>
      <w:r w:rsidRPr="007B7C55">
        <w:t xml:space="preserve">may alter or affect other </w:t>
      </w:r>
      <w:r w:rsidR="000E78EC">
        <w:t xml:space="preserve">ESR </w:t>
      </w:r>
      <w:r w:rsidRPr="007B7C55">
        <w:t>performance guarantees, contracts, and support costs</w:t>
      </w:r>
      <w:r w:rsidR="00C30ED1">
        <w:t>;</w:t>
      </w:r>
    </w:p>
    <w:p w14:paraId="31BC3FA5" w14:textId="17F05BCD" w:rsidR="007B7C55" w:rsidRPr="007B7C55" w:rsidRDefault="007B7C55" w:rsidP="00BC42C4">
      <w:pPr>
        <w:pStyle w:val="NormalArial"/>
        <w:numPr>
          <w:ilvl w:val="0"/>
          <w:numId w:val="4"/>
        </w:numPr>
      </w:pPr>
      <w:r w:rsidRPr="007B7C55">
        <w:t xml:space="preserve">Additional tests must </w:t>
      </w:r>
      <w:r w:rsidR="000E78EC" w:rsidRPr="007B7C55">
        <w:t>be run</w:t>
      </w:r>
      <w:r w:rsidR="00C30ED1">
        <w:t>,</w:t>
      </w:r>
      <w:r w:rsidR="00BC42C4">
        <w:t xml:space="preserve"> </w:t>
      </w:r>
      <w:r w:rsidRPr="007B7C55">
        <w:t>requiring coordination from multiple parties</w:t>
      </w:r>
      <w:r w:rsidR="00BC42C4">
        <w:t>; and</w:t>
      </w:r>
    </w:p>
    <w:p w14:paraId="021CA840" w14:textId="54FE5FEF" w:rsidR="00035F7B" w:rsidRDefault="007B7C55" w:rsidP="00C30ED1">
      <w:pPr>
        <w:pStyle w:val="NormalArial"/>
        <w:numPr>
          <w:ilvl w:val="0"/>
          <w:numId w:val="4"/>
        </w:numPr>
      </w:pPr>
      <w:r w:rsidRPr="007B7C55">
        <w:t>Additional modeling activities must be performed which have significant costs.</w:t>
      </w:r>
    </w:p>
    <w:p w14:paraId="0DAE470C" w14:textId="77777777" w:rsidR="00021209" w:rsidRPr="007B7C55" w:rsidRDefault="00021209" w:rsidP="00021209">
      <w:pPr>
        <w:pStyle w:val="NormalArial"/>
      </w:pPr>
      <w:r>
        <w:lastRenderedPageBreak/>
        <w:t xml:space="preserve">As the foregoing examples reflect, </w:t>
      </w:r>
      <w:r w:rsidRPr="007B7C55">
        <w:t xml:space="preserve">the cost of this planning and operational burden to ensure grid-forming readiness is significant.  </w:t>
      </w:r>
    </w:p>
    <w:p w14:paraId="6AB41082" w14:textId="77777777" w:rsidR="00035F7B" w:rsidRPr="007B7C55" w:rsidRDefault="00035F7B" w:rsidP="00023CCC">
      <w:pPr>
        <w:pStyle w:val="NormalArial"/>
        <w:ind w:left="1440"/>
      </w:pPr>
    </w:p>
    <w:p w14:paraId="16CCB210" w14:textId="0B0B7F5B" w:rsidR="007B7C55" w:rsidRPr="007B7C55" w:rsidRDefault="00751C24" w:rsidP="0094558D">
      <w:pPr>
        <w:pStyle w:val="NormalArial"/>
      </w:pPr>
      <w:r>
        <w:t>While</w:t>
      </w:r>
      <w:r w:rsidR="007B7C55" w:rsidRPr="007B7C55">
        <w:t xml:space="preserve"> this proposal </w:t>
      </w:r>
      <w:r>
        <w:t>appear</w:t>
      </w:r>
      <w:r w:rsidR="007B7C55" w:rsidRPr="007B7C55">
        <w:t xml:space="preserve">s narrowly crafted, </w:t>
      </w:r>
      <w:r>
        <w:t>mandat</w:t>
      </w:r>
      <w:r w:rsidR="007B7C55" w:rsidRPr="007B7C55">
        <w:t xml:space="preserve">ing grid-forming services for </w:t>
      </w:r>
      <w:r w:rsidR="004165CC">
        <w:t xml:space="preserve">ESRs </w:t>
      </w:r>
      <w:r>
        <w:t>without appropriate compensation mechanisms would establish a concerning</w:t>
      </w:r>
      <w:r w:rsidR="007B7C55" w:rsidRPr="007B7C55">
        <w:t xml:space="preserve"> precedent in Texas on the subject without a more fulsome discussion of where, why, </w:t>
      </w:r>
      <w:r w:rsidR="00C92AC5">
        <w:t xml:space="preserve">and </w:t>
      </w:r>
      <w:r w:rsidR="007B7C55" w:rsidRPr="007B7C55">
        <w:t xml:space="preserve">when these </w:t>
      </w:r>
      <w:r w:rsidR="00C92AC5">
        <w:t xml:space="preserve">services </w:t>
      </w:r>
      <w:r w:rsidR="007B7C55" w:rsidRPr="007B7C55">
        <w:t xml:space="preserve">are needed and a full picture of impacts to </w:t>
      </w:r>
      <w:r w:rsidR="00735899">
        <w:t xml:space="preserve">affected </w:t>
      </w:r>
      <w:r w:rsidR="00C92AC5">
        <w:t xml:space="preserve">ESRs </w:t>
      </w:r>
      <w:r w:rsidR="007B7C55" w:rsidRPr="007B7C55">
        <w:t xml:space="preserve">and </w:t>
      </w:r>
      <w:r w:rsidR="00C92AC5">
        <w:t xml:space="preserve">the </w:t>
      </w:r>
      <w:r w:rsidR="007B7C55" w:rsidRPr="007B7C55">
        <w:t xml:space="preserve">benefits for less capable </w:t>
      </w:r>
      <w:r w:rsidR="00A77EBB">
        <w:t xml:space="preserve">non-ESR </w:t>
      </w:r>
      <w:r w:rsidR="00735899">
        <w:t>Generation Resources.</w:t>
      </w:r>
    </w:p>
    <w:p w14:paraId="45D7DCFD" w14:textId="77777777" w:rsidR="007B7C55" w:rsidRPr="007B7C55" w:rsidRDefault="007B7C55" w:rsidP="007B7C55">
      <w:pPr>
        <w:pStyle w:val="NormalArial"/>
      </w:pPr>
    </w:p>
    <w:p w14:paraId="0545B333" w14:textId="7A6A19B6" w:rsidR="007B7C55" w:rsidRPr="007B7C55" w:rsidRDefault="00986296" w:rsidP="00735899">
      <w:pPr>
        <w:pStyle w:val="NormalArial"/>
      </w:pPr>
      <w:r>
        <w:t xml:space="preserve">Plus Power respectfully recommends that </w:t>
      </w:r>
      <w:r w:rsidRPr="0006363E">
        <w:t>ERCOT address a range of questions about how these services will be integrated before moving forward with this NOGRR</w:t>
      </w:r>
      <w:r>
        <w:t xml:space="preserve">.  </w:t>
      </w:r>
      <w:r w:rsidR="00735899">
        <w:t xml:space="preserve">The following are </w:t>
      </w:r>
      <w:r w:rsidR="00136F72">
        <w:t xml:space="preserve">issues that require </w:t>
      </w:r>
      <w:r w:rsidR="007B7C55" w:rsidRPr="007B7C55">
        <w:t>more discussion and planning before moving ahead on this NOGRR</w:t>
      </w:r>
      <w:r w:rsidR="00136F72">
        <w:t>:</w:t>
      </w:r>
    </w:p>
    <w:p w14:paraId="54A725EA" w14:textId="77777777" w:rsidR="006B4BA7" w:rsidRDefault="007B7C55" w:rsidP="00136F72">
      <w:pPr>
        <w:pStyle w:val="NormalArial"/>
        <w:numPr>
          <w:ilvl w:val="0"/>
          <w:numId w:val="5"/>
        </w:numPr>
      </w:pPr>
      <w:r w:rsidRPr="007B7C55">
        <w:t>How does ERCOT intend to build grid-forming services into its planning?</w:t>
      </w:r>
      <w:r w:rsidR="00136F72">
        <w:t xml:space="preserve"> </w:t>
      </w:r>
    </w:p>
    <w:p w14:paraId="1D335199" w14:textId="625AE8F0" w:rsidR="007B7C55" w:rsidRPr="007B7C55" w:rsidRDefault="007B7C55" w:rsidP="00136F72">
      <w:pPr>
        <w:pStyle w:val="NormalArial"/>
        <w:numPr>
          <w:ilvl w:val="0"/>
          <w:numId w:val="5"/>
        </w:numPr>
      </w:pPr>
      <w:r w:rsidRPr="007B7C55">
        <w:t xml:space="preserve">How will ERCOT handle performance where the unit did ride-through but did not perform as modeled?  </w:t>
      </w:r>
    </w:p>
    <w:p w14:paraId="54CE13AD" w14:textId="15887924" w:rsidR="007B7C55" w:rsidRPr="007B7C55" w:rsidRDefault="007B7C55" w:rsidP="00136F72">
      <w:pPr>
        <w:pStyle w:val="NormalArial"/>
        <w:numPr>
          <w:ilvl w:val="0"/>
          <w:numId w:val="5"/>
        </w:numPr>
      </w:pPr>
      <w:r w:rsidRPr="007B7C55">
        <w:t xml:space="preserve">What is ERCOT’s roadmap to integrating and compensating for other new </w:t>
      </w:r>
      <w:r w:rsidR="00F31378">
        <w:t>g</w:t>
      </w:r>
      <w:r w:rsidRPr="007B7C55">
        <w:t>rid</w:t>
      </w:r>
      <w:r w:rsidR="00F31378">
        <w:t>-f</w:t>
      </w:r>
      <w:r w:rsidRPr="007B7C55">
        <w:t>orming services not being required by NOGRR 272</w:t>
      </w:r>
      <w:r w:rsidR="00B502A9">
        <w:t>,</w:t>
      </w:r>
      <w:r w:rsidRPr="007B7C55">
        <w:t xml:space="preserve"> such as Black Start Services and virtual </w:t>
      </w:r>
      <w:r w:rsidR="00136F72" w:rsidRPr="007B7C55">
        <w:t>inertia</w:t>
      </w:r>
      <w:r w:rsidR="00136F72">
        <w:t>?</w:t>
      </w:r>
    </w:p>
    <w:p w14:paraId="00D5BD6D" w14:textId="5AD6E2B2" w:rsidR="007B7C55" w:rsidRPr="007B7C55" w:rsidRDefault="007B7C55" w:rsidP="00136F72">
      <w:pPr>
        <w:pStyle w:val="NormalArial"/>
        <w:numPr>
          <w:ilvl w:val="0"/>
          <w:numId w:val="5"/>
        </w:numPr>
      </w:pPr>
      <w:r w:rsidRPr="007B7C55">
        <w:t xml:space="preserve">How will ERCOT compensate </w:t>
      </w:r>
      <w:r w:rsidR="00136F72">
        <w:t xml:space="preserve">ESRs </w:t>
      </w:r>
      <w:r w:rsidRPr="007B7C55">
        <w:t xml:space="preserve">for the lost opportunity costs of preserving headroom at </w:t>
      </w:r>
      <w:r w:rsidR="00136835">
        <w:t>h</w:t>
      </w:r>
      <w:r w:rsidRPr="007B7C55">
        <w:t xml:space="preserve">igh and </w:t>
      </w:r>
      <w:r w:rsidR="00136835">
        <w:t>l</w:t>
      </w:r>
      <w:r w:rsidRPr="007B7C55">
        <w:t>ow SOC levels?</w:t>
      </w:r>
    </w:p>
    <w:p w14:paraId="22D0AF74" w14:textId="716C738B" w:rsidR="007B7C55" w:rsidRDefault="007B7C55" w:rsidP="00136F72">
      <w:pPr>
        <w:pStyle w:val="NormalArial"/>
        <w:numPr>
          <w:ilvl w:val="0"/>
          <w:numId w:val="5"/>
        </w:numPr>
      </w:pPr>
      <w:r w:rsidRPr="007B7C55">
        <w:t xml:space="preserve">How will ERCOT compensate </w:t>
      </w:r>
      <w:r w:rsidR="00A77EBB">
        <w:t xml:space="preserve">ESRs </w:t>
      </w:r>
      <w:r w:rsidRPr="007B7C55">
        <w:t xml:space="preserve">for their increased initial and ongoing costs </w:t>
      </w:r>
      <w:r w:rsidR="00F31378">
        <w:t xml:space="preserve">to provide </w:t>
      </w:r>
      <w:r w:rsidRPr="007B7C55">
        <w:t>this new service?</w:t>
      </w:r>
    </w:p>
    <w:p w14:paraId="0D5AD9A1" w14:textId="77777777" w:rsidR="00136F72" w:rsidRPr="007B7C55" w:rsidRDefault="00136F72" w:rsidP="00136F72">
      <w:pPr>
        <w:pStyle w:val="NormalArial"/>
      </w:pPr>
    </w:p>
    <w:p w14:paraId="44BAD9C2" w14:textId="44975A4F" w:rsidR="0055032D" w:rsidRDefault="00380789">
      <w:pPr>
        <w:pStyle w:val="NormalArial"/>
      </w:pPr>
      <w:proofErr w:type="gramStart"/>
      <w:r>
        <w:t>Plus</w:t>
      </w:r>
      <w:proofErr w:type="gramEnd"/>
      <w:r>
        <w:t xml:space="preserve"> Power appreciates the opportunity to provide these comments and looks forward to working with ERCOT and other stakeholders on these important issues.  As noted at the outset, Plus Power agrees that g</w:t>
      </w:r>
      <w:r w:rsidRPr="0006363E">
        <w:t>rid</w:t>
      </w:r>
      <w:r>
        <w:t>-f</w:t>
      </w:r>
      <w:r w:rsidRPr="0006363E">
        <w:t xml:space="preserve">orming capabilities </w:t>
      </w:r>
      <w:r w:rsidR="008F6872">
        <w:t xml:space="preserve">that ESRs can provide </w:t>
      </w:r>
      <w:r w:rsidRPr="0006363E">
        <w:t xml:space="preserve">can be </w:t>
      </w:r>
      <w:r w:rsidR="008F6872">
        <w:t xml:space="preserve">a valuable </w:t>
      </w:r>
      <w:r w:rsidRPr="0006363E">
        <w:t xml:space="preserve">part of </w:t>
      </w:r>
      <w:r w:rsidR="0013022C">
        <w:t xml:space="preserve">ERCOT’s overall </w:t>
      </w:r>
      <w:r w:rsidR="008F6872">
        <w:t xml:space="preserve">strategy </w:t>
      </w:r>
      <w:r w:rsidR="0013022C">
        <w:t>to improve the reliable operations of the ERCOT grid</w:t>
      </w:r>
      <w:r w:rsidR="008F6872">
        <w:t>.</w:t>
      </w:r>
      <w:r w:rsidR="00D4659D">
        <w:t xml:space="preserve">  </w:t>
      </w:r>
      <w:proofErr w:type="gramStart"/>
      <w:r w:rsidR="00D4659D">
        <w:t>Plus</w:t>
      </w:r>
      <w:proofErr w:type="gramEnd"/>
      <w:r w:rsidR="00D4659D">
        <w:t xml:space="preserve"> Power </w:t>
      </w:r>
      <w:r w:rsidR="00751C24">
        <w:t>strongly emphasizes that a fundamental prerequisite to realizing these benefits is establishing a fair and transparent compensation mechanism that recognizes both the capital and operational costs incurred by ESRs in providing these essential grid-forming services</w:t>
      </w:r>
      <w:r w:rsidR="00491EE8">
        <w:t>.</w:t>
      </w:r>
    </w:p>
    <w:p w14:paraId="4F40D060"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441D467F" w14:textId="77777777" w:rsidTr="004D37D7">
        <w:trPr>
          <w:trHeight w:val="350"/>
        </w:trPr>
        <w:tc>
          <w:tcPr>
            <w:tcW w:w="10440" w:type="dxa"/>
            <w:tcBorders>
              <w:bottom w:val="single" w:sz="4" w:space="0" w:color="auto"/>
            </w:tcBorders>
            <w:shd w:val="clear" w:color="auto" w:fill="FFFFFF"/>
            <w:vAlign w:val="center"/>
          </w:tcPr>
          <w:p w14:paraId="0486D81B" w14:textId="77777777" w:rsidR="0055032D" w:rsidRDefault="0055032D" w:rsidP="004D37D7">
            <w:pPr>
              <w:pStyle w:val="Header"/>
              <w:jc w:val="center"/>
            </w:pPr>
            <w:r>
              <w:t>Revised Cover Page Language</w:t>
            </w:r>
          </w:p>
        </w:tc>
      </w:tr>
    </w:tbl>
    <w:p w14:paraId="66B6D918" w14:textId="6BFBC762" w:rsidR="00152993" w:rsidRDefault="009C53D1" w:rsidP="004C2892">
      <w:pPr>
        <w:pStyle w:val="BodyText"/>
        <w:spacing w:before="240" w:after="240"/>
      </w:pPr>
      <w:r w:rsidRPr="004C289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E8BDAF6" w14:textId="77777777">
        <w:trPr>
          <w:trHeight w:val="350"/>
        </w:trPr>
        <w:tc>
          <w:tcPr>
            <w:tcW w:w="10440" w:type="dxa"/>
            <w:tcBorders>
              <w:bottom w:val="single" w:sz="4" w:space="0" w:color="auto"/>
            </w:tcBorders>
            <w:shd w:val="clear" w:color="auto" w:fill="FFFFFF"/>
            <w:vAlign w:val="center"/>
          </w:tcPr>
          <w:p w14:paraId="0FB359E2" w14:textId="77777777" w:rsidR="00152993" w:rsidRDefault="00152993">
            <w:pPr>
              <w:pStyle w:val="Header"/>
              <w:jc w:val="center"/>
            </w:pPr>
            <w:r>
              <w:t xml:space="preserve">Revised Proposed </w:t>
            </w:r>
            <w:r w:rsidR="00C158EE">
              <w:t xml:space="preserve">Guide </w:t>
            </w:r>
            <w:r>
              <w:t>Language</w:t>
            </w:r>
          </w:p>
        </w:tc>
      </w:tr>
    </w:tbl>
    <w:p w14:paraId="12B1BE1A" w14:textId="464F51A3" w:rsidR="00152993" w:rsidRPr="004C2892" w:rsidRDefault="009C53D1" w:rsidP="004C2892">
      <w:pPr>
        <w:pStyle w:val="BodyText"/>
        <w:spacing w:before="240"/>
        <w:rPr>
          <w:rFonts w:ascii="Arial" w:hAnsi="Arial" w:cs="Arial"/>
        </w:rPr>
      </w:pPr>
      <w:r w:rsidRPr="004C2892">
        <w:rPr>
          <w:rFonts w:ascii="Arial" w:hAnsi="Arial" w:cs="Arial"/>
        </w:rPr>
        <w:t>None</w:t>
      </w:r>
    </w:p>
    <w:sectPr w:rsidR="00152993" w:rsidRPr="004C2892"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EBB4" w14:textId="77777777" w:rsidR="00CF6D59" w:rsidRDefault="00CF6D59">
      <w:r>
        <w:separator/>
      </w:r>
    </w:p>
  </w:endnote>
  <w:endnote w:type="continuationSeparator" w:id="0">
    <w:p w14:paraId="3268ABCB" w14:textId="77777777" w:rsidR="00CF6D59" w:rsidRDefault="00C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480E" w14:textId="4289ADD7" w:rsidR="003D0994" w:rsidRDefault="007F4D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71CF6">
      <w:rPr>
        <w:rFonts w:ascii="Arial" w:hAnsi="Arial"/>
        <w:noProof/>
        <w:sz w:val="18"/>
      </w:rPr>
      <w:t>272N</w:t>
    </w:r>
    <w:r>
      <w:rPr>
        <w:rFonts w:ascii="Arial" w:hAnsi="Arial"/>
        <w:noProof/>
        <w:sz w:val="18"/>
      </w:rPr>
      <w:t>OGRR</w:t>
    </w:r>
    <w:r w:rsidR="00E71CF6">
      <w:rPr>
        <w:rFonts w:ascii="Arial" w:hAnsi="Arial"/>
        <w:noProof/>
        <w:sz w:val="18"/>
      </w:rPr>
      <w:t>-</w:t>
    </w:r>
    <w:r w:rsidR="004C2892">
      <w:rPr>
        <w:rFonts w:ascii="Arial" w:hAnsi="Arial"/>
        <w:noProof/>
        <w:sz w:val="18"/>
      </w:rPr>
      <w:t>06</w:t>
    </w:r>
    <w:r w:rsidR="00E71CF6">
      <w:rPr>
        <w:rFonts w:ascii="Arial" w:hAnsi="Arial"/>
        <w:noProof/>
        <w:sz w:val="18"/>
      </w:rPr>
      <w:t xml:space="preserve"> Plus Power Comments</w:t>
    </w:r>
    <w:r w:rsidR="00225002">
      <w:rPr>
        <w:rFonts w:ascii="Arial" w:hAnsi="Arial"/>
        <w:noProof/>
        <w:sz w:val="18"/>
      </w:rPr>
      <w:t xml:space="preserve"> 01</w:t>
    </w:r>
    <w:r w:rsidR="00A132CD">
      <w:rPr>
        <w:rFonts w:ascii="Arial" w:hAnsi="Arial"/>
        <w:noProof/>
        <w:sz w:val="18"/>
      </w:rPr>
      <w:t>1</w:t>
    </w:r>
    <w:r w:rsidR="004C2892">
      <w:rPr>
        <w:rFonts w:ascii="Arial" w:hAnsi="Arial"/>
        <w:noProof/>
        <w:sz w:val="18"/>
      </w:rPr>
      <w:t>5</w:t>
    </w:r>
    <w:r w:rsidR="00225002">
      <w:rPr>
        <w:rFonts w:ascii="Arial" w:hAnsi="Arial"/>
        <w:noProof/>
        <w:sz w:val="18"/>
      </w:rPr>
      <w:t>2</w:t>
    </w:r>
    <w:r w:rsidR="00A132CD">
      <w:rPr>
        <w:rFonts w:ascii="Arial" w:hAnsi="Arial"/>
        <w:noProof/>
        <w:sz w:val="18"/>
      </w:rPr>
      <w:t>5</w:t>
    </w:r>
    <w:r>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p>
  <w:p w14:paraId="5C3AFFB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EAFF" w14:textId="77777777" w:rsidR="00CF6D59" w:rsidRDefault="00CF6D59">
      <w:r>
        <w:separator/>
      </w:r>
    </w:p>
  </w:footnote>
  <w:footnote w:type="continuationSeparator" w:id="0">
    <w:p w14:paraId="5B0BCA45" w14:textId="77777777" w:rsidR="00CF6D59" w:rsidRDefault="00CF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E20"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477CF0AD"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A10101"/>
    <w:multiLevelType w:val="hybridMultilevel"/>
    <w:tmpl w:val="AA3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C24A4"/>
    <w:multiLevelType w:val="hybridMultilevel"/>
    <w:tmpl w:val="394A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179F3"/>
    <w:multiLevelType w:val="hybridMultilevel"/>
    <w:tmpl w:val="4C24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48E9"/>
    <w:multiLevelType w:val="hybridMultilevel"/>
    <w:tmpl w:val="FFBC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17434077">
    <w:abstractNumId w:val="0"/>
  </w:num>
  <w:num w:numId="2" w16cid:durableId="906770319">
    <w:abstractNumId w:val="5"/>
  </w:num>
  <w:num w:numId="3" w16cid:durableId="654838436">
    <w:abstractNumId w:val="3"/>
  </w:num>
  <w:num w:numId="4" w16cid:durableId="1348603189">
    <w:abstractNumId w:val="4"/>
  </w:num>
  <w:num w:numId="5" w16cid:durableId="235896591">
    <w:abstractNumId w:val="2"/>
  </w:num>
  <w:num w:numId="6" w16cid:durableId="141539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F2A"/>
    <w:rsid w:val="00012122"/>
    <w:rsid w:val="00021209"/>
    <w:rsid w:val="00023CCC"/>
    <w:rsid w:val="00035F7B"/>
    <w:rsid w:val="00037668"/>
    <w:rsid w:val="0006363E"/>
    <w:rsid w:val="00075A94"/>
    <w:rsid w:val="00090964"/>
    <w:rsid w:val="00094F9A"/>
    <w:rsid w:val="000A7E7B"/>
    <w:rsid w:val="000D0849"/>
    <w:rsid w:val="000E78EC"/>
    <w:rsid w:val="0013022C"/>
    <w:rsid w:val="00132855"/>
    <w:rsid w:val="00136835"/>
    <w:rsid w:val="00136F72"/>
    <w:rsid w:val="00152993"/>
    <w:rsid w:val="00164EB0"/>
    <w:rsid w:val="00170297"/>
    <w:rsid w:val="00176E7B"/>
    <w:rsid w:val="001862AE"/>
    <w:rsid w:val="001A227D"/>
    <w:rsid w:val="001D11CA"/>
    <w:rsid w:val="001E2032"/>
    <w:rsid w:val="001F49FB"/>
    <w:rsid w:val="0020227A"/>
    <w:rsid w:val="00225002"/>
    <w:rsid w:val="00237F13"/>
    <w:rsid w:val="002550D2"/>
    <w:rsid w:val="002768E1"/>
    <w:rsid w:val="002771E6"/>
    <w:rsid w:val="00284AB9"/>
    <w:rsid w:val="002B6C84"/>
    <w:rsid w:val="002E461C"/>
    <w:rsid w:val="003010C0"/>
    <w:rsid w:val="00332A97"/>
    <w:rsid w:val="00341ED3"/>
    <w:rsid w:val="003429FC"/>
    <w:rsid w:val="00343693"/>
    <w:rsid w:val="00347F50"/>
    <w:rsid w:val="00350C00"/>
    <w:rsid w:val="00366113"/>
    <w:rsid w:val="00380789"/>
    <w:rsid w:val="00391D14"/>
    <w:rsid w:val="003C270C"/>
    <w:rsid w:val="003C405A"/>
    <w:rsid w:val="003D0994"/>
    <w:rsid w:val="003E7D74"/>
    <w:rsid w:val="00400DB9"/>
    <w:rsid w:val="00414553"/>
    <w:rsid w:val="004165CC"/>
    <w:rsid w:val="00420592"/>
    <w:rsid w:val="00423824"/>
    <w:rsid w:val="00424DE8"/>
    <w:rsid w:val="00430CFD"/>
    <w:rsid w:val="004319F5"/>
    <w:rsid w:val="0043567D"/>
    <w:rsid w:val="0043597B"/>
    <w:rsid w:val="00463B08"/>
    <w:rsid w:val="00491EE8"/>
    <w:rsid w:val="004B7B90"/>
    <w:rsid w:val="004C2892"/>
    <w:rsid w:val="004C59BB"/>
    <w:rsid w:val="004D37D7"/>
    <w:rsid w:val="004D73BF"/>
    <w:rsid w:val="004E13C0"/>
    <w:rsid w:val="004E2C19"/>
    <w:rsid w:val="00511920"/>
    <w:rsid w:val="0055032D"/>
    <w:rsid w:val="00585839"/>
    <w:rsid w:val="005859B0"/>
    <w:rsid w:val="005A0A8C"/>
    <w:rsid w:val="005D284C"/>
    <w:rsid w:val="00633E23"/>
    <w:rsid w:val="006436C3"/>
    <w:rsid w:val="00657BF4"/>
    <w:rsid w:val="00673B94"/>
    <w:rsid w:val="00680AC6"/>
    <w:rsid w:val="006835D8"/>
    <w:rsid w:val="00697096"/>
    <w:rsid w:val="006A0C83"/>
    <w:rsid w:val="006B4BA7"/>
    <w:rsid w:val="006C316E"/>
    <w:rsid w:val="006D0F7C"/>
    <w:rsid w:val="00705A2A"/>
    <w:rsid w:val="007210A4"/>
    <w:rsid w:val="007269C4"/>
    <w:rsid w:val="00734EAF"/>
    <w:rsid w:val="00735899"/>
    <w:rsid w:val="0074209E"/>
    <w:rsid w:val="00751C24"/>
    <w:rsid w:val="00797D20"/>
    <w:rsid w:val="007B045B"/>
    <w:rsid w:val="007B64F5"/>
    <w:rsid w:val="007B7C55"/>
    <w:rsid w:val="007E1308"/>
    <w:rsid w:val="007F2CA8"/>
    <w:rsid w:val="007F2DC1"/>
    <w:rsid w:val="007F4D61"/>
    <w:rsid w:val="007F7161"/>
    <w:rsid w:val="008078C4"/>
    <w:rsid w:val="008346EB"/>
    <w:rsid w:val="0085559E"/>
    <w:rsid w:val="00856398"/>
    <w:rsid w:val="00866EFD"/>
    <w:rsid w:val="00891365"/>
    <w:rsid w:val="00896B1B"/>
    <w:rsid w:val="008E2E91"/>
    <w:rsid w:val="008E559E"/>
    <w:rsid w:val="008F6872"/>
    <w:rsid w:val="00916080"/>
    <w:rsid w:val="00921A68"/>
    <w:rsid w:val="00923183"/>
    <w:rsid w:val="00925BAD"/>
    <w:rsid w:val="00930E82"/>
    <w:rsid w:val="0094558D"/>
    <w:rsid w:val="00952BBC"/>
    <w:rsid w:val="00953154"/>
    <w:rsid w:val="00953600"/>
    <w:rsid w:val="00960706"/>
    <w:rsid w:val="00986296"/>
    <w:rsid w:val="00992296"/>
    <w:rsid w:val="009C53D1"/>
    <w:rsid w:val="009E1A2F"/>
    <w:rsid w:val="009E5CA0"/>
    <w:rsid w:val="009E78F3"/>
    <w:rsid w:val="00A015C4"/>
    <w:rsid w:val="00A132CD"/>
    <w:rsid w:val="00A13D78"/>
    <w:rsid w:val="00A15172"/>
    <w:rsid w:val="00A77EBB"/>
    <w:rsid w:val="00B133C5"/>
    <w:rsid w:val="00B148BD"/>
    <w:rsid w:val="00B33DFD"/>
    <w:rsid w:val="00B4504B"/>
    <w:rsid w:val="00B502A9"/>
    <w:rsid w:val="00BC42C4"/>
    <w:rsid w:val="00BC620D"/>
    <w:rsid w:val="00C0141E"/>
    <w:rsid w:val="00C0598D"/>
    <w:rsid w:val="00C11956"/>
    <w:rsid w:val="00C158EE"/>
    <w:rsid w:val="00C30ED1"/>
    <w:rsid w:val="00C602E5"/>
    <w:rsid w:val="00C748FD"/>
    <w:rsid w:val="00C76A3C"/>
    <w:rsid w:val="00C92AC5"/>
    <w:rsid w:val="00CA305E"/>
    <w:rsid w:val="00CB2929"/>
    <w:rsid w:val="00CB71EF"/>
    <w:rsid w:val="00CB7E4A"/>
    <w:rsid w:val="00CD4D49"/>
    <w:rsid w:val="00CD7E8A"/>
    <w:rsid w:val="00CE55E0"/>
    <w:rsid w:val="00CF6D59"/>
    <w:rsid w:val="00D1684A"/>
    <w:rsid w:val="00D24DCF"/>
    <w:rsid w:val="00D4046E"/>
    <w:rsid w:val="00D42F69"/>
    <w:rsid w:val="00D4659D"/>
    <w:rsid w:val="00D4690F"/>
    <w:rsid w:val="00D52592"/>
    <w:rsid w:val="00D65119"/>
    <w:rsid w:val="00D70E35"/>
    <w:rsid w:val="00D825C5"/>
    <w:rsid w:val="00DD4739"/>
    <w:rsid w:val="00DE5F33"/>
    <w:rsid w:val="00E05883"/>
    <w:rsid w:val="00E07B54"/>
    <w:rsid w:val="00E11F78"/>
    <w:rsid w:val="00E1262E"/>
    <w:rsid w:val="00E621E1"/>
    <w:rsid w:val="00E71CF6"/>
    <w:rsid w:val="00E83AAE"/>
    <w:rsid w:val="00E92030"/>
    <w:rsid w:val="00EC55B3"/>
    <w:rsid w:val="00ED546D"/>
    <w:rsid w:val="00ED6B93"/>
    <w:rsid w:val="00EE7FAD"/>
    <w:rsid w:val="00F020E0"/>
    <w:rsid w:val="00F24F53"/>
    <w:rsid w:val="00F31378"/>
    <w:rsid w:val="00F4545F"/>
    <w:rsid w:val="00F53593"/>
    <w:rsid w:val="00F81E25"/>
    <w:rsid w:val="00F923D1"/>
    <w:rsid w:val="00F96FB2"/>
    <w:rsid w:val="00FB51D8"/>
    <w:rsid w:val="00FD08E8"/>
    <w:rsid w:val="00FE5B3D"/>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423D"/>
  <w15:chartTrackingRefBased/>
  <w15:docId w15:val="{684FE801-FD98-4DF5-8BE4-D81EC85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43597B"/>
    <w:rPr>
      <w:color w:val="605E5C"/>
      <w:shd w:val="clear" w:color="auto" w:fill="E1DFDD"/>
    </w:rPr>
  </w:style>
  <w:style w:type="paragraph" w:styleId="ListParagraph">
    <w:name w:val="List Paragraph"/>
    <w:basedOn w:val="Normal"/>
    <w:uiPriority w:val="34"/>
    <w:qFormat/>
    <w:rsid w:val="007B7C55"/>
    <w:pPr>
      <w:spacing w:after="160" w:line="278" w:lineRule="auto"/>
      <w:ind w:left="720"/>
      <w:contextualSpacing/>
    </w:pPr>
    <w:rPr>
      <w:rFonts w:ascii="Calibri" w:eastAsia="Aptos" w:hAnsi="Calibri" w:cs="Times New Roman (Body CS)"/>
      <w:kern w:val="2"/>
      <w:sz w:val="22"/>
    </w:rPr>
  </w:style>
  <w:style w:type="paragraph" w:styleId="Revision">
    <w:name w:val="Revision"/>
    <w:hidden/>
    <w:uiPriority w:val="99"/>
    <w:semiHidden/>
    <w:rsid w:val="00751C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haw@plus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B9D7-6200-4A14-9841-2E9B3B40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1122</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7686</CharactersWithSpaces>
  <SharedDoc>false</SharedDoc>
  <HLinks>
    <vt:vector size="6" baseType="variant">
      <vt:variant>
        <vt:i4>7340067</vt:i4>
      </vt:variant>
      <vt:variant>
        <vt:i4>0</vt:i4>
      </vt:variant>
      <vt:variant>
        <vt:i4>0</vt:i4>
      </vt:variant>
      <vt:variant>
        <vt:i4>5</vt:i4>
      </vt:variant>
      <vt:variant>
        <vt:lpwstr>https://www.ercot.com/mktrules/issues/NOGRR272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2025-01-15T18:13:00Z</dcterms:created>
  <dcterms:modified xsi:type="dcterms:W3CDTF">2025-01-15T18:17:00Z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2025-01-14T22:27:52Z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be41cfc7-9698-421b-b522-0bf832da4484</vt:lpwstr>
  </property>
  <property fmtid="{D5CDD505-2E9C-101B-9397-08002B2CF9AE}" pid="8" name="MSIP_Label_7084cbda-52b8-46fb-a7b7-cb5bd465ed85_ContentBits">
    <vt:lpwstr>0</vt:lpwstr>
  </property>
</Properties>
</file>