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C2B1C2C" w14:textId="77777777">
        <w:tc>
          <w:tcPr>
            <w:tcW w:w="1620" w:type="dxa"/>
            <w:tcBorders>
              <w:bottom w:val="single" w:sz="4" w:space="0" w:color="auto"/>
            </w:tcBorders>
            <w:shd w:val="clear" w:color="auto" w:fill="FFFFFF"/>
            <w:vAlign w:val="center"/>
          </w:tcPr>
          <w:p w14:paraId="389F470C"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5175606A" w14:textId="372DDEE5" w:rsidR="00152993" w:rsidRDefault="0042058D">
            <w:pPr>
              <w:pStyle w:val="Header"/>
            </w:pPr>
            <w:hyperlink r:id="rId11" w:history="1">
              <w:r w:rsidR="003F495C" w:rsidRPr="006F5C9C">
                <w:rPr>
                  <w:rStyle w:val="Hyperlink"/>
                </w:rPr>
                <w:t>115</w:t>
              </w:r>
            </w:hyperlink>
          </w:p>
        </w:tc>
        <w:tc>
          <w:tcPr>
            <w:tcW w:w="1440" w:type="dxa"/>
            <w:tcBorders>
              <w:bottom w:val="single" w:sz="4" w:space="0" w:color="auto"/>
            </w:tcBorders>
            <w:shd w:val="clear" w:color="auto" w:fill="FFFFFF"/>
            <w:vAlign w:val="center"/>
          </w:tcPr>
          <w:p w14:paraId="1F00A02C"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760D6D68" w14:textId="77777777" w:rsidR="00152993" w:rsidRDefault="003F495C">
            <w:pPr>
              <w:pStyle w:val="Header"/>
            </w:pPr>
            <w:r>
              <w:t xml:space="preserve">Related to NPRR1234, </w:t>
            </w:r>
            <w:r w:rsidRPr="00FC4546">
              <w:t>Interconnection Requirements for Large Loads and Modeling Standards for Loads 25 MW or Greater</w:t>
            </w:r>
          </w:p>
        </w:tc>
      </w:tr>
    </w:tbl>
    <w:p w14:paraId="1066AA4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23F27DA5" w:rsidR="00152993" w:rsidRDefault="00D64539">
            <w:pPr>
              <w:pStyle w:val="NormalArial"/>
            </w:pPr>
            <w:r>
              <w:t>January 29</w:t>
            </w:r>
            <w:r w:rsidR="0042058D">
              <w:t>,</w:t>
            </w:r>
            <w:r>
              <w:t xml:space="preserve"> 2025</w:t>
            </w:r>
          </w:p>
        </w:tc>
      </w:tr>
    </w:tbl>
    <w:p w14:paraId="6702835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1C56114" w14:textId="77777777">
        <w:trPr>
          <w:trHeight w:val="440"/>
        </w:trPr>
        <w:tc>
          <w:tcPr>
            <w:tcW w:w="10440" w:type="dxa"/>
            <w:gridSpan w:val="2"/>
            <w:tcBorders>
              <w:top w:val="single" w:sz="4" w:space="0" w:color="auto"/>
            </w:tcBorders>
            <w:shd w:val="clear" w:color="auto" w:fill="FFFFFF"/>
            <w:vAlign w:val="center"/>
          </w:tcPr>
          <w:p w14:paraId="667641C0" w14:textId="77777777" w:rsidR="00152993" w:rsidRDefault="00152993">
            <w:pPr>
              <w:pStyle w:val="Header"/>
              <w:jc w:val="center"/>
            </w:pPr>
            <w:r>
              <w:t>Submitter’s Information</w:t>
            </w:r>
          </w:p>
        </w:tc>
      </w:tr>
      <w:tr w:rsidR="0075092F" w14:paraId="20FEF54C" w14:textId="77777777">
        <w:trPr>
          <w:trHeight w:val="350"/>
        </w:trPr>
        <w:tc>
          <w:tcPr>
            <w:tcW w:w="2880" w:type="dxa"/>
            <w:shd w:val="clear" w:color="auto" w:fill="FFFFFF"/>
            <w:vAlign w:val="center"/>
          </w:tcPr>
          <w:p w14:paraId="6C2A1F8B" w14:textId="77777777" w:rsidR="0075092F" w:rsidRPr="00EC55B3" w:rsidRDefault="0075092F" w:rsidP="0075092F">
            <w:pPr>
              <w:pStyle w:val="Header"/>
            </w:pPr>
            <w:r w:rsidRPr="00EC55B3">
              <w:t>Name</w:t>
            </w:r>
          </w:p>
        </w:tc>
        <w:tc>
          <w:tcPr>
            <w:tcW w:w="7560" w:type="dxa"/>
            <w:vAlign w:val="center"/>
          </w:tcPr>
          <w:p w14:paraId="27090B30" w14:textId="6BB2EA12" w:rsidR="0075092F" w:rsidRDefault="0075092F" w:rsidP="0075092F">
            <w:pPr>
              <w:pStyle w:val="NormalArial"/>
            </w:pPr>
            <w:r>
              <w:t>Floyd Trefny / Mark Smith</w:t>
            </w:r>
          </w:p>
        </w:tc>
      </w:tr>
      <w:tr w:rsidR="0075092F" w14:paraId="6C3D2E49" w14:textId="77777777">
        <w:trPr>
          <w:trHeight w:val="350"/>
        </w:trPr>
        <w:tc>
          <w:tcPr>
            <w:tcW w:w="2880" w:type="dxa"/>
            <w:shd w:val="clear" w:color="auto" w:fill="FFFFFF"/>
            <w:vAlign w:val="center"/>
          </w:tcPr>
          <w:p w14:paraId="70153BAC" w14:textId="77777777" w:rsidR="0075092F" w:rsidRPr="00EC55B3" w:rsidRDefault="0075092F" w:rsidP="0075092F">
            <w:pPr>
              <w:pStyle w:val="Header"/>
            </w:pPr>
            <w:r w:rsidRPr="00EC55B3">
              <w:t>E-mail Address</w:t>
            </w:r>
          </w:p>
        </w:tc>
        <w:tc>
          <w:tcPr>
            <w:tcW w:w="7560" w:type="dxa"/>
            <w:vAlign w:val="center"/>
          </w:tcPr>
          <w:p w14:paraId="799F383B" w14:textId="004291AD" w:rsidR="0075092F" w:rsidRDefault="0042058D" w:rsidP="0075092F">
            <w:pPr>
              <w:pStyle w:val="NormalArial"/>
            </w:pPr>
            <w:hyperlink r:id="rId12" w:history="1">
              <w:r w:rsidR="0075092F" w:rsidRPr="00191452">
                <w:rPr>
                  <w:rStyle w:val="Hyperlink"/>
                </w:rPr>
                <w:t>ebmystic@gmail.com</w:t>
              </w:r>
            </w:hyperlink>
            <w:r w:rsidR="0075092F">
              <w:t xml:space="preserve"> / </w:t>
            </w:r>
            <w:hyperlink r:id="rId13" w:history="1">
              <w:r w:rsidR="0075092F" w:rsidRPr="00A925BF">
                <w:rPr>
                  <w:rStyle w:val="Hyperlink"/>
                </w:rPr>
                <w:t>mark@marksmithlawllc.com</w:t>
              </w:r>
            </w:hyperlink>
          </w:p>
        </w:tc>
      </w:tr>
      <w:tr w:rsidR="0075092F" w14:paraId="5ADB27E5" w14:textId="77777777">
        <w:trPr>
          <w:trHeight w:val="350"/>
        </w:trPr>
        <w:tc>
          <w:tcPr>
            <w:tcW w:w="2880" w:type="dxa"/>
            <w:shd w:val="clear" w:color="auto" w:fill="FFFFFF"/>
            <w:vAlign w:val="center"/>
          </w:tcPr>
          <w:p w14:paraId="0225944B" w14:textId="77777777" w:rsidR="0075092F" w:rsidRPr="00EC55B3" w:rsidRDefault="0075092F" w:rsidP="0075092F">
            <w:pPr>
              <w:pStyle w:val="Header"/>
            </w:pPr>
            <w:r w:rsidRPr="00EC55B3">
              <w:t>Company</w:t>
            </w:r>
          </w:p>
        </w:tc>
        <w:tc>
          <w:tcPr>
            <w:tcW w:w="7560" w:type="dxa"/>
            <w:vAlign w:val="center"/>
          </w:tcPr>
          <w:p w14:paraId="76B6B8C4" w14:textId="3915FEA6" w:rsidR="0075092F" w:rsidRDefault="0075092F" w:rsidP="0075092F">
            <w:pPr>
              <w:pStyle w:val="NormalArial"/>
            </w:pPr>
            <w:r>
              <w:t>ERCOT Steel Mills</w:t>
            </w:r>
          </w:p>
        </w:tc>
      </w:tr>
      <w:tr w:rsidR="0075092F" w14:paraId="6C791CFB" w14:textId="77777777">
        <w:trPr>
          <w:trHeight w:val="350"/>
        </w:trPr>
        <w:tc>
          <w:tcPr>
            <w:tcW w:w="2880" w:type="dxa"/>
            <w:tcBorders>
              <w:bottom w:val="single" w:sz="4" w:space="0" w:color="auto"/>
            </w:tcBorders>
            <w:shd w:val="clear" w:color="auto" w:fill="FFFFFF"/>
            <w:vAlign w:val="center"/>
          </w:tcPr>
          <w:p w14:paraId="2496744E" w14:textId="77777777" w:rsidR="0075092F" w:rsidRPr="00EC55B3" w:rsidRDefault="0075092F" w:rsidP="0075092F">
            <w:pPr>
              <w:pStyle w:val="Header"/>
            </w:pPr>
            <w:r w:rsidRPr="00EC55B3">
              <w:t>Phone Number</w:t>
            </w:r>
          </w:p>
        </w:tc>
        <w:tc>
          <w:tcPr>
            <w:tcW w:w="7560" w:type="dxa"/>
            <w:tcBorders>
              <w:bottom w:val="single" w:sz="4" w:space="0" w:color="auto"/>
            </w:tcBorders>
            <w:vAlign w:val="center"/>
          </w:tcPr>
          <w:p w14:paraId="3AF88E55" w14:textId="4619305A" w:rsidR="0075092F" w:rsidRDefault="0075092F" w:rsidP="0075092F">
            <w:pPr>
              <w:pStyle w:val="NormalArial"/>
            </w:pPr>
          </w:p>
        </w:tc>
      </w:tr>
      <w:tr w:rsidR="0075092F" w14:paraId="668910B0" w14:textId="77777777">
        <w:trPr>
          <w:trHeight w:val="350"/>
        </w:trPr>
        <w:tc>
          <w:tcPr>
            <w:tcW w:w="2880" w:type="dxa"/>
            <w:shd w:val="clear" w:color="auto" w:fill="FFFFFF"/>
            <w:vAlign w:val="center"/>
          </w:tcPr>
          <w:p w14:paraId="7D59BBAC" w14:textId="77777777" w:rsidR="0075092F" w:rsidRPr="00EC55B3" w:rsidRDefault="0075092F" w:rsidP="0075092F">
            <w:pPr>
              <w:pStyle w:val="Header"/>
            </w:pPr>
            <w:r>
              <w:t>Cell</w:t>
            </w:r>
            <w:r w:rsidRPr="00EC55B3">
              <w:t xml:space="preserve"> Number</w:t>
            </w:r>
          </w:p>
        </w:tc>
        <w:tc>
          <w:tcPr>
            <w:tcW w:w="7560" w:type="dxa"/>
            <w:vAlign w:val="center"/>
          </w:tcPr>
          <w:p w14:paraId="7681A44D" w14:textId="22DBFD47" w:rsidR="0075092F" w:rsidRDefault="0075092F" w:rsidP="0075092F">
            <w:pPr>
              <w:pStyle w:val="NormalArial"/>
            </w:pPr>
            <w:r>
              <w:t xml:space="preserve">713-516-2745 / 512-635-7930  </w:t>
            </w:r>
          </w:p>
        </w:tc>
      </w:tr>
      <w:tr w:rsidR="0075092F" w14:paraId="0E22FFE0" w14:textId="77777777">
        <w:trPr>
          <w:trHeight w:val="350"/>
        </w:trPr>
        <w:tc>
          <w:tcPr>
            <w:tcW w:w="2880" w:type="dxa"/>
            <w:tcBorders>
              <w:bottom w:val="single" w:sz="4" w:space="0" w:color="auto"/>
            </w:tcBorders>
            <w:shd w:val="clear" w:color="auto" w:fill="FFFFFF"/>
            <w:vAlign w:val="center"/>
          </w:tcPr>
          <w:p w14:paraId="33520D60" w14:textId="77777777" w:rsidR="0075092F" w:rsidRPr="00EC55B3" w:rsidDel="00075A94" w:rsidRDefault="0075092F" w:rsidP="0075092F">
            <w:pPr>
              <w:pStyle w:val="Header"/>
            </w:pPr>
            <w:r>
              <w:t>Market Segment</w:t>
            </w:r>
          </w:p>
        </w:tc>
        <w:tc>
          <w:tcPr>
            <w:tcW w:w="7560" w:type="dxa"/>
            <w:tcBorders>
              <w:bottom w:val="single" w:sz="4" w:space="0" w:color="auto"/>
            </w:tcBorders>
            <w:vAlign w:val="center"/>
          </w:tcPr>
          <w:p w14:paraId="6DD7E2C1" w14:textId="77E9C71C" w:rsidR="0075092F" w:rsidRDefault="0075092F" w:rsidP="0075092F">
            <w:pPr>
              <w:pStyle w:val="NormalArial"/>
            </w:pPr>
            <w:r>
              <w:t>Industrial Consumer</w:t>
            </w:r>
          </w:p>
        </w:tc>
      </w:tr>
    </w:tbl>
    <w:p w14:paraId="0AC89CC0"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Default="00842C92" w:rsidP="00A9667C">
            <w:pPr>
              <w:pStyle w:val="Header"/>
              <w:jc w:val="center"/>
            </w:pPr>
            <w:r>
              <w:t>Comments</w:t>
            </w:r>
          </w:p>
        </w:tc>
      </w:tr>
    </w:tbl>
    <w:p w14:paraId="215E7350" w14:textId="51A33F57" w:rsidR="0075092F" w:rsidRDefault="0075092F" w:rsidP="0075092F">
      <w:pPr>
        <w:pStyle w:val="NormalArial"/>
        <w:spacing w:before="120" w:after="120"/>
      </w:pPr>
      <w:r w:rsidRPr="001F471F">
        <w:t xml:space="preserve">Following discussions at the </w:t>
      </w:r>
      <w:r>
        <w:t>Planning Working Group (</w:t>
      </w:r>
      <w:r w:rsidRPr="001F471F">
        <w:t>PLWG</w:t>
      </w:r>
      <w:r>
        <w:t>)</w:t>
      </w:r>
      <w:r w:rsidRPr="001F471F">
        <w:t xml:space="preserve"> meeting of </w:t>
      </w:r>
      <w:r w:rsidR="00D64539">
        <w:t>January 29, 2025</w:t>
      </w:r>
      <w:r w:rsidR="009F6B41">
        <w:t>,</w:t>
      </w:r>
      <w:r w:rsidRPr="001F471F">
        <w:t xml:space="preserve"> the ERCOT Steel Mills</w:t>
      </w:r>
      <w:r w:rsidRPr="00B5167A">
        <w:t xml:space="preserve"> submit </w:t>
      </w:r>
      <w:r w:rsidR="00620158">
        <w:t>t</w:t>
      </w:r>
      <w:r w:rsidR="00D64539">
        <w:t xml:space="preserve">hat </w:t>
      </w:r>
      <w:r w:rsidR="0042058D">
        <w:t xml:space="preserve">paragraph (7) of </w:t>
      </w:r>
      <w:r w:rsidR="00D64539">
        <w:t xml:space="preserve">Section 4.1.1.1 should contain </w:t>
      </w:r>
      <w:r w:rsidR="00620158">
        <w:t xml:space="preserve">qualifying </w:t>
      </w:r>
      <w:r w:rsidR="00D64539">
        <w:t xml:space="preserve">language similar to that submitted by ERCOT in their comments of December </w:t>
      </w:r>
      <w:r w:rsidR="009F6B41">
        <w:t>24</w:t>
      </w:r>
      <w:r w:rsidR="00D64539">
        <w:t xml:space="preserve">, </w:t>
      </w:r>
      <w:proofErr w:type="gramStart"/>
      <w:r w:rsidR="00D64539">
        <w:t>202</w:t>
      </w:r>
      <w:r w:rsidR="009F6B41">
        <w:t>5</w:t>
      </w:r>
      <w:proofErr w:type="gramEnd"/>
      <w:r w:rsidR="00D64539">
        <w:t xml:space="preserve"> when referencing the term “Large Load”</w:t>
      </w:r>
      <w:r w:rsidR="00620158">
        <w:t xml:space="preserve"> </w:t>
      </w:r>
      <w:r w:rsidR="000F4BDF">
        <w:t>to</w:t>
      </w:r>
      <w:r w:rsidR="00620158">
        <w:t xml:space="preserve"> mean only to those new Large Loads going through </w:t>
      </w:r>
      <w:r w:rsidR="00620158" w:rsidRPr="009F6B41">
        <w:t>the</w:t>
      </w:r>
      <w:r w:rsidR="00620158" w:rsidRPr="009F6B41">
        <w:rPr>
          <w:bCs/>
          <w:iCs/>
        </w:rPr>
        <w:t xml:space="preserve"> Large Load Interconnection Study Process</w:t>
      </w:r>
      <w:r w:rsidR="009F6B41">
        <w:t xml:space="preserve">. </w:t>
      </w:r>
      <w:r w:rsidR="00620158">
        <w:t>The term Large Load by itself</w:t>
      </w:r>
      <w:r w:rsidR="009F6B41">
        <w:t xml:space="preserve"> </w:t>
      </w:r>
      <w:r w:rsidR="00D64539">
        <w:t xml:space="preserve">is defined in </w:t>
      </w:r>
      <w:r w:rsidR="0042058D">
        <w:t>Nodal Protocol Revision Request (</w:t>
      </w:r>
      <w:r w:rsidR="00D64539">
        <w:t>NPRR</w:t>
      </w:r>
      <w:r w:rsidR="0042058D">
        <w:t xml:space="preserve">) </w:t>
      </w:r>
      <w:r w:rsidR="00D64539">
        <w:t>1234</w:t>
      </w:r>
      <w:r w:rsidR="0042058D">
        <w:t xml:space="preserve"> </w:t>
      </w:r>
      <w:r w:rsidR="00D64539">
        <w:t xml:space="preserve"> meaning all loads over 75 MWs. </w:t>
      </w:r>
      <w:r w:rsidR="0042058D">
        <w:t xml:space="preserve"> </w:t>
      </w:r>
      <w:r w:rsidR="009F6B41">
        <w:t xml:space="preserve">In </w:t>
      </w:r>
      <w:r w:rsidR="0042058D">
        <w:t>Planning Guide Revision Request (</w:t>
      </w:r>
      <w:r w:rsidR="009F6B41">
        <w:t>PGRR</w:t>
      </w:r>
      <w:r w:rsidR="0042058D">
        <w:t>)</w:t>
      </w:r>
      <w:r w:rsidR="009F6B41">
        <w:t xml:space="preserve"> 115 when ERCOT’s language intends only to refer to</w:t>
      </w:r>
      <w:r w:rsidR="00620158">
        <w:t xml:space="preserve"> those loads going through this planning process</w:t>
      </w:r>
      <w:r w:rsidR="009F6B41" w:rsidRPr="00DD2272">
        <w:rPr>
          <w:bCs/>
          <w:iCs/>
        </w:rPr>
        <w:t>,</w:t>
      </w:r>
      <w:r w:rsidR="009F6B41">
        <w:rPr>
          <w:bCs/>
          <w:iCs/>
        </w:rPr>
        <w:t xml:space="preserve"> ERCOT suggests a qualifier to indicate such</w:t>
      </w:r>
      <w:r w:rsidR="00620158">
        <w:rPr>
          <w:bCs/>
          <w:iCs/>
        </w:rPr>
        <w:t>.</w:t>
      </w:r>
    </w:p>
    <w:p w14:paraId="5703707A" w14:textId="3B97D4DD" w:rsidR="00323657" w:rsidRDefault="00D64539" w:rsidP="0075092F">
      <w:pPr>
        <w:pStyle w:val="NormalArial"/>
        <w:spacing w:before="120" w:after="120"/>
        <w:rPr>
          <w:bCs/>
          <w:iCs/>
        </w:rPr>
      </w:pPr>
      <w:r>
        <w:t xml:space="preserve">The following is a summary of ERCOT’s </w:t>
      </w:r>
      <w:r w:rsidR="009F6B41">
        <w:t>PGRR115</w:t>
      </w:r>
      <w:r w:rsidR="00620158">
        <w:t xml:space="preserve"> current</w:t>
      </w:r>
      <w:r w:rsidR="009F6B41">
        <w:t xml:space="preserve"> </w:t>
      </w:r>
      <w:r>
        <w:t xml:space="preserve">language where a distinction is needed </w:t>
      </w:r>
      <w:r w:rsidR="009F6B41">
        <w:t xml:space="preserve">for only </w:t>
      </w:r>
      <w:r w:rsidR="007E1578">
        <w:t xml:space="preserve">those </w:t>
      </w:r>
      <w:r>
        <w:t>Large Load</w:t>
      </w:r>
      <w:r w:rsidR="007E1578">
        <w:t>s</w:t>
      </w:r>
      <w:r>
        <w:t xml:space="preserve"> applicable to new Large Loads</w:t>
      </w:r>
      <w:r w:rsidR="000156B4">
        <w:t xml:space="preserve"> going through the </w:t>
      </w:r>
      <w:r w:rsidR="000156B4" w:rsidRPr="000156B4">
        <w:rPr>
          <w:bCs/>
          <w:iCs/>
        </w:rPr>
        <w:t>Large Load Interconnection Study Process</w:t>
      </w:r>
      <w:r w:rsidR="000156B4">
        <w:rPr>
          <w:bCs/>
          <w:iCs/>
        </w:rPr>
        <w:t xml:space="preserve">. </w:t>
      </w:r>
      <w:r w:rsidR="0042058D">
        <w:rPr>
          <w:bCs/>
          <w:iCs/>
        </w:rPr>
        <w:t xml:space="preserve"> </w:t>
      </w:r>
      <w:r w:rsidR="000156B4">
        <w:rPr>
          <w:bCs/>
          <w:iCs/>
        </w:rPr>
        <w:t>See the following for examples from ERCOT’s latest submittal of the NPRR</w:t>
      </w:r>
      <w:r w:rsidR="00323657">
        <w:rPr>
          <w:bCs/>
          <w:iCs/>
        </w:rPr>
        <w:t xml:space="preserve"> highlighted in yellow</w:t>
      </w:r>
      <w:r w:rsidR="000156B4">
        <w:rPr>
          <w:bCs/>
          <w:iCs/>
        </w:rPr>
        <w:t xml:space="preserve">. </w:t>
      </w:r>
    </w:p>
    <w:p w14:paraId="647EDBC8" w14:textId="50683FF6" w:rsidR="00D64539" w:rsidRDefault="000156B4" w:rsidP="0075092F">
      <w:pPr>
        <w:pStyle w:val="NormalArial"/>
        <w:spacing w:before="120" w:after="120"/>
        <w:rPr>
          <w:bCs/>
          <w:iCs/>
        </w:rPr>
      </w:pPr>
      <w:r>
        <w:rPr>
          <w:bCs/>
          <w:iCs/>
        </w:rPr>
        <w:t xml:space="preserve">The ERCOT Steel Mills suggest this same language qualifier be used in the </w:t>
      </w:r>
      <w:r w:rsidR="00323657">
        <w:rPr>
          <w:bCs/>
          <w:iCs/>
        </w:rPr>
        <w:t>specification</w:t>
      </w:r>
      <w:r>
        <w:rPr>
          <w:bCs/>
          <w:iCs/>
        </w:rPr>
        <w:t xml:space="preserve"> </w:t>
      </w:r>
      <w:r w:rsidR="0042058D">
        <w:rPr>
          <w:bCs/>
          <w:iCs/>
        </w:rPr>
        <w:t>in</w:t>
      </w:r>
      <w:r>
        <w:rPr>
          <w:bCs/>
          <w:iCs/>
        </w:rPr>
        <w:t xml:space="preserve"> </w:t>
      </w:r>
      <w:r w:rsidR="0042058D">
        <w:rPr>
          <w:bCs/>
          <w:iCs/>
        </w:rPr>
        <w:t>paragraph</w:t>
      </w:r>
      <w:r>
        <w:rPr>
          <w:bCs/>
          <w:iCs/>
        </w:rPr>
        <w:t xml:space="preserve"> (7) </w:t>
      </w:r>
      <w:r w:rsidR="0042058D">
        <w:rPr>
          <w:bCs/>
          <w:iCs/>
        </w:rPr>
        <w:t>of</w:t>
      </w:r>
      <w:r>
        <w:rPr>
          <w:bCs/>
          <w:iCs/>
        </w:rPr>
        <w:t xml:space="preserve"> </w:t>
      </w:r>
      <w:r w:rsidR="00323657">
        <w:rPr>
          <w:bCs/>
          <w:iCs/>
        </w:rPr>
        <w:t>S</w:t>
      </w:r>
      <w:r>
        <w:rPr>
          <w:bCs/>
          <w:iCs/>
        </w:rPr>
        <w:t>ection 4.1.1.1</w:t>
      </w:r>
      <w:r w:rsidR="00323657">
        <w:rPr>
          <w:bCs/>
          <w:iCs/>
        </w:rPr>
        <w:t xml:space="preserve"> for which no consensus could be reached.</w:t>
      </w:r>
    </w:p>
    <w:p w14:paraId="4ECD1ACD" w14:textId="1E60190B" w:rsidR="000156B4" w:rsidRDefault="000156B4" w:rsidP="000156B4">
      <w:pPr>
        <w:keepNext/>
        <w:tabs>
          <w:tab w:val="left" w:pos="1080"/>
        </w:tabs>
        <w:spacing w:before="240" w:after="240"/>
        <w:outlineLvl w:val="2"/>
        <w:rPr>
          <w:b/>
          <w:bCs/>
          <w:iCs/>
        </w:rPr>
      </w:pPr>
      <w:bookmarkStart w:id="0" w:name="_Hlk189046392"/>
      <w:r>
        <w:rPr>
          <w:b/>
          <w:bCs/>
          <w:iCs/>
        </w:rPr>
        <w:t xml:space="preserve">4.1.1.1 </w:t>
      </w:r>
      <w:r w:rsidR="00323657">
        <w:rPr>
          <w:b/>
          <w:bCs/>
          <w:iCs/>
        </w:rPr>
        <w:t xml:space="preserve">  </w:t>
      </w:r>
      <w:r w:rsidR="00323657" w:rsidRPr="00DD2272">
        <w:rPr>
          <w:b/>
          <w:bCs/>
          <w:snapToGrid w:val="0"/>
          <w:szCs w:val="20"/>
          <w:lang w:val="x-none" w:eastAsia="x-none"/>
        </w:rPr>
        <w:t>Planning Assumptions</w:t>
      </w:r>
    </w:p>
    <w:p w14:paraId="023B0B7C" w14:textId="4A3340EE" w:rsidR="00323657" w:rsidRPr="00323657" w:rsidRDefault="00323657" w:rsidP="00620158">
      <w:pPr>
        <w:kinsoku w:val="0"/>
        <w:overflowPunct w:val="0"/>
        <w:autoSpaceDE w:val="0"/>
        <w:autoSpaceDN w:val="0"/>
        <w:adjustRightInd w:val="0"/>
        <w:ind w:left="720" w:right="331" w:hanging="720"/>
        <w:rPr>
          <w:u w:val="single"/>
        </w:rPr>
      </w:pPr>
      <w:r w:rsidRPr="00323657">
        <w:rPr>
          <w:u w:val="single"/>
        </w:rPr>
        <w:t>Option A</w:t>
      </w:r>
      <w:r w:rsidR="00620158">
        <w:rPr>
          <w:u w:val="single"/>
        </w:rPr>
        <w:t xml:space="preserve"> – Existing Language</w:t>
      </w:r>
    </w:p>
    <w:p w14:paraId="471198B4" w14:textId="1CBFB979" w:rsidR="00323657" w:rsidRPr="00DD2272" w:rsidRDefault="00323657" w:rsidP="00620158">
      <w:pPr>
        <w:kinsoku w:val="0"/>
        <w:overflowPunct w:val="0"/>
        <w:autoSpaceDE w:val="0"/>
        <w:autoSpaceDN w:val="0"/>
        <w:adjustRightInd w:val="0"/>
        <w:ind w:left="720" w:right="331" w:hanging="720"/>
      </w:pPr>
      <w:r w:rsidRPr="00DD2272">
        <w:t>(7)</w:t>
      </w:r>
      <w:r w:rsidRPr="00DD2272">
        <w:tab/>
        <w:t xml:space="preserve">Each Large Load included in a planning study shall be set to a level of Demand consistent with the current Load Commissioning Plan. </w:t>
      </w:r>
    </w:p>
    <w:p w14:paraId="0DACC6F9" w14:textId="77777777" w:rsidR="00620158" w:rsidRDefault="00620158" w:rsidP="00620158">
      <w:pPr>
        <w:kinsoku w:val="0"/>
        <w:overflowPunct w:val="0"/>
        <w:autoSpaceDE w:val="0"/>
        <w:autoSpaceDN w:val="0"/>
        <w:adjustRightInd w:val="0"/>
        <w:ind w:left="720" w:right="331" w:hanging="720"/>
        <w:rPr>
          <w:u w:val="single"/>
        </w:rPr>
      </w:pPr>
    </w:p>
    <w:p w14:paraId="1A13B7A2" w14:textId="3F21C5C4" w:rsidR="00323657" w:rsidRPr="00323657" w:rsidRDefault="00323657" w:rsidP="00620158">
      <w:pPr>
        <w:kinsoku w:val="0"/>
        <w:overflowPunct w:val="0"/>
        <w:autoSpaceDE w:val="0"/>
        <w:autoSpaceDN w:val="0"/>
        <w:adjustRightInd w:val="0"/>
        <w:ind w:left="720" w:right="331" w:hanging="720"/>
        <w:rPr>
          <w:u w:val="single"/>
        </w:rPr>
      </w:pPr>
      <w:r w:rsidRPr="00323657">
        <w:rPr>
          <w:u w:val="single"/>
        </w:rPr>
        <w:t>Option B</w:t>
      </w:r>
      <w:r w:rsidR="00620158">
        <w:rPr>
          <w:u w:val="single"/>
        </w:rPr>
        <w:t xml:space="preserve"> – Proposed Language</w:t>
      </w:r>
    </w:p>
    <w:p w14:paraId="2D8A0237" w14:textId="01786EE3" w:rsidR="000156B4" w:rsidRPr="00D27CC7" w:rsidRDefault="000156B4" w:rsidP="00620158">
      <w:pPr>
        <w:kinsoku w:val="0"/>
        <w:overflowPunct w:val="0"/>
        <w:autoSpaceDE w:val="0"/>
        <w:autoSpaceDN w:val="0"/>
        <w:adjustRightInd w:val="0"/>
        <w:ind w:left="720" w:right="331" w:hanging="720"/>
      </w:pPr>
      <w:r w:rsidRPr="00DD2272">
        <w:t>(7)</w:t>
      </w:r>
      <w:r w:rsidRPr="00DD2272">
        <w:tab/>
      </w:r>
      <w:r w:rsidRPr="005B66D4">
        <w:t xml:space="preserve">Each </w:t>
      </w:r>
      <w:r w:rsidRPr="000A0FBA">
        <w:rPr>
          <w:highlight w:val="cyan"/>
        </w:rPr>
        <w:t>new</w:t>
      </w:r>
      <w:r w:rsidRPr="00DD2272">
        <w:t xml:space="preserve"> Large Load</w:t>
      </w:r>
      <w:r>
        <w:t xml:space="preserve"> </w:t>
      </w:r>
      <w:r w:rsidRPr="000A0FBA">
        <w:rPr>
          <w:highlight w:val="cyan"/>
        </w:rPr>
        <w:t xml:space="preserve">or Load modification subject to the requirements of Section 9.2.1, </w:t>
      </w:r>
      <w:r w:rsidRPr="000A0FBA">
        <w:rPr>
          <w:bCs/>
          <w:iCs/>
          <w:highlight w:val="cyan"/>
        </w:rPr>
        <w:t>Applicability of the Large Load Interconnection Study Process</w:t>
      </w:r>
      <w:r>
        <w:rPr>
          <w:bCs/>
          <w:iCs/>
        </w:rPr>
        <w:t xml:space="preserve"> </w:t>
      </w:r>
      <w:r w:rsidRPr="00DD2272">
        <w:t xml:space="preserve">included in a </w:t>
      </w:r>
      <w:r w:rsidRPr="00DD2272">
        <w:lastRenderedPageBreak/>
        <w:t xml:space="preserve">planning study shall be set to a level of Demand consistent with the current Load Commissioning Plan. </w:t>
      </w:r>
    </w:p>
    <w:p w14:paraId="345D6AC0" w14:textId="77777777" w:rsidR="000156B4" w:rsidRPr="00DD2272" w:rsidRDefault="000156B4" w:rsidP="000156B4">
      <w:pPr>
        <w:keepNext/>
        <w:tabs>
          <w:tab w:val="left" w:pos="1080"/>
        </w:tabs>
        <w:spacing w:before="240" w:after="240"/>
        <w:outlineLvl w:val="2"/>
        <w:rPr>
          <w:b/>
          <w:bCs/>
          <w:i/>
          <w:szCs w:val="20"/>
        </w:rPr>
      </w:pPr>
      <w:r w:rsidRPr="00DD2272">
        <w:rPr>
          <w:b/>
          <w:bCs/>
          <w:i/>
        </w:rPr>
        <w:t>5.3.5</w:t>
      </w:r>
      <w:r w:rsidRPr="00DD2272">
        <w:rPr>
          <w:b/>
          <w:bCs/>
          <w:i/>
        </w:rPr>
        <w:tab/>
        <w:t>ERCOT Quarterly Stability Assessment</w:t>
      </w:r>
    </w:p>
    <w:p w14:paraId="7ED50B7B" w14:textId="77777777" w:rsidR="000156B4" w:rsidRPr="00DD2272" w:rsidRDefault="000156B4" w:rsidP="000156B4">
      <w:pPr>
        <w:spacing w:after="240"/>
        <w:ind w:left="720" w:hanging="720"/>
        <w:rPr>
          <w:iCs/>
        </w:rPr>
      </w:pPr>
      <w:r w:rsidRPr="00DD2272">
        <w:t>(1)</w:t>
      </w:r>
      <w:r w:rsidRPr="00DD2272">
        <w:tab/>
        <w:t>ERCOT shall conduct a stability assessment every three months to assess the</w:t>
      </w:r>
      <w:r w:rsidRPr="00DD2272">
        <w:rPr>
          <w:iCs/>
        </w:rPr>
        <w:t xml:space="preserve"> impact of planned large generators and Large Loads</w:t>
      </w:r>
      <w:r w:rsidRPr="00DD2272">
        <w:t xml:space="preserve"> </w:t>
      </w:r>
      <w:r w:rsidRPr="006D25DF">
        <w:rPr>
          <w:highlight w:val="yellow"/>
        </w:rPr>
        <w:t xml:space="preserve">subject to the requirements of Section 9.2.1, </w:t>
      </w:r>
      <w:r w:rsidRPr="006D25DF">
        <w:rPr>
          <w:bCs/>
          <w:iCs/>
          <w:highlight w:val="yellow"/>
        </w:rPr>
        <w:t>Applicability of the Large Load Interconnection Study Process</w:t>
      </w:r>
      <w:r w:rsidRPr="00DD2272">
        <w:rPr>
          <w:bCs/>
          <w:iCs/>
        </w:rPr>
        <w:t>,</w:t>
      </w:r>
      <w:r w:rsidRPr="00DD2272">
        <w:rPr>
          <w:iCs/>
        </w:rPr>
        <w:t xml:space="preserve"> connecting to the ERCOT System.</w:t>
      </w:r>
    </w:p>
    <w:bookmarkEnd w:id="0"/>
    <w:p w14:paraId="4E2675AE" w14:textId="77777777" w:rsidR="000156B4" w:rsidRPr="00DD2272" w:rsidRDefault="000156B4" w:rsidP="000156B4">
      <w:pPr>
        <w:spacing w:after="240"/>
        <w:ind w:left="1440" w:hanging="720"/>
      </w:pPr>
      <w:r w:rsidRPr="00DD2272">
        <w:t>(a)</w:t>
      </w:r>
      <w:r w:rsidRPr="00DD2272">
        <w:tab/>
      </w:r>
      <w:r w:rsidRPr="00DD2272" w:rsidDel="00E66A18">
        <w:t>For large generators</w:t>
      </w:r>
      <w:r w:rsidRPr="00DD2272" w:rsidDel="00E13669">
        <w:t xml:space="preserve"> with planned Initial Synchronization in the period under study</w:t>
      </w:r>
      <w:r w:rsidRPr="00DD2272" w:rsidDel="00E66A18">
        <w:t>, the assessment shall derive the conditions to be studied with consideration given to the results of the FIS stability studies</w:t>
      </w:r>
      <w:r w:rsidRPr="00DD2272" w:rsidDel="00E13669">
        <w:t>.</w:t>
      </w:r>
    </w:p>
    <w:p w14:paraId="347D61C3" w14:textId="77777777" w:rsidR="000156B4" w:rsidRPr="00DD2272" w:rsidRDefault="000156B4" w:rsidP="000156B4">
      <w:pPr>
        <w:spacing w:after="240"/>
        <w:ind w:left="1440" w:hanging="720"/>
      </w:pPr>
      <w:bookmarkStart w:id="1" w:name="_Hlk189046442"/>
      <w:r w:rsidRPr="00DD2272">
        <w:t>(b)</w:t>
      </w:r>
      <w:r w:rsidRPr="00DD2272">
        <w:tab/>
        <w:t xml:space="preserve">For new Large Loads and </w:t>
      </w:r>
      <w:r w:rsidRPr="006D25DF">
        <w:rPr>
          <w:highlight w:val="yellow"/>
        </w:rPr>
        <w:t>Load modifications subject to the requirements of Section 9.2.1</w:t>
      </w:r>
      <w:r w:rsidRPr="006D25DF">
        <w:rPr>
          <w:bCs/>
          <w:iCs/>
          <w:highlight w:val="yellow"/>
        </w:rPr>
        <w:t>,</w:t>
      </w:r>
      <w:r w:rsidRPr="00DD2272">
        <w:rPr>
          <w:bCs/>
          <w:iCs/>
        </w:rPr>
        <w:t xml:space="preserve"> </w:t>
      </w:r>
      <w:bookmarkEnd w:id="1"/>
      <w:r w:rsidRPr="00DD2272">
        <w:t>with planned Initial Energization in the period under study, the assessment shall derive the conditions to be studied from the most current Load Commissioning Plan and with consideration given to the results of the LLIS stability studies.</w:t>
      </w:r>
    </w:p>
    <w:p w14:paraId="491C4F9B" w14:textId="77777777" w:rsidR="000156B4" w:rsidRDefault="000156B4" w:rsidP="000156B4">
      <w:pPr>
        <w:spacing w:after="240"/>
        <w:ind w:left="1440" w:hanging="720"/>
      </w:pPr>
      <w:r w:rsidRPr="00DD2272">
        <w:rPr>
          <w:szCs w:val="20"/>
        </w:rPr>
        <w:t>(c)</w:t>
      </w:r>
      <w:r w:rsidRPr="00DD2272">
        <w:rPr>
          <w:szCs w:val="20"/>
        </w:rPr>
        <w:tab/>
      </w:r>
      <w:r w:rsidRPr="00DD2272">
        <w:t>ERCOT may study conditions other than those identified in the FIS or LLIS stability studies.</w:t>
      </w:r>
    </w:p>
    <w:p w14:paraId="6CB6AC78" w14:textId="5A01FD6B" w:rsidR="0042058D" w:rsidRDefault="0042058D" w:rsidP="0042058D">
      <w:pPr>
        <w:spacing w:after="240"/>
      </w:pPr>
      <w:r>
        <w:t>…</w:t>
      </w:r>
    </w:p>
    <w:p w14:paraId="0E6E289B" w14:textId="77777777" w:rsidR="000156B4" w:rsidRDefault="000156B4" w:rsidP="000156B4">
      <w:pPr>
        <w:spacing w:after="240"/>
        <w:ind w:left="720" w:hanging="720"/>
        <w:rPr>
          <w:iCs/>
        </w:rPr>
      </w:pPr>
      <w:r w:rsidRPr="00DD2272">
        <w:rPr>
          <w:iCs/>
        </w:rPr>
        <w:t>(5)</w:t>
      </w:r>
      <w:r w:rsidRPr="00DD2272">
        <w:rPr>
          <w:iCs/>
        </w:rPr>
        <w:tab/>
        <w:t xml:space="preserve">The following prerequisites must be satisfied prior to the inclusion of a </w:t>
      </w:r>
      <w:r w:rsidRPr="00DD2272">
        <w:t xml:space="preserve">new Large Load </w:t>
      </w:r>
      <w:r w:rsidRPr="006D25DF">
        <w:rPr>
          <w:highlight w:val="yellow"/>
        </w:rPr>
        <w:t>or Load modification subject to the requirements of Section 9.2.1</w:t>
      </w:r>
      <w:r w:rsidRPr="00DD2272" w:rsidDel="00396A2B">
        <w:rPr>
          <w:iCs/>
        </w:rPr>
        <w:t xml:space="preserve"> </w:t>
      </w:r>
      <w:r w:rsidRPr="00DD2272">
        <w:rPr>
          <w:iCs/>
        </w:rPr>
        <w:t>in the quarterly stability assessment:</w:t>
      </w:r>
    </w:p>
    <w:p w14:paraId="331869CC" w14:textId="77777777" w:rsidR="000156B4" w:rsidRPr="00DD2272" w:rsidRDefault="000156B4" w:rsidP="000156B4">
      <w:pPr>
        <w:keepNext/>
        <w:tabs>
          <w:tab w:val="left" w:pos="1080"/>
        </w:tabs>
        <w:spacing w:before="240" w:after="240"/>
        <w:outlineLvl w:val="2"/>
        <w:rPr>
          <w:b/>
          <w:bCs/>
          <w:i/>
          <w:szCs w:val="20"/>
        </w:rPr>
      </w:pPr>
      <w:r w:rsidRPr="00DD2272">
        <w:rPr>
          <w:b/>
          <w:bCs/>
          <w:i/>
        </w:rPr>
        <w:t>6.6.1</w:t>
      </w:r>
      <w:r w:rsidRPr="00DD2272">
        <w:rPr>
          <w:b/>
          <w:bCs/>
          <w:i/>
        </w:rPr>
        <w:tab/>
        <w:t>Modeling of Large Loads Not Co-Located with a Generation Resource, Energy Storage Resource (ESR), or Settlement Only Generator (SOG)</w:t>
      </w:r>
    </w:p>
    <w:p w14:paraId="4A9F8662" w14:textId="77777777" w:rsidR="000156B4" w:rsidRPr="00DD2272" w:rsidRDefault="000156B4" w:rsidP="000156B4">
      <w:pPr>
        <w:kinsoku w:val="0"/>
        <w:overflowPunct w:val="0"/>
        <w:autoSpaceDE w:val="0"/>
        <w:autoSpaceDN w:val="0"/>
        <w:adjustRightInd w:val="0"/>
        <w:spacing w:after="240"/>
        <w:ind w:left="720" w:right="332" w:hanging="720"/>
      </w:pPr>
      <w:r w:rsidRPr="00DD2272">
        <w:t>(1)</w:t>
      </w:r>
      <w:r w:rsidRPr="00DD2272">
        <w:tab/>
        <w:t xml:space="preserve">The interconnecting Transmission Service Provider (TSP) shall not add a </w:t>
      </w:r>
      <w:r w:rsidRPr="006D25DF">
        <w:rPr>
          <w:highlight w:val="yellow"/>
        </w:rPr>
        <w:t xml:space="preserve">new Large Load or Load modification subject to the requirements of Section 9.2.1, </w:t>
      </w:r>
      <w:r w:rsidRPr="006D25DF">
        <w:rPr>
          <w:bCs/>
          <w:iCs/>
          <w:highlight w:val="yellow"/>
        </w:rPr>
        <w:t>Applicability of the Large Load Interconnection Study Process</w:t>
      </w:r>
      <w:r w:rsidRPr="00DD2272">
        <w:rPr>
          <w:bCs/>
          <w:iCs/>
        </w:rPr>
        <w:t>,</w:t>
      </w:r>
      <w:r w:rsidRPr="00DD2272">
        <w:t xml:space="preserve"> to the Network Operations Model until the following conditions have been met:</w:t>
      </w:r>
    </w:p>
    <w:p w14:paraId="64F33E2F" w14:textId="77777777" w:rsidR="000156B4" w:rsidRPr="00DD2272" w:rsidRDefault="000156B4" w:rsidP="000156B4">
      <w:pPr>
        <w:kinsoku w:val="0"/>
        <w:overflowPunct w:val="0"/>
        <w:autoSpaceDE w:val="0"/>
        <w:autoSpaceDN w:val="0"/>
        <w:adjustRightInd w:val="0"/>
        <w:spacing w:after="240"/>
        <w:ind w:left="1440" w:right="226" w:hanging="720"/>
      </w:pPr>
      <w:r w:rsidRPr="00DD2272">
        <w:t>(a)</w:t>
      </w:r>
      <w:r w:rsidRPr="00DD2272">
        <w:tab/>
        <w:t xml:space="preserve">The LLIS has been completed and results communicated per paragraph (6) of Section 9.4, LLIS Report and Follow-up; </w:t>
      </w:r>
    </w:p>
    <w:p w14:paraId="62A57015" w14:textId="77777777" w:rsidR="000156B4" w:rsidRPr="00DD2272" w:rsidRDefault="000156B4" w:rsidP="000156B4">
      <w:pPr>
        <w:kinsoku w:val="0"/>
        <w:overflowPunct w:val="0"/>
        <w:autoSpaceDE w:val="0"/>
        <w:autoSpaceDN w:val="0"/>
        <w:adjustRightInd w:val="0"/>
        <w:spacing w:after="240"/>
        <w:ind w:left="1440" w:right="226" w:hanging="720"/>
      </w:pPr>
      <w:r w:rsidRPr="00DD2272">
        <w:t>(b)</w:t>
      </w:r>
      <w:r w:rsidRPr="00DD2272">
        <w:tab/>
        <w:t>The TSP has satisfied all conditions of 9.5.1, Interconnection Agreement for Large Loads not Co-Located with a Generation Resource Facility Registered as a Private Use Network.</w:t>
      </w:r>
    </w:p>
    <w:p w14:paraId="7934CB0E" w14:textId="77777777" w:rsidR="000156B4" w:rsidRPr="00DD2272" w:rsidRDefault="000156B4" w:rsidP="000156B4">
      <w:pPr>
        <w:keepNext/>
        <w:tabs>
          <w:tab w:val="left" w:pos="1080"/>
        </w:tabs>
        <w:spacing w:before="240" w:after="240"/>
        <w:outlineLvl w:val="2"/>
        <w:rPr>
          <w:b/>
          <w:bCs/>
          <w:i/>
          <w:szCs w:val="20"/>
        </w:rPr>
      </w:pPr>
      <w:r w:rsidRPr="00DD2272">
        <w:rPr>
          <w:b/>
          <w:bCs/>
          <w:i/>
        </w:rPr>
        <w:lastRenderedPageBreak/>
        <w:t>6.6.2</w:t>
      </w:r>
      <w:r w:rsidRPr="00DD2272">
        <w:rPr>
          <w:b/>
          <w:bCs/>
          <w:i/>
        </w:rPr>
        <w:tab/>
      </w:r>
      <w:bookmarkStart w:id="2" w:name="_Hlk139638128"/>
      <w:r w:rsidRPr="00DD2272">
        <w:rPr>
          <w:b/>
          <w:bCs/>
          <w:i/>
        </w:rPr>
        <w:t>Modeling of Large Loads Co-Located with an Existing Generation Resource, Energy Storage Resource (ESR), or Settlement Only Generator (SOG)</w:t>
      </w:r>
    </w:p>
    <w:bookmarkEnd w:id="2"/>
    <w:p w14:paraId="795EC04F" w14:textId="77777777" w:rsidR="000156B4" w:rsidRPr="00DD2272" w:rsidRDefault="000156B4" w:rsidP="000156B4">
      <w:pPr>
        <w:kinsoku w:val="0"/>
        <w:overflowPunct w:val="0"/>
        <w:autoSpaceDE w:val="0"/>
        <w:autoSpaceDN w:val="0"/>
        <w:adjustRightInd w:val="0"/>
        <w:spacing w:after="240"/>
        <w:ind w:left="720" w:right="332" w:hanging="720"/>
      </w:pPr>
      <w:r w:rsidRPr="00DD2272">
        <w:t>(1)</w:t>
      </w:r>
      <w:r w:rsidRPr="00DD2272">
        <w:tab/>
        <w:t xml:space="preserve">The addition of a </w:t>
      </w:r>
      <w:r w:rsidRPr="006D25DF">
        <w:rPr>
          <w:highlight w:val="yellow"/>
        </w:rPr>
        <w:t>new</w:t>
      </w:r>
      <w:r w:rsidRPr="00DD2272">
        <w:t xml:space="preserve"> Large Load to an existing Generation Resource, ESR, or SOG, or the modification of an existing Load at the Generation Resource, ESR, or SOG, </w:t>
      </w:r>
      <w:r w:rsidRPr="006D25DF">
        <w:rPr>
          <w:highlight w:val="yellow"/>
        </w:rPr>
        <w:t xml:space="preserve">subject to the requirements of Section 9.2.1, </w:t>
      </w:r>
      <w:r w:rsidRPr="006D25DF">
        <w:rPr>
          <w:bCs/>
          <w:iCs/>
          <w:highlight w:val="yellow"/>
        </w:rPr>
        <w:t>Applicability of the Large Load Interconnection Study Process</w:t>
      </w:r>
      <w:r w:rsidRPr="00DD2272">
        <w:rPr>
          <w:bCs/>
          <w:iCs/>
        </w:rPr>
        <w:t>,</w:t>
      </w:r>
      <w:r w:rsidRPr="00DD2272">
        <w:t xml:space="preserve"> is considered a material modification of the Resource Registration as described in paragraph (8) of Section 6.8.2.  The Resource Entity (RE) shall update the Resource Registration data to reflect the new or increased Load. </w:t>
      </w:r>
    </w:p>
    <w:p w14:paraId="43048A04" w14:textId="77777777" w:rsidR="000156B4" w:rsidRPr="00DD2272" w:rsidRDefault="000156B4" w:rsidP="000156B4">
      <w:pPr>
        <w:keepNext/>
        <w:tabs>
          <w:tab w:val="left" w:pos="720"/>
        </w:tabs>
        <w:spacing w:before="240" w:after="240"/>
        <w:outlineLvl w:val="1"/>
        <w:rPr>
          <w:b/>
          <w:bCs/>
        </w:rPr>
      </w:pPr>
      <w:r w:rsidRPr="00DD2272">
        <w:rPr>
          <w:b/>
          <w:bCs/>
        </w:rPr>
        <w:t>9.1</w:t>
      </w:r>
      <w:r w:rsidRPr="00DD2272">
        <w:tab/>
      </w:r>
      <w:r w:rsidRPr="00DD2272">
        <w:rPr>
          <w:b/>
          <w:bCs/>
        </w:rPr>
        <w:t>Introduction</w:t>
      </w:r>
    </w:p>
    <w:p w14:paraId="202F83E9" w14:textId="77777777" w:rsidR="000156B4" w:rsidRPr="00DD2272" w:rsidRDefault="000156B4" w:rsidP="000156B4">
      <w:pPr>
        <w:pStyle w:val="BodyTextNumbered"/>
      </w:pPr>
      <w:r w:rsidRPr="00DD2272">
        <w:t>(1)</w:t>
      </w:r>
      <w:r w:rsidRPr="00DD2272">
        <w:tab/>
        <w:t>This Section defines the requirements and processes used to facilitate new or modified Large Load interconnections with the ERCOT System.  This process will be referred to as the Large Load Interconnection Study (LLIS) process.  The requirements are designed to:</w:t>
      </w:r>
    </w:p>
    <w:p w14:paraId="59E44DEC" w14:textId="77777777" w:rsidR="000156B4" w:rsidRPr="00DD2272" w:rsidRDefault="000156B4" w:rsidP="000156B4">
      <w:pPr>
        <w:pStyle w:val="List"/>
        <w:ind w:left="1440"/>
      </w:pPr>
      <w:r w:rsidRPr="00DD2272">
        <w:t>(a)</w:t>
      </w:r>
      <w:r w:rsidRPr="00DD2272">
        <w:tab/>
        <w:t>Facilitate studies to identify potential system limitations and determine facilities needed to interconnect a new Large Load to or modify an existing Large Load on the ERCOT network;</w:t>
      </w:r>
    </w:p>
    <w:p w14:paraId="268E2D21" w14:textId="77777777" w:rsidR="000156B4" w:rsidRPr="00DD2272" w:rsidRDefault="000156B4" w:rsidP="000156B4">
      <w:pPr>
        <w:pStyle w:val="List"/>
        <w:ind w:left="1440"/>
      </w:pPr>
      <w:r w:rsidRPr="00DD2272">
        <w:t>(b)</w:t>
      </w:r>
      <w:r w:rsidRPr="00DD2272">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p>
    <w:p w14:paraId="37660F06" w14:textId="77777777" w:rsidR="000156B4" w:rsidRPr="00DD2272" w:rsidRDefault="000156B4" w:rsidP="000156B4">
      <w:pPr>
        <w:pStyle w:val="List"/>
        <w:ind w:left="1440"/>
      </w:pPr>
      <w:r w:rsidRPr="00DD2272">
        <w:t>(c)</w:t>
      </w:r>
      <w:r w:rsidRPr="00DD2272">
        <w:tab/>
        <w:t>Specify the communications required between Interconnecting Large Load Entities (ILLEs), Transmission Service Providers (TSPs), Distribution Service Providers (DSPs), Resource Entities (REs), Interconnecting Entities (IEs), and ERCOT;</w:t>
      </w:r>
    </w:p>
    <w:p w14:paraId="615B3052" w14:textId="77777777" w:rsidR="000156B4" w:rsidRPr="00DD2272" w:rsidRDefault="000156B4" w:rsidP="000156B4">
      <w:pPr>
        <w:pStyle w:val="List"/>
        <w:ind w:left="1440"/>
      </w:pPr>
      <w:r w:rsidRPr="00DD2272">
        <w:t>(d)</w:t>
      </w:r>
      <w:r w:rsidRPr="00DD2272">
        <w:tab/>
        <w:t>Provide the best information on future Large Load additions for use in identifying, forecasting, and analyzing short- and long-range ERCOT capabilities, demands, and reserves; and</w:t>
      </w:r>
    </w:p>
    <w:p w14:paraId="02599D26" w14:textId="77777777" w:rsidR="000156B4" w:rsidRDefault="000156B4" w:rsidP="000156B4">
      <w:pPr>
        <w:pStyle w:val="List"/>
        <w:ind w:left="1440"/>
      </w:pPr>
      <w:bookmarkStart w:id="3" w:name="6.10_Contingency_Filing_Requirements"/>
      <w:bookmarkStart w:id="4" w:name="_bookmark1"/>
      <w:bookmarkEnd w:id="3"/>
      <w:bookmarkEnd w:id="4"/>
      <w:r w:rsidRPr="00DD2272">
        <w:t>(e)</w:t>
      </w:r>
      <w:r w:rsidRPr="00DD2272">
        <w:tab/>
        <w:t xml:space="preserve">Provide ERCOT accurate data about new and modified Large Load subject to the provisions detailed in section </w:t>
      </w:r>
      <w:r w:rsidRPr="006D25DF">
        <w:rPr>
          <w:highlight w:val="yellow"/>
        </w:rPr>
        <w:t>9.2.1, Applicability of the Large Load Interconnection Study Process,</w:t>
      </w:r>
      <w:r w:rsidRPr="00DD2272">
        <w:t xml:space="preserve"> to ensure that ERCOT and stakeholders have the information necessary for planning purposes.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Default="00FF5E88" w:rsidP="00366799">
            <w:pPr>
              <w:pStyle w:val="Header"/>
              <w:jc w:val="center"/>
            </w:pPr>
            <w:r>
              <w:t>Revised Cover Page Language</w:t>
            </w:r>
          </w:p>
        </w:tc>
      </w:tr>
    </w:tbl>
    <w:p w14:paraId="3B1788E1" w14:textId="4C12897A" w:rsidR="00B13D60" w:rsidRPr="00B13D60" w:rsidRDefault="0042058D" w:rsidP="0042058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Default="00152993">
            <w:pPr>
              <w:pStyle w:val="Header"/>
              <w:jc w:val="center"/>
            </w:pPr>
            <w:r>
              <w:t xml:space="preserve">Revised Proposed </w:t>
            </w:r>
            <w:r w:rsidR="00C158EE">
              <w:t xml:space="preserve">Guide </w:t>
            </w:r>
            <w:r>
              <w:t>Language</w:t>
            </w:r>
          </w:p>
        </w:tc>
      </w:tr>
    </w:tbl>
    <w:p w14:paraId="42E80826" w14:textId="4A6A9D47" w:rsidR="00152993" w:rsidRDefault="0042058D" w:rsidP="0042058D">
      <w:pPr>
        <w:spacing w:before="120" w:after="120"/>
      </w:pPr>
      <w:r>
        <w:rPr>
          <w:rFonts w:ascii="Arial" w:hAnsi="Arial" w:cs="Arial"/>
        </w:rPr>
        <w:t>None</w:t>
      </w:r>
    </w:p>
    <w:sectPr w:rsidR="00152993" w:rsidSect="00620158">
      <w:headerReference w:type="default" r:id="rId14"/>
      <w:footerReference w:type="default" r:id="rId15"/>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3B1D" w14:textId="77777777" w:rsidR="000B641A" w:rsidRDefault="000B641A">
      <w:r>
        <w:separator/>
      </w:r>
    </w:p>
  </w:endnote>
  <w:endnote w:type="continuationSeparator" w:id="0">
    <w:p w14:paraId="589CA82D" w14:textId="77777777" w:rsidR="000B641A" w:rsidRDefault="000B641A">
      <w:r>
        <w:continuationSeparator/>
      </w:r>
    </w:p>
  </w:endnote>
  <w:endnote w:type="continuationNotice" w:id="1">
    <w:p w14:paraId="71508EFD" w14:textId="77777777" w:rsidR="000B641A" w:rsidRDefault="000B6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0" w14:textId="587D1FF2" w:rsidR="003D0994" w:rsidRDefault="006F5C9C"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-1</w:t>
    </w:r>
    <w:r w:rsidR="0042058D">
      <w:rPr>
        <w:rFonts w:ascii="Arial" w:hAnsi="Arial"/>
        <w:sz w:val="18"/>
      </w:rPr>
      <w:t>8</w:t>
    </w:r>
    <w:r>
      <w:rPr>
        <w:rFonts w:ascii="Arial" w:hAnsi="Arial"/>
        <w:sz w:val="18"/>
      </w:rPr>
      <w:t xml:space="preserve"> </w:t>
    </w:r>
    <w:r w:rsidR="0075092F">
      <w:rPr>
        <w:rFonts w:ascii="Arial" w:hAnsi="Arial"/>
        <w:sz w:val="18"/>
      </w:rPr>
      <w:t>ERCOT Steel Mills</w:t>
    </w:r>
    <w:r w:rsidR="00C158EE">
      <w:rPr>
        <w:rFonts w:ascii="Arial" w:hAnsi="Arial"/>
        <w:sz w:val="18"/>
      </w:rPr>
      <w:t xml:space="preserve"> </w:t>
    </w:r>
    <w:r w:rsidR="007269C4">
      <w:rPr>
        <w:rFonts w:ascii="Arial" w:hAnsi="Arial"/>
        <w:sz w:val="18"/>
      </w:rPr>
      <w:t>Comment</w:t>
    </w:r>
    <w:r>
      <w:rPr>
        <w:rFonts w:ascii="Arial" w:hAnsi="Arial"/>
        <w:sz w:val="18"/>
      </w:rPr>
      <w:t xml:space="preserve">s </w:t>
    </w:r>
    <w:r w:rsidR="0042058D">
      <w:rPr>
        <w:rFonts w:ascii="Arial" w:hAnsi="Arial"/>
        <w:sz w:val="18"/>
      </w:rPr>
      <w:t>012925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2116" w14:textId="77777777" w:rsidR="000B641A" w:rsidRDefault="000B641A">
      <w:r>
        <w:separator/>
      </w:r>
    </w:p>
  </w:footnote>
  <w:footnote w:type="continuationSeparator" w:id="0">
    <w:p w14:paraId="7088DADF" w14:textId="77777777" w:rsidR="000B641A" w:rsidRDefault="000B641A">
      <w:r>
        <w:continuationSeparator/>
      </w:r>
    </w:p>
  </w:footnote>
  <w:footnote w:type="continuationNotice" w:id="1">
    <w:p w14:paraId="67C08998" w14:textId="77777777" w:rsidR="000B641A" w:rsidRDefault="000B6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76E" w14:textId="54542013"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3249712">
    <w:abstractNumId w:val="0"/>
  </w:num>
  <w:num w:numId="2" w16cid:durableId="2069375641">
    <w:abstractNumId w:val="6"/>
  </w:num>
  <w:num w:numId="3" w16cid:durableId="1285502564">
    <w:abstractNumId w:val="1"/>
  </w:num>
  <w:num w:numId="4" w16cid:durableId="42340139">
    <w:abstractNumId w:val="2"/>
  </w:num>
  <w:num w:numId="5" w16cid:durableId="801729328">
    <w:abstractNumId w:val="5"/>
  </w:num>
  <w:num w:numId="6" w16cid:durableId="508448922">
    <w:abstractNumId w:val="3"/>
  </w:num>
  <w:num w:numId="7" w16cid:durableId="335042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38BB"/>
    <w:rsid w:val="000156B4"/>
    <w:rsid w:val="0002215A"/>
    <w:rsid w:val="000354F1"/>
    <w:rsid w:val="0003677A"/>
    <w:rsid w:val="00037668"/>
    <w:rsid w:val="000424EE"/>
    <w:rsid w:val="0004316E"/>
    <w:rsid w:val="00064B05"/>
    <w:rsid w:val="000709AC"/>
    <w:rsid w:val="00071B10"/>
    <w:rsid w:val="000733E6"/>
    <w:rsid w:val="00075A94"/>
    <w:rsid w:val="00077C81"/>
    <w:rsid w:val="00081D85"/>
    <w:rsid w:val="00083A2D"/>
    <w:rsid w:val="000A3A6B"/>
    <w:rsid w:val="000B2C53"/>
    <w:rsid w:val="000B51D4"/>
    <w:rsid w:val="000B641A"/>
    <w:rsid w:val="000C50B5"/>
    <w:rsid w:val="000E173C"/>
    <w:rsid w:val="000E50A0"/>
    <w:rsid w:val="000F442D"/>
    <w:rsid w:val="000F4BDF"/>
    <w:rsid w:val="00104D68"/>
    <w:rsid w:val="00117DBD"/>
    <w:rsid w:val="00131DBE"/>
    <w:rsid w:val="00132855"/>
    <w:rsid w:val="001438B4"/>
    <w:rsid w:val="00150899"/>
    <w:rsid w:val="001516CE"/>
    <w:rsid w:val="00152993"/>
    <w:rsid w:val="00156FC3"/>
    <w:rsid w:val="00170297"/>
    <w:rsid w:val="00170E84"/>
    <w:rsid w:val="00176325"/>
    <w:rsid w:val="00181BD8"/>
    <w:rsid w:val="0018706E"/>
    <w:rsid w:val="001872C6"/>
    <w:rsid w:val="00190A0D"/>
    <w:rsid w:val="001A01A0"/>
    <w:rsid w:val="001A2080"/>
    <w:rsid w:val="001A227D"/>
    <w:rsid w:val="001B1489"/>
    <w:rsid w:val="001B1521"/>
    <w:rsid w:val="001B1EA9"/>
    <w:rsid w:val="001B64D8"/>
    <w:rsid w:val="001E2032"/>
    <w:rsid w:val="001F17E5"/>
    <w:rsid w:val="001F3C95"/>
    <w:rsid w:val="00237F13"/>
    <w:rsid w:val="00243C1E"/>
    <w:rsid w:val="00260BB3"/>
    <w:rsid w:val="00276D2F"/>
    <w:rsid w:val="002771E6"/>
    <w:rsid w:val="0028437C"/>
    <w:rsid w:val="002877FB"/>
    <w:rsid w:val="002D0BDD"/>
    <w:rsid w:val="002E5B76"/>
    <w:rsid w:val="002F680E"/>
    <w:rsid w:val="003009EE"/>
    <w:rsid w:val="003010C0"/>
    <w:rsid w:val="00302C6E"/>
    <w:rsid w:val="00320075"/>
    <w:rsid w:val="00323657"/>
    <w:rsid w:val="00331194"/>
    <w:rsid w:val="00332A97"/>
    <w:rsid w:val="00350C00"/>
    <w:rsid w:val="00350E2A"/>
    <w:rsid w:val="00354827"/>
    <w:rsid w:val="00363BC2"/>
    <w:rsid w:val="00366113"/>
    <w:rsid w:val="00366799"/>
    <w:rsid w:val="00366E2E"/>
    <w:rsid w:val="00373781"/>
    <w:rsid w:val="00375E4F"/>
    <w:rsid w:val="00382965"/>
    <w:rsid w:val="00385933"/>
    <w:rsid w:val="00387169"/>
    <w:rsid w:val="00394E2E"/>
    <w:rsid w:val="00396A2B"/>
    <w:rsid w:val="00396B8B"/>
    <w:rsid w:val="003A2EE5"/>
    <w:rsid w:val="003A723E"/>
    <w:rsid w:val="003B2501"/>
    <w:rsid w:val="003B6897"/>
    <w:rsid w:val="003C270C"/>
    <w:rsid w:val="003C405A"/>
    <w:rsid w:val="003D0994"/>
    <w:rsid w:val="003E130E"/>
    <w:rsid w:val="003E358A"/>
    <w:rsid w:val="003E7D74"/>
    <w:rsid w:val="003F495C"/>
    <w:rsid w:val="003F6200"/>
    <w:rsid w:val="003F7F79"/>
    <w:rsid w:val="00403BEE"/>
    <w:rsid w:val="004105DA"/>
    <w:rsid w:val="0041487A"/>
    <w:rsid w:val="00416EDF"/>
    <w:rsid w:val="0042058D"/>
    <w:rsid w:val="00423824"/>
    <w:rsid w:val="00426986"/>
    <w:rsid w:val="0043183D"/>
    <w:rsid w:val="00434B84"/>
    <w:rsid w:val="0043567D"/>
    <w:rsid w:val="004366A4"/>
    <w:rsid w:val="00442930"/>
    <w:rsid w:val="0044459C"/>
    <w:rsid w:val="00447A74"/>
    <w:rsid w:val="00454476"/>
    <w:rsid w:val="00465137"/>
    <w:rsid w:val="004665EA"/>
    <w:rsid w:val="00466690"/>
    <w:rsid w:val="00467054"/>
    <w:rsid w:val="00471784"/>
    <w:rsid w:val="0048049C"/>
    <w:rsid w:val="00487DA5"/>
    <w:rsid w:val="004A17FF"/>
    <w:rsid w:val="004A5367"/>
    <w:rsid w:val="004B465D"/>
    <w:rsid w:val="004B7B90"/>
    <w:rsid w:val="004D6CFB"/>
    <w:rsid w:val="004E2C19"/>
    <w:rsid w:val="004E74CA"/>
    <w:rsid w:val="004F3387"/>
    <w:rsid w:val="00507FC9"/>
    <w:rsid w:val="005314A6"/>
    <w:rsid w:val="00537FF2"/>
    <w:rsid w:val="00541F96"/>
    <w:rsid w:val="00584B66"/>
    <w:rsid w:val="00592183"/>
    <w:rsid w:val="0059567B"/>
    <w:rsid w:val="005B66D4"/>
    <w:rsid w:val="005C132C"/>
    <w:rsid w:val="005D208A"/>
    <w:rsid w:val="005D284C"/>
    <w:rsid w:val="005E249B"/>
    <w:rsid w:val="005E3155"/>
    <w:rsid w:val="005F4E5A"/>
    <w:rsid w:val="00605A1F"/>
    <w:rsid w:val="00613E4C"/>
    <w:rsid w:val="00614DCB"/>
    <w:rsid w:val="00620158"/>
    <w:rsid w:val="00622849"/>
    <w:rsid w:val="00627218"/>
    <w:rsid w:val="00631AE5"/>
    <w:rsid w:val="00633A94"/>
    <w:rsid w:val="00633E23"/>
    <w:rsid w:val="00635D6B"/>
    <w:rsid w:val="00647A28"/>
    <w:rsid w:val="00651B1D"/>
    <w:rsid w:val="006558EE"/>
    <w:rsid w:val="00660C5C"/>
    <w:rsid w:val="00667E2A"/>
    <w:rsid w:val="00673B94"/>
    <w:rsid w:val="00680AC6"/>
    <w:rsid w:val="006835D8"/>
    <w:rsid w:val="0069147B"/>
    <w:rsid w:val="00695439"/>
    <w:rsid w:val="00697744"/>
    <w:rsid w:val="006A486C"/>
    <w:rsid w:val="006A5EE8"/>
    <w:rsid w:val="006A77D7"/>
    <w:rsid w:val="006B0D4D"/>
    <w:rsid w:val="006B6640"/>
    <w:rsid w:val="006B6FDB"/>
    <w:rsid w:val="006C316E"/>
    <w:rsid w:val="006C4042"/>
    <w:rsid w:val="006C5A50"/>
    <w:rsid w:val="006D0F7C"/>
    <w:rsid w:val="006D56CA"/>
    <w:rsid w:val="006D7038"/>
    <w:rsid w:val="006E5404"/>
    <w:rsid w:val="006F5C9C"/>
    <w:rsid w:val="006F79C6"/>
    <w:rsid w:val="00705F09"/>
    <w:rsid w:val="00720E1F"/>
    <w:rsid w:val="007269C4"/>
    <w:rsid w:val="00734EAF"/>
    <w:rsid w:val="007357DB"/>
    <w:rsid w:val="0074209E"/>
    <w:rsid w:val="0075092F"/>
    <w:rsid w:val="00750A92"/>
    <w:rsid w:val="00753C4A"/>
    <w:rsid w:val="007717F9"/>
    <w:rsid w:val="00784CCD"/>
    <w:rsid w:val="00793098"/>
    <w:rsid w:val="00795BFA"/>
    <w:rsid w:val="007A01B3"/>
    <w:rsid w:val="007A6C55"/>
    <w:rsid w:val="007B0A68"/>
    <w:rsid w:val="007B34F2"/>
    <w:rsid w:val="007E1578"/>
    <w:rsid w:val="007E1726"/>
    <w:rsid w:val="007E4EF9"/>
    <w:rsid w:val="007F2CA8"/>
    <w:rsid w:val="007F7161"/>
    <w:rsid w:val="00820863"/>
    <w:rsid w:val="00823449"/>
    <w:rsid w:val="00823E4A"/>
    <w:rsid w:val="00825FBB"/>
    <w:rsid w:val="008263C3"/>
    <w:rsid w:val="00826B1E"/>
    <w:rsid w:val="00826D5C"/>
    <w:rsid w:val="008320D9"/>
    <w:rsid w:val="00836F6F"/>
    <w:rsid w:val="0084031B"/>
    <w:rsid w:val="00842C92"/>
    <w:rsid w:val="00842FDD"/>
    <w:rsid w:val="00851273"/>
    <w:rsid w:val="008531A4"/>
    <w:rsid w:val="00853CCF"/>
    <w:rsid w:val="0085559E"/>
    <w:rsid w:val="00865396"/>
    <w:rsid w:val="00867589"/>
    <w:rsid w:val="00870804"/>
    <w:rsid w:val="00871DFC"/>
    <w:rsid w:val="00873853"/>
    <w:rsid w:val="00891014"/>
    <w:rsid w:val="00895604"/>
    <w:rsid w:val="00896B1B"/>
    <w:rsid w:val="008B43F7"/>
    <w:rsid w:val="008B7740"/>
    <w:rsid w:val="008B7CCE"/>
    <w:rsid w:val="008C38CF"/>
    <w:rsid w:val="008D0E30"/>
    <w:rsid w:val="008D3295"/>
    <w:rsid w:val="008E559E"/>
    <w:rsid w:val="008F3E31"/>
    <w:rsid w:val="00900122"/>
    <w:rsid w:val="00907ADF"/>
    <w:rsid w:val="00916080"/>
    <w:rsid w:val="00921A68"/>
    <w:rsid w:val="00925499"/>
    <w:rsid w:val="0092562B"/>
    <w:rsid w:val="00934352"/>
    <w:rsid w:val="009446BD"/>
    <w:rsid w:val="00950474"/>
    <w:rsid w:val="00956DF3"/>
    <w:rsid w:val="00960706"/>
    <w:rsid w:val="009632D5"/>
    <w:rsid w:val="009660DD"/>
    <w:rsid w:val="0096647F"/>
    <w:rsid w:val="00967CA6"/>
    <w:rsid w:val="009702C4"/>
    <w:rsid w:val="009723C3"/>
    <w:rsid w:val="009733AD"/>
    <w:rsid w:val="00977377"/>
    <w:rsid w:val="009817AF"/>
    <w:rsid w:val="00986CFB"/>
    <w:rsid w:val="00997754"/>
    <w:rsid w:val="009A117D"/>
    <w:rsid w:val="009A2EA4"/>
    <w:rsid w:val="009B0133"/>
    <w:rsid w:val="009B6699"/>
    <w:rsid w:val="009E0EA2"/>
    <w:rsid w:val="009E2FC9"/>
    <w:rsid w:val="009E4CA6"/>
    <w:rsid w:val="009F305E"/>
    <w:rsid w:val="009F6B41"/>
    <w:rsid w:val="00A015C4"/>
    <w:rsid w:val="00A11430"/>
    <w:rsid w:val="00A15172"/>
    <w:rsid w:val="00A36A46"/>
    <w:rsid w:val="00A37FBD"/>
    <w:rsid w:val="00A4381A"/>
    <w:rsid w:val="00A43930"/>
    <w:rsid w:val="00A45552"/>
    <w:rsid w:val="00A46FCD"/>
    <w:rsid w:val="00A47F2F"/>
    <w:rsid w:val="00A512EA"/>
    <w:rsid w:val="00A5497B"/>
    <w:rsid w:val="00A63FE1"/>
    <w:rsid w:val="00A809E1"/>
    <w:rsid w:val="00A83C9B"/>
    <w:rsid w:val="00A86574"/>
    <w:rsid w:val="00A86D4F"/>
    <w:rsid w:val="00A90951"/>
    <w:rsid w:val="00A96AEF"/>
    <w:rsid w:val="00AB357A"/>
    <w:rsid w:val="00AC079B"/>
    <w:rsid w:val="00AC1F05"/>
    <w:rsid w:val="00AD2971"/>
    <w:rsid w:val="00AD4C16"/>
    <w:rsid w:val="00AD786E"/>
    <w:rsid w:val="00AE52F7"/>
    <w:rsid w:val="00AF6D91"/>
    <w:rsid w:val="00B02A8E"/>
    <w:rsid w:val="00B13D60"/>
    <w:rsid w:val="00B23DDE"/>
    <w:rsid w:val="00B40D1B"/>
    <w:rsid w:val="00B461E2"/>
    <w:rsid w:val="00B5185F"/>
    <w:rsid w:val="00B57DD6"/>
    <w:rsid w:val="00B64C1C"/>
    <w:rsid w:val="00B80C51"/>
    <w:rsid w:val="00B834EB"/>
    <w:rsid w:val="00B83E27"/>
    <w:rsid w:val="00B845F9"/>
    <w:rsid w:val="00B85517"/>
    <w:rsid w:val="00B857FB"/>
    <w:rsid w:val="00B9054E"/>
    <w:rsid w:val="00BA3D45"/>
    <w:rsid w:val="00BA7C7C"/>
    <w:rsid w:val="00BB083C"/>
    <w:rsid w:val="00BB2A84"/>
    <w:rsid w:val="00BB643A"/>
    <w:rsid w:val="00BB66AA"/>
    <w:rsid w:val="00BB6A3C"/>
    <w:rsid w:val="00BC372B"/>
    <w:rsid w:val="00BC3D1B"/>
    <w:rsid w:val="00BD6990"/>
    <w:rsid w:val="00C00795"/>
    <w:rsid w:val="00C0598D"/>
    <w:rsid w:val="00C11956"/>
    <w:rsid w:val="00C1197F"/>
    <w:rsid w:val="00C13AA4"/>
    <w:rsid w:val="00C13AB9"/>
    <w:rsid w:val="00C158EE"/>
    <w:rsid w:val="00C217C4"/>
    <w:rsid w:val="00C2536C"/>
    <w:rsid w:val="00C27B09"/>
    <w:rsid w:val="00C34BD3"/>
    <w:rsid w:val="00C4631D"/>
    <w:rsid w:val="00C4695D"/>
    <w:rsid w:val="00C52602"/>
    <w:rsid w:val="00C5593B"/>
    <w:rsid w:val="00C55C2F"/>
    <w:rsid w:val="00C602E5"/>
    <w:rsid w:val="00C70A0E"/>
    <w:rsid w:val="00C73D31"/>
    <w:rsid w:val="00C74245"/>
    <w:rsid w:val="00C748FD"/>
    <w:rsid w:val="00C74D46"/>
    <w:rsid w:val="00C8303E"/>
    <w:rsid w:val="00C844AC"/>
    <w:rsid w:val="00C93322"/>
    <w:rsid w:val="00C95E6B"/>
    <w:rsid w:val="00CA60E9"/>
    <w:rsid w:val="00CB1029"/>
    <w:rsid w:val="00CB13FC"/>
    <w:rsid w:val="00CF3E6E"/>
    <w:rsid w:val="00D0521D"/>
    <w:rsid w:val="00D14F29"/>
    <w:rsid w:val="00D220B4"/>
    <w:rsid w:val="00D23306"/>
    <w:rsid w:val="00D24DCF"/>
    <w:rsid w:val="00D258B8"/>
    <w:rsid w:val="00D26BF9"/>
    <w:rsid w:val="00D30B69"/>
    <w:rsid w:val="00D4046E"/>
    <w:rsid w:val="00D410AC"/>
    <w:rsid w:val="00D45405"/>
    <w:rsid w:val="00D51B12"/>
    <w:rsid w:val="00D54E9D"/>
    <w:rsid w:val="00D556B3"/>
    <w:rsid w:val="00D6018D"/>
    <w:rsid w:val="00D64150"/>
    <w:rsid w:val="00D64539"/>
    <w:rsid w:val="00D76C25"/>
    <w:rsid w:val="00D81C95"/>
    <w:rsid w:val="00D86B14"/>
    <w:rsid w:val="00D90BEE"/>
    <w:rsid w:val="00DA12F5"/>
    <w:rsid w:val="00DB1A9C"/>
    <w:rsid w:val="00DB5A73"/>
    <w:rsid w:val="00DD4739"/>
    <w:rsid w:val="00DE23EE"/>
    <w:rsid w:val="00DE5F33"/>
    <w:rsid w:val="00DF4102"/>
    <w:rsid w:val="00DF6766"/>
    <w:rsid w:val="00E06E8A"/>
    <w:rsid w:val="00E07B54"/>
    <w:rsid w:val="00E11F78"/>
    <w:rsid w:val="00E219AB"/>
    <w:rsid w:val="00E26FE3"/>
    <w:rsid w:val="00E3210B"/>
    <w:rsid w:val="00E34FBE"/>
    <w:rsid w:val="00E42851"/>
    <w:rsid w:val="00E44772"/>
    <w:rsid w:val="00E51835"/>
    <w:rsid w:val="00E52983"/>
    <w:rsid w:val="00E621E1"/>
    <w:rsid w:val="00E7081B"/>
    <w:rsid w:val="00E76C9F"/>
    <w:rsid w:val="00E80404"/>
    <w:rsid w:val="00E84E9F"/>
    <w:rsid w:val="00E86FD4"/>
    <w:rsid w:val="00E90F16"/>
    <w:rsid w:val="00E91FB0"/>
    <w:rsid w:val="00E92877"/>
    <w:rsid w:val="00EA3037"/>
    <w:rsid w:val="00EC55B3"/>
    <w:rsid w:val="00ED10B4"/>
    <w:rsid w:val="00ED4E7D"/>
    <w:rsid w:val="00EE089C"/>
    <w:rsid w:val="00EE4C3F"/>
    <w:rsid w:val="00EE7302"/>
    <w:rsid w:val="00EF31F8"/>
    <w:rsid w:val="00EF6120"/>
    <w:rsid w:val="00F00AD3"/>
    <w:rsid w:val="00F038EC"/>
    <w:rsid w:val="00F12875"/>
    <w:rsid w:val="00F20EEB"/>
    <w:rsid w:val="00F425E3"/>
    <w:rsid w:val="00F53618"/>
    <w:rsid w:val="00F572BA"/>
    <w:rsid w:val="00F61A3E"/>
    <w:rsid w:val="00F61DFE"/>
    <w:rsid w:val="00F71603"/>
    <w:rsid w:val="00F73BC7"/>
    <w:rsid w:val="00F80432"/>
    <w:rsid w:val="00F82095"/>
    <w:rsid w:val="00F9035C"/>
    <w:rsid w:val="00F96FB2"/>
    <w:rsid w:val="00FA7EC1"/>
    <w:rsid w:val="00FB1ABB"/>
    <w:rsid w:val="00FB51D8"/>
    <w:rsid w:val="00FC1242"/>
    <w:rsid w:val="00FD08E8"/>
    <w:rsid w:val="00FD28A3"/>
    <w:rsid w:val="00FD7966"/>
    <w:rsid w:val="00FE5B3D"/>
    <w:rsid w:val="00FE7CB1"/>
    <w:rsid w:val="00FF251E"/>
    <w:rsid w:val="00FF27C0"/>
    <w:rsid w:val="00FF5E88"/>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marksmithlawll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mystic@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100899A1-B721-4267-AB45-2B6D62227782}">
  <ds:schemaRefs>
    <ds:schemaRef ds:uri="http://schemas.microsoft.com/sharepoint/v3/contenttype/forms"/>
  </ds:schemaRefs>
</ds:datastoreItem>
</file>

<file path=customXml/itemProps4.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930</Words>
  <Characters>5462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ERCOT</cp:lastModifiedBy>
  <cp:revision>2</cp:revision>
  <cp:lastPrinted>2001-06-20T16:28:00Z</cp:lastPrinted>
  <dcterms:created xsi:type="dcterms:W3CDTF">2025-01-29T20:43:00Z</dcterms:created>
  <dcterms:modified xsi:type="dcterms:W3CDTF">2025-01-29T20:43:00Z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0x010100274409F5E5BB984CA898E4671C979DCF</vt:lpwstr>
  </property>
  <property fmtid="{D5CDD505-2E9C-101B-9397-08002B2CF9AE}" pid="4" name="MSIP_Label_c144db1d-993e-40da-980d-6eea152adc50_Enabled">
    <vt:lpwstr>true</vt:lpwstr>
  </property>
  <property fmtid="{D5CDD505-2E9C-101B-9397-08002B2CF9AE}" pid="5" name="MSIP_Label_c144db1d-993e-40da-980d-6eea152adc50_SetDate">
    <vt:lpwstr>2025-01-29T20:43:15Z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ff73ad25-fdb3-4816-9457-5141af138752</vt:lpwstr>
  </property>
  <property fmtid="{D5CDD505-2E9C-101B-9397-08002B2CF9AE}" pid="10" name="MSIP_Label_c144db1d-993e-40da-980d-6eea152adc50_ContentBits">
    <vt:lpwstr>0</vt:lpwstr>
  </property>
</Properties>
</file>