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0653" w14:textId="75AC519F" w:rsidR="002D4213" w:rsidRPr="002D4213" w:rsidRDefault="002D4213" w:rsidP="002D421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IBRWG </w:t>
      </w:r>
      <w:r w:rsidR="00BD1D81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Update</w:t>
      </w:r>
    </w:p>
    <w:p w14:paraId="001575D3" w14:textId="371DF4C2" w:rsidR="002D4213" w:rsidRPr="002D4213" w:rsidRDefault="00B43007" w:rsidP="002D421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January</w:t>
      </w:r>
      <w:r w:rsidR="002D4213" w:rsidRPr="002D421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5</w:t>
      </w:r>
    </w:p>
    <w:p w14:paraId="5255C0B2" w14:textId="77777777" w:rsidR="002D4213" w:rsidRPr="002D4213" w:rsidRDefault="002D4213" w:rsidP="002D421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14:ligatures w14:val="none"/>
        </w:rPr>
        <w:t>Chair: Julia Matevosyan, Vice-Chair: Miguel Cova Acosta</w:t>
      </w:r>
    </w:p>
    <w:p w14:paraId="3ECE4A7A" w14:textId="77777777" w:rsidR="002D4213" w:rsidRPr="002D4213" w:rsidRDefault="002D4213" w:rsidP="002D421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B0BFB52" w14:textId="7C63B250" w:rsidR="002D4213" w:rsidRPr="002D4213" w:rsidRDefault="002D4213" w:rsidP="002D4213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IBRWG met on </w:t>
      </w:r>
      <w:r w:rsidR="00093D07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January</w:t>
      </w:r>
      <w:r w:rsidR="00D976D9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</w:t>
      </w: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1</w:t>
      </w:r>
      <w:r w:rsidR="00093D07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7</w:t>
      </w: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vertAlign w:val="superscript"/>
          <w14:ligatures w14:val="none"/>
        </w:rPr>
        <w:t>th</w:t>
      </w: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(Webex, Open Meeting).</w:t>
      </w:r>
    </w:p>
    <w:p w14:paraId="65B539D3" w14:textId="056A4F59" w:rsidR="002D4213" w:rsidRDefault="002D4213" w:rsidP="002D4213">
      <w:pPr>
        <w:spacing w:line="259" w:lineRule="auto"/>
      </w:pPr>
      <w:r w:rsidRPr="002D421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The agenda and the presentation slides are available </w:t>
      </w:r>
      <w:hyperlink r:id="rId5" w:history="1">
        <w:r w:rsidRPr="002D4213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here</w:t>
        </w:r>
      </w:hyperlink>
    </w:p>
    <w:p w14:paraId="26A2144A" w14:textId="3034C84E" w:rsidR="008D68C1" w:rsidRPr="002D4213" w:rsidRDefault="008D68C1" w:rsidP="008D68C1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 w:rsidR="00B67D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people attended the meeting (at peak)</w:t>
      </w:r>
    </w:p>
    <w:p w14:paraId="747846F7" w14:textId="77777777" w:rsidR="002D4213" w:rsidRPr="002D4213" w:rsidRDefault="002D4213" w:rsidP="002D4213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IBRWG Main Meeting</w:t>
      </w:r>
    </w:p>
    <w:p w14:paraId="45476079" w14:textId="121782AC" w:rsidR="002D4213" w:rsidRPr="002D4213" w:rsidRDefault="00EE02C2" w:rsidP="002D4213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OEM Presentations on GFM Capabilities and ERCOT’s Advanced Grid Support Requ</w:t>
      </w:r>
      <w:r w:rsidR="00513F9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irements</w:t>
      </w:r>
      <w:r w:rsidR="00041F89" w:rsidRPr="00041F8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</w:t>
      </w:r>
      <w:r w:rsidR="002D4213"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</w:p>
    <w:p w14:paraId="177ED74B" w14:textId="77777777" w:rsidR="00F71D6D" w:rsidRPr="00F71D6D" w:rsidRDefault="00513F9C" w:rsidP="00CB6424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Fluence (integrator using SMA inverters), SMA and Tesla</w:t>
      </w:r>
      <w:r w:rsidR="00F71D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66FAF79E" w14:textId="77777777" w:rsidR="00F71D6D" w:rsidRPr="00F71D6D" w:rsidRDefault="00513F9C" w:rsidP="00F71D6D">
      <w:pPr>
        <w:pStyle w:val="ListParagraph"/>
        <w:numPr>
          <w:ilvl w:val="1"/>
          <w:numId w:val="1"/>
        </w:num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presented on their GFM capabilities, </w:t>
      </w:r>
    </w:p>
    <w:p w14:paraId="50786812" w14:textId="77777777" w:rsidR="00F71D6D" w:rsidRPr="00F71D6D" w:rsidRDefault="00513F9C" w:rsidP="00F71D6D">
      <w:pPr>
        <w:pStyle w:val="ListParagraph"/>
        <w:numPr>
          <w:ilvl w:val="1"/>
          <w:numId w:val="1"/>
        </w:num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mentioned installed projects around the world, </w:t>
      </w:r>
    </w:p>
    <w:p w14:paraId="7FD0DF41" w14:textId="44FA46BC" w:rsidR="00513F9C" w:rsidRPr="00B55CF2" w:rsidRDefault="00513F9C" w:rsidP="00F71D6D">
      <w:pPr>
        <w:pStyle w:val="ListParagraph"/>
        <w:numPr>
          <w:ilvl w:val="1"/>
          <w:numId w:val="1"/>
        </w:num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reflected on ERCOT’s requirements laid out in </w:t>
      </w:r>
      <w:r w:rsidR="005C717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NOGRR2</w:t>
      </w:r>
      <w:r w:rsidR="005C717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72 and PGRR121)</w:t>
      </w:r>
    </w:p>
    <w:p w14:paraId="1C4F9FEC" w14:textId="77777777" w:rsidR="0050327E" w:rsidRPr="0050327E" w:rsidRDefault="00B55CF2" w:rsidP="00F71D6D">
      <w:pPr>
        <w:pStyle w:val="ListParagraph"/>
        <w:numPr>
          <w:ilvl w:val="1"/>
          <w:numId w:val="1"/>
        </w:num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pointed out some practical details in the requirements, including </w:t>
      </w:r>
      <w:r w:rsidR="0050327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MQT requirements that will be included in the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DWG Procedure Manual</w:t>
      </w:r>
    </w:p>
    <w:p w14:paraId="0C6A2581" w14:textId="71636FF1" w:rsidR="0050327E" w:rsidRPr="0050327E" w:rsidRDefault="0050327E" w:rsidP="00F71D6D">
      <w:pPr>
        <w:pStyle w:val="ListParagraph"/>
        <w:numPr>
          <w:ilvl w:val="1"/>
          <w:numId w:val="1"/>
        </w:num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ERCOT is working to incorporate</w:t>
      </w:r>
    </w:p>
    <w:p w14:paraId="7632FE2F" w14:textId="07EB8831" w:rsidR="00B55CF2" w:rsidRPr="0050327E" w:rsidRDefault="00D651E1" w:rsidP="0050327E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651E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NOGRR272 &amp; PGRR121 Comments Discussion</w:t>
      </w:r>
      <w:r w:rsidR="00B55CF2" w:rsidRPr="00D651E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2B9DB286" w14:textId="77777777" w:rsidR="00C43323" w:rsidRDefault="00D651E1" w:rsidP="00D651E1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651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Discussion of market vs requirements, what is the need? </w:t>
      </w:r>
    </w:p>
    <w:p w14:paraId="572EFA5B" w14:textId="7F6D9FF0" w:rsidR="00D651E1" w:rsidRPr="00D651E1" w:rsidRDefault="00D651E1" w:rsidP="00D651E1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651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Inertia vs System Strength, i.e. system-wide need vs locational need. </w:t>
      </w:r>
    </w:p>
    <w:p w14:paraId="42F0E5BE" w14:textId="094F2814" w:rsidR="00513F9C" w:rsidRDefault="00D651E1" w:rsidP="00CB6424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651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 presentation on stability benefits and need for AGS from ESRs at ROS was requested</w:t>
      </w:r>
      <w:r w:rsidR="00C433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from Fred Huang (ERCOT).</w:t>
      </w:r>
    </w:p>
    <w:p w14:paraId="5B9E40B4" w14:textId="429ADE8B" w:rsidR="00C43323" w:rsidRPr="00E8084A" w:rsidRDefault="00E8084A" w:rsidP="00E8084A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084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BAL-001 TRE-2 PFR Responsibility Exclusion Process and PFR under Deep Curtailment</w:t>
      </w:r>
    </w:p>
    <w:p w14:paraId="724A8D64" w14:textId="766F8D99" w:rsidR="00C43323" w:rsidRPr="00234DAF" w:rsidRDefault="00234DAF" w:rsidP="00234DAF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34D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Abhi Masanna Gari, ERCOT</w:t>
      </w:r>
    </w:p>
    <w:p w14:paraId="7F4E7578" w14:textId="38A9D9FC" w:rsidR="009516FF" w:rsidRDefault="00234DAF" w:rsidP="001D5AC3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E42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ERCOT introduced</w:t>
      </w:r>
      <w:r w:rsidR="002772E3" w:rsidRPr="004E42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an exclusion process for PFR performance evaluation during FMEs</w:t>
      </w:r>
      <w:r w:rsidR="00A47E1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I</w:t>
      </w:r>
      <w:r w:rsidR="002772E3" w:rsidRPr="004E42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f an RE has</w:t>
      </w:r>
      <w:r w:rsidR="000600D2" w:rsidRPr="004E42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issues with capability to provide PFR during certain conditions, e.g. under deep curtailment, they can apply </w:t>
      </w:r>
      <w:r w:rsidR="009516FF" w:rsidRPr="004E42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for an exclusion from FME evaluation</w:t>
      </w:r>
      <w:r w:rsidR="00F735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6BC1459B" w14:textId="77777777" w:rsidR="00F73598" w:rsidRPr="00F73598" w:rsidRDefault="00F73598" w:rsidP="00F73598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735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Per ERCOT Nodal Operating Guide Section 2.2.8 (2), the Market Participants shall request an exemption from, or correction of, performance during an FME </w:t>
      </w:r>
      <w:r w:rsidRPr="00F73598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within 30 days </w:t>
      </w:r>
      <w:r w:rsidRPr="00F735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of the MIS posting date of the </w:t>
      </w:r>
      <w:hyperlink r:id="rId6" w:history="1">
        <w:r w:rsidRPr="00F73598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 xml:space="preserve">Initial and Sustained Frequency Response Unit Performance </w:t>
        </w:r>
      </w:hyperlink>
      <w:r w:rsidRPr="00F735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report</w:t>
      </w:r>
    </w:p>
    <w:p w14:paraId="7098492F" w14:textId="77777777" w:rsidR="00F73598" w:rsidRPr="00F73598" w:rsidRDefault="00F73598" w:rsidP="00F73598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735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The </w:t>
      </w:r>
      <w:r w:rsidRPr="00F73598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BAL-001-TRE-2 PFR Responsibility Exclusion Process </w:t>
      </w:r>
      <w:r w:rsidRPr="00F735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document is posted on </w:t>
      </w:r>
      <w:hyperlink r:id="rId7" w:history="1">
        <w:r w:rsidRPr="00F73598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 xml:space="preserve">Compliance in ERCOT </w:t>
        </w:r>
      </w:hyperlink>
      <w:r w:rsidRPr="00F735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site.</w:t>
      </w:r>
    </w:p>
    <w:p w14:paraId="42399122" w14:textId="22F3E57F" w:rsidR="00A52D6C" w:rsidRPr="00A52D6C" w:rsidRDefault="009516FF" w:rsidP="00A52D6C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ERCOT would like to evaluate the effectiveness of this process before making any further changes</w:t>
      </w:r>
      <w:r w:rsidR="00AC5E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59432464" w14:textId="7D83BEBF" w:rsidR="00AC5E78" w:rsidRPr="00A52D6C" w:rsidRDefault="00A52D6C" w:rsidP="00A52D6C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52D6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Results of NERC IBR Alert on Model Quality  </w:t>
      </w:r>
    </w:p>
    <w:p w14:paraId="363FD0B2" w14:textId="728A6F1C" w:rsidR="009516FF" w:rsidRDefault="00093D07" w:rsidP="009516FF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The purpose</w:t>
      </w:r>
      <w:r w:rsidR="00FB609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was to gather dynamic modeling information from</w:t>
      </w:r>
      <w:r w:rsidR="00FB6095" w:rsidRPr="00673CF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FB6095" w:rsidRPr="00673CF8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all</w:t>
      </w:r>
      <w:r w:rsidR="00FB609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BPS-connected IBRs</w:t>
      </w:r>
      <w:r w:rsidR="00673CF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as well as transmission planners and planning coordinators. </w:t>
      </w:r>
      <w:r w:rsidR="00FB609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782FAB6" w14:textId="330A2AF2" w:rsidR="00673CF8" w:rsidRDefault="00BA3285" w:rsidP="009516FF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TRE presented a great </w:t>
      </w:r>
      <w:r w:rsidR="00093D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breakdown</w:t>
      </w:r>
      <w:r w:rsidR="001A4A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summary of ERCOT region, </w:t>
      </w:r>
      <w:r w:rsidR="0066241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see the slides</w:t>
      </w:r>
    </w:p>
    <w:p w14:paraId="6709B3CF" w14:textId="5247975E" w:rsidR="00662410" w:rsidRDefault="00662410" w:rsidP="009516FF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Key takeaways</w:t>
      </w:r>
    </w:p>
    <w:p w14:paraId="11DE154F" w14:textId="2DE7775A" w:rsidR="00662410" w:rsidRDefault="00662410" w:rsidP="009516FF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The utilization of IBT capability for voltage/frequency/protection needs to </w:t>
      </w:r>
      <w:r w:rsidR="0032031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be further evaluated (currently primarily not set at maximum capability)</w:t>
      </w:r>
    </w:p>
    <w:p w14:paraId="0F005522" w14:textId="0A0C5EE9" w:rsidR="00320310" w:rsidRDefault="00935C50" w:rsidP="009516FF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As-left control settings </w:t>
      </w:r>
      <w:r w:rsidR="004A11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do not match models for majority of plants (</w:t>
      </w:r>
      <w:r w:rsidR="008A30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67-90% of IBRs, varies by parameter) and need to be improved.</w:t>
      </w:r>
    </w:p>
    <w:p w14:paraId="7E26BAE3" w14:textId="762C75B2" w:rsidR="008A30CC" w:rsidRDefault="00D213F7" w:rsidP="009516FF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TRE also provided an update on NERC Milestone 2 and 3 following up on FERC Order 901, see the slides</w:t>
      </w:r>
      <w:r w:rsidR="00A66D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and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2B01CEE" w14:textId="7E19F80C" w:rsidR="00A66D9C" w:rsidRDefault="00A66D9C" w:rsidP="009516FF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Status of SAR-013</w:t>
      </w:r>
      <w:r w:rsidR="007455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BAL-001-TRE-2 revisions to</w:t>
      </w:r>
    </w:p>
    <w:p w14:paraId="5A710106" w14:textId="4076E8F5" w:rsidR="00745555" w:rsidRDefault="00745555" w:rsidP="009516FF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Provide widening of generator governor deadband </w:t>
      </w:r>
    </w:p>
    <w:p w14:paraId="561BA92D" w14:textId="077777C5" w:rsidR="00745555" w:rsidRDefault="00745555" w:rsidP="009516FF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Clarify roles of various stakeholders</w:t>
      </w:r>
    </w:p>
    <w:p w14:paraId="14FBAD42" w14:textId="0A4C8D4F" w:rsidR="00745555" w:rsidRDefault="008572D4" w:rsidP="009516FF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Define PFR requirements for ESRs </w:t>
      </w:r>
    </w:p>
    <w:p w14:paraId="62630166" w14:textId="2B0E9188" w:rsidR="008572D4" w:rsidRPr="009516FF" w:rsidRDefault="008572D4" w:rsidP="009516FF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SDT is formed in December and starting work on the revision in February. </w:t>
      </w:r>
    </w:p>
    <w:sectPr w:rsidR="008572D4" w:rsidRPr="00951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95BC2"/>
    <w:multiLevelType w:val="hybridMultilevel"/>
    <w:tmpl w:val="D4E4E48E"/>
    <w:lvl w:ilvl="0" w:tplc="BE602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EB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C1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0A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6D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67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8A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E0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6C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4D7556"/>
    <w:multiLevelType w:val="hybridMultilevel"/>
    <w:tmpl w:val="F000E15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7279E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1484D"/>
    <w:multiLevelType w:val="hybridMultilevel"/>
    <w:tmpl w:val="255C8BFA"/>
    <w:lvl w:ilvl="0" w:tplc="19961482"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064A0"/>
    <w:multiLevelType w:val="hybridMultilevel"/>
    <w:tmpl w:val="2E32A09A"/>
    <w:lvl w:ilvl="0" w:tplc="C7382F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4E2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E8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3A42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86A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AB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C1D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B6BF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F7726"/>
    <w:multiLevelType w:val="hybridMultilevel"/>
    <w:tmpl w:val="8DC2DF4C"/>
    <w:lvl w:ilvl="0" w:tplc="F68C06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1066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0B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28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0B6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AF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C31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E15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2D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D61AB"/>
    <w:multiLevelType w:val="hybridMultilevel"/>
    <w:tmpl w:val="2D8A8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8332D"/>
    <w:multiLevelType w:val="hybridMultilevel"/>
    <w:tmpl w:val="FC6418AA"/>
    <w:lvl w:ilvl="0" w:tplc="8014E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6E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96F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8E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E5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E2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01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EA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0A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F6A736F"/>
    <w:multiLevelType w:val="hybridMultilevel"/>
    <w:tmpl w:val="6D749D86"/>
    <w:lvl w:ilvl="0" w:tplc="BB2AA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C1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D65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242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8B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CF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28F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8A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254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E57AEB"/>
    <w:multiLevelType w:val="hybridMultilevel"/>
    <w:tmpl w:val="A0C63C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C51E2"/>
    <w:multiLevelType w:val="hybridMultilevel"/>
    <w:tmpl w:val="0BE21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1345">
    <w:abstractNumId w:val="5"/>
  </w:num>
  <w:num w:numId="2" w16cid:durableId="443354048">
    <w:abstractNumId w:val="9"/>
  </w:num>
  <w:num w:numId="3" w16cid:durableId="327945492">
    <w:abstractNumId w:val="3"/>
  </w:num>
  <w:num w:numId="4" w16cid:durableId="1254169350">
    <w:abstractNumId w:val="8"/>
  </w:num>
  <w:num w:numId="5" w16cid:durableId="726223235">
    <w:abstractNumId w:val="4"/>
  </w:num>
  <w:num w:numId="6" w16cid:durableId="1418747488">
    <w:abstractNumId w:val="0"/>
  </w:num>
  <w:num w:numId="7" w16cid:durableId="163984290">
    <w:abstractNumId w:val="7"/>
  </w:num>
  <w:num w:numId="8" w16cid:durableId="630133820">
    <w:abstractNumId w:val="1"/>
  </w:num>
  <w:num w:numId="9" w16cid:durableId="1881697641">
    <w:abstractNumId w:val="2"/>
  </w:num>
  <w:num w:numId="10" w16cid:durableId="3539183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AF"/>
    <w:rsid w:val="00001BED"/>
    <w:rsid w:val="00002EE8"/>
    <w:rsid w:val="0000317D"/>
    <w:rsid w:val="00003FB9"/>
    <w:rsid w:val="000072F8"/>
    <w:rsid w:val="00010054"/>
    <w:rsid w:val="00022971"/>
    <w:rsid w:val="000249C4"/>
    <w:rsid w:val="000348A7"/>
    <w:rsid w:val="00041F89"/>
    <w:rsid w:val="000436D6"/>
    <w:rsid w:val="00044BA1"/>
    <w:rsid w:val="00050234"/>
    <w:rsid w:val="00054EC5"/>
    <w:rsid w:val="00055558"/>
    <w:rsid w:val="000600D2"/>
    <w:rsid w:val="000601BA"/>
    <w:rsid w:val="00064BE5"/>
    <w:rsid w:val="000674CA"/>
    <w:rsid w:val="00070DAB"/>
    <w:rsid w:val="00073413"/>
    <w:rsid w:val="00084FA8"/>
    <w:rsid w:val="000903BA"/>
    <w:rsid w:val="000927CD"/>
    <w:rsid w:val="00092835"/>
    <w:rsid w:val="000934F8"/>
    <w:rsid w:val="00093D07"/>
    <w:rsid w:val="000955CB"/>
    <w:rsid w:val="000A2E37"/>
    <w:rsid w:val="000A3CA4"/>
    <w:rsid w:val="000B388D"/>
    <w:rsid w:val="000C42C3"/>
    <w:rsid w:val="000D30B9"/>
    <w:rsid w:val="000D5B42"/>
    <w:rsid w:val="000D6AE4"/>
    <w:rsid w:val="000D6FB8"/>
    <w:rsid w:val="000D7D01"/>
    <w:rsid w:val="000E111F"/>
    <w:rsid w:val="000E49C4"/>
    <w:rsid w:val="0010035B"/>
    <w:rsid w:val="0010340F"/>
    <w:rsid w:val="00106AB4"/>
    <w:rsid w:val="00110420"/>
    <w:rsid w:val="001138B3"/>
    <w:rsid w:val="0011720B"/>
    <w:rsid w:val="001258BD"/>
    <w:rsid w:val="00141E54"/>
    <w:rsid w:val="00143F97"/>
    <w:rsid w:val="001467C3"/>
    <w:rsid w:val="0015686E"/>
    <w:rsid w:val="00163370"/>
    <w:rsid w:val="00172AEF"/>
    <w:rsid w:val="00175CA5"/>
    <w:rsid w:val="0018295E"/>
    <w:rsid w:val="00183B72"/>
    <w:rsid w:val="00195A6B"/>
    <w:rsid w:val="0019724B"/>
    <w:rsid w:val="001A4A75"/>
    <w:rsid w:val="001A4FB6"/>
    <w:rsid w:val="001B00A6"/>
    <w:rsid w:val="001B485C"/>
    <w:rsid w:val="001B564D"/>
    <w:rsid w:val="001D2F2C"/>
    <w:rsid w:val="001E38E4"/>
    <w:rsid w:val="001F028B"/>
    <w:rsid w:val="001F1CEA"/>
    <w:rsid w:val="001F6E46"/>
    <w:rsid w:val="002055D1"/>
    <w:rsid w:val="00212937"/>
    <w:rsid w:val="00226DC7"/>
    <w:rsid w:val="00234DAF"/>
    <w:rsid w:val="00237EA2"/>
    <w:rsid w:val="00245AE3"/>
    <w:rsid w:val="00247AFD"/>
    <w:rsid w:val="00270850"/>
    <w:rsid w:val="0027107D"/>
    <w:rsid w:val="00272FAE"/>
    <w:rsid w:val="00276E0B"/>
    <w:rsid w:val="002772E3"/>
    <w:rsid w:val="002827C4"/>
    <w:rsid w:val="00284015"/>
    <w:rsid w:val="00285204"/>
    <w:rsid w:val="00291C74"/>
    <w:rsid w:val="00293374"/>
    <w:rsid w:val="00297365"/>
    <w:rsid w:val="002A7A50"/>
    <w:rsid w:val="002B02F6"/>
    <w:rsid w:val="002D1B4A"/>
    <w:rsid w:val="002D4213"/>
    <w:rsid w:val="002D5622"/>
    <w:rsid w:val="002E5C82"/>
    <w:rsid w:val="002F4BBA"/>
    <w:rsid w:val="00300EAF"/>
    <w:rsid w:val="00301F9B"/>
    <w:rsid w:val="00302C51"/>
    <w:rsid w:val="00320310"/>
    <w:rsid w:val="0032395D"/>
    <w:rsid w:val="0032785B"/>
    <w:rsid w:val="00330C50"/>
    <w:rsid w:val="00331BB1"/>
    <w:rsid w:val="00333835"/>
    <w:rsid w:val="003338B4"/>
    <w:rsid w:val="003401B1"/>
    <w:rsid w:val="00350E20"/>
    <w:rsid w:val="00360584"/>
    <w:rsid w:val="00360C6D"/>
    <w:rsid w:val="00363443"/>
    <w:rsid w:val="00370DF7"/>
    <w:rsid w:val="00372882"/>
    <w:rsid w:val="0037393A"/>
    <w:rsid w:val="003756F7"/>
    <w:rsid w:val="003872BA"/>
    <w:rsid w:val="00391C1D"/>
    <w:rsid w:val="003A1C0A"/>
    <w:rsid w:val="003A2B15"/>
    <w:rsid w:val="003A6B6F"/>
    <w:rsid w:val="003A7016"/>
    <w:rsid w:val="003A7281"/>
    <w:rsid w:val="003B3D91"/>
    <w:rsid w:val="003B4226"/>
    <w:rsid w:val="003B6AAA"/>
    <w:rsid w:val="003C041D"/>
    <w:rsid w:val="003C5F98"/>
    <w:rsid w:val="003D2579"/>
    <w:rsid w:val="003D2A34"/>
    <w:rsid w:val="003D5BD3"/>
    <w:rsid w:val="003E0170"/>
    <w:rsid w:val="003E303A"/>
    <w:rsid w:val="003E3AAF"/>
    <w:rsid w:val="003E7B76"/>
    <w:rsid w:val="004027C3"/>
    <w:rsid w:val="0040572D"/>
    <w:rsid w:val="00410AD0"/>
    <w:rsid w:val="004126DE"/>
    <w:rsid w:val="004138B9"/>
    <w:rsid w:val="00413929"/>
    <w:rsid w:val="004201AD"/>
    <w:rsid w:val="0043147A"/>
    <w:rsid w:val="004318D9"/>
    <w:rsid w:val="00431A1C"/>
    <w:rsid w:val="004331B7"/>
    <w:rsid w:val="00454B01"/>
    <w:rsid w:val="00456079"/>
    <w:rsid w:val="00457947"/>
    <w:rsid w:val="00461FAF"/>
    <w:rsid w:val="00476EC4"/>
    <w:rsid w:val="004A11FB"/>
    <w:rsid w:val="004A6EB2"/>
    <w:rsid w:val="004B7835"/>
    <w:rsid w:val="004C2591"/>
    <w:rsid w:val="004C38AB"/>
    <w:rsid w:val="004C3A84"/>
    <w:rsid w:val="004C3E2D"/>
    <w:rsid w:val="004D7BCC"/>
    <w:rsid w:val="004E1948"/>
    <w:rsid w:val="004E42AC"/>
    <w:rsid w:val="004F3CA7"/>
    <w:rsid w:val="004F69BA"/>
    <w:rsid w:val="00502037"/>
    <w:rsid w:val="0050327E"/>
    <w:rsid w:val="00505F14"/>
    <w:rsid w:val="00513F9C"/>
    <w:rsid w:val="005159D4"/>
    <w:rsid w:val="0053332C"/>
    <w:rsid w:val="00542196"/>
    <w:rsid w:val="00557AA5"/>
    <w:rsid w:val="00557BE3"/>
    <w:rsid w:val="005623B4"/>
    <w:rsid w:val="00564403"/>
    <w:rsid w:val="00564E8D"/>
    <w:rsid w:val="005655C2"/>
    <w:rsid w:val="00570607"/>
    <w:rsid w:val="00583640"/>
    <w:rsid w:val="005848CD"/>
    <w:rsid w:val="005931AE"/>
    <w:rsid w:val="005972F4"/>
    <w:rsid w:val="005A0653"/>
    <w:rsid w:val="005B1D88"/>
    <w:rsid w:val="005B517D"/>
    <w:rsid w:val="005B78D3"/>
    <w:rsid w:val="005B7D2C"/>
    <w:rsid w:val="005C7170"/>
    <w:rsid w:val="005D0502"/>
    <w:rsid w:val="005D4A9C"/>
    <w:rsid w:val="005E167E"/>
    <w:rsid w:val="005E2B72"/>
    <w:rsid w:val="005E4D68"/>
    <w:rsid w:val="005F3AF6"/>
    <w:rsid w:val="005F68AB"/>
    <w:rsid w:val="005F77BA"/>
    <w:rsid w:val="00607334"/>
    <w:rsid w:val="00627E3F"/>
    <w:rsid w:val="00637884"/>
    <w:rsid w:val="0064238A"/>
    <w:rsid w:val="00643BD2"/>
    <w:rsid w:val="00645E51"/>
    <w:rsid w:val="00646AFE"/>
    <w:rsid w:val="00651B56"/>
    <w:rsid w:val="00660D71"/>
    <w:rsid w:val="00662410"/>
    <w:rsid w:val="00662AB9"/>
    <w:rsid w:val="00671265"/>
    <w:rsid w:val="00673CF8"/>
    <w:rsid w:val="0068254E"/>
    <w:rsid w:val="00682882"/>
    <w:rsid w:val="006879B5"/>
    <w:rsid w:val="006A64E8"/>
    <w:rsid w:val="006A6AC7"/>
    <w:rsid w:val="006A6CCA"/>
    <w:rsid w:val="006B7300"/>
    <w:rsid w:val="006D006D"/>
    <w:rsid w:val="006D2155"/>
    <w:rsid w:val="006D62EB"/>
    <w:rsid w:val="006E0255"/>
    <w:rsid w:val="006F1AC3"/>
    <w:rsid w:val="006F4567"/>
    <w:rsid w:val="006F6AB4"/>
    <w:rsid w:val="006F6B92"/>
    <w:rsid w:val="007018F7"/>
    <w:rsid w:val="00702CAC"/>
    <w:rsid w:val="0070714C"/>
    <w:rsid w:val="00745555"/>
    <w:rsid w:val="0075087A"/>
    <w:rsid w:val="00751683"/>
    <w:rsid w:val="00753BD9"/>
    <w:rsid w:val="00757F50"/>
    <w:rsid w:val="007609F8"/>
    <w:rsid w:val="00765F96"/>
    <w:rsid w:val="00765F99"/>
    <w:rsid w:val="007723F4"/>
    <w:rsid w:val="00773D9B"/>
    <w:rsid w:val="00775427"/>
    <w:rsid w:val="00775834"/>
    <w:rsid w:val="00776742"/>
    <w:rsid w:val="00786097"/>
    <w:rsid w:val="00791851"/>
    <w:rsid w:val="00793976"/>
    <w:rsid w:val="00795733"/>
    <w:rsid w:val="00795968"/>
    <w:rsid w:val="0079628F"/>
    <w:rsid w:val="007B1122"/>
    <w:rsid w:val="007B4CF5"/>
    <w:rsid w:val="007B5892"/>
    <w:rsid w:val="007B6F7D"/>
    <w:rsid w:val="007C32A5"/>
    <w:rsid w:val="007D43DB"/>
    <w:rsid w:val="007D45AB"/>
    <w:rsid w:val="007E0B77"/>
    <w:rsid w:val="007E309F"/>
    <w:rsid w:val="007E3478"/>
    <w:rsid w:val="007E6DD1"/>
    <w:rsid w:val="007E73F5"/>
    <w:rsid w:val="007F099C"/>
    <w:rsid w:val="007F1368"/>
    <w:rsid w:val="007F4041"/>
    <w:rsid w:val="00806C03"/>
    <w:rsid w:val="00821DEC"/>
    <w:rsid w:val="00823314"/>
    <w:rsid w:val="00824879"/>
    <w:rsid w:val="0082779E"/>
    <w:rsid w:val="00831A3E"/>
    <w:rsid w:val="00833358"/>
    <w:rsid w:val="00833ECB"/>
    <w:rsid w:val="008365D5"/>
    <w:rsid w:val="00837910"/>
    <w:rsid w:val="00841E8D"/>
    <w:rsid w:val="0085396A"/>
    <w:rsid w:val="008554AD"/>
    <w:rsid w:val="00855671"/>
    <w:rsid w:val="008560A4"/>
    <w:rsid w:val="0085610F"/>
    <w:rsid w:val="008572D4"/>
    <w:rsid w:val="00864A8F"/>
    <w:rsid w:val="00873DAE"/>
    <w:rsid w:val="00880BFF"/>
    <w:rsid w:val="00891683"/>
    <w:rsid w:val="00894EEF"/>
    <w:rsid w:val="008A30CC"/>
    <w:rsid w:val="008A5B17"/>
    <w:rsid w:val="008B216F"/>
    <w:rsid w:val="008C0601"/>
    <w:rsid w:val="008C0C44"/>
    <w:rsid w:val="008C2FD5"/>
    <w:rsid w:val="008C48FA"/>
    <w:rsid w:val="008C4EE0"/>
    <w:rsid w:val="008D68C1"/>
    <w:rsid w:val="008F47A9"/>
    <w:rsid w:val="008F7062"/>
    <w:rsid w:val="00901535"/>
    <w:rsid w:val="00903BCF"/>
    <w:rsid w:val="00903CE3"/>
    <w:rsid w:val="009069AD"/>
    <w:rsid w:val="009070C1"/>
    <w:rsid w:val="00907421"/>
    <w:rsid w:val="0091795B"/>
    <w:rsid w:val="0092335B"/>
    <w:rsid w:val="00926DB3"/>
    <w:rsid w:val="00935C50"/>
    <w:rsid w:val="00935CFC"/>
    <w:rsid w:val="0093710C"/>
    <w:rsid w:val="00940A6A"/>
    <w:rsid w:val="009410EF"/>
    <w:rsid w:val="00945DD6"/>
    <w:rsid w:val="009516FF"/>
    <w:rsid w:val="0096252A"/>
    <w:rsid w:val="00964112"/>
    <w:rsid w:val="009647CA"/>
    <w:rsid w:val="0097499F"/>
    <w:rsid w:val="009759BC"/>
    <w:rsid w:val="00977860"/>
    <w:rsid w:val="00980A1F"/>
    <w:rsid w:val="009915BC"/>
    <w:rsid w:val="009951FA"/>
    <w:rsid w:val="0099683B"/>
    <w:rsid w:val="00996AA9"/>
    <w:rsid w:val="009A29E1"/>
    <w:rsid w:val="009A3ADA"/>
    <w:rsid w:val="009A7EAF"/>
    <w:rsid w:val="009B0176"/>
    <w:rsid w:val="009B079C"/>
    <w:rsid w:val="009B1EFC"/>
    <w:rsid w:val="009B2821"/>
    <w:rsid w:val="009B353D"/>
    <w:rsid w:val="009B6596"/>
    <w:rsid w:val="009C3312"/>
    <w:rsid w:val="009D2A46"/>
    <w:rsid w:val="009D4FC1"/>
    <w:rsid w:val="009E0DE0"/>
    <w:rsid w:val="009E1D6E"/>
    <w:rsid w:val="009E20F9"/>
    <w:rsid w:val="009F6F79"/>
    <w:rsid w:val="00A015C7"/>
    <w:rsid w:val="00A05F48"/>
    <w:rsid w:val="00A12B7B"/>
    <w:rsid w:val="00A214BA"/>
    <w:rsid w:val="00A22925"/>
    <w:rsid w:val="00A24BAA"/>
    <w:rsid w:val="00A25924"/>
    <w:rsid w:val="00A30977"/>
    <w:rsid w:val="00A30D90"/>
    <w:rsid w:val="00A30E9B"/>
    <w:rsid w:val="00A362F2"/>
    <w:rsid w:val="00A45B34"/>
    <w:rsid w:val="00A47E17"/>
    <w:rsid w:val="00A52D6C"/>
    <w:rsid w:val="00A563EA"/>
    <w:rsid w:val="00A613A6"/>
    <w:rsid w:val="00A6194F"/>
    <w:rsid w:val="00A61C90"/>
    <w:rsid w:val="00A63CE9"/>
    <w:rsid w:val="00A65F87"/>
    <w:rsid w:val="00A66D9C"/>
    <w:rsid w:val="00A72C45"/>
    <w:rsid w:val="00A74F63"/>
    <w:rsid w:val="00A77203"/>
    <w:rsid w:val="00A836A2"/>
    <w:rsid w:val="00AA24BA"/>
    <w:rsid w:val="00AA2CAC"/>
    <w:rsid w:val="00AA4EF1"/>
    <w:rsid w:val="00AA6E27"/>
    <w:rsid w:val="00AB07B5"/>
    <w:rsid w:val="00AC5E78"/>
    <w:rsid w:val="00AD10C2"/>
    <w:rsid w:val="00AD69AC"/>
    <w:rsid w:val="00AE163E"/>
    <w:rsid w:val="00AF04E5"/>
    <w:rsid w:val="00AF6EAA"/>
    <w:rsid w:val="00B014F6"/>
    <w:rsid w:val="00B021AF"/>
    <w:rsid w:val="00B27E0C"/>
    <w:rsid w:val="00B32A9F"/>
    <w:rsid w:val="00B34E38"/>
    <w:rsid w:val="00B35B8E"/>
    <w:rsid w:val="00B4067B"/>
    <w:rsid w:val="00B41A95"/>
    <w:rsid w:val="00B43007"/>
    <w:rsid w:val="00B459F5"/>
    <w:rsid w:val="00B45C83"/>
    <w:rsid w:val="00B54134"/>
    <w:rsid w:val="00B54690"/>
    <w:rsid w:val="00B55CF2"/>
    <w:rsid w:val="00B61EDD"/>
    <w:rsid w:val="00B67DFF"/>
    <w:rsid w:val="00B76981"/>
    <w:rsid w:val="00B85094"/>
    <w:rsid w:val="00B90C36"/>
    <w:rsid w:val="00B92718"/>
    <w:rsid w:val="00B94695"/>
    <w:rsid w:val="00B96823"/>
    <w:rsid w:val="00BA130B"/>
    <w:rsid w:val="00BA179F"/>
    <w:rsid w:val="00BA3285"/>
    <w:rsid w:val="00BA3593"/>
    <w:rsid w:val="00BA4FE6"/>
    <w:rsid w:val="00BA595A"/>
    <w:rsid w:val="00BB2070"/>
    <w:rsid w:val="00BB570A"/>
    <w:rsid w:val="00BB5D37"/>
    <w:rsid w:val="00BB5E5F"/>
    <w:rsid w:val="00BD1D81"/>
    <w:rsid w:val="00BD37A7"/>
    <w:rsid w:val="00BD68D5"/>
    <w:rsid w:val="00BE4F32"/>
    <w:rsid w:val="00BE5B28"/>
    <w:rsid w:val="00BE7795"/>
    <w:rsid w:val="00BF13C1"/>
    <w:rsid w:val="00BF446A"/>
    <w:rsid w:val="00BF6F62"/>
    <w:rsid w:val="00C00148"/>
    <w:rsid w:val="00C028E3"/>
    <w:rsid w:val="00C230D8"/>
    <w:rsid w:val="00C261FA"/>
    <w:rsid w:val="00C330F6"/>
    <w:rsid w:val="00C410CD"/>
    <w:rsid w:val="00C43323"/>
    <w:rsid w:val="00C6154D"/>
    <w:rsid w:val="00C638CF"/>
    <w:rsid w:val="00C738D5"/>
    <w:rsid w:val="00C772C8"/>
    <w:rsid w:val="00C8402F"/>
    <w:rsid w:val="00C950D2"/>
    <w:rsid w:val="00C96ACB"/>
    <w:rsid w:val="00C96FB7"/>
    <w:rsid w:val="00C97F40"/>
    <w:rsid w:val="00CA0534"/>
    <w:rsid w:val="00CA2CD3"/>
    <w:rsid w:val="00CA6A1A"/>
    <w:rsid w:val="00CB33D2"/>
    <w:rsid w:val="00CB3A32"/>
    <w:rsid w:val="00CB5DF9"/>
    <w:rsid w:val="00CD2DAD"/>
    <w:rsid w:val="00CD6F77"/>
    <w:rsid w:val="00CE02E5"/>
    <w:rsid w:val="00CE79D3"/>
    <w:rsid w:val="00CF0DC3"/>
    <w:rsid w:val="00CF6EBB"/>
    <w:rsid w:val="00D00AA8"/>
    <w:rsid w:val="00D04F82"/>
    <w:rsid w:val="00D0617E"/>
    <w:rsid w:val="00D14FFD"/>
    <w:rsid w:val="00D15CA6"/>
    <w:rsid w:val="00D213F7"/>
    <w:rsid w:val="00D21778"/>
    <w:rsid w:val="00D25DD0"/>
    <w:rsid w:val="00D31B07"/>
    <w:rsid w:val="00D353B3"/>
    <w:rsid w:val="00D502D1"/>
    <w:rsid w:val="00D5052C"/>
    <w:rsid w:val="00D612F2"/>
    <w:rsid w:val="00D64271"/>
    <w:rsid w:val="00D651E1"/>
    <w:rsid w:val="00D71CCE"/>
    <w:rsid w:val="00D76E60"/>
    <w:rsid w:val="00D771DD"/>
    <w:rsid w:val="00D848D7"/>
    <w:rsid w:val="00D90BE5"/>
    <w:rsid w:val="00D93C2C"/>
    <w:rsid w:val="00D97238"/>
    <w:rsid w:val="00D976D9"/>
    <w:rsid w:val="00DA17FB"/>
    <w:rsid w:val="00DA2BAE"/>
    <w:rsid w:val="00DA5BBB"/>
    <w:rsid w:val="00DA602D"/>
    <w:rsid w:val="00DB183F"/>
    <w:rsid w:val="00DC2414"/>
    <w:rsid w:val="00DC2965"/>
    <w:rsid w:val="00DE00B5"/>
    <w:rsid w:val="00DE67BA"/>
    <w:rsid w:val="00DF3325"/>
    <w:rsid w:val="00DF6244"/>
    <w:rsid w:val="00E00CD7"/>
    <w:rsid w:val="00E024BC"/>
    <w:rsid w:val="00E057C9"/>
    <w:rsid w:val="00E05BED"/>
    <w:rsid w:val="00E11590"/>
    <w:rsid w:val="00E15CDF"/>
    <w:rsid w:val="00E17742"/>
    <w:rsid w:val="00E17D63"/>
    <w:rsid w:val="00E23E9C"/>
    <w:rsid w:val="00E27B68"/>
    <w:rsid w:val="00E30E84"/>
    <w:rsid w:val="00E502D6"/>
    <w:rsid w:val="00E509DD"/>
    <w:rsid w:val="00E530B4"/>
    <w:rsid w:val="00E618A8"/>
    <w:rsid w:val="00E65188"/>
    <w:rsid w:val="00E74377"/>
    <w:rsid w:val="00E8084A"/>
    <w:rsid w:val="00E9203E"/>
    <w:rsid w:val="00EA4443"/>
    <w:rsid w:val="00EA4C2A"/>
    <w:rsid w:val="00EA5547"/>
    <w:rsid w:val="00EA61C7"/>
    <w:rsid w:val="00EA7FB9"/>
    <w:rsid w:val="00EB24DF"/>
    <w:rsid w:val="00EB4F6E"/>
    <w:rsid w:val="00EB6472"/>
    <w:rsid w:val="00EC5E81"/>
    <w:rsid w:val="00ED4824"/>
    <w:rsid w:val="00EE02C2"/>
    <w:rsid w:val="00EE5E40"/>
    <w:rsid w:val="00EF02C4"/>
    <w:rsid w:val="00EF1F19"/>
    <w:rsid w:val="00EF6046"/>
    <w:rsid w:val="00EF7174"/>
    <w:rsid w:val="00F03B2B"/>
    <w:rsid w:val="00F10AF1"/>
    <w:rsid w:val="00F23E56"/>
    <w:rsid w:val="00F30E77"/>
    <w:rsid w:val="00F33A3B"/>
    <w:rsid w:val="00F379F1"/>
    <w:rsid w:val="00F400D9"/>
    <w:rsid w:val="00F515F1"/>
    <w:rsid w:val="00F5283B"/>
    <w:rsid w:val="00F55217"/>
    <w:rsid w:val="00F63FF4"/>
    <w:rsid w:val="00F71D6D"/>
    <w:rsid w:val="00F72E17"/>
    <w:rsid w:val="00F73598"/>
    <w:rsid w:val="00F8288E"/>
    <w:rsid w:val="00F832D7"/>
    <w:rsid w:val="00F91950"/>
    <w:rsid w:val="00F92B21"/>
    <w:rsid w:val="00F94CB6"/>
    <w:rsid w:val="00F95432"/>
    <w:rsid w:val="00FA1078"/>
    <w:rsid w:val="00FA3CB5"/>
    <w:rsid w:val="00FA6770"/>
    <w:rsid w:val="00FB1419"/>
    <w:rsid w:val="00FB3D99"/>
    <w:rsid w:val="00FB4B19"/>
    <w:rsid w:val="00FB6095"/>
    <w:rsid w:val="00FC5D22"/>
    <w:rsid w:val="00FD1BFE"/>
    <w:rsid w:val="00FD3D7D"/>
    <w:rsid w:val="00FE5A3C"/>
    <w:rsid w:val="00FF102F"/>
    <w:rsid w:val="00FF275E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2D0E"/>
  <w15:chartTrackingRefBased/>
  <w15:docId w15:val="{F470AFFD-CB1F-452D-BA79-7E3A0B27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E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E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E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E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E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E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E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E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E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E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E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11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1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7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F5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0C6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9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6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3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95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1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0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10220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428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compli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.ercot.com/secure/data-products/group-reports/pdcwg?id=NP12-262-M" TargetMode="External"/><Relationship Id="rId5" Type="http://schemas.openxmlformats.org/officeDocument/2006/relationships/hyperlink" Target="https://www.ercot.com/calendar/01172025-IBRWG-Meeting-_-Webe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Matevosyan</dc:creator>
  <cp:keywords/>
  <dc:description/>
  <cp:lastModifiedBy>Julia Matevosyan</cp:lastModifiedBy>
  <cp:revision>39</cp:revision>
  <dcterms:created xsi:type="dcterms:W3CDTF">2025-02-03T14:46:00Z</dcterms:created>
  <dcterms:modified xsi:type="dcterms:W3CDTF">2025-02-03T16:00:00Z</dcterms:modified>
</cp:coreProperties>
</file>