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39B0F498" w:rsidR="00C90651" w:rsidRDefault="00414F26" w:rsidP="00C90651">
      <w:pPr>
        <w:widowControl w:val="0"/>
        <w:spacing w:before="240"/>
        <w:jc w:val="right"/>
        <w:rPr>
          <w:rFonts w:cs="Arial"/>
          <w:b/>
          <w:bCs/>
          <w:color w:val="5B6770"/>
          <w:kern w:val="32"/>
        </w:rPr>
      </w:pPr>
      <w:r>
        <w:rPr>
          <w:rFonts w:cs="Arial"/>
          <w:b/>
          <w:bCs/>
          <w:color w:val="5B6770"/>
          <w:kern w:val="32"/>
        </w:rPr>
        <w:t>April</w:t>
      </w:r>
      <w:r w:rsidR="004A4678">
        <w:rPr>
          <w:rFonts w:cs="Arial"/>
          <w:b/>
          <w:bCs/>
          <w:color w:val="5B6770"/>
          <w:kern w:val="32"/>
        </w:rPr>
        <w:t xml:space="preserve"> </w:t>
      </w:r>
      <w:r w:rsidR="00C90651" w:rsidRPr="00C90651">
        <w:rPr>
          <w:rFonts w:cs="Arial"/>
          <w:b/>
          <w:bCs/>
          <w:color w:val="5B6770"/>
          <w:kern w:val="32"/>
        </w:rPr>
        <w:t xml:space="preserve">1, </w:t>
      </w:r>
      <w:r w:rsidR="003703A6">
        <w:rPr>
          <w:rFonts w:cs="Arial"/>
          <w:b/>
          <w:bCs/>
          <w:color w:val="5B6770"/>
          <w:kern w:val="32"/>
        </w:rPr>
        <w:t>202</w:t>
      </w:r>
      <w:r>
        <w:rPr>
          <w:rFonts w:cs="Arial"/>
          <w:b/>
          <w:bCs/>
          <w:color w:val="5B6770"/>
          <w:kern w:val="32"/>
        </w:rPr>
        <w:t>5</w:t>
      </w:r>
      <w:r w:rsidR="003703A6" w:rsidRPr="00C90651">
        <w:rPr>
          <w:rFonts w:cs="Arial"/>
          <w:b/>
          <w:bCs/>
          <w:color w:val="5B6770"/>
          <w:kern w:val="32"/>
        </w:rPr>
        <w:t xml:space="preserve"> </w:t>
      </w:r>
      <w:r w:rsidR="00C90651" w:rsidRPr="00C90651">
        <w:rPr>
          <w:rFonts w:cs="Arial"/>
          <w:b/>
          <w:bCs/>
          <w:color w:val="5B6770"/>
          <w:kern w:val="32"/>
        </w:rPr>
        <w:t xml:space="preserve">through </w:t>
      </w:r>
      <w:r w:rsidR="0027545F">
        <w:rPr>
          <w:rFonts w:cs="Arial"/>
          <w:b/>
          <w:bCs/>
          <w:color w:val="5B6770"/>
          <w:kern w:val="32"/>
        </w:rPr>
        <w:t>Ma</w:t>
      </w:r>
      <w:r>
        <w:rPr>
          <w:rFonts w:cs="Arial"/>
          <w:b/>
          <w:bCs/>
          <w:color w:val="5B6770"/>
          <w:kern w:val="32"/>
        </w:rPr>
        <w:t>y</w:t>
      </w:r>
      <w:r w:rsidR="0027545F">
        <w:rPr>
          <w:rFonts w:cs="Arial"/>
          <w:b/>
          <w:bCs/>
          <w:color w:val="5B6770"/>
          <w:kern w:val="32"/>
        </w:rPr>
        <w:t xml:space="preserve"> 31</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17A3D47E" w:rsidR="005374D1" w:rsidRDefault="00414F26" w:rsidP="00294D4A">
            <w:pPr>
              <w:pStyle w:val="Header"/>
              <w:spacing w:before="40" w:after="40"/>
              <w:rPr>
                <w:rFonts w:cs="Arial"/>
                <w:b/>
                <w:iCs/>
                <w:color w:val="5B9BD5"/>
                <w:sz w:val="18"/>
              </w:rPr>
            </w:pPr>
            <w:r>
              <w:rPr>
                <w:rFonts w:cs="Arial"/>
                <w:b/>
                <w:iCs/>
                <w:color w:val="5B9BD5"/>
                <w:sz w:val="18"/>
              </w:rPr>
              <w:t>January 17</w:t>
            </w:r>
            <w:r w:rsidR="0027545F">
              <w:rPr>
                <w:rFonts w:cs="Arial"/>
                <w:b/>
                <w:iCs/>
                <w:color w:val="5B9BD5"/>
                <w:sz w:val="18"/>
              </w:rPr>
              <w:t>,</w:t>
            </w:r>
            <w:r w:rsidR="00E24C4C">
              <w:rPr>
                <w:rFonts w:cs="Arial"/>
                <w:b/>
                <w:iCs/>
                <w:color w:val="5B9BD5"/>
                <w:sz w:val="18"/>
              </w:rPr>
              <w:t xml:space="preserve"> 202</w:t>
            </w:r>
            <w:r>
              <w:rPr>
                <w:rFonts w:cs="Arial"/>
                <w:b/>
                <w:iCs/>
                <w:color w:val="5B9BD5"/>
                <w:sz w:val="18"/>
              </w:rPr>
              <w:t>5</w:t>
            </w:r>
          </w:p>
        </w:tc>
      </w:tr>
      <w:tr w:rsidR="008B5B38" w:rsidRPr="00646598" w14:paraId="155FCEA0" w14:textId="77777777" w:rsidTr="00C47227">
        <w:tc>
          <w:tcPr>
            <w:tcW w:w="2500" w:type="pct"/>
            <w:shd w:val="clear" w:color="auto" w:fill="FFFFFF"/>
            <w:vAlign w:val="center"/>
          </w:tcPr>
          <w:p w14:paraId="37FD7980" w14:textId="640EEDA5" w:rsidR="008B5B38" w:rsidRPr="003D01AA" w:rsidRDefault="00661895" w:rsidP="008B5B38">
            <w:pPr>
              <w:pStyle w:val="Header"/>
              <w:spacing w:before="40" w:after="40"/>
              <w:rPr>
                <w:rFonts w:cs="Arial"/>
                <w:b/>
                <w:iCs/>
                <w:color w:val="5B9BD5"/>
                <w:sz w:val="18"/>
                <w:szCs w:val="16"/>
              </w:rPr>
            </w:pPr>
            <w:r>
              <w:rPr>
                <w:rFonts w:cs="Arial"/>
                <w:b/>
                <w:iCs/>
                <w:color w:val="5B9BD5"/>
                <w:sz w:val="18"/>
                <w:szCs w:val="16"/>
              </w:rPr>
              <w:t>Final</w:t>
            </w:r>
          </w:p>
        </w:tc>
        <w:tc>
          <w:tcPr>
            <w:tcW w:w="2500" w:type="pct"/>
            <w:shd w:val="clear" w:color="auto" w:fill="FFFFFF"/>
            <w:vAlign w:val="center"/>
          </w:tcPr>
          <w:p w14:paraId="122AF759" w14:textId="2D53EDD7" w:rsidR="008B5B38" w:rsidRDefault="00414F26" w:rsidP="005C7AF3">
            <w:pPr>
              <w:pStyle w:val="Header"/>
              <w:spacing w:before="40" w:after="40"/>
              <w:rPr>
                <w:rFonts w:cs="Arial"/>
                <w:b/>
                <w:iCs/>
                <w:color w:val="5B9BD5"/>
                <w:sz w:val="18"/>
              </w:rPr>
            </w:pPr>
            <w:r>
              <w:rPr>
                <w:rFonts w:cs="Arial"/>
                <w:b/>
                <w:iCs/>
                <w:color w:val="5B9BD5"/>
                <w:sz w:val="18"/>
              </w:rPr>
              <w:t>January 31</w:t>
            </w:r>
            <w:r w:rsidR="00661895">
              <w:rPr>
                <w:rFonts w:cs="Arial"/>
                <w:b/>
                <w:iCs/>
                <w:color w:val="5B9BD5"/>
                <w:sz w:val="18"/>
              </w:rPr>
              <w:t>, 202</w:t>
            </w:r>
            <w:r>
              <w:rPr>
                <w:rFonts w:cs="Arial"/>
                <w:b/>
                <w:iCs/>
                <w:color w:val="5B9BD5"/>
                <w:sz w:val="18"/>
              </w:rPr>
              <w:t>5</w:t>
            </w: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119970E2" w14:textId="6AE1617E"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710AD8">
          <w:rPr>
            <w:webHidden/>
          </w:rPr>
          <w:t>3</w:t>
        </w:r>
        <w:r w:rsidR="0022073F">
          <w:rPr>
            <w:webHidden/>
          </w:rPr>
          <w:fldChar w:fldCharType="end"/>
        </w:r>
      </w:hyperlink>
    </w:p>
    <w:p w14:paraId="468C49AB" w14:textId="5D871BFC"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0022073F" w:rsidRPr="00D354BD">
          <w:rPr>
            <w:rStyle w:val="Hyperlink"/>
          </w:rPr>
          <w:t>Document Description and Change Control Process</w:t>
        </w:r>
        <w:r w:rsidR="0022073F">
          <w:rPr>
            <w:webHidden/>
          </w:rPr>
          <w:tab/>
        </w:r>
        <w:r w:rsidR="0022073F">
          <w:rPr>
            <w:webHidden/>
          </w:rPr>
          <w:fldChar w:fldCharType="begin"/>
        </w:r>
        <w:r w:rsidR="0022073F">
          <w:rPr>
            <w:webHidden/>
          </w:rPr>
          <w:instrText xml:space="preserve"> PAGEREF _Toc175731239 \h </w:instrText>
        </w:r>
        <w:r w:rsidR="0022073F">
          <w:rPr>
            <w:webHidden/>
          </w:rPr>
        </w:r>
        <w:r w:rsidR="0022073F">
          <w:rPr>
            <w:webHidden/>
          </w:rPr>
          <w:fldChar w:fldCharType="separate"/>
        </w:r>
        <w:r w:rsidR="00710AD8">
          <w:rPr>
            <w:webHidden/>
          </w:rPr>
          <w:t>4</w:t>
        </w:r>
        <w:r w:rsidR="0022073F">
          <w:rPr>
            <w:webHidden/>
          </w:rPr>
          <w:fldChar w:fldCharType="end"/>
        </w:r>
      </w:hyperlink>
    </w:p>
    <w:p w14:paraId="0EF30E79" w14:textId="52CFE3A3"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0022073F" w:rsidRPr="00D354BD">
          <w:rPr>
            <w:rStyle w:val="Hyperlink"/>
          </w:rPr>
          <w:t>Overview and Description of Service</w:t>
        </w:r>
        <w:r w:rsidR="0022073F">
          <w:rPr>
            <w:webHidden/>
          </w:rPr>
          <w:tab/>
        </w:r>
        <w:r w:rsidR="0022073F">
          <w:rPr>
            <w:webHidden/>
          </w:rPr>
          <w:fldChar w:fldCharType="begin"/>
        </w:r>
        <w:r w:rsidR="0022073F">
          <w:rPr>
            <w:webHidden/>
          </w:rPr>
          <w:instrText xml:space="preserve"> PAGEREF _Toc175731240 \h </w:instrText>
        </w:r>
        <w:r w:rsidR="0022073F">
          <w:rPr>
            <w:webHidden/>
          </w:rPr>
        </w:r>
        <w:r w:rsidR="0022073F">
          <w:rPr>
            <w:webHidden/>
          </w:rPr>
          <w:fldChar w:fldCharType="separate"/>
        </w:r>
        <w:r w:rsidR="00710AD8">
          <w:rPr>
            <w:webHidden/>
          </w:rPr>
          <w:t>4</w:t>
        </w:r>
        <w:r w:rsidR="0022073F">
          <w:rPr>
            <w:webHidden/>
          </w:rPr>
          <w:fldChar w:fldCharType="end"/>
        </w:r>
      </w:hyperlink>
    </w:p>
    <w:p w14:paraId="1D7EFA45" w14:textId="5CE2B188"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0022073F" w:rsidRPr="00D354BD">
          <w:rPr>
            <w:rStyle w:val="Hyperlink"/>
          </w:rPr>
          <w:t>ERS Resource Identification (ERID)</w:t>
        </w:r>
        <w:r w:rsidR="0022073F">
          <w:rPr>
            <w:webHidden/>
          </w:rPr>
          <w:tab/>
        </w:r>
        <w:r w:rsidR="0022073F">
          <w:rPr>
            <w:webHidden/>
          </w:rPr>
          <w:fldChar w:fldCharType="begin"/>
        </w:r>
        <w:r w:rsidR="0022073F">
          <w:rPr>
            <w:webHidden/>
          </w:rPr>
          <w:instrText xml:space="preserve"> PAGEREF _Toc175731241 \h </w:instrText>
        </w:r>
        <w:r w:rsidR="0022073F">
          <w:rPr>
            <w:webHidden/>
          </w:rPr>
        </w:r>
        <w:r w:rsidR="0022073F">
          <w:rPr>
            <w:webHidden/>
          </w:rPr>
          <w:fldChar w:fldCharType="separate"/>
        </w:r>
        <w:r w:rsidR="00710AD8">
          <w:rPr>
            <w:webHidden/>
          </w:rPr>
          <w:t>5</w:t>
        </w:r>
        <w:r w:rsidR="0022073F">
          <w:rPr>
            <w:webHidden/>
          </w:rPr>
          <w:fldChar w:fldCharType="end"/>
        </w:r>
      </w:hyperlink>
    </w:p>
    <w:p w14:paraId="2B53F964" w14:textId="423800A8"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0022073F" w:rsidRPr="00D354BD">
          <w:rPr>
            <w:rStyle w:val="Hyperlink"/>
          </w:rPr>
          <w:t>Offer Submission</w:t>
        </w:r>
        <w:r w:rsidR="0022073F">
          <w:rPr>
            <w:webHidden/>
          </w:rPr>
          <w:tab/>
        </w:r>
        <w:r w:rsidR="0022073F">
          <w:rPr>
            <w:webHidden/>
          </w:rPr>
          <w:fldChar w:fldCharType="begin"/>
        </w:r>
        <w:r w:rsidR="0022073F">
          <w:rPr>
            <w:webHidden/>
          </w:rPr>
          <w:instrText xml:space="preserve"> PAGEREF _Toc175731242 \h </w:instrText>
        </w:r>
        <w:r w:rsidR="0022073F">
          <w:rPr>
            <w:webHidden/>
          </w:rPr>
        </w:r>
        <w:r w:rsidR="0022073F">
          <w:rPr>
            <w:webHidden/>
          </w:rPr>
          <w:fldChar w:fldCharType="separate"/>
        </w:r>
        <w:r w:rsidR="00710AD8">
          <w:rPr>
            <w:webHidden/>
          </w:rPr>
          <w:t>8</w:t>
        </w:r>
        <w:r w:rsidR="0022073F">
          <w:rPr>
            <w:webHidden/>
          </w:rPr>
          <w:fldChar w:fldCharType="end"/>
        </w:r>
      </w:hyperlink>
    </w:p>
    <w:p w14:paraId="4F934060" w14:textId="73EE5E44"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0022073F" w:rsidRPr="00D354BD">
          <w:rPr>
            <w:rStyle w:val="Hyperlink"/>
          </w:rPr>
          <w:t>Evaluation Methods for ERS Loads</w:t>
        </w:r>
        <w:r w:rsidR="0022073F">
          <w:rPr>
            <w:webHidden/>
          </w:rPr>
          <w:tab/>
        </w:r>
        <w:r w:rsidR="0022073F">
          <w:rPr>
            <w:webHidden/>
          </w:rPr>
          <w:fldChar w:fldCharType="begin"/>
        </w:r>
        <w:r w:rsidR="0022073F">
          <w:rPr>
            <w:webHidden/>
          </w:rPr>
          <w:instrText xml:space="preserve"> PAGEREF _Toc175731243 \h </w:instrText>
        </w:r>
        <w:r w:rsidR="0022073F">
          <w:rPr>
            <w:webHidden/>
          </w:rPr>
        </w:r>
        <w:r w:rsidR="0022073F">
          <w:rPr>
            <w:webHidden/>
          </w:rPr>
          <w:fldChar w:fldCharType="separate"/>
        </w:r>
        <w:r w:rsidR="00710AD8">
          <w:rPr>
            <w:webHidden/>
          </w:rPr>
          <w:t>9</w:t>
        </w:r>
        <w:r w:rsidR="0022073F">
          <w:rPr>
            <w:webHidden/>
          </w:rPr>
          <w:fldChar w:fldCharType="end"/>
        </w:r>
      </w:hyperlink>
    </w:p>
    <w:p w14:paraId="5F1994EA" w14:textId="0572693E"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0022073F" w:rsidRPr="00D354BD">
          <w:rPr>
            <w:rStyle w:val="Hyperlink"/>
          </w:rPr>
          <w:t>Metering &amp; Meter Data</w:t>
        </w:r>
        <w:r w:rsidR="0022073F">
          <w:rPr>
            <w:webHidden/>
          </w:rPr>
          <w:tab/>
        </w:r>
        <w:r w:rsidR="0022073F">
          <w:rPr>
            <w:webHidden/>
          </w:rPr>
          <w:fldChar w:fldCharType="begin"/>
        </w:r>
        <w:r w:rsidR="0022073F">
          <w:rPr>
            <w:webHidden/>
          </w:rPr>
          <w:instrText xml:space="preserve"> PAGEREF _Toc175731244 \h </w:instrText>
        </w:r>
        <w:r w:rsidR="0022073F">
          <w:rPr>
            <w:webHidden/>
          </w:rPr>
        </w:r>
        <w:r w:rsidR="0022073F">
          <w:rPr>
            <w:webHidden/>
          </w:rPr>
          <w:fldChar w:fldCharType="separate"/>
        </w:r>
        <w:r w:rsidR="00710AD8">
          <w:rPr>
            <w:webHidden/>
          </w:rPr>
          <w:t>10</w:t>
        </w:r>
        <w:r w:rsidR="0022073F">
          <w:rPr>
            <w:webHidden/>
          </w:rPr>
          <w:fldChar w:fldCharType="end"/>
        </w:r>
      </w:hyperlink>
    </w:p>
    <w:p w14:paraId="7372C061" w14:textId="49DE36C5"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0022073F" w:rsidRPr="00D354BD">
          <w:rPr>
            <w:rStyle w:val="Hyperlink"/>
          </w:rPr>
          <w:t>Participation by Sites in NOIE Territories</w:t>
        </w:r>
        <w:r w:rsidR="0022073F">
          <w:rPr>
            <w:webHidden/>
          </w:rPr>
          <w:tab/>
        </w:r>
        <w:r w:rsidR="0022073F">
          <w:rPr>
            <w:webHidden/>
          </w:rPr>
          <w:fldChar w:fldCharType="begin"/>
        </w:r>
        <w:r w:rsidR="0022073F">
          <w:rPr>
            <w:webHidden/>
          </w:rPr>
          <w:instrText xml:space="preserve"> PAGEREF _Toc175731245 \h </w:instrText>
        </w:r>
        <w:r w:rsidR="0022073F">
          <w:rPr>
            <w:webHidden/>
          </w:rPr>
        </w:r>
        <w:r w:rsidR="0022073F">
          <w:rPr>
            <w:webHidden/>
          </w:rPr>
          <w:fldChar w:fldCharType="separate"/>
        </w:r>
        <w:r w:rsidR="00710AD8">
          <w:rPr>
            <w:webHidden/>
          </w:rPr>
          <w:t>12</w:t>
        </w:r>
        <w:r w:rsidR="0022073F">
          <w:rPr>
            <w:webHidden/>
          </w:rPr>
          <w:fldChar w:fldCharType="end"/>
        </w:r>
      </w:hyperlink>
    </w:p>
    <w:p w14:paraId="144B2E3F" w14:textId="1933C480"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0022073F" w:rsidRPr="00D354BD">
          <w:rPr>
            <w:rStyle w:val="Hyperlink"/>
          </w:rPr>
          <w:t>Participation by Active Load Resources (LRs)</w:t>
        </w:r>
        <w:r w:rsidR="0022073F">
          <w:rPr>
            <w:webHidden/>
          </w:rPr>
          <w:tab/>
        </w:r>
        <w:r w:rsidR="0022073F">
          <w:rPr>
            <w:webHidden/>
          </w:rPr>
          <w:fldChar w:fldCharType="begin"/>
        </w:r>
        <w:r w:rsidR="0022073F">
          <w:rPr>
            <w:webHidden/>
          </w:rPr>
          <w:instrText xml:space="preserve"> PAGEREF _Toc175731246 \h </w:instrText>
        </w:r>
        <w:r w:rsidR="0022073F">
          <w:rPr>
            <w:webHidden/>
          </w:rPr>
        </w:r>
        <w:r w:rsidR="0022073F">
          <w:rPr>
            <w:webHidden/>
          </w:rPr>
          <w:fldChar w:fldCharType="separate"/>
        </w:r>
        <w:r w:rsidR="00710AD8">
          <w:rPr>
            <w:webHidden/>
          </w:rPr>
          <w:t>13</w:t>
        </w:r>
        <w:r w:rsidR="0022073F">
          <w:rPr>
            <w:webHidden/>
          </w:rPr>
          <w:fldChar w:fldCharType="end"/>
        </w:r>
      </w:hyperlink>
    </w:p>
    <w:p w14:paraId="2339D4AC" w14:textId="7234BF12"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0022073F" w:rsidRPr="00D354BD">
          <w:rPr>
            <w:rStyle w:val="Hyperlink"/>
          </w:rPr>
          <w:t>Communications Systems</w:t>
        </w:r>
        <w:r w:rsidR="0022073F">
          <w:rPr>
            <w:webHidden/>
          </w:rPr>
          <w:tab/>
        </w:r>
        <w:r w:rsidR="0022073F">
          <w:rPr>
            <w:webHidden/>
          </w:rPr>
          <w:fldChar w:fldCharType="begin"/>
        </w:r>
        <w:r w:rsidR="0022073F">
          <w:rPr>
            <w:webHidden/>
          </w:rPr>
          <w:instrText xml:space="preserve"> PAGEREF _Toc175731247 \h </w:instrText>
        </w:r>
        <w:r w:rsidR="0022073F">
          <w:rPr>
            <w:webHidden/>
          </w:rPr>
        </w:r>
        <w:r w:rsidR="0022073F">
          <w:rPr>
            <w:webHidden/>
          </w:rPr>
          <w:fldChar w:fldCharType="separate"/>
        </w:r>
        <w:r w:rsidR="00710AD8">
          <w:rPr>
            <w:webHidden/>
          </w:rPr>
          <w:t>14</w:t>
        </w:r>
        <w:r w:rsidR="0022073F">
          <w:rPr>
            <w:webHidden/>
          </w:rPr>
          <w:fldChar w:fldCharType="end"/>
        </w:r>
      </w:hyperlink>
    </w:p>
    <w:p w14:paraId="7CA07D48" w14:textId="60517BCE"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0022073F" w:rsidRPr="00D354BD">
          <w:rPr>
            <w:rStyle w:val="Hyperlink"/>
          </w:rPr>
          <w:t>Periods of Unavailability</w:t>
        </w:r>
        <w:r w:rsidR="0022073F">
          <w:rPr>
            <w:webHidden/>
          </w:rPr>
          <w:tab/>
        </w:r>
        <w:r w:rsidR="0022073F">
          <w:rPr>
            <w:webHidden/>
          </w:rPr>
          <w:fldChar w:fldCharType="begin"/>
        </w:r>
        <w:r w:rsidR="0022073F">
          <w:rPr>
            <w:webHidden/>
          </w:rPr>
          <w:instrText xml:space="preserve"> PAGEREF _Toc175731248 \h </w:instrText>
        </w:r>
        <w:r w:rsidR="0022073F">
          <w:rPr>
            <w:webHidden/>
          </w:rPr>
        </w:r>
        <w:r w:rsidR="0022073F">
          <w:rPr>
            <w:webHidden/>
          </w:rPr>
          <w:fldChar w:fldCharType="separate"/>
        </w:r>
        <w:r w:rsidR="00710AD8">
          <w:rPr>
            <w:webHidden/>
          </w:rPr>
          <w:t>15</w:t>
        </w:r>
        <w:r w:rsidR="0022073F">
          <w:rPr>
            <w:webHidden/>
          </w:rPr>
          <w:fldChar w:fldCharType="end"/>
        </w:r>
      </w:hyperlink>
    </w:p>
    <w:p w14:paraId="33F33934" w14:textId="06F588EF"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0022073F" w:rsidRPr="00D354BD">
          <w:rPr>
            <w:rStyle w:val="Hyperlink"/>
          </w:rPr>
          <w:t>Substitutions</w:t>
        </w:r>
        <w:r w:rsidR="0022073F">
          <w:rPr>
            <w:webHidden/>
          </w:rPr>
          <w:tab/>
        </w:r>
        <w:r w:rsidR="0022073F">
          <w:rPr>
            <w:webHidden/>
          </w:rPr>
          <w:fldChar w:fldCharType="begin"/>
        </w:r>
        <w:r w:rsidR="0022073F">
          <w:rPr>
            <w:webHidden/>
          </w:rPr>
          <w:instrText xml:space="preserve"> PAGEREF _Toc175731249 \h </w:instrText>
        </w:r>
        <w:r w:rsidR="0022073F">
          <w:rPr>
            <w:webHidden/>
          </w:rPr>
        </w:r>
        <w:r w:rsidR="0022073F">
          <w:rPr>
            <w:webHidden/>
          </w:rPr>
          <w:fldChar w:fldCharType="separate"/>
        </w:r>
        <w:r w:rsidR="00710AD8">
          <w:rPr>
            <w:webHidden/>
          </w:rPr>
          <w:t>15</w:t>
        </w:r>
        <w:r w:rsidR="0022073F">
          <w:rPr>
            <w:webHidden/>
          </w:rPr>
          <w:fldChar w:fldCharType="end"/>
        </w:r>
      </w:hyperlink>
    </w:p>
    <w:p w14:paraId="14E65816" w14:textId="63075D13"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0022073F" w:rsidRPr="00D354BD">
          <w:rPr>
            <w:rStyle w:val="Hyperlink"/>
          </w:rPr>
          <w:t>Supplemental Resources</w:t>
        </w:r>
        <w:r w:rsidR="0022073F">
          <w:rPr>
            <w:webHidden/>
          </w:rPr>
          <w:tab/>
        </w:r>
        <w:r w:rsidR="0022073F">
          <w:rPr>
            <w:webHidden/>
          </w:rPr>
          <w:fldChar w:fldCharType="begin"/>
        </w:r>
        <w:r w:rsidR="0022073F">
          <w:rPr>
            <w:webHidden/>
          </w:rPr>
          <w:instrText xml:space="preserve"> PAGEREF _Toc175731250 \h </w:instrText>
        </w:r>
        <w:r w:rsidR="0022073F">
          <w:rPr>
            <w:webHidden/>
          </w:rPr>
        </w:r>
        <w:r w:rsidR="0022073F">
          <w:rPr>
            <w:webHidden/>
          </w:rPr>
          <w:fldChar w:fldCharType="separate"/>
        </w:r>
        <w:r w:rsidR="00710AD8">
          <w:rPr>
            <w:webHidden/>
          </w:rPr>
          <w:t>18</w:t>
        </w:r>
        <w:r w:rsidR="0022073F">
          <w:rPr>
            <w:webHidden/>
          </w:rPr>
          <w:fldChar w:fldCharType="end"/>
        </w:r>
      </w:hyperlink>
    </w:p>
    <w:p w14:paraId="63CDEF73" w14:textId="5A99D896"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0022073F" w:rsidRPr="00D354BD">
          <w:rPr>
            <w:rStyle w:val="Hyperlink"/>
          </w:rPr>
          <w:t>Deployment</w:t>
        </w:r>
        <w:r w:rsidR="0022073F">
          <w:rPr>
            <w:webHidden/>
          </w:rPr>
          <w:tab/>
        </w:r>
        <w:r w:rsidR="0022073F">
          <w:rPr>
            <w:webHidden/>
          </w:rPr>
          <w:fldChar w:fldCharType="begin"/>
        </w:r>
        <w:r w:rsidR="0022073F">
          <w:rPr>
            <w:webHidden/>
          </w:rPr>
          <w:instrText xml:space="preserve"> PAGEREF _Toc175731251 \h </w:instrText>
        </w:r>
        <w:r w:rsidR="0022073F">
          <w:rPr>
            <w:webHidden/>
          </w:rPr>
        </w:r>
        <w:r w:rsidR="0022073F">
          <w:rPr>
            <w:webHidden/>
          </w:rPr>
          <w:fldChar w:fldCharType="separate"/>
        </w:r>
        <w:r w:rsidR="00710AD8">
          <w:rPr>
            <w:webHidden/>
          </w:rPr>
          <w:t>20</w:t>
        </w:r>
        <w:r w:rsidR="0022073F">
          <w:rPr>
            <w:webHidden/>
          </w:rPr>
          <w:fldChar w:fldCharType="end"/>
        </w:r>
      </w:hyperlink>
    </w:p>
    <w:p w14:paraId="6E67F61A" w14:textId="17784A39"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0022073F" w:rsidRPr="00D354BD">
          <w:rPr>
            <w:rStyle w:val="Hyperlink"/>
          </w:rPr>
          <w:t>Event Performance Measurement and Verification</w:t>
        </w:r>
        <w:r w:rsidR="0022073F">
          <w:rPr>
            <w:webHidden/>
          </w:rPr>
          <w:tab/>
        </w:r>
        <w:r w:rsidR="0022073F">
          <w:rPr>
            <w:webHidden/>
          </w:rPr>
          <w:fldChar w:fldCharType="begin"/>
        </w:r>
        <w:r w:rsidR="0022073F">
          <w:rPr>
            <w:webHidden/>
          </w:rPr>
          <w:instrText xml:space="preserve"> PAGEREF _Toc175731252 \h </w:instrText>
        </w:r>
        <w:r w:rsidR="0022073F">
          <w:rPr>
            <w:webHidden/>
          </w:rPr>
        </w:r>
        <w:r w:rsidR="0022073F">
          <w:rPr>
            <w:webHidden/>
          </w:rPr>
          <w:fldChar w:fldCharType="separate"/>
        </w:r>
        <w:r w:rsidR="00710AD8">
          <w:rPr>
            <w:webHidden/>
          </w:rPr>
          <w:t>21</w:t>
        </w:r>
        <w:r w:rsidR="0022073F">
          <w:rPr>
            <w:webHidden/>
          </w:rPr>
          <w:fldChar w:fldCharType="end"/>
        </w:r>
      </w:hyperlink>
    </w:p>
    <w:p w14:paraId="25592FCB" w14:textId="0BD6F3F5"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0022073F" w:rsidRPr="00D354BD">
          <w:rPr>
            <w:rStyle w:val="Hyperlink"/>
          </w:rPr>
          <w:t>QSE Performance Criteria</w:t>
        </w:r>
        <w:r w:rsidR="0022073F">
          <w:rPr>
            <w:webHidden/>
          </w:rPr>
          <w:tab/>
        </w:r>
        <w:r w:rsidR="0022073F">
          <w:rPr>
            <w:webHidden/>
          </w:rPr>
          <w:fldChar w:fldCharType="begin"/>
        </w:r>
        <w:r w:rsidR="0022073F">
          <w:rPr>
            <w:webHidden/>
          </w:rPr>
          <w:instrText xml:space="preserve"> PAGEREF _Toc175731253 \h </w:instrText>
        </w:r>
        <w:r w:rsidR="0022073F">
          <w:rPr>
            <w:webHidden/>
          </w:rPr>
        </w:r>
        <w:r w:rsidR="0022073F">
          <w:rPr>
            <w:webHidden/>
          </w:rPr>
          <w:fldChar w:fldCharType="separate"/>
        </w:r>
        <w:r w:rsidR="00710AD8">
          <w:rPr>
            <w:webHidden/>
          </w:rPr>
          <w:t>21</w:t>
        </w:r>
        <w:r w:rsidR="0022073F">
          <w:rPr>
            <w:webHidden/>
          </w:rPr>
          <w:fldChar w:fldCharType="end"/>
        </w:r>
      </w:hyperlink>
    </w:p>
    <w:p w14:paraId="698B4B65" w14:textId="1A2EA20D"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0022073F" w:rsidRPr="00D354BD">
          <w:rPr>
            <w:rStyle w:val="Hyperlink"/>
          </w:rPr>
          <w:t>Reinstatement of Suspended ERS Resources</w:t>
        </w:r>
        <w:r w:rsidR="0022073F">
          <w:rPr>
            <w:webHidden/>
          </w:rPr>
          <w:tab/>
        </w:r>
        <w:r w:rsidR="0022073F">
          <w:rPr>
            <w:webHidden/>
          </w:rPr>
          <w:fldChar w:fldCharType="begin"/>
        </w:r>
        <w:r w:rsidR="0022073F">
          <w:rPr>
            <w:webHidden/>
          </w:rPr>
          <w:instrText xml:space="preserve"> PAGEREF _Toc175731254 \h </w:instrText>
        </w:r>
        <w:r w:rsidR="0022073F">
          <w:rPr>
            <w:webHidden/>
          </w:rPr>
        </w:r>
        <w:r w:rsidR="0022073F">
          <w:rPr>
            <w:webHidden/>
          </w:rPr>
          <w:fldChar w:fldCharType="separate"/>
        </w:r>
        <w:r w:rsidR="00710AD8">
          <w:rPr>
            <w:webHidden/>
          </w:rPr>
          <w:t>21</w:t>
        </w:r>
        <w:r w:rsidR="0022073F">
          <w:rPr>
            <w:webHidden/>
          </w:rPr>
          <w:fldChar w:fldCharType="end"/>
        </w:r>
      </w:hyperlink>
    </w:p>
    <w:p w14:paraId="1FD85AED" w14:textId="7744AA8F"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0022073F" w:rsidRPr="00D354BD">
          <w:rPr>
            <w:rStyle w:val="Hyperlink"/>
          </w:rPr>
          <w:t>Prohibition on Other Market Activity</w:t>
        </w:r>
        <w:r w:rsidR="0022073F">
          <w:rPr>
            <w:webHidden/>
          </w:rPr>
          <w:tab/>
        </w:r>
        <w:r w:rsidR="0022073F">
          <w:rPr>
            <w:webHidden/>
          </w:rPr>
          <w:fldChar w:fldCharType="begin"/>
        </w:r>
        <w:r w:rsidR="0022073F">
          <w:rPr>
            <w:webHidden/>
          </w:rPr>
          <w:instrText xml:space="preserve"> PAGEREF _Toc175731255 \h </w:instrText>
        </w:r>
        <w:r w:rsidR="0022073F">
          <w:rPr>
            <w:webHidden/>
          </w:rPr>
        </w:r>
        <w:r w:rsidR="0022073F">
          <w:rPr>
            <w:webHidden/>
          </w:rPr>
          <w:fldChar w:fldCharType="separate"/>
        </w:r>
        <w:r w:rsidR="00710AD8">
          <w:rPr>
            <w:webHidden/>
          </w:rPr>
          <w:t>22</w:t>
        </w:r>
        <w:r w:rsidR="0022073F">
          <w:rPr>
            <w:webHidden/>
          </w:rPr>
          <w:fldChar w:fldCharType="end"/>
        </w:r>
      </w:hyperlink>
    </w:p>
    <w:p w14:paraId="4A250BE4" w14:textId="3B6BC6EC" w:rsidR="0022073F" w:rsidRDefault="00414F26">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0022073F" w:rsidRPr="00D354BD">
          <w:rPr>
            <w:rStyle w:val="Hyperlink"/>
          </w:rPr>
          <w:t>ERS Self-Provision</w:t>
        </w:r>
        <w:r w:rsidR="0022073F">
          <w:rPr>
            <w:webHidden/>
          </w:rPr>
          <w:tab/>
        </w:r>
        <w:r w:rsidR="0022073F">
          <w:rPr>
            <w:webHidden/>
          </w:rPr>
          <w:fldChar w:fldCharType="begin"/>
        </w:r>
        <w:r w:rsidR="0022073F">
          <w:rPr>
            <w:webHidden/>
          </w:rPr>
          <w:instrText xml:space="preserve"> PAGEREF _Toc175731256 \h </w:instrText>
        </w:r>
        <w:r w:rsidR="0022073F">
          <w:rPr>
            <w:webHidden/>
          </w:rPr>
        </w:r>
        <w:r w:rsidR="0022073F">
          <w:rPr>
            <w:webHidden/>
          </w:rPr>
          <w:fldChar w:fldCharType="separate"/>
        </w:r>
        <w:r w:rsidR="00710AD8">
          <w:rPr>
            <w:webHidden/>
          </w:rPr>
          <w:t>23</w:t>
        </w:r>
        <w:r w:rsidR="0022073F">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75731238"/>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75731239"/>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8"/>
      <w:bookmarkEnd w:id="48"/>
      <w:bookmarkEnd w:id="49"/>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proofErr w:type="gramStart"/>
      <w:r w:rsidRPr="00B04EB1">
        <w:rPr>
          <w:rFonts w:cs="Arial"/>
          <w:sz w:val="20"/>
          <w:szCs w:val="20"/>
        </w:rPr>
        <w:t>Protocols, and</w:t>
      </w:r>
      <w:proofErr w:type="gramEnd"/>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75731240"/>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0F9F215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7A1175">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7573124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4E19653F" w:rsidR="003973FA" w:rsidRPr="00B04EB1" w:rsidRDefault="003973FA" w:rsidP="007A1175">
      <w:pPr>
        <w:pStyle w:val="Heading2"/>
      </w:pPr>
      <w:r>
        <w:t xml:space="preserve">Aggregations of residential sites will not </w:t>
      </w:r>
      <w:r w:rsidR="00B168FF">
        <w:t xml:space="preserve">be </w:t>
      </w:r>
      <w:r>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 xml:space="preserve">All Sites situated in competitive choice areas of the ERCOT Region even if a sub-meter will be used to measure and verify </w:t>
      </w:r>
      <w:proofErr w:type="gramStart"/>
      <w:r w:rsidRPr="00B04EB1">
        <w:rPr>
          <w:rFonts w:cs="Arial"/>
          <w:sz w:val="20"/>
          <w:szCs w:val="20"/>
        </w:rPr>
        <w:t>ERS;</w:t>
      </w:r>
      <w:proofErr w:type="gramEnd"/>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The injection point of a Private Use Network if a Site within the Private Use Network will be providing </w:t>
      </w:r>
      <w:proofErr w:type="gramStart"/>
      <w:r w:rsidRPr="00B04EB1">
        <w:rPr>
          <w:rFonts w:cs="Arial"/>
          <w:sz w:val="20"/>
          <w:szCs w:val="20"/>
        </w:rPr>
        <w:t>ERS;</w:t>
      </w:r>
      <w:proofErr w:type="gramEnd"/>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Sites within a NOIE service territory that are not metered by a dedicated Settlement metering point ESI ID or a non-Settlement ESI </w:t>
      </w:r>
      <w:proofErr w:type="gramStart"/>
      <w:r w:rsidRPr="00B04EB1">
        <w:rPr>
          <w:rFonts w:cs="Arial"/>
          <w:sz w:val="20"/>
          <w:szCs w:val="20"/>
        </w:rPr>
        <w:t>ID;</w:t>
      </w:r>
      <w:proofErr w:type="gramEnd"/>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w:t>
      </w:r>
      <w:proofErr w:type="gramStart"/>
      <w:r w:rsidRPr="00B04EB1">
        <w:rPr>
          <w:rFonts w:cs="Arial"/>
          <w:sz w:val="20"/>
          <w:szCs w:val="20"/>
        </w:rPr>
        <w:t>performance;</w:t>
      </w:r>
      <w:proofErr w:type="gramEnd"/>
    </w:p>
    <w:p w14:paraId="363F1B2A"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proofErr w:type="gramStart"/>
      <w:r w:rsidRPr="00B04EB1">
        <w:rPr>
          <w:rFonts w:cs="Arial"/>
          <w:sz w:val="20"/>
          <w:szCs w:val="20"/>
        </w:rPr>
        <w:t>Term, and</w:t>
      </w:r>
      <w:proofErr w:type="gramEnd"/>
      <w:r w:rsidRPr="00B04EB1">
        <w:rPr>
          <w:rFonts w:cs="Arial"/>
          <w:sz w:val="20"/>
          <w:szCs w:val="20"/>
        </w:rPr>
        <w:t xml:space="preserve"> is responsible for submission of interval meter data.</w:t>
      </w:r>
    </w:p>
    <w:p w14:paraId="2E01E3FD" w14:textId="77777777" w:rsidR="004A608B"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3154C802" w14:textId="2B21DB7F" w:rsidR="00414F26" w:rsidRPr="00414F26" w:rsidRDefault="00414F26" w:rsidP="00414F26">
      <w:pPr>
        <w:pStyle w:val="ListParagraph"/>
        <w:numPr>
          <w:ilvl w:val="3"/>
          <w:numId w:val="24"/>
        </w:numPr>
        <w:rPr>
          <w:rFonts w:cs="Arial"/>
          <w:sz w:val="20"/>
          <w:szCs w:val="20"/>
        </w:rPr>
      </w:pPr>
      <w:r w:rsidRPr="00414F26">
        <w:rPr>
          <w:rFonts w:cs="Arial"/>
          <w:sz w:val="20"/>
          <w:szCs w:val="20"/>
        </w:rPr>
        <w:t>If a change to the UMI is required the QSE must submit a substitution form.</w:t>
      </w:r>
    </w:p>
    <w:bookmarkEnd w:id="139"/>
    <w:p w14:paraId="19943090" w14:textId="77777777" w:rsidR="00FC42C9" w:rsidRPr="00B04EB1" w:rsidRDefault="0013377F" w:rsidP="007A1175">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lastRenderedPageBreak/>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1B73A5">
      <w:pPr>
        <w:numPr>
          <w:ilvl w:val="2"/>
          <w:numId w:val="45"/>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1B73A5">
      <w:pPr>
        <w:numPr>
          <w:ilvl w:val="2"/>
          <w:numId w:val="45"/>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38124535"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0064389E">
        <w:rPr>
          <w:rStyle w:val="FootnoteReference"/>
        </w:rPr>
        <w:footnoteReference w:id="4"/>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lastRenderedPageBreak/>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75731242"/>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lastRenderedPageBreak/>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proofErr w:type="spellStart"/>
      <w:r w:rsidRPr="00B04EB1">
        <w:t>Submetered</w:t>
      </w:r>
      <w:proofErr w:type="spellEnd"/>
      <w:r w:rsidRPr="00B04EB1">
        <w:t xml:space="preserve">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proofErr w:type="spellStart"/>
      <w:r w:rsidR="00D6540E" w:rsidRPr="00B04EB1">
        <w:t>Submetered</w:t>
      </w:r>
      <w:proofErr w:type="spellEnd"/>
      <w:r w:rsidR="00D6540E" w:rsidRPr="00B04EB1">
        <w:t xml:space="preserve">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 xml:space="preserve">e Unique Meter </w:t>
      </w:r>
      <w:proofErr w:type="gramStart"/>
      <w:r w:rsidR="00D454B3" w:rsidRPr="00B04EB1">
        <w:rPr>
          <w:rFonts w:cs="Arial"/>
          <w:sz w:val="20"/>
          <w:szCs w:val="20"/>
        </w:rPr>
        <w:t>Identifier</w:t>
      </w:r>
      <w:r w:rsidRPr="00B04EB1">
        <w:rPr>
          <w:rFonts w:cs="Arial"/>
          <w:sz w:val="20"/>
          <w:szCs w:val="20"/>
        </w:rPr>
        <w:t>;</w:t>
      </w:r>
      <w:proofErr w:type="gramEnd"/>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30 must be represented by a different single Unique Meter </w:t>
      </w:r>
      <w:proofErr w:type="gramStart"/>
      <w:r w:rsidR="00D454B3" w:rsidRPr="00B04EB1">
        <w:rPr>
          <w:rFonts w:cs="Arial"/>
          <w:sz w:val="20"/>
          <w:szCs w:val="20"/>
        </w:rPr>
        <w:t>Identifier</w:t>
      </w:r>
      <w:r w:rsidRPr="00B04EB1">
        <w:rPr>
          <w:rFonts w:cs="Arial"/>
          <w:sz w:val="20"/>
          <w:szCs w:val="20"/>
        </w:rPr>
        <w:t>;</w:t>
      </w:r>
      <w:proofErr w:type="gramEnd"/>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 xml:space="preserve">Both </w:t>
      </w:r>
      <w:proofErr w:type="spellStart"/>
      <w:r w:rsidRPr="00B04EB1">
        <w:rPr>
          <w:rFonts w:cs="Arial"/>
          <w:sz w:val="20"/>
          <w:szCs w:val="20"/>
        </w:rPr>
        <w:t>sites</w:t>
      </w:r>
      <w:proofErr w:type="spellEnd"/>
      <w:r w:rsidRPr="00B04EB1">
        <w:rPr>
          <w:rFonts w:cs="Arial"/>
          <w:sz w:val="20"/>
          <w:szCs w:val="20"/>
        </w:rPr>
        <w:t xml:space="preserve">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75731243"/>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5BD101C6"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w:t>
      </w:r>
      <w:r w:rsidRPr="00B04EB1">
        <w:lastRenderedPageBreak/>
        <w:t xml:space="preserve">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75731244"/>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 xml:space="preserve">TDSP metering capable of measuring energy exported to the ERCOT </w:t>
      </w:r>
      <w:proofErr w:type="gramStart"/>
      <w:r w:rsidRPr="00B04EB1">
        <w:rPr>
          <w:rFonts w:cs="Arial"/>
          <w:sz w:val="20"/>
          <w:szCs w:val="20"/>
        </w:rPr>
        <w:t>System;</w:t>
      </w:r>
      <w:bookmarkEnd w:id="241"/>
      <w:proofErr w:type="gramEnd"/>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lastRenderedPageBreak/>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7A1175">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proofErr w:type="gramStart"/>
      <w:r w:rsidRPr="00B04EB1">
        <w:t>Resource, or</w:t>
      </w:r>
      <w:proofErr w:type="gramEnd"/>
      <w:r w:rsidRPr="00B04EB1">
        <w:t xml:space="preserve">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lastRenderedPageBreak/>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lastRenderedPageBreak/>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bookmarkStart w:id="264" w:name="_Toc175731245"/>
    </w:p>
    <w:p w14:paraId="71E72520" w14:textId="79774E1B" w:rsidR="00D47DFA" w:rsidRPr="00B87C20" w:rsidRDefault="00D47DFA" w:rsidP="00341C38">
      <w:pPr>
        <w:pStyle w:val="Heading1"/>
      </w:pPr>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75731246"/>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1B73A5">
      <w:pPr>
        <w:numPr>
          <w:ilvl w:val="2"/>
          <w:numId w:val="31"/>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1B73A5">
      <w:pPr>
        <w:numPr>
          <w:ilvl w:val="3"/>
          <w:numId w:val="31"/>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2301C5AB" w14:textId="250F97E2" w:rsidR="000F01A4" w:rsidRPr="00177ADD" w:rsidRDefault="00707047" w:rsidP="001B73A5">
      <w:pPr>
        <w:numPr>
          <w:ilvl w:val="3"/>
          <w:numId w:val="31"/>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1B73A5">
      <w:pPr>
        <w:numPr>
          <w:ilvl w:val="2"/>
          <w:numId w:val="31"/>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w:t>
      </w:r>
      <w:proofErr w:type="gramStart"/>
      <w:r w:rsidRPr="00B04EB1">
        <w:rPr>
          <w:rFonts w:cs="Arial"/>
          <w:sz w:val="20"/>
          <w:szCs w:val="20"/>
        </w:rPr>
        <w:t>ID;</w:t>
      </w:r>
      <w:bookmarkEnd w:id="298"/>
      <w:proofErr w:type="gramEnd"/>
    </w:p>
    <w:p w14:paraId="742532AB" w14:textId="77777777" w:rsidR="00D47DFA" w:rsidRPr="00B04EB1" w:rsidRDefault="00D47DFA" w:rsidP="001B73A5">
      <w:pPr>
        <w:numPr>
          <w:ilvl w:val="2"/>
          <w:numId w:val="31"/>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1B73A5">
      <w:pPr>
        <w:numPr>
          <w:ilvl w:val="2"/>
          <w:numId w:val="31"/>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1B73A5">
      <w:pPr>
        <w:numPr>
          <w:ilvl w:val="2"/>
          <w:numId w:val="32"/>
        </w:numPr>
        <w:jc w:val="both"/>
        <w:rPr>
          <w:rFonts w:cs="Arial"/>
          <w:color w:val="000000"/>
        </w:rPr>
      </w:pPr>
      <w:bookmarkStart w:id="304" w:name="_Toc402949834"/>
      <w:r w:rsidRPr="00B04EB1">
        <w:rPr>
          <w:rFonts w:cs="Arial"/>
          <w:sz w:val="20"/>
          <w:szCs w:val="20"/>
        </w:rPr>
        <w:lastRenderedPageBreak/>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 xml:space="preserve">The entire sub-metered Load will be treated as dedicated to </w:t>
      </w:r>
      <w:proofErr w:type="gramStart"/>
      <w:r w:rsidRPr="00B04EB1">
        <w:rPr>
          <w:rFonts w:cs="Arial"/>
          <w:sz w:val="20"/>
          <w:szCs w:val="20"/>
        </w:rPr>
        <w:t>ERS;</w:t>
      </w:r>
      <w:bookmarkEnd w:id="307"/>
      <w:proofErr w:type="gramEnd"/>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The entire sub-metered Load will be treated as dedicated to </w:t>
      </w:r>
      <w:proofErr w:type="gramStart"/>
      <w:r w:rsidRPr="00B04EB1">
        <w:rPr>
          <w:rFonts w:cs="Arial"/>
          <w:sz w:val="20"/>
          <w:szCs w:val="20"/>
        </w:rPr>
        <w:t>ERS;</w:t>
      </w:r>
      <w:proofErr w:type="gramEnd"/>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 xml:space="preserve">and will exclude LR deployment </w:t>
      </w:r>
      <w:proofErr w:type="gramStart"/>
      <w:r w:rsidR="00D47DFA" w:rsidRPr="00FE6940">
        <w:rPr>
          <w:rFonts w:cs="Arial"/>
          <w:sz w:val="20"/>
          <w:szCs w:val="20"/>
        </w:rPr>
        <w:t>intervals;</w:t>
      </w:r>
      <w:bookmarkEnd w:id="310"/>
      <w:proofErr w:type="gramEnd"/>
    </w:p>
    <w:p w14:paraId="7FC1EB48" w14:textId="77777777" w:rsidR="00D47DFA" w:rsidRPr="00FE6940"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7573124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lastRenderedPageBreak/>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75731248"/>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75731249"/>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Default="00105B04" w:rsidP="007A1175">
      <w:pPr>
        <w:pStyle w:val="Heading2"/>
      </w:pPr>
      <w:bookmarkStart w:id="476" w:name="_Toc402949882"/>
      <w:r w:rsidRPr="00B04EB1">
        <w:lastRenderedPageBreak/>
        <w:t>The MW capacity and price of the original ERS Resource’s award may not be changed for a substitution.</w:t>
      </w:r>
      <w:bookmarkEnd w:id="476"/>
    </w:p>
    <w:p w14:paraId="6DA2AFD7" w14:textId="24F65DA0" w:rsidR="00414F26" w:rsidRPr="00414F26" w:rsidRDefault="00414F26" w:rsidP="00414F26">
      <w:pPr>
        <w:pStyle w:val="Heading2"/>
      </w:pPr>
      <w:r>
        <w:t>If for any reason the meter identification number(s) (ESIID, RID &amp; UMI) are changed during a Standard Contract Term, it is the QSE’s responsibility to submit a substitution form reflecting the change. The substitution form shall be submitted before the end of that Standard Contract Term.</w:t>
      </w:r>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proofErr w:type="gramStart"/>
      <w:r w:rsidRPr="00B04EB1">
        <w:rPr>
          <w:rFonts w:cs="Arial"/>
          <w:sz w:val="20"/>
          <w:szCs w:val="20"/>
        </w:rPr>
        <w:t>);</w:t>
      </w:r>
      <w:bookmarkEnd w:id="478"/>
      <w:proofErr w:type="gramEnd"/>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 xml:space="preserve">Start date and time of the period of </w:t>
      </w:r>
      <w:proofErr w:type="gramStart"/>
      <w:r w:rsidRPr="00B04EB1">
        <w:rPr>
          <w:rFonts w:cs="Arial"/>
          <w:sz w:val="20"/>
          <w:szCs w:val="20"/>
        </w:rPr>
        <w:t>substitution;</w:t>
      </w:r>
      <w:bookmarkEnd w:id="479"/>
      <w:proofErr w:type="gramEnd"/>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lastRenderedPageBreak/>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 xml:space="preserve">LR that has successfully completed an ERCOT administered Load-shed test within the previous 365 </w:t>
      </w:r>
      <w:proofErr w:type="gramStart"/>
      <w:r w:rsidRPr="00B04EB1">
        <w:rPr>
          <w:rFonts w:cs="Arial"/>
          <w:sz w:val="20"/>
          <w:szCs w:val="20"/>
        </w:rPr>
        <w:t>days;</w:t>
      </w:r>
      <w:bookmarkEnd w:id="488"/>
      <w:proofErr w:type="gramEnd"/>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1B73A5">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90"/>
    </w:p>
    <w:p w14:paraId="59715B8A" w14:textId="77777777" w:rsidR="00217871" w:rsidRPr="00B04EB1" w:rsidRDefault="00417F85" w:rsidP="001B73A5">
      <w:pPr>
        <w:numPr>
          <w:ilvl w:val="2"/>
          <w:numId w:val="38"/>
        </w:numPr>
        <w:jc w:val="both"/>
        <w:rPr>
          <w:rFonts w:cs="Arial"/>
          <w:sz w:val="20"/>
          <w:szCs w:val="20"/>
        </w:rPr>
      </w:pPr>
      <w:bookmarkStart w:id="491"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1B73A5">
      <w:pPr>
        <w:numPr>
          <w:ilvl w:val="3"/>
          <w:numId w:val="38"/>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1B73A5">
      <w:pPr>
        <w:numPr>
          <w:ilvl w:val="3"/>
          <w:numId w:val="38"/>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1B73A5">
      <w:pPr>
        <w:numPr>
          <w:ilvl w:val="2"/>
          <w:numId w:val="38"/>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91"/>
    </w:p>
    <w:p w14:paraId="5E4C2664" w14:textId="77777777" w:rsidR="00A25BBC" w:rsidRDefault="00A25BBC" w:rsidP="00F55F93">
      <w:pPr>
        <w:ind w:left="1656"/>
        <w:jc w:val="both"/>
        <w:rPr>
          <w:rFonts w:cs="Arial"/>
          <w:sz w:val="20"/>
          <w:szCs w:val="20"/>
        </w:rPr>
      </w:pPr>
      <w:bookmarkStart w:id="492" w:name="_Toc402949901"/>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lastRenderedPageBreak/>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3" w:name="_Toc402949902"/>
      <w:bookmarkStart w:id="494" w:name="_Toc402949903"/>
      <w:bookmarkEnd w:id="492"/>
      <w:bookmarkEnd w:id="493"/>
      <w:bookmarkEnd w:id="494"/>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5" w:name="_Toc402949904"/>
      <w:r w:rsidRPr="00B04EB1">
        <w:t>ERCOT at its discretion may accept a substituting ERS Resource that is not pre-qualified.</w:t>
      </w:r>
      <w:bookmarkEnd w:id="495"/>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6"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6"/>
    </w:p>
    <w:p w14:paraId="348C7DE6" w14:textId="35A0187E" w:rsidR="00105B04" w:rsidRPr="00B04EB1" w:rsidRDefault="00105B04" w:rsidP="001B73A5">
      <w:pPr>
        <w:numPr>
          <w:ilvl w:val="2"/>
          <w:numId w:val="39"/>
        </w:numPr>
        <w:jc w:val="both"/>
        <w:rPr>
          <w:rFonts w:cs="Arial"/>
          <w:sz w:val="20"/>
          <w:szCs w:val="20"/>
        </w:rPr>
      </w:pPr>
      <w:bookmarkStart w:id="497"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7"/>
    </w:p>
    <w:p w14:paraId="0CC6A3B2" w14:textId="1504D36D" w:rsidR="00105B04" w:rsidRPr="00B04EB1" w:rsidRDefault="00105B04" w:rsidP="001B73A5">
      <w:pPr>
        <w:numPr>
          <w:ilvl w:val="2"/>
          <w:numId w:val="39"/>
        </w:numPr>
        <w:jc w:val="both"/>
        <w:rPr>
          <w:rFonts w:cs="Arial"/>
          <w:sz w:val="20"/>
          <w:szCs w:val="20"/>
        </w:rPr>
      </w:pPr>
      <w:bookmarkStart w:id="498"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8"/>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9"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9"/>
    </w:p>
    <w:p w14:paraId="02694525" w14:textId="09C594C6" w:rsidR="00105B04" w:rsidRPr="00B04EB1" w:rsidRDefault="00105B04" w:rsidP="007A1175">
      <w:pPr>
        <w:pStyle w:val="Heading2"/>
      </w:pPr>
      <w:bookmarkStart w:id="500"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00"/>
    </w:p>
    <w:p w14:paraId="1B8E5C48" w14:textId="6509A4E1" w:rsidR="00FE294E" w:rsidRPr="00D45745" w:rsidRDefault="00044AC5" w:rsidP="00341C38">
      <w:pPr>
        <w:pStyle w:val="Heading1"/>
      </w:pPr>
      <w:bookmarkStart w:id="501" w:name="_Toc175731250"/>
      <w:r w:rsidRPr="00D45745">
        <w:t>Supplemental Resources</w:t>
      </w:r>
      <w:bookmarkEnd w:id="501"/>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 xml:space="preserve">upplemental ERS </w:t>
      </w:r>
      <w:proofErr w:type="gramStart"/>
      <w:r w:rsidRPr="00B04EB1">
        <w:rPr>
          <w:rFonts w:cs="Arial"/>
          <w:sz w:val="20"/>
          <w:szCs w:val="20"/>
        </w:rPr>
        <w:t>Resource;</w:t>
      </w:r>
      <w:proofErr w:type="gramEnd"/>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lastRenderedPageBreak/>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obligation for the ERS Resource shall be set to zero, </w:t>
      </w:r>
      <w:proofErr w:type="gramStart"/>
      <w:r w:rsidRPr="00B04EB1">
        <w:rPr>
          <w:rFonts w:cs="Arial"/>
          <w:sz w:val="20"/>
          <w:szCs w:val="20"/>
        </w:rPr>
        <w:t>and;</w:t>
      </w:r>
      <w:proofErr w:type="gramEnd"/>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The (</w:t>
      </w:r>
      <w:proofErr w:type="spellStart"/>
      <w:r w:rsidRPr="00B04EB1">
        <w:rPr>
          <w:rFonts w:cs="Arial"/>
          <w:sz w:val="20"/>
          <w:szCs w:val="20"/>
        </w:rPr>
        <w:t>Base_MWh</w:t>
      </w:r>
      <w:proofErr w:type="spellEnd"/>
      <w:r w:rsidRPr="00B04EB1">
        <w:rPr>
          <w:rFonts w:cs="Arial"/>
          <w:sz w:val="20"/>
          <w:szCs w:val="20"/>
        </w:rPr>
        <w:t xml:space="preserve">)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xml:space="preserve">, with the limitation that the </w:t>
      </w:r>
      <w:proofErr w:type="spellStart"/>
      <w:r w:rsidRPr="00B04EB1">
        <w:rPr>
          <w:rFonts w:cs="Arial"/>
          <w:sz w:val="20"/>
          <w:szCs w:val="20"/>
        </w:rPr>
        <w:t>Base_MWh</w:t>
      </w:r>
      <w:proofErr w:type="spellEnd"/>
      <w:r w:rsidRPr="00B04EB1">
        <w:rPr>
          <w:rFonts w:cs="Arial"/>
          <w:sz w:val="20"/>
          <w:szCs w:val="20"/>
        </w:rPr>
        <w:t xml:space="preserve">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lastRenderedPageBreak/>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capacities specified on its ERS Submission </w:t>
      </w:r>
      <w:proofErr w:type="gramStart"/>
      <w:r w:rsidRPr="00B04EB1">
        <w:rPr>
          <w:rFonts w:cs="Arial"/>
          <w:sz w:val="20"/>
          <w:szCs w:val="20"/>
        </w:rPr>
        <w:t>Form;</w:t>
      </w:r>
      <w:proofErr w:type="gramEnd"/>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02" w:name="_Deployment"/>
      <w:bookmarkStart w:id="503" w:name="_Toc372024795"/>
      <w:bookmarkStart w:id="504" w:name="_Toc402948022"/>
      <w:bookmarkStart w:id="505" w:name="_Toc402948068"/>
      <w:bookmarkStart w:id="506" w:name="_Toc402949572"/>
      <w:bookmarkStart w:id="507" w:name="_Toc402949915"/>
      <w:bookmarkStart w:id="508" w:name="_Toc412103863"/>
      <w:bookmarkStart w:id="509" w:name="_Toc175731251"/>
      <w:bookmarkEnd w:id="502"/>
      <w:r w:rsidRPr="00D45745">
        <w:t>Deployment</w:t>
      </w:r>
      <w:bookmarkStart w:id="510" w:name="_Toc402947371"/>
      <w:bookmarkStart w:id="511" w:name="_Toc402947976"/>
      <w:bookmarkStart w:id="512" w:name="_Toc402948023"/>
      <w:bookmarkStart w:id="513" w:name="_Toc402948069"/>
      <w:bookmarkStart w:id="514" w:name="_Toc402948115"/>
      <w:bookmarkStart w:id="515" w:name="_Toc402948162"/>
      <w:bookmarkStart w:id="516" w:name="_Toc402949573"/>
      <w:bookmarkStart w:id="517" w:name="_Toc402949916"/>
      <w:bookmarkStart w:id="518" w:name="_Toc40295048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9" w:name="_Toc402949917"/>
    </w:p>
    <w:p w14:paraId="246216C3" w14:textId="03AD4DC5" w:rsidR="00620D5F" w:rsidRPr="00B04EB1" w:rsidRDefault="0064389E" w:rsidP="007A1175">
      <w:pPr>
        <w:pStyle w:val="Heading2"/>
      </w:pPr>
      <w:bookmarkStart w:id="520" w:name="_Toc402949928"/>
      <w:bookmarkEnd w:id="519"/>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1" w:name="_Toc402949930"/>
      <w:bookmarkEnd w:id="520"/>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1"/>
    </w:p>
    <w:p w14:paraId="7758F260" w14:textId="51F587B1" w:rsidR="00FC29ED" w:rsidRPr="00FC29ED" w:rsidRDefault="008B2D58" w:rsidP="00341C38">
      <w:pPr>
        <w:pStyle w:val="Heading1"/>
      </w:pPr>
      <w:bookmarkStart w:id="522" w:name="_Event_Performance_Measurement"/>
      <w:bookmarkStart w:id="523" w:name="_Toc402947373"/>
      <w:bookmarkStart w:id="524" w:name="_Toc402947978"/>
      <w:bookmarkStart w:id="525" w:name="_Toc402948025"/>
      <w:bookmarkStart w:id="526" w:name="_Toc402948071"/>
      <w:bookmarkStart w:id="527" w:name="_Toc402948117"/>
      <w:bookmarkStart w:id="528" w:name="_Toc402948164"/>
      <w:bookmarkStart w:id="529" w:name="_Toc402949575"/>
      <w:bookmarkStart w:id="530" w:name="_Toc402949934"/>
      <w:bookmarkStart w:id="531" w:name="_Toc402950482"/>
      <w:bookmarkStart w:id="532" w:name="_Toc11854186"/>
      <w:bookmarkStart w:id="533" w:name="_Toc11854502"/>
      <w:bookmarkStart w:id="534" w:name="_Toc11854816"/>
      <w:bookmarkStart w:id="535" w:name="_Toc11854187"/>
      <w:bookmarkStart w:id="536" w:name="_Toc11854503"/>
      <w:bookmarkStart w:id="537" w:name="_Toc11854817"/>
      <w:bookmarkStart w:id="538" w:name="_Toc11854188"/>
      <w:bookmarkStart w:id="539" w:name="_Toc11854504"/>
      <w:bookmarkStart w:id="540" w:name="_Toc11854818"/>
      <w:bookmarkStart w:id="541" w:name="_Toc11854189"/>
      <w:bookmarkStart w:id="542" w:name="_Toc11854505"/>
      <w:bookmarkStart w:id="543" w:name="_Toc11854819"/>
      <w:bookmarkStart w:id="544" w:name="_Toc11854190"/>
      <w:bookmarkStart w:id="545" w:name="_Toc11854506"/>
      <w:bookmarkStart w:id="546" w:name="_Toc11854820"/>
      <w:bookmarkStart w:id="547" w:name="_Toc11854191"/>
      <w:bookmarkStart w:id="548" w:name="_Toc11854507"/>
      <w:bookmarkStart w:id="549" w:name="_Toc11854821"/>
      <w:bookmarkStart w:id="550" w:name="_Toc11854192"/>
      <w:bookmarkStart w:id="551" w:name="_Toc11854508"/>
      <w:bookmarkStart w:id="552" w:name="_Toc11854822"/>
      <w:bookmarkStart w:id="553" w:name="_Toc11854229"/>
      <w:bookmarkStart w:id="554" w:name="_Toc11854545"/>
      <w:bookmarkStart w:id="555" w:name="_Toc11854859"/>
      <w:bookmarkStart w:id="556" w:name="_Toc11854230"/>
      <w:bookmarkStart w:id="557" w:name="_Toc11854546"/>
      <w:bookmarkStart w:id="558" w:name="_Toc11854860"/>
      <w:bookmarkStart w:id="559" w:name="_Toc11854231"/>
      <w:bookmarkStart w:id="560" w:name="_Toc11854547"/>
      <w:bookmarkStart w:id="561" w:name="_Toc11854861"/>
      <w:bookmarkStart w:id="562" w:name="_Toc11854232"/>
      <w:bookmarkStart w:id="563" w:name="_Toc11854548"/>
      <w:bookmarkStart w:id="564" w:name="_Toc11854862"/>
      <w:bookmarkStart w:id="565" w:name="_Toc11854233"/>
      <w:bookmarkStart w:id="566" w:name="_Toc11854549"/>
      <w:bookmarkStart w:id="567" w:name="_Toc11854863"/>
      <w:bookmarkStart w:id="568" w:name="_Toc11854234"/>
      <w:bookmarkStart w:id="569" w:name="_Toc11854550"/>
      <w:bookmarkStart w:id="570" w:name="_Toc11854864"/>
      <w:bookmarkStart w:id="571" w:name="_Toc11854235"/>
      <w:bookmarkStart w:id="572" w:name="_Toc11854551"/>
      <w:bookmarkStart w:id="573" w:name="_Toc11854865"/>
      <w:bookmarkStart w:id="574" w:name="_Toc11854236"/>
      <w:bookmarkStart w:id="575" w:name="_Toc11854552"/>
      <w:bookmarkStart w:id="576" w:name="_Toc11854866"/>
      <w:bookmarkStart w:id="577" w:name="_Toc11854237"/>
      <w:bookmarkStart w:id="578" w:name="_Toc11854553"/>
      <w:bookmarkStart w:id="579" w:name="_Toc11854867"/>
      <w:bookmarkStart w:id="580" w:name="_Toc11854238"/>
      <w:bookmarkStart w:id="581" w:name="_Toc11854554"/>
      <w:bookmarkStart w:id="582" w:name="_Toc11854868"/>
      <w:bookmarkStart w:id="583" w:name="_Toc11854239"/>
      <w:bookmarkStart w:id="584" w:name="_Toc11854555"/>
      <w:bookmarkStart w:id="585" w:name="_Toc11854869"/>
      <w:bookmarkStart w:id="586" w:name="_Toc11854240"/>
      <w:bookmarkStart w:id="587" w:name="_Toc11854556"/>
      <w:bookmarkStart w:id="588" w:name="_Toc11854870"/>
      <w:bookmarkStart w:id="589" w:name="_Toc11854241"/>
      <w:bookmarkStart w:id="590" w:name="_Toc11854557"/>
      <w:bookmarkStart w:id="591" w:name="_Toc11854871"/>
      <w:bookmarkStart w:id="592" w:name="_Toc11854242"/>
      <w:bookmarkStart w:id="593" w:name="_Toc11854558"/>
      <w:bookmarkStart w:id="594" w:name="_Toc11854872"/>
      <w:bookmarkStart w:id="595" w:name="_Toc11854243"/>
      <w:bookmarkStart w:id="596" w:name="_Toc11854559"/>
      <w:bookmarkStart w:id="597" w:name="_Toc11854873"/>
      <w:bookmarkStart w:id="598" w:name="_Toc11854244"/>
      <w:bookmarkStart w:id="599" w:name="_Toc11854560"/>
      <w:bookmarkStart w:id="600" w:name="_Toc11854874"/>
      <w:bookmarkStart w:id="601" w:name="_Toc11854245"/>
      <w:bookmarkStart w:id="602" w:name="_Toc11854561"/>
      <w:bookmarkStart w:id="603" w:name="_Toc11854875"/>
      <w:bookmarkStart w:id="604" w:name="_Toc11854246"/>
      <w:bookmarkStart w:id="605" w:name="_Toc11854562"/>
      <w:bookmarkStart w:id="606" w:name="_Toc11854876"/>
      <w:bookmarkStart w:id="607" w:name="_Toc11854247"/>
      <w:bookmarkStart w:id="608" w:name="_Toc11854563"/>
      <w:bookmarkStart w:id="609" w:name="_Toc11854877"/>
      <w:bookmarkStart w:id="610" w:name="_Toc11854248"/>
      <w:bookmarkStart w:id="611" w:name="_Toc11854564"/>
      <w:bookmarkStart w:id="612" w:name="_Toc11854878"/>
      <w:bookmarkStart w:id="613" w:name="_Toc11854249"/>
      <w:bookmarkStart w:id="614" w:name="_Toc11854565"/>
      <w:bookmarkStart w:id="615" w:name="_Toc11854879"/>
      <w:bookmarkStart w:id="616" w:name="_Toc11854250"/>
      <w:bookmarkStart w:id="617" w:name="_Toc11854566"/>
      <w:bookmarkStart w:id="618" w:name="_Toc11854880"/>
      <w:bookmarkStart w:id="619" w:name="_Toc11854251"/>
      <w:bookmarkStart w:id="620" w:name="_Toc11854567"/>
      <w:bookmarkStart w:id="621" w:name="_Toc11854881"/>
      <w:bookmarkStart w:id="622" w:name="_Toc11854252"/>
      <w:bookmarkStart w:id="623" w:name="_Toc11854568"/>
      <w:bookmarkStart w:id="624" w:name="_Toc11854882"/>
      <w:bookmarkStart w:id="625" w:name="_Toc11854253"/>
      <w:bookmarkStart w:id="626" w:name="_Toc11854569"/>
      <w:bookmarkStart w:id="627" w:name="_Toc11854883"/>
      <w:bookmarkStart w:id="628" w:name="_Toc11854254"/>
      <w:bookmarkStart w:id="629" w:name="_Toc11854570"/>
      <w:bookmarkStart w:id="630" w:name="_Toc11854884"/>
      <w:bookmarkStart w:id="631" w:name="_Toc11854255"/>
      <w:bookmarkStart w:id="632" w:name="_Toc11854571"/>
      <w:bookmarkStart w:id="633" w:name="_Toc11854885"/>
      <w:bookmarkStart w:id="634" w:name="_Toc11854256"/>
      <w:bookmarkStart w:id="635" w:name="_Toc11854572"/>
      <w:bookmarkStart w:id="636" w:name="_Toc11854886"/>
      <w:bookmarkStart w:id="637" w:name="_Toc11854257"/>
      <w:bookmarkStart w:id="638" w:name="_Toc11854573"/>
      <w:bookmarkStart w:id="639" w:name="_Toc11854887"/>
      <w:bookmarkStart w:id="640" w:name="_Toc11854258"/>
      <w:bookmarkStart w:id="641" w:name="_Toc11854574"/>
      <w:bookmarkStart w:id="642" w:name="_Toc11854888"/>
      <w:bookmarkStart w:id="643" w:name="_Toc11854259"/>
      <w:bookmarkStart w:id="644" w:name="_Toc11854575"/>
      <w:bookmarkStart w:id="645" w:name="_Toc11854889"/>
      <w:bookmarkStart w:id="646" w:name="_Toc11854260"/>
      <w:bookmarkStart w:id="647" w:name="_Toc11854576"/>
      <w:bookmarkStart w:id="648" w:name="_Toc11854890"/>
      <w:bookmarkStart w:id="649" w:name="_Toc11854261"/>
      <w:bookmarkStart w:id="650" w:name="_Toc11854577"/>
      <w:bookmarkStart w:id="651" w:name="_Toc11854891"/>
      <w:bookmarkStart w:id="652" w:name="_Toc11854262"/>
      <w:bookmarkStart w:id="653" w:name="_Toc11854578"/>
      <w:bookmarkStart w:id="654" w:name="_Toc11854892"/>
      <w:bookmarkStart w:id="655" w:name="_Toc11854263"/>
      <w:bookmarkStart w:id="656" w:name="_Toc11854579"/>
      <w:bookmarkStart w:id="657" w:name="_Toc11854893"/>
      <w:bookmarkStart w:id="658" w:name="_Toc11854264"/>
      <w:bookmarkStart w:id="659" w:name="_Toc11854580"/>
      <w:bookmarkStart w:id="660" w:name="_Toc11854894"/>
      <w:bookmarkStart w:id="661" w:name="_Toc11854265"/>
      <w:bookmarkStart w:id="662" w:name="_Toc11854581"/>
      <w:bookmarkStart w:id="663" w:name="_Toc11854895"/>
      <w:bookmarkStart w:id="664" w:name="_Toc11854266"/>
      <w:bookmarkStart w:id="665" w:name="_Toc11854582"/>
      <w:bookmarkStart w:id="666" w:name="_Toc11854896"/>
      <w:bookmarkStart w:id="667" w:name="_Toc11854267"/>
      <w:bookmarkStart w:id="668" w:name="_Toc11854583"/>
      <w:bookmarkStart w:id="669" w:name="_Toc11854897"/>
      <w:bookmarkStart w:id="670" w:name="_Toc11854268"/>
      <w:bookmarkStart w:id="671" w:name="_Toc11854584"/>
      <w:bookmarkStart w:id="672" w:name="_Toc11854898"/>
      <w:bookmarkStart w:id="673" w:name="_Toc11854269"/>
      <w:bookmarkStart w:id="674" w:name="_Toc11854585"/>
      <w:bookmarkStart w:id="675" w:name="_Toc11854899"/>
      <w:bookmarkStart w:id="676" w:name="_Toc11854270"/>
      <w:bookmarkStart w:id="677" w:name="_Toc11854586"/>
      <w:bookmarkStart w:id="678" w:name="_Toc11854900"/>
      <w:bookmarkStart w:id="679" w:name="_Toc11854339"/>
      <w:bookmarkStart w:id="680" w:name="_Toc372024797"/>
      <w:bookmarkStart w:id="681" w:name="_Toc402948026"/>
      <w:bookmarkStart w:id="682" w:name="_Toc402948072"/>
      <w:bookmarkStart w:id="683" w:name="_Toc402949576"/>
      <w:bookmarkStart w:id="684" w:name="_Toc402949954"/>
      <w:bookmarkStart w:id="685" w:name="_Toc412103865"/>
      <w:bookmarkStart w:id="686" w:name="_Toc17573125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Event Performance Measurement and Verification</w:t>
      </w:r>
      <w:bookmarkStart w:id="687" w:name="_Toc11854340"/>
      <w:bookmarkStart w:id="688" w:name="_Toc11854656"/>
      <w:bookmarkStart w:id="689" w:name="_Toc11854970"/>
      <w:bookmarkStart w:id="690" w:name="_Toc11854341"/>
      <w:bookmarkStart w:id="691" w:name="_Toc11854657"/>
      <w:bookmarkStart w:id="692" w:name="_Toc11854971"/>
      <w:bookmarkStart w:id="693" w:name="_Toc402947375"/>
      <w:bookmarkStart w:id="694" w:name="_Toc402947980"/>
      <w:bookmarkStart w:id="695" w:name="_Toc402948027"/>
      <w:bookmarkStart w:id="696" w:name="_Toc402948073"/>
      <w:bookmarkStart w:id="697" w:name="_Toc402948119"/>
      <w:bookmarkStart w:id="698" w:name="_Toc402948166"/>
      <w:bookmarkStart w:id="699" w:name="_Toc402949577"/>
      <w:bookmarkStart w:id="700" w:name="_Toc402949955"/>
      <w:bookmarkStart w:id="701" w:name="_Toc402950484"/>
      <w:bookmarkStart w:id="702" w:name="_Toc11854342"/>
      <w:bookmarkStart w:id="703" w:name="_Toc11854658"/>
      <w:bookmarkStart w:id="704" w:name="_Toc11854972"/>
      <w:bookmarkStart w:id="705" w:name="_Toc11854343"/>
      <w:bookmarkStart w:id="706" w:name="_Toc11854659"/>
      <w:bookmarkStart w:id="707" w:name="_Toc11854973"/>
      <w:bookmarkStart w:id="708" w:name="_Toc11854344"/>
      <w:bookmarkStart w:id="709" w:name="_Toc11854660"/>
      <w:bookmarkStart w:id="710" w:name="_Toc11854974"/>
      <w:bookmarkStart w:id="711" w:name="_Toc11854345"/>
      <w:bookmarkStart w:id="712" w:name="_Toc11854661"/>
      <w:bookmarkStart w:id="713" w:name="_Toc11854975"/>
      <w:bookmarkStart w:id="714" w:name="_Toc11854346"/>
      <w:bookmarkStart w:id="715" w:name="_Toc11854662"/>
      <w:bookmarkStart w:id="716" w:name="_Toc11854976"/>
      <w:bookmarkStart w:id="717" w:name="_Toc11854347"/>
      <w:bookmarkStart w:id="718" w:name="_Toc11854663"/>
      <w:bookmarkStart w:id="719" w:name="_Toc11854977"/>
      <w:bookmarkStart w:id="720" w:name="_Toc11854348"/>
      <w:bookmarkStart w:id="721" w:name="_Toc11854664"/>
      <w:bookmarkStart w:id="722" w:name="_Toc11854978"/>
      <w:bookmarkStart w:id="723" w:name="_Toc11854349"/>
      <w:bookmarkStart w:id="724" w:name="_Toc11854665"/>
      <w:bookmarkStart w:id="725" w:name="_Toc11854979"/>
      <w:bookmarkStart w:id="726" w:name="_Toc11854350"/>
      <w:bookmarkStart w:id="727" w:name="_Toc11854666"/>
      <w:bookmarkStart w:id="728" w:name="_Toc11854980"/>
      <w:bookmarkStart w:id="729" w:name="_Toc11854351"/>
      <w:bookmarkStart w:id="730" w:name="_Toc11854667"/>
      <w:bookmarkStart w:id="731" w:name="_Toc11854981"/>
      <w:bookmarkStart w:id="732" w:name="_Toc11854352"/>
      <w:bookmarkStart w:id="733" w:name="_Toc11854668"/>
      <w:bookmarkStart w:id="734" w:name="_Toc11854982"/>
      <w:bookmarkStart w:id="735" w:name="_Toc11854353"/>
      <w:bookmarkStart w:id="736" w:name="_Toc11854669"/>
      <w:bookmarkStart w:id="737" w:name="_Toc11854983"/>
      <w:bookmarkStart w:id="738" w:name="_Toc11854354"/>
      <w:bookmarkStart w:id="739" w:name="_Toc11854670"/>
      <w:bookmarkStart w:id="740" w:name="_Toc11854984"/>
      <w:bookmarkStart w:id="741" w:name="_Toc11854355"/>
      <w:bookmarkStart w:id="742" w:name="_Toc11854671"/>
      <w:bookmarkStart w:id="743" w:name="_Toc11854985"/>
      <w:bookmarkStart w:id="744" w:name="_Toc11854356"/>
      <w:bookmarkStart w:id="745" w:name="_Toc11854672"/>
      <w:bookmarkStart w:id="746" w:name="_Toc11854986"/>
      <w:bookmarkStart w:id="747" w:name="_Toc11854357"/>
      <w:bookmarkStart w:id="748" w:name="_Toc11854673"/>
      <w:bookmarkStart w:id="749" w:name="_Toc11854987"/>
      <w:bookmarkStart w:id="750" w:name="_Toc11854358"/>
      <w:bookmarkStart w:id="751" w:name="_Toc11854674"/>
      <w:bookmarkStart w:id="752" w:name="_Toc11854988"/>
      <w:bookmarkStart w:id="753" w:name="_Toc11854359"/>
      <w:bookmarkStart w:id="754" w:name="_Toc11854675"/>
      <w:bookmarkStart w:id="755" w:name="_Toc11854989"/>
      <w:bookmarkStart w:id="756" w:name="_Toc11854360"/>
      <w:bookmarkStart w:id="757" w:name="_Toc11854676"/>
      <w:bookmarkStart w:id="758" w:name="_Toc11854990"/>
      <w:bookmarkStart w:id="759" w:name="_Toc11854361"/>
      <w:bookmarkStart w:id="760" w:name="_Toc11854677"/>
      <w:bookmarkStart w:id="761" w:name="_Toc11854991"/>
      <w:bookmarkStart w:id="762" w:name="_Toc11854362"/>
      <w:bookmarkStart w:id="763" w:name="_Toc11854678"/>
      <w:bookmarkStart w:id="764" w:name="_Toc11854992"/>
      <w:bookmarkStart w:id="765" w:name="_Toc402949969"/>
      <w:bookmarkStart w:id="766" w:name="_Toc11854363"/>
      <w:bookmarkStart w:id="767" w:name="_Toc11854679"/>
      <w:bookmarkStart w:id="768" w:name="_Toc11854993"/>
      <w:bookmarkStart w:id="769" w:name="_Toc11854364"/>
      <w:bookmarkStart w:id="770" w:name="_Toc11854680"/>
      <w:bookmarkStart w:id="771" w:name="_Toc11854994"/>
      <w:bookmarkStart w:id="772" w:name="_Toc11854365"/>
      <w:bookmarkStart w:id="773" w:name="_Toc11854681"/>
      <w:bookmarkStart w:id="774" w:name="_Toc11854995"/>
      <w:bookmarkStart w:id="775" w:name="_Toc11854366"/>
      <w:bookmarkStart w:id="776" w:name="_Toc11854682"/>
      <w:bookmarkStart w:id="777" w:name="_Toc11854996"/>
      <w:bookmarkStart w:id="778" w:name="_Toc11854367"/>
      <w:bookmarkStart w:id="779" w:name="_Toc11854683"/>
      <w:bookmarkStart w:id="780" w:name="_Toc11854997"/>
      <w:bookmarkStart w:id="781" w:name="_Toc11854368"/>
      <w:bookmarkStart w:id="782" w:name="_Toc11854684"/>
      <w:bookmarkStart w:id="783" w:name="_Toc11854998"/>
      <w:bookmarkStart w:id="784" w:name="_Toc11854369"/>
      <w:bookmarkStart w:id="785" w:name="_Toc11854685"/>
      <w:bookmarkStart w:id="786" w:name="_Toc11854999"/>
      <w:bookmarkStart w:id="787" w:name="_Toc402949976"/>
      <w:bookmarkStart w:id="788" w:name="_Toc11854370"/>
      <w:bookmarkStart w:id="789" w:name="_Toc11854686"/>
      <w:bookmarkStart w:id="790" w:name="_Toc11855000"/>
      <w:bookmarkStart w:id="791" w:name="_Toc11854371"/>
      <w:bookmarkStart w:id="792" w:name="_Toc11854687"/>
      <w:bookmarkStart w:id="793" w:name="_Toc11855001"/>
      <w:bookmarkStart w:id="794" w:name="_Toc11854372"/>
      <w:bookmarkStart w:id="795" w:name="_Toc11854688"/>
      <w:bookmarkStart w:id="796" w:name="_Toc11855002"/>
      <w:bookmarkStart w:id="797" w:name="_Toc11854373"/>
      <w:bookmarkStart w:id="798" w:name="_Toc11854689"/>
      <w:bookmarkStart w:id="799" w:name="_Toc11855003"/>
      <w:bookmarkStart w:id="800" w:name="_Toc11854374"/>
      <w:bookmarkStart w:id="801" w:name="_Toc11854690"/>
      <w:bookmarkStart w:id="802" w:name="_Toc11855004"/>
      <w:bookmarkStart w:id="803" w:name="_Toc11854375"/>
      <w:bookmarkStart w:id="804" w:name="_Toc11854691"/>
      <w:bookmarkStart w:id="805" w:name="_Toc11855005"/>
      <w:bookmarkStart w:id="806" w:name="_Toc11854376"/>
      <w:bookmarkStart w:id="807" w:name="_Toc11854692"/>
      <w:bookmarkStart w:id="808" w:name="_Toc11855006"/>
      <w:bookmarkStart w:id="809" w:name="_Toc11854377"/>
      <w:bookmarkStart w:id="810" w:name="_Toc11854693"/>
      <w:bookmarkStart w:id="811" w:name="_Toc11855007"/>
      <w:bookmarkStart w:id="812" w:name="_Toc11854378"/>
      <w:bookmarkStart w:id="813" w:name="_Toc11854694"/>
      <w:bookmarkStart w:id="814" w:name="_Toc11855008"/>
      <w:bookmarkStart w:id="815" w:name="_Toc11854379"/>
      <w:bookmarkStart w:id="816" w:name="_Toc11854695"/>
      <w:bookmarkStart w:id="817" w:name="_Toc11855009"/>
      <w:bookmarkStart w:id="818" w:name="_Toc11854380"/>
      <w:bookmarkStart w:id="819" w:name="_Toc11854696"/>
      <w:bookmarkStart w:id="820" w:name="_Toc11855010"/>
      <w:bookmarkStart w:id="821" w:name="_Toc11854381"/>
      <w:bookmarkStart w:id="822" w:name="_Toc11854697"/>
      <w:bookmarkStart w:id="823" w:name="_Toc11855011"/>
      <w:bookmarkStart w:id="824" w:name="_Toc11854382"/>
      <w:bookmarkStart w:id="825" w:name="_Toc11854698"/>
      <w:bookmarkStart w:id="826" w:name="_Toc11855012"/>
      <w:bookmarkStart w:id="827" w:name="_Toc40294998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7"/>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8"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8"/>
    </w:p>
    <w:p w14:paraId="74AFD771" w14:textId="77777777" w:rsidR="00105B04" w:rsidRPr="00B04EB1" w:rsidRDefault="00105B04" w:rsidP="00936D1A">
      <w:pPr>
        <w:numPr>
          <w:ilvl w:val="2"/>
          <w:numId w:val="16"/>
        </w:numPr>
        <w:jc w:val="both"/>
        <w:rPr>
          <w:rFonts w:cs="Arial"/>
          <w:sz w:val="20"/>
          <w:szCs w:val="20"/>
        </w:rPr>
      </w:pPr>
      <w:bookmarkStart w:id="829" w:name="_Toc402949990"/>
      <w:r w:rsidRPr="00B04EB1">
        <w:rPr>
          <w:rFonts w:cs="Arial"/>
          <w:sz w:val="20"/>
          <w:szCs w:val="20"/>
        </w:rPr>
        <w:t>Energy flows at the Private Use Network’s tie point to the ERCOT System.</w:t>
      </w:r>
      <w:bookmarkEnd w:id="829"/>
      <w:r w:rsidRPr="00B04EB1">
        <w:rPr>
          <w:rFonts w:cs="Arial"/>
          <w:sz w:val="20"/>
          <w:szCs w:val="20"/>
        </w:rPr>
        <w:t xml:space="preserve">  </w:t>
      </w:r>
    </w:p>
    <w:p w14:paraId="18E9034A" w14:textId="70129911" w:rsidR="00105B04" w:rsidRPr="00B04EB1" w:rsidRDefault="00105B04" w:rsidP="007A1175">
      <w:pPr>
        <w:pStyle w:val="Heading2"/>
      </w:pPr>
      <w:bookmarkStart w:id="830"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30"/>
      <w:r w:rsidRPr="00B04EB1">
        <w:t xml:space="preserve"> </w:t>
      </w:r>
    </w:p>
    <w:p w14:paraId="3E2FDD76" w14:textId="2D366EDE" w:rsidR="00105B04" w:rsidRPr="00B04EB1" w:rsidRDefault="00105B04" w:rsidP="007A1175">
      <w:pPr>
        <w:pStyle w:val="Heading2"/>
      </w:pPr>
      <w:bookmarkStart w:id="831"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1"/>
      <w:r w:rsidRPr="00B04EB1">
        <w:t xml:space="preserve">  </w:t>
      </w:r>
    </w:p>
    <w:p w14:paraId="4D4FDED1" w14:textId="2452506E" w:rsidR="00FC29ED" w:rsidRDefault="00105B04" w:rsidP="007A1175">
      <w:pPr>
        <w:pStyle w:val="Heading2"/>
      </w:pPr>
      <w:bookmarkStart w:id="832"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3" w:name="_Toc402949995"/>
      <w:bookmarkEnd w:id="832"/>
    </w:p>
    <w:p w14:paraId="64281372" w14:textId="79AE1561" w:rsidR="007D2EC1" w:rsidRDefault="007D2EC1" w:rsidP="00341C38">
      <w:pPr>
        <w:pStyle w:val="Heading1"/>
      </w:pPr>
      <w:bookmarkStart w:id="834" w:name="_Toc11854384"/>
      <w:bookmarkStart w:id="835" w:name="_Toc11854700"/>
      <w:bookmarkStart w:id="836" w:name="_Toc11855014"/>
      <w:bookmarkStart w:id="837" w:name="_Toc11854385"/>
      <w:bookmarkStart w:id="838" w:name="_Toc11854701"/>
      <w:bookmarkStart w:id="839" w:name="_Toc11855015"/>
      <w:bookmarkStart w:id="840" w:name="_Toc11854386"/>
      <w:bookmarkStart w:id="841" w:name="_Toc11854702"/>
      <w:bookmarkStart w:id="842" w:name="_Toc11855016"/>
      <w:bookmarkStart w:id="843" w:name="_Toc11854387"/>
      <w:bookmarkStart w:id="844" w:name="_Toc11854703"/>
      <w:bookmarkStart w:id="845" w:name="_Toc11855017"/>
      <w:bookmarkStart w:id="846" w:name="_Toc11854388"/>
      <w:bookmarkStart w:id="847" w:name="_Toc11854704"/>
      <w:bookmarkStart w:id="848" w:name="_Toc11855018"/>
      <w:bookmarkStart w:id="849" w:name="_Toc11854389"/>
      <w:bookmarkStart w:id="850" w:name="_Toc11854705"/>
      <w:bookmarkStart w:id="851" w:name="_Toc11855019"/>
      <w:bookmarkStart w:id="852" w:name="_Toc11854390"/>
      <w:bookmarkStart w:id="853" w:name="_Toc11854706"/>
      <w:bookmarkStart w:id="854" w:name="_Toc11855020"/>
      <w:bookmarkStart w:id="855" w:name="_Toc244327434"/>
      <w:bookmarkStart w:id="856" w:name="_Toc244327608"/>
      <w:bookmarkStart w:id="857" w:name="_Toc244327662"/>
      <w:bookmarkStart w:id="858" w:name="_Toc244327760"/>
      <w:bookmarkStart w:id="859" w:name="_Toc244327817"/>
      <w:bookmarkStart w:id="860" w:name="_Toc244327858"/>
      <w:bookmarkStart w:id="861" w:name="_Toc244327663"/>
      <w:bookmarkStart w:id="862" w:name="_Toc244327761"/>
      <w:bookmarkStart w:id="863" w:name="_Toc244327818"/>
      <w:bookmarkStart w:id="864" w:name="_Toc244327859"/>
      <w:bookmarkStart w:id="865" w:name="_Toc402950003"/>
      <w:bookmarkStart w:id="866" w:name="_Toc402950004"/>
      <w:bookmarkStart w:id="867" w:name="_Toc402950005"/>
      <w:bookmarkStart w:id="868" w:name="_Toc402950006"/>
      <w:bookmarkStart w:id="869" w:name="_Toc402950007"/>
      <w:bookmarkStart w:id="870" w:name="_Toc402950008"/>
      <w:bookmarkStart w:id="871" w:name="_Toc402950009"/>
      <w:bookmarkStart w:id="872" w:name="_Toc402950010"/>
      <w:bookmarkStart w:id="873" w:name="_Toc402950011"/>
      <w:bookmarkStart w:id="874" w:name="_Toc402950012"/>
      <w:bookmarkStart w:id="875" w:name="_Toc402950013"/>
      <w:bookmarkStart w:id="876" w:name="_Toc402950014"/>
      <w:bookmarkStart w:id="877" w:name="_Toc402950015"/>
      <w:bookmarkStart w:id="878" w:name="_Toc402950016"/>
      <w:bookmarkStart w:id="879" w:name="_Toc402950017"/>
      <w:bookmarkStart w:id="880" w:name="_Toc402950018"/>
      <w:bookmarkStart w:id="881" w:name="_Toc402950019"/>
      <w:bookmarkStart w:id="882" w:name="_Toc402950020"/>
      <w:bookmarkStart w:id="883" w:name="_Toc17573125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7D2EC1">
        <w:t>QSE Performance Criteria</w:t>
      </w:r>
      <w:bookmarkEnd w:id="883"/>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4" w:name="_Toc402950022"/>
      <w:r w:rsidRPr="00B04EB1">
        <w:t xml:space="preserve">QSE portfolio-level event performance factors and availability factors are expressed as a number between 0 and 1.  ERCOT will assign final factors to three decimal points using </w:t>
      </w:r>
      <w:r w:rsidRPr="00B04EB1">
        <w:lastRenderedPageBreak/>
        <w:t>standard rounding procedures.  For example, a factor of 0.94950 will round to 0.950; a factor of 0.94949 will round to 0.949.</w:t>
      </w:r>
      <w:bookmarkEnd w:id="884"/>
    </w:p>
    <w:p w14:paraId="588037DA" w14:textId="77777777" w:rsidR="00FC29ED" w:rsidRDefault="00732114" w:rsidP="00341C38">
      <w:pPr>
        <w:pStyle w:val="Heading1"/>
      </w:pPr>
      <w:bookmarkStart w:id="885" w:name="_Toc175731254"/>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5"/>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7A1175">
      <w:pPr>
        <w:pStyle w:val="Heading2"/>
      </w:pPr>
      <w:r w:rsidRPr="00B04EB1">
        <w:lastRenderedPageBreak/>
        <w:t>The reinstatement test requirement may be waived if an ERS Resource successfully meets it performance requirements in an ERS deployment event or annual test prior to the start of its suspension period.  When such an ERS Resource is reinstated, its offer for the subsequent Standard Contract Term will be bound by the parameters in place at the time of its successful deployment or test.</w:t>
      </w: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C98598E" w14:textId="1E89EC06" w:rsidR="00C664A7" w:rsidRPr="00C17521" w:rsidRDefault="00105B04" w:rsidP="00341C38">
      <w:pPr>
        <w:pStyle w:val="Heading1"/>
      </w:pPr>
      <w:bookmarkStart w:id="1176" w:name="_Toc175731255"/>
      <w:r w:rsidRPr="00C17521">
        <w:t>Prohibition on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A Site in an ERS Generator may not register with ERCOT as a Generation Resource while it is committed in ERS.</w:t>
      </w:r>
    </w:p>
    <w:p w14:paraId="6DCF4E90" w14:textId="77777777" w:rsidR="00D8677E" w:rsidRPr="00B04EB1" w:rsidRDefault="00D8677E" w:rsidP="007A1175">
      <w:pPr>
        <w:pStyle w:val="Heading2"/>
      </w:pPr>
      <w:r w:rsidRPr="00B04EB1">
        <w:t xml:space="preserve">An RID, ESI ID or a customer in a NOIE area which is participating </w:t>
      </w:r>
      <w:proofErr w:type="gramStart"/>
      <w:r w:rsidRPr="00B04EB1">
        <w:t>and in any way</w:t>
      </w:r>
      <w:proofErr w:type="gramEnd"/>
      <w:r w:rsidRPr="00B04EB1">
        <w:t xml:space="preserve"> obligated in a program other than those listed above for which a separate reservation payment is being received by any entity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75731256"/>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10218E9B" w:rsidR="00F12049" w:rsidRPr="005374D1" w:rsidRDefault="00414F26" w:rsidP="009025A3">
          <w:pPr>
            <w:pStyle w:val="Header"/>
            <w:spacing w:before="40" w:after="40"/>
            <w:rPr>
              <w:rFonts w:cs="Arial"/>
              <w:iCs/>
              <w:color w:val="5B9BD5"/>
              <w:sz w:val="16"/>
              <w:szCs w:val="16"/>
            </w:rPr>
          </w:pPr>
          <w:r>
            <w:rPr>
              <w:rFonts w:cs="Arial"/>
              <w:iCs/>
              <w:color w:val="5B9BD5"/>
              <w:sz w:val="18"/>
              <w:szCs w:val="16"/>
            </w:rPr>
            <w:t xml:space="preserve">April </w:t>
          </w:r>
          <w:r w:rsidR="00F12049">
            <w:rPr>
              <w:rFonts w:cs="Arial"/>
              <w:iCs/>
              <w:color w:val="5B9BD5"/>
              <w:sz w:val="18"/>
              <w:szCs w:val="16"/>
            </w:rPr>
            <w:t xml:space="preserve">1, </w:t>
          </w:r>
          <w:r w:rsidR="00D80C16">
            <w:rPr>
              <w:rFonts w:cs="Arial"/>
              <w:iCs/>
              <w:color w:val="5B9BD5"/>
              <w:sz w:val="18"/>
              <w:szCs w:val="16"/>
            </w:rPr>
            <w:t>202</w:t>
          </w:r>
          <w:r>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sidR="00E24C4C">
            <w:rPr>
              <w:rFonts w:cs="Arial"/>
              <w:iCs/>
              <w:color w:val="5B9BD5"/>
              <w:sz w:val="18"/>
              <w:szCs w:val="16"/>
            </w:rPr>
            <w:t>Ma</w:t>
          </w:r>
          <w:r>
            <w:rPr>
              <w:rFonts w:cs="Arial"/>
              <w:iCs/>
              <w:color w:val="5B9BD5"/>
              <w:sz w:val="18"/>
              <w:szCs w:val="16"/>
            </w:rPr>
            <w:t>y</w:t>
          </w:r>
          <w:r w:rsidR="00AA1E49">
            <w:rPr>
              <w:rFonts w:cs="Arial"/>
              <w:iCs/>
              <w:color w:val="5B9BD5"/>
              <w:sz w:val="18"/>
              <w:szCs w:val="16"/>
            </w:rPr>
            <w:t xml:space="preserve"> </w:t>
          </w:r>
          <w:r w:rsidR="00C15B0F">
            <w:rPr>
              <w:rFonts w:cs="Arial"/>
              <w:iCs/>
              <w:color w:val="5B9BD5"/>
              <w:sz w:val="18"/>
              <w:szCs w:val="16"/>
            </w:rPr>
            <w:t>3</w:t>
          </w:r>
          <w:r w:rsidR="00E24C4C">
            <w:rPr>
              <w:rFonts w:cs="Arial"/>
              <w:iCs/>
              <w:color w:val="5B9BD5"/>
              <w:sz w:val="18"/>
              <w:szCs w:val="16"/>
            </w:rPr>
            <w:t>1</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0"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8"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0"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7"/>
  </w:num>
  <w:num w:numId="2" w16cid:durableId="1913153967">
    <w:abstractNumId w:val="20"/>
  </w:num>
  <w:num w:numId="3" w16cid:durableId="102579543">
    <w:abstractNumId w:val="12"/>
  </w:num>
  <w:num w:numId="4" w16cid:durableId="501630620">
    <w:abstractNumId w:val="34"/>
  </w:num>
  <w:num w:numId="5" w16cid:durableId="1160733588">
    <w:abstractNumId w:val="35"/>
  </w:num>
  <w:num w:numId="6" w16cid:durableId="549388605">
    <w:abstractNumId w:val="38"/>
  </w:num>
  <w:num w:numId="7" w16cid:durableId="1813257123">
    <w:abstractNumId w:val="10"/>
  </w:num>
  <w:num w:numId="8" w16cid:durableId="87504108">
    <w:abstractNumId w:val="6"/>
  </w:num>
  <w:num w:numId="9" w16cid:durableId="41944845">
    <w:abstractNumId w:val="39"/>
  </w:num>
  <w:num w:numId="10" w16cid:durableId="54477576">
    <w:abstractNumId w:val="21"/>
  </w:num>
  <w:num w:numId="11" w16cid:durableId="1801806641">
    <w:abstractNumId w:val="19"/>
  </w:num>
  <w:num w:numId="12" w16cid:durableId="1021393313">
    <w:abstractNumId w:val="3"/>
  </w:num>
  <w:num w:numId="13" w16cid:durableId="459958430">
    <w:abstractNumId w:val="37"/>
  </w:num>
  <w:num w:numId="14" w16cid:durableId="1771198967">
    <w:abstractNumId w:val="37"/>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5"/>
  </w:num>
  <w:num w:numId="16" w16cid:durableId="2101633099">
    <w:abstractNumId w:val="2"/>
  </w:num>
  <w:num w:numId="17" w16cid:durableId="296229347">
    <w:abstractNumId w:val="7"/>
  </w:num>
  <w:num w:numId="18" w16cid:durableId="946812113">
    <w:abstractNumId w:val="22"/>
  </w:num>
  <w:num w:numId="19" w16cid:durableId="277103689">
    <w:abstractNumId w:val="42"/>
  </w:num>
  <w:num w:numId="20" w16cid:durableId="379212790">
    <w:abstractNumId w:val="18"/>
  </w:num>
  <w:num w:numId="21" w16cid:durableId="1480612045">
    <w:abstractNumId w:val="17"/>
  </w:num>
  <w:num w:numId="22" w16cid:durableId="1081559556">
    <w:abstractNumId w:val="11"/>
  </w:num>
  <w:num w:numId="23" w16cid:durableId="1003314063">
    <w:abstractNumId w:val="8"/>
  </w:num>
  <w:num w:numId="24" w16cid:durableId="983699347">
    <w:abstractNumId w:val="5"/>
  </w:num>
  <w:num w:numId="25" w16cid:durableId="975527593">
    <w:abstractNumId w:val="36"/>
  </w:num>
  <w:num w:numId="26" w16cid:durableId="1446778137">
    <w:abstractNumId w:val="26"/>
  </w:num>
  <w:num w:numId="27" w16cid:durableId="754864669">
    <w:abstractNumId w:val="14"/>
  </w:num>
  <w:num w:numId="28" w16cid:durableId="1132166243">
    <w:abstractNumId w:val="9"/>
  </w:num>
  <w:num w:numId="29" w16cid:durableId="1066295752">
    <w:abstractNumId w:val="23"/>
  </w:num>
  <w:num w:numId="30" w16cid:durableId="147475632">
    <w:abstractNumId w:val="43"/>
  </w:num>
  <w:num w:numId="31" w16cid:durableId="1901134135">
    <w:abstractNumId w:val="24"/>
  </w:num>
  <w:num w:numId="32" w16cid:durableId="706374315">
    <w:abstractNumId w:val="41"/>
  </w:num>
  <w:num w:numId="33" w16cid:durableId="934895876">
    <w:abstractNumId w:val="33"/>
  </w:num>
  <w:num w:numId="34" w16cid:durableId="1549494920">
    <w:abstractNumId w:val="30"/>
  </w:num>
  <w:num w:numId="35" w16cid:durableId="169829768">
    <w:abstractNumId w:val="44"/>
  </w:num>
  <w:num w:numId="36" w16cid:durableId="1040201861">
    <w:abstractNumId w:val="32"/>
  </w:num>
  <w:num w:numId="37" w16cid:durableId="1098714093">
    <w:abstractNumId w:val="25"/>
  </w:num>
  <w:num w:numId="38" w16cid:durableId="1268461365">
    <w:abstractNumId w:val="0"/>
  </w:num>
  <w:num w:numId="39" w16cid:durableId="841162408">
    <w:abstractNumId w:val="28"/>
  </w:num>
  <w:num w:numId="40" w16cid:durableId="390735144">
    <w:abstractNumId w:val="29"/>
  </w:num>
  <w:num w:numId="41" w16cid:durableId="1218474385">
    <w:abstractNumId w:val="40"/>
  </w:num>
  <w:num w:numId="42" w16cid:durableId="981231504">
    <w:abstractNumId w:val="13"/>
  </w:num>
  <w:num w:numId="43" w16cid:durableId="602224157">
    <w:abstractNumId w:val="16"/>
  </w:num>
  <w:num w:numId="44" w16cid:durableId="178928488">
    <w:abstractNumId w:val="4"/>
  </w:num>
  <w:num w:numId="45" w16cid:durableId="2031830602">
    <w:abstractNumId w:val="1"/>
  </w:num>
  <w:num w:numId="46" w16cid:durableId="495537330">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4F26"/>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5DD"/>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620"/>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1A9B"/>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8800</Words>
  <Characters>50163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58846</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2025-02-13T18:37:00Z</dcterms:created>
  <dcterms:modified xsi:type="dcterms:W3CDTF">2025-02-13T18:37:00Z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2025-02-13T18:37:31Z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8887e2d8-aded-4999-b648-e78c589b7967</vt:lpwstr>
  </property>
  <property fmtid="{D5CDD505-2E9C-101B-9397-08002B2CF9AE}" pid="8" name="MSIP_Label_7084cbda-52b8-46fb-a7b7-cb5bd465ed85_ContentBits">
    <vt:lpwstr>0</vt:lpwstr>
  </property>
</Properties>
</file>