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26731349" w14:textId="77777777" w:rsidTr="009E63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1826C62" w:rsidR="00C97625" w:rsidRDefault="009E63C7" w:rsidP="00D54DC7">
            <w:pPr>
              <w:pStyle w:val="Header"/>
            </w:pPr>
            <w:r>
              <w:t xml:space="preserve">SMOGRR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77ADCA7" w:rsidR="00C97625" w:rsidRPr="00595DDC" w:rsidRDefault="00821226" w:rsidP="0082122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9E63C7" w:rsidRPr="009E63C7">
                <w:rPr>
                  <w:rStyle w:val="Hyperlink"/>
                </w:rPr>
                <w:t>028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6FCB665" w:rsidR="00C97625" w:rsidRDefault="009E63C7" w:rsidP="00D54DC7">
            <w:pPr>
              <w:pStyle w:val="Header"/>
            </w:pPr>
            <w:r>
              <w:t xml:space="preserve">SMOGRR </w:t>
            </w:r>
            <w:r w:rsidR="00C97625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B2ADD28" w14:textId="5A6E6BA3" w:rsidR="00C97625" w:rsidRPr="009F3D0E" w:rsidRDefault="009E63C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 Series Reactor Compensation Factors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EDBEED8" w:rsidR="00FC0BDC" w:rsidRPr="009F3D0E" w:rsidRDefault="0082122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20,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4CE0443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9E63C7">
              <w:t xml:space="preserve">Settlement Metering Operating Guide Revision Request (SMOGRR)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7BBD4A6" w:rsidR="004D252E" w:rsidRPr="009266AD" w:rsidRDefault="009E63C7" w:rsidP="00D54DC7">
            <w:pPr>
              <w:pStyle w:val="NormalArial"/>
              <w:rPr>
                <w:sz w:val="22"/>
                <w:szCs w:val="22"/>
              </w:rPr>
            </w:pPr>
            <w:r w:rsidRPr="009E63C7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SMOGRR</w:t>
            </w:r>
            <w:r w:rsidRPr="009E63C7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BF1AEDB" w:rsidR="006B0C5E" w:rsidRDefault="0082122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028SMOGRR-07 Impact Analysis 022025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21A9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D39D8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6418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1226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B35ED"/>
    <w:rsid w:val="009D0F80"/>
    <w:rsid w:val="009D39FB"/>
    <w:rsid w:val="009D4F91"/>
    <w:rsid w:val="009E0E28"/>
    <w:rsid w:val="009E63C7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694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B73DE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MOGRR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2025-02-20T21:11:00Z</dcterms:created>
  <dcterms:modified xsi:type="dcterms:W3CDTF">2025-02-20T21:13:00Z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