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0613" w14:textId="77777777" w:rsidR="00D23C9C" w:rsidRPr="002D4213" w:rsidRDefault="00D23C9C" w:rsidP="00D23C9C">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01575D3" w14:textId="76761FD2" w:rsidR="002D4213" w:rsidRPr="002D4213" w:rsidRDefault="00D23C9C" w:rsidP="002D4213">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 xml:space="preserve">February </w:t>
      </w:r>
      <w:r w:rsidR="002D4213" w:rsidRPr="002D4213">
        <w:rPr>
          <w:rFonts w:ascii="Times New Roman" w:eastAsia="Calibri" w:hAnsi="Times New Roman" w:cs="Times New Roman"/>
          <w:b/>
          <w:bCs/>
          <w:kern w:val="0"/>
          <w:sz w:val="32"/>
          <w:szCs w:val="32"/>
          <w14:ligatures w14:val="none"/>
        </w:rPr>
        <w:t>202</w:t>
      </w:r>
      <w:r w:rsidR="00B43007">
        <w:rPr>
          <w:rFonts w:ascii="Times New Roman" w:eastAsia="Calibri" w:hAnsi="Times New Roman" w:cs="Times New Roman"/>
          <w:b/>
          <w:bCs/>
          <w:kern w:val="0"/>
          <w:sz w:val="32"/>
          <w:szCs w:val="32"/>
          <w14:ligatures w14:val="none"/>
        </w:rPr>
        <w:t>5</w:t>
      </w:r>
    </w:p>
    <w:p w14:paraId="5255C0B2"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3ECE4A7A"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p>
    <w:p w14:paraId="0B0BFB52" w14:textId="0CB1ED99"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093D07">
        <w:rPr>
          <w:rFonts w:ascii="Times New Roman" w:eastAsia="Calibri" w:hAnsi="Times New Roman" w:cs="Times New Roman"/>
          <w:b/>
          <w:bCs/>
          <w:kern w:val="0"/>
          <w:sz w:val="28"/>
          <w:szCs w:val="28"/>
          <w:u w:val="single"/>
          <w14:ligatures w14:val="none"/>
        </w:rPr>
        <w:t>January</w:t>
      </w:r>
      <w:r w:rsidR="00D976D9">
        <w:rPr>
          <w:rFonts w:ascii="Times New Roman" w:eastAsia="Calibri" w:hAnsi="Times New Roman" w:cs="Times New Roman"/>
          <w:b/>
          <w:bCs/>
          <w:kern w:val="0"/>
          <w:sz w:val="28"/>
          <w:szCs w:val="28"/>
          <w:u w:val="single"/>
          <w14:ligatures w14:val="none"/>
        </w:rPr>
        <w:t xml:space="preserve"> </w:t>
      </w:r>
      <w:r w:rsidR="006763EB">
        <w:rPr>
          <w:rFonts w:ascii="Times New Roman" w:eastAsia="Calibri" w:hAnsi="Times New Roman" w:cs="Times New Roman"/>
          <w:b/>
          <w:bCs/>
          <w:kern w:val="0"/>
          <w:sz w:val="28"/>
          <w:szCs w:val="28"/>
          <w:u w:val="single"/>
          <w14:ligatures w14:val="none"/>
        </w:rPr>
        <w:t>21</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65B539D3" w14:textId="7A8EF139" w:rsidR="002D4213" w:rsidRDefault="002D4213" w:rsidP="002D4213">
      <w:pPr>
        <w:spacing w:line="259" w:lineRule="auto"/>
      </w:pPr>
      <w:r w:rsidRPr="002D4213">
        <w:rPr>
          <w:rFonts w:ascii="Times New Roman" w:eastAsia="Calibri" w:hAnsi="Times New Roman" w:cs="Times New Roman"/>
          <w:kern w:val="0"/>
          <w:sz w:val="28"/>
          <w:szCs w:val="28"/>
          <w14:ligatures w14:val="none"/>
        </w:rPr>
        <w:t xml:space="preserve">The agenda and the presentation slides are available </w:t>
      </w:r>
      <w:hyperlink r:id="rId8" w:history="1">
        <w:r w:rsidRPr="002D4213">
          <w:rPr>
            <w:rStyle w:val="Hyperlink"/>
            <w:rFonts w:ascii="Times New Roman" w:eastAsia="Calibri" w:hAnsi="Times New Roman" w:cs="Times New Roman"/>
            <w:kern w:val="0"/>
            <w:sz w:val="28"/>
            <w:szCs w:val="28"/>
            <w14:ligatures w14:val="none"/>
          </w:rPr>
          <w:t>here</w:t>
        </w:r>
      </w:hyperlink>
    </w:p>
    <w:p w14:paraId="26A2144A" w14:textId="4D1B1FF3" w:rsidR="008D68C1" w:rsidRPr="002D4213" w:rsidRDefault="001B14CD" w:rsidP="008D68C1">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11</w:t>
      </w:r>
      <w:r w:rsidR="00F65C5E">
        <w:rPr>
          <w:rFonts w:ascii="Times New Roman" w:eastAsia="Calibri" w:hAnsi="Times New Roman" w:cs="Times New Roman"/>
          <w:kern w:val="0"/>
          <w:sz w:val="28"/>
          <w:szCs w:val="28"/>
          <w14:ligatures w14:val="none"/>
        </w:rPr>
        <w:t>1</w:t>
      </w:r>
      <w:r w:rsidR="008D68C1">
        <w:rPr>
          <w:rFonts w:ascii="Times New Roman" w:eastAsia="Calibri" w:hAnsi="Times New Roman" w:cs="Times New Roman"/>
          <w:kern w:val="0"/>
          <w:sz w:val="28"/>
          <w:szCs w:val="28"/>
          <w14:ligatures w14:val="none"/>
        </w:rPr>
        <w:t xml:space="preserve"> people attended the meeting (at peak)</w:t>
      </w:r>
    </w:p>
    <w:p w14:paraId="747846F7" w14:textId="77777777"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62BAB96E" w14:textId="14BA180E" w:rsidR="00A1493A" w:rsidRDefault="004145B6" w:rsidP="002D4213">
      <w:p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 request was made by Kattie Rich (chair of ROS) not to discuss anything related to NOGRR</w:t>
      </w:r>
      <w:r w:rsidR="00A1493A">
        <w:rPr>
          <w:rFonts w:ascii="Times New Roman" w:eastAsia="Calibri" w:hAnsi="Times New Roman" w:cs="Times New Roman"/>
          <w:kern w:val="0"/>
          <w:sz w:val="28"/>
          <w:szCs w:val="28"/>
          <w14:ligatures w14:val="none"/>
        </w:rPr>
        <w:t xml:space="preserve">272 and PGRR121. </w:t>
      </w:r>
    </w:p>
    <w:p w14:paraId="3690781A" w14:textId="142C73C1" w:rsidR="00A1493A" w:rsidRPr="004145B6" w:rsidRDefault="00A1493A" w:rsidP="002D4213">
      <w:p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After some discussion and confirmation from Caitlin Smith (chair of TAC), the WG agreed to move on with the meeting agenda, only focusing on technical issues. </w:t>
      </w:r>
    </w:p>
    <w:p w14:paraId="4FEFABFE" w14:textId="13FCEDB7" w:rsidR="006C5711" w:rsidRDefault="00A9622E" w:rsidP="002D4213">
      <w:pPr>
        <w:tabs>
          <w:tab w:val="right" w:pos="9360"/>
        </w:tabs>
        <w:spacing w:line="259" w:lineRule="auto"/>
        <w:rPr>
          <w:rFonts w:ascii="Times New Roman" w:eastAsia="Calibri" w:hAnsi="Times New Roman" w:cs="Times New Roman"/>
          <w:b/>
          <w:bCs/>
          <w:kern w:val="0"/>
          <w:sz w:val="28"/>
          <w:szCs w:val="28"/>
          <w14:ligatures w14:val="none"/>
        </w:rPr>
      </w:pPr>
      <w:r w:rsidRPr="00A9622E">
        <w:rPr>
          <w:rFonts w:ascii="Times New Roman" w:eastAsia="Calibri" w:hAnsi="Times New Roman" w:cs="Times New Roman"/>
          <w:b/>
          <w:bCs/>
          <w:kern w:val="0"/>
          <w:sz w:val="28"/>
          <w:szCs w:val="28"/>
          <w14:ligatures w14:val="none"/>
        </w:rPr>
        <w:t>PE’s GFM Capabilities and Perspective on ERCOT’s Advanced Grid Support Requirements for ESR</w:t>
      </w:r>
    </w:p>
    <w:p w14:paraId="45476079" w14:textId="4F381F9B" w:rsidR="002D4213" w:rsidRPr="002D4213" w:rsidRDefault="006C5711" w:rsidP="006C5711">
      <w:pPr>
        <w:tabs>
          <w:tab w:val="right" w:pos="9360"/>
        </w:tabs>
        <w:spacing w:line="259" w:lineRule="auto"/>
        <w:rPr>
          <w:rFonts w:ascii="Times New Roman" w:eastAsia="Calibri" w:hAnsi="Times New Roman" w:cs="Times New Roman"/>
          <w:b/>
          <w:bCs/>
          <w:kern w:val="0"/>
          <w:sz w:val="28"/>
          <w:szCs w:val="28"/>
          <w14:ligatures w14:val="none"/>
        </w:rPr>
      </w:pPr>
      <w:r w:rsidRPr="006C5711">
        <w:rPr>
          <w:rFonts w:ascii="Times New Roman" w:eastAsia="Calibri" w:hAnsi="Times New Roman" w:cs="Times New Roman"/>
          <w:kern w:val="0"/>
          <w:sz w:val="28"/>
          <w:szCs w:val="28"/>
          <w14:ligatures w14:val="none"/>
        </w:rPr>
        <w:t>Stephen Giguere</w:t>
      </w:r>
      <w:r w:rsidRPr="006C5711">
        <w:rPr>
          <w:rFonts w:ascii="Times New Roman" w:eastAsia="Calibri" w:hAnsi="Times New Roman" w:cs="Times New Roman"/>
          <w:kern w:val="0"/>
          <w:sz w:val="28"/>
          <w:szCs w:val="28"/>
          <w14:ligatures w14:val="none"/>
        </w:rPr>
        <w:t xml:space="preserve">, </w:t>
      </w:r>
      <w:r w:rsidRPr="006C5711">
        <w:rPr>
          <w:rFonts w:ascii="Times New Roman" w:eastAsia="Calibri" w:hAnsi="Times New Roman" w:cs="Times New Roman"/>
          <w:kern w:val="0"/>
          <w:sz w:val="28"/>
          <w:szCs w:val="28"/>
          <w14:ligatures w14:val="none"/>
        </w:rPr>
        <w:t>Power Electronics</w:t>
      </w:r>
      <w:r w:rsidR="002D4213" w:rsidRPr="002D4213">
        <w:rPr>
          <w:rFonts w:ascii="Times New Roman" w:eastAsia="Calibri" w:hAnsi="Times New Roman" w:cs="Times New Roman"/>
          <w:b/>
          <w:bCs/>
          <w:kern w:val="0"/>
          <w:sz w:val="28"/>
          <w:szCs w:val="28"/>
          <w14:ligatures w14:val="none"/>
        </w:rPr>
        <w:tab/>
      </w:r>
    </w:p>
    <w:p w14:paraId="177ED74B" w14:textId="5CA32216" w:rsidR="00F71D6D" w:rsidRPr="00CD518B" w:rsidRDefault="009869FD"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Provided introduction about the company</w:t>
      </w:r>
      <w:r w:rsidR="00CD518B">
        <w:rPr>
          <w:rFonts w:ascii="Times New Roman" w:eastAsia="Calibri" w:hAnsi="Times New Roman" w:cs="Times New Roman"/>
          <w:kern w:val="0"/>
          <w:sz w:val="28"/>
          <w:szCs w:val="28"/>
          <w14:ligatures w14:val="none"/>
        </w:rPr>
        <w:t xml:space="preserve">: inverter manufacturer, manufacturer of energy storage and EV charging solutions. </w:t>
      </w:r>
    </w:p>
    <w:p w14:paraId="64246D18" w14:textId="61BAC56D" w:rsidR="00CD518B" w:rsidRPr="00D76452" w:rsidRDefault="00D76452"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30 GW of annual production capacity</w:t>
      </w:r>
    </w:p>
    <w:p w14:paraId="6867A513" w14:textId="580203FA" w:rsidR="00D76452" w:rsidRPr="007A75A0" w:rsidRDefault="00D76452"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Started with </w:t>
      </w:r>
      <w:r w:rsidR="006F1ABE">
        <w:rPr>
          <w:rFonts w:ascii="Times New Roman" w:eastAsia="Calibri" w:hAnsi="Times New Roman" w:cs="Times New Roman"/>
          <w:kern w:val="0"/>
          <w:sz w:val="28"/>
          <w:szCs w:val="28"/>
          <w14:ligatures w14:val="none"/>
        </w:rPr>
        <w:t xml:space="preserve">Australian definition of GFM, slide </w:t>
      </w:r>
      <w:r w:rsidR="007A75A0">
        <w:rPr>
          <w:rFonts w:ascii="Times New Roman" w:eastAsia="Calibri" w:hAnsi="Times New Roman" w:cs="Times New Roman"/>
          <w:kern w:val="0"/>
          <w:sz w:val="28"/>
          <w:szCs w:val="28"/>
          <w14:ligatures w14:val="none"/>
        </w:rPr>
        <w:t>6</w:t>
      </w:r>
    </w:p>
    <w:p w14:paraId="466C17D3" w14:textId="026EEFCF" w:rsidR="007A75A0" w:rsidRPr="006F1ABE" w:rsidRDefault="007A75A0"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Comment about modeling work, that modeling requirements should be so stringent that it takes 12-18 month to move to the next stage of the project.</w:t>
      </w:r>
    </w:p>
    <w:p w14:paraId="24DB9476" w14:textId="6705E3BE" w:rsidR="006F1ABE" w:rsidRPr="0036421C" w:rsidRDefault="00674A2A"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PE is doing </w:t>
      </w:r>
      <w:r w:rsidR="0036421C">
        <w:rPr>
          <w:rFonts w:ascii="Times New Roman" w:eastAsia="Calibri" w:hAnsi="Times New Roman" w:cs="Times New Roman"/>
          <w:kern w:val="0"/>
          <w:sz w:val="28"/>
          <w:szCs w:val="28"/>
          <w14:ligatures w14:val="none"/>
        </w:rPr>
        <w:t xml:space="preserve">Virtual Synchronous Machine (VISMA) approach to GFM, this allows keeping </w:t>
      </w:r>
      <w:r w:rsidR="002076AF">
        <w:rPr>
          <w:rFonts w:ascii="Times New Roman" w:eastAsia="Calibri" w:hAnsi="Times New Roman" w:cs="Times New Roman"/>
          <w:kern w:val="0"/>
          <w:sz w:val="28"/>
          <w:szCs w:val="28"/>
          <w14:ligatures w14:val="none"/>
        </w:rPr>
        <w:t xml:space="preserve">voltage constant in sub-transient to transient timeframe after an event, injecting current into the grid as needed. </w:t>
      </w:r>
    </w:p>
    <w:p w14:paraId="272F72DE" w14:textId="3DD6E425" w:rsidR="0036421C" w:rsidRPr="009E4156" w:rsidRDefault="002076AF"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PE is involved in GFM projects in Great Britain and Australia, there are lessons learned from these areas</w:t>
      </w:r>
    </w:p>
    <w:p w14:paraId="4C0BC80C" w14:textId="49BF9A69" w:rsidR="009E4156" w:rsidRPr="005A6F11" w:rsidRDefault="009E4156"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Chart from slide 9</w:t>
      </w:r>
      <w:r w:rsidR="005A6F11">
        <w:rPr>
          <w:rFonts w:ascii="Times New Roman" w:eastAsia="Calibri" w:hAnsi="Times New Roman" w:cs="Times New Roman"/>
          <w:kern w:val="0"/>
          <w:sz w:val="28"/>
          <w:szCs w:val="28"/>
          <w14:ligatures w14:val="none"/>
        </w:rPr>
        <w:t xml:space="preserve"> is from European experience but may inform the US experience as well. Showing how </w:t>
      </w:r>
      <w:r w:rsidR="00252BE1">
        <w:rPr>
          <w:rFonts w:ascii="Times New Roman" w:eastAsia="Calibri" w:hAnsi="Times New Roman" w:cs="Times New Roman"/>
          <w:kern w:val="0"/>
          <w:sz w:val="28"/>
          <w:szCs w:val="28"/>
          <w14:ligatures w14:val="none"/>
        </w:rPr>
        <w:t xml:space="preserve">the need for different services from IBRs is changing as shares of IBRs on the grid are increasing. </w:t>
      </w:r>
      <w:r w:rsidR="00647EAE">
        <w:rPr>
          <w:rFonts w:ascii="Times New Roman" w:eastAsia="Calibri" w:hAnsi="Times New Roman" w:cs="Times New Roman"/>
          <w:kern w:val="0"/>
          <w:sz w:val="28"/>
          <w:szCs w:val="28"/>
          <w14:ligatures w14:val="none"/>
        </w:rPr>
        <w:t xml:space="preserve">At certain penetration level adding BESS is helpful as their can provide additional services but at as </w:t>
      </w:r>
      <w:r w:rsidR="00AB267D">
        <w:rPr>
          <w:rFonts w:ascii="Times New Roman" w:eastAsia="Calibri" w:hAnsi="Times New Roman" w:cs="Times New Roman"/>
          <w:kern w:val="0"/>
          <w:sz w:val="28"/>
          <w:szCs w:val="28"/>
          <w14:ligatures w14:val="none"/>
        </w:rPr>
        <w:t xml:space="preserve">penetration levels are increasing, it makes sense to have BESS with voltage </w:t>
      </w:r>
      <w:r w:rsidR="00AB267D">
        <w:rPr>
          <w:rFonts w:ascii="Times New Roman" w:eastAsia="Calibri" w:hAnsi="Times New Roman" w:cs="Times New Roman"/>
          <w:kern w:val="0"/>
          <w:sz w:val="28"/>
          <w:szCs w:val="28"/>
          <w14:ligatures w14:val="none"/>
        </w:rPr>
        <w:lastRenderedPageBreak/>
        <w:t xml:space="preserve">source behavior (GFM), to </w:t>
      </w:r>
      <w:r w:rsidR="00180852">
        <w:rPr>
          <w:rFonts w:ascii="Times New Roman" w:eastAsia="Calibri" w:hAnsi="Times New Roman" w:cs="Times New Roman"/>
          <w:kern w:val="0"/>
          <w:sz w:val="28"/>
          <w:szCs w:val="28"/>
          <w14:ligatures w14:val="none"/>
        </w:rPr>
        <w:t xml:space="preserve">achieve additional stability benefits and this is what is observed in Australia for example. </w:t>
      </w:r>
    </w:p>
    <w:p w14:paraId="5161DE33" w14:textId="3109DBE4" w:rsidR="005A6F11" w:rsidRDefault="005A6F11" w:rsidP="005A6F11">
      <w:pPr>
        <w:tabs>
          <w:tab w:val="right" w:pos="9360"/>
        </w:tabs>
        <w:spacing w:line="259" w:lineRule="auto"/>
        <w:jc w:val="center"/>
        <w:rPr>
          <w:rFonts w:ascii="Times New Roman" w:eastAsia="Calibri" w:hAnsi="Times New Roman" w:cs="Times New Roman"/>
          <w:b/>
          <w:bCs/>
          <w:kern w:val="0"/>
          <w:sz w:val="28"/>
          <w:szCs w:val="28"/>
          <w14:ligatures w14:val="none"/>
        </w:rPr>
      </w:pPr>
      <w:r w:rsidRPr="005A6F11">
        <w:rPr>
          <w:rFonts w:ascii="Times New Roman" w:eastAsia="Calibri" w:hAnsi="Times New Roman" w:cs="Times New Roman"/>
          <w:b/>
          <w:bCs/>
          <w:kern w:val="0"/>
          <w:sz w:val="28"/>
          <w:szCs w:val="28"/>
          <w14:ligatures w14:val="none"/>
        </w:rPr>
        <w:drawing>
          <wp:inline distT="0" distB="0" distL="0" distR="0" wp14:anchorId="624582CE" wp14:editId="307585A5">
            <wp:extent cx="4867275" cy="2739922"/>
            <wp:effectExtent l="0" t="0" r="0" b="3810"/>
            <wp:docPr id="1923906184" name="Picture 1" descr="A diagram of a pow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06184" name="Picture 1" descr="A diagram of a power system&#10;&#10;AI-generated content may be incorrect."/>
                    <pic:cNvPicPr/>
                  </pic:nvPicPr>
                  <pic:blipFill>
                    <a:blip r:embed="rId9"/>
                    <a:stretch>
                      <a:fillRect/>
                    </a:stretch>
                  </pic:blipFill>
                  <pic:spPr>
                    <a:xfrm>
                      <a:off x="0" y="0"/>
                      <a:ext cx="4876324" cy="2745016"/>
                    </a:xfrm>
                    <a:prstGeom prst="rect">
                      <a:avLst/>
                    </a:prstGeom>
                  </pic:spPr>
                </pic:pic>
              </a:graphicData>
            </a:graphic>
          </wp:inline>
        </w:drawing>
      </w:r>
    </w:p>
    <w:p w14:paraId="0151FA8C" w14:textId="77777777" w:rsidR="005A6F11" w:rsidRPr="005A6F11" w:rsidRDefault="005A6F11" w:rsidP="005A6F11">
      <w:pPr>
        <w:tabs>
          <w:tab w:val="right" w:pos="9360"/>
        </w:tabs>
        <w:spacing w:line="259" w:lineRule="auto"/>
        <w:jc w:val="center"/>
        <w:rPr>
          <w:rFonts w:ascii="Times New Roman" w:eastAsia="Calibri" w:hAnsi="Times New Roman" w:cs="Times New Roman"/>
          <w:b/>
          <w:bCs/>
          <w:kern w:val="0"/>
          <w:sz w:val="28"/>
          <w:szCs w:val="28"/>
          <w14:ligatures w14:val="none"/>
        </w:rPr>
      </w:pPr>
    </w:p>
    <w:p w14:paraId="4F930482" w14:textId="77777777" w:rsidR="00403EE3" w:rsidRDefault="005E0347" w:rsidP="00CB6424">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sidRPr="005E0347">
        <w:rPr>
          <w:rFonts w:ascii="Times New Roman" w:eastAsia="Calibri" w:hAnsi="Times New Roman" w:cs="Times New Roman"/>
          <w:kern w:val="0"/>
          <w:sz w:val="28"/>
          <w:szCs w:val="28"/>
          <w14:ligatures w14:val="none"/>
        </w:rPr>
        <w:t>Power Electronics GEN 2 and GEN 3 PCSK/M Inverters prepared to be updated to operate in Grid Forming – Voltage Source Mode (VISMA)</w:t>
      </w:r>
    </w:p>
    <w:p w14:paraId="38D0D906" w14:textId="731A35E8" w:rsidR="002076AF" w:rsidRDefault="005E0347" w:rsidP="00CB6424">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sidRPr="005E0347">
        <w:rPr>
          <w:rFonts w:ascii="Times New Roman" w:eastAsia="Calibri" w:hAnsi="Times New Roman" w:cs="Times New Roman"/>
          <w:kern w:val="0"/>
          <w:sz w:val="28"/>
          <w:szCs w:val="28"/>
          <w14:ligatures w14:val="none"/>
        </w:rPr>
        <w:t>PE GEN 3 Inverter with overload capacity when operating in VISMA mo</w:t>
      </w:r>
      <w:r w:rsidRPr="005E0347">
        <w:rPr>
          <w:rFonts w:ascii="Times New Roman" w:eastAsia="Calibri" w:hAnsi="Times New Roman" w:cs="Times New Roman"/>
          <w:kern w:val="0"/>
          <w:sz w:val="28"/>
          <w:szCs w:val="28"/>
          <w14:ligatures w14:val="none"/>
        </w:rPr>
        <w:t>de</w:t>
      </w:r>
    </w:p>
    <w:p w14:paraId="3C8A2033" w14:textId="0F7BD505" w:rsidR="00903B71" w:rsidRDefault="00D00B11" w:rsidP="00D00B1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Skept through the slides related to NOGRR272 as was requested at the start of the meeting and moved </w:t>
      </w:r>
      <w:r w:rsidR="00121DC3">
        <w:rPr>
          <w:rFonts w:ascii="Times New Roman" w:eastAsia="Calibri" w:hAnsi="Times New Roman" w:cs="Times New Roman"/>
          <w:kern w:val="0"/>
          <w:sz w:val="28"/>
          <w:szCs w:val="28"/>
          <w14:ligatures w14:val="none"/>
        </w:rPr>
        <w:t>on to</w:t>
      </w:r>
      <w:r>
        <w:rPr>
          <w:rFonts w:ascii="Times New Roman" w:eastAsia="Calibri" w:hAnsi="Times New Roman" w:cs="Times New Roman"/>
          <w:kern w:val="0"/>
          <w:sz w:val="28"/>
          <w:szCs w:val="28"/>
          <w14:ligatures w14:val="none"/>
        </w:rPr>
        <w:t xml:space="preserve"> ERCOT’s Testing Framework</w:t>
      </w:r>
      <w:r w:rsidR="00903B71">
        <w:rPr>
          <w:rFonts w:ascii="Times New Roman" w:eastAsia="Calibri" w:hAnsi="Times New Roman" w:cs="Times New Roman"/>
          <w:kern w:val="0"/>
          <w:sz w:val="28"/>
          <w:szCs w:val="28"/>
          <w14:ligatures w14:val="none"/>
        </w:rPr>
        <w:t xml:space="preserve">, sharing the table with </w:t>
      </w:r>
      <w:r w:rsidR="00B40FDE">
        <w:rPr>
          <w:rFonts w:ascii="Times New Roman" w:eastAsia="Calibri" w:hAnsi="Times New Roman" w:cs="Times New Roman"/>
          <w:kern w:val="0"/>
          <w:sz w:val="28"/>
          <w:szCs w:val="28"/>
          <w14:ligatures w14:val="none"/>
        </w:rPr>
        <w:t xml:space="preserve">seven </w:t>
      </w:r>
      <w:r w:rsidR="00903B71">
        <w:rPr>
          <w:rFonts w:ascii="Times New Roman" w:eastAsia="Calibri" w:hAnsi="Times New Roman" w:cs="Times New Roman"/>
          <w:kern w:val="0"/>
          <w:sz w:val="28"/>
          <w:szCs w:val="28"/>
          <w14:ligatures w14:val="none"/>
        </w:rPr>
        <w:t>tests identified by ERCOT</w:t>
      </w:r>
    </w:p>
    <w:p w14:paraId="75224859" w14:textId="6BD8D8CE" w:rsidR="00087BA1" w:rsidRDefault="00B40FDE" w:rsidP="00D00B1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None of the tests are surprising</w:t>
      </w:r>
      <w:r w:rsidR="004C0433">
        <w:rPr>
          <w:rFonts w:ascii="Times New Roman" w:eastAsia="Calibri" w:hAnsi="Times New Roman" w:cs="Times New Roman"/>
          <w:kern w:val="0"/>
          <w:sz w:val="28"/>
          <w:szCs w:val="28"/>
          <w14:ligatures w14:val="none"/>
        </w:rPr>
        <w:t>. PE worked with Electranix</w:t>
      </w:r>
      <w:r w:rsidR="00EA00F9">
        <w:rPr>
          <w:rStyle w:val="FootnoteReference"/>
          <w:rFonts w:ascii="Times New Roman" w:eastAsia="Calibri" w:hAnsi="Times New Roman" w:cs="Times New Roman"/>
          <w:kern w:val="0"/>
          <w:sz w:val="28"/>
          <w:szCs w:val="28"/>
          <w14:ligatures w14:val="none"/>
        </w:rPr>
        <w:footnoteReference w:id="1"/>
      </w:r>
      <w:r w:rsidR="00EA00F9">
        <w:rPr>
          <w:rFonts w:ascii="Times New Roman" w:eastAsia="Calibri" w:hAnsi="Times New Roman" w:cs="Times New Roman"/>
          <w:kern w:val="0"/>
          <w:sz w:val="28"/>
          <w:szCs w:val="28"/>
          <w14:ligatures w14:val="none"/>
        </w:rPr>
        <w:t xml:space="preserve"> and they are very well respected in the industry. </w:t>
      </w:r>
      <w:r w:rsidR="00087BA1">
        <w:rPr>
          <w:rFonts w:ascii="Times New Roman" w:eastAsia="Calibri" w:hAnsi="Times New Roman" w:cs="Times New Roman"/>
          <w:kern w:val="0"/>
          <w:sz w:val="28"/>
          <w:szCs w:val="28"/>
          <w14:ligatures w14:val="none"/>
        </w:rPr>
        <w:t xml:space="preserve">Suggested that it’s more valuable to carry out these tests with project specific plant models, not just inverter models. </w:t>
      </w:r>
    </w:p>
    <w:p w14:paraId="7814E8AE" w14:textId="4D90AF4B" w:rsidR="001D1543" w:rsidRDefault="008E493A"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Summarized of GFM vs GFL</w:t>
      </w:r>
      <w:r w:rsidR="0086126E">
        <w:rPr>
          <w:rFonts w:ascii="Times New Roman" w:eastAsia="Calibri" w:hAnsi="Times New Roman" w:cs="Times New Roman"/>
          <w:kern w:val="0"/>
          <w:sz w:val="28"/>
          <w:szCs w:val="28"/>
          <w14:ligatures w14:val="none"/>
        </w:rPr>
        <w:t>, comparison of capability tables on slides 21-23</w:t>
      </w:r>
      <w:r w:rsidR="008A1C2C">
        <w:rPr>
          <w:rFonts w:ascii="Times New Roman" w:eastAsia="Calibri" w:hAnsi="Times New Roman" w:cs="Times New Roman"/>
          <w:kern w:val="0"/>
          <w:sz w:val="28"/>
          <w:szCs w:val="28"/>
          <w14:ligatures w14:val="none"/>
        </w:rPr>
        <w:t xml:space="preserve">. Start conditions listed in the first row, is what </w:t>
      </w:r>
      <w:r w:rsidR="001D1543">
        <w:rPr>
          <w:rFonts w:ascii="Times New Roman" w:eastAsia="Calibri" w:hAnsi="Times New Roman" w:cs="Times New Roman"/>
          <w:kern w:val="0"/>
          <w:sz w:val="28"/>
          <w:szCs w:val="28"/>
          <w14:ligatures w14:val="none"/>
        </w:rPr>
        <w:t>an IBR needs in order to start.</w:t>
      </w:r>
    </w:p>
    <w:p w14:paraId="07D40FD3" w14:textId="39EA3444" w:rsidR="00AD5E45" w:rsidRDefault="00AD5E45" w:rsidP="002D1DB4">
      <w:pPr>
        <w:pStyle w:val="ListParagraph"/>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Power rating row </w:t>
      </w:r>
      <w:r w:rsidR="006D19DF">
        <w:rPr>
          <w:rFonts w:ascii="Times New Roman" w:eastAsia="Calibri" w:hAnsi="Times New Roman" w:cs="Times New Roman"/>
          <w:kern w:val="0"/>
          <w:sz w:val="28"/>
          <w:szCs w:val="28"/>
          <w14:ligatures w14:val="none"/>
        </w:rPr>
        <w:t>shows</w:t>
      </w:r>
      <w:r>
        <w:rPr>
          <w:rFonts w:ascii="Times New Roman" w:eastAsia="Calibri" w:hAnsi="Times New Roman" w:cs="Times New Roman"/>
          <w:kern w:val="0"/>
          <w:sz w:val="28"/>
          <w:szCs w:val="28"/>
          <w14:ligatures w14:val="none"/>
        </w:rPr>
        <w:t xml:space="preserve"> 100% for GFL and 90% for GFM, </w:t>
      </w:r>
      <w:r w:rsidR="003D1B94">
        <w:rPr>
          <w:rFonts w:ascii="Times New Roman" w:eastAsia="Calibri" w:hAnsi="Times New Roman" w:cs="Times New Roman"/>
          <w:kern w:val="0"/>
          <w:sz w:val="28"/>
          <w:szCs w:val="28"/>
          <w14:ligatures w14:val="none"/>
        </w:rPr>
        <w:t>which</w:t>
      </w:r>
      <w:r>
        <w:rPr>
          <w:rFonts w:ascii="Times New Roman" w:eastAsia="Calibri" w:hAnsi="Times New Roman" w:cs="Times New Roman"/>
          <w:kern w:val="0"/>
          <w:sz w:val="28"/>
          <w:szCs w:val="28"/>
          <w14:ligatures w14:val="none"/>
        </w:rPr>
        <w:t xml:space="preserve"> means that in GFL mode no overloading capability is allowed, while in GFM mode there’s 10% of additional overloading capability allowing inrush currents</w:t>
      </w:r>
      <w:r w:rsidR="003D09D8">
        <w:rPr>
          <w:rFonts w:ascii="Times New Roman" w:eastAsia="Calibri" w:hAnsi="Times New Roman" w:cs="Times New Roman"/>
          <w:kern w:val="0"/>
          <w:sz w:val="28"/>
          <w:szCs w:val="28"/>
          <w14:ligatures w14:val="none"/>
        </w:rPr>
        <w:t xml:space="preserve"> etc. </w:t>
      </w:r>
    </w:p>
    <w:p w14:paraId="47A78FB0" w14:textId="3AE0707A" w:rsidR="00092165" w:rsidRDefault="005D1B2D"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GFM Reference projects on </w:t>
      </w:r>
      <w:r w:rsidR="00204C3E">
        <w:rPr>
          <w:rFonts w:ascii="Times New Roman" w:eastAsia="Calibri" w:hAnsi="Times New Roman" w:cs="Times New Roman"/>
          <w:kern w:val="0"/>
          <w:sz w:val="28"/>
          <w:szCs w:val="28"/>
          <w14:ligatures w14:val="none"/>
        </w:rPr>
        <w:t>slides</w:t>
      </w:r>
      <w:r w:rsidR="006D52D0">
        <w:rPr>
          <w:rFonts w:ascii="Times New Roman" w:eastAsia="Calibri" w:hAnsi="Times New Roman" w:cs="Times New Roman"/>
          <w:kern w:val="0"/>
          <w:sz w:val="28"/>
          <w:szCs w:val="28"/>
          <w14:ligatures w14:val="none"/>
        </w:rPr>
        <w:t xml:space="preserve"> 25-26. Slide 27 shows </w:t>
      </w:r>
      <w:r w:rsidR="002D1DB4">
        <w:rPr>
          <w:rFonts w:ascii="Times New Roman" w:eastAsia="Calibri" w:hAnsi="Times New Roman" w:cs="Times New Roman"/>
          <w:kern w:val="0"/>
          <w:sz w:val="28"/>
          <w:szCs w:val="28"/>
          <w14:ligatures w14:val="none"/>
        </w:rPr>
        <w:t>confirmed GFM projects in different areas.</w:t>
      </w:r>
      <w:r w:rsidR="00EC4D23">
        <w:rPr>
          <w:rFonts w:ascii="Times New Roman" w:eastAsia="Calibri" w:hAnsi="Times New Roman" w:cs="Times New Roman"/>
          <w:kern w:val="0"/>
          <w:sz w:val="28"/>
          <w:szCs w:val="28"/>
          <w14:ligatures w14:val="none"/>
        </w:rPr>
        <w:t xml:space="preserve"> APAC number actually all in Australia,</w:t>
      </w:r>
      <w:r w:rsidR="00737602">
        <w:rPr>
          <w:rFonts w:ascii="Times New Roman" w:eastAsia="Calibri" w:hAnsi="Times New Roman" w:cs="Times New Roman"/>
          <w:kern w:val="0"/>
          <w:sz w:val="28"/>
          <w:szCs w:val="28"/>
          <w14:ligatures w14:val="none"/>
        </w:rPr>
        <w:t xml:space="preserve"> that have all the challenges on HECO but on the continent. So, there are </w:t>
      </w:r>
      <w:r w:rsidR="00EE5036">
        <w:rPr>
          <w:rFonts w:ascii="Times New Roman" w:eastAsia="Calibri" w:hAnsi="Times New Roman" w:cs="Times New Roman"/>
          <w:kern w:val="0"/>
          <w:sz w:val="28"/>
          <w:szCs w:val="28"/>
          <w14:ligatures w14:val="none"/>
        </w:rPr>
        <w:t>a lot of</w:t>
      </w:r>
      <w:r w:rsidR="00737602">
        <w:rPr>
          <w:rFonts w:ascii="Times New Roman" w:eastAsia="Calibri" w:hAnsi="Times New Roman" w:cs="Times New Roman"/>
          <w:kern w:val="0"/>
          <w:sz w:val="28"/>
          <w:szCs w:val="28"/>
          <w14:ligatures w14:val="none"/>
        </w:rPr>
        <w:t xml:space="preserve"> lessons </w:t>
      </w:r>
      <w:r w:rsidR="00737602">
        <w:rPr>
          <w:rFonts w:ascii="Times New Roman" w:eastAsia="Calibri" w:hAnsi="Times New Roman" w:cs="Times New Roman"/>
          <w:kern w:val="0"/>
          <w:sz w:val="28"/>
          <w:szCs w:val="28"/>
          <w14:ligatures w14:val="none"/>
        </w:rPr>
        <w:lastRenderedPageBreak/>
        <w:t>learned from there on the modeling side and developer side</w:t>
      </w:r>
      <w:r w:rsidR="00EE5036">
        <w:rPr>
          <w:rFonts w:ascii="Times New Roman" w:eastAsia="Calibri" w:hAnsi="Times New Roman" w:cs="Times New Roman"/>
          <w:kern w:val="0"/>
          <w:sz w:val="28"/>
          <w:szCs w:val="28"/>
          <w14:ligatures w14:val="none"/>
        </w:rPr>
        <w:t xml:space="preserve"> and applied as GFM is being deployed in the U.S</w:t>
      </w:r>
      <w:r w:rsidR="00737602">
        <w:rPr>
          <w:rFonts w:ascii="Times New Roman" w:eastAsia="Calibri" w:hAnsi="Times New Roman" w:cs="Times New Roman"/>
          <w:kern w:val="0"/>
          <w:sz w:val="28"/>
          <w:szCs w:val="28"/>
          <w14:ligatures w14:val="none"/>
        </w:rPr>
        <w:t>.</w:t>
      </w:r>
    </w:p>
    <w:p w14:paraId="02306421" w14:textId="12D3A3FA" w:rsidR="00605864" w:rsidRDefault="00605864"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PE also can provide modelling and studies support. </w:t>
      </w:r>
    </w:p>
    <w:p w14:paraId="3855C5C4" w14:textId="4BC5DCA3" w:rsidR="002D1DB4" w:rsidRDefault="005F6ADB"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Q&amp;A</w:t>
      </w:r>
    </w:p>
    <w:p w14:paraId="3639EE23" w14:textId="6DB8C3B2" w:rsidR="005F6ADB" w:rsidRDefault="005F6ADB"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Do you have your OEM specific models available under NDA if e.g. ERCOT or a developer would like to test</w:t>
      </w:r>
      <w:r w:rsidR="00C16FDF">
        <w:rPr>
          <w:rFonts w:ascii="Times New Roman" w:eastAsia="Calibri" w:hAnsi="Times New Roman" w:cs="Times New Roman"/>
          <w:kern w:val="0"/>
          <w:sz w:val="28"/>
          <w:szCs w:val="28"/>
          <w14:ligatures w14:val="none"/>
        </w:rPr>
        <w:t xml:space="preserve">? </w:t>
      </w:r>
    </w:p>
    <w:p w14:paraId="6755AB53" w14:textId="626F5B4C" w:rsidR="00C16FDF" w:rsidRDefault="00C16FDF"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w:t>
      </w:r>
      <w:r w:rsidR="003D1B94">
        <w:rPr>
          <w:rFonts w:ascii="Times New Roman" w:eastAsia="Calibri" w:hAnsi="Times New Roman" w:cs="Times New Roman"/>
          <w:kern w:val="0"/>
          <w:sz w:val="28"/>
          <w:szCs w:val="28"/>
          <w14:ligatures w14:val="none"/>
        </w:rPr>
        <w:t>Yes,</w:t>
      </w:r>
      <w:r>
        <w:rPr>
          <w:rFonts w:ascii="Times New Roman" w:eastAsia="Calibri" w:hAnsi="Times New Roman" w:cs="Times New Roman"/>
          <w:kern w:val="0"/>
          <w:sz w:val="28"/>
          <w:szCs w:val="28"/>
          <w14:ligatures w14:val="none"/>
        </w:rPr>
        <w:t xml:space="preserve"> we have PSS/E and PSCAD models available for both GFL and GFM inverters </w:t>
      </w:r>
    </w:p>
    <w:p w14:paraId="795B646B" w14:textId="20C6BED0" w:rsidR="00A20444" w:rsidRDefault="00A20444"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Fred: </w:t>
      </w:r>
      <w:r w:rsidR="000F1D71">
        <w:rPr>
          <w:rFonts w:ascii="Times New Roman" w:eastAsia="Calibri" w:hAnsi="Times New Roman" w:cs="Times New Roman"/>
          <w:kern w:val="0"/>
          <w:sz w:val="28"/>
          <w:szCs w:val="28"/>
          <w14:ligatures w14:val="none"/>
        </w:rPr>
        <w:t xml:space="preserve">One of your slides is showing </w:t>
      </w:r>
      <w:r w:rsidR="003D1B94">
        <w:rPr>
          <w:rFonts w:ascii="Times New Roman" w:eastAsia="Calibri" w:hAnsi="Times New Roman" w:cs="Times New Roman"/>
          <w:kern w:val="0"/>
          <w:sz w:val="28"/>
          <w:szCs w:val="28"/>
          <w14:ligatures w14:val="none"/>
        </w:rPr>
        <w:t>an inverter</w:t>
      </w:r>
      <w:r w:rsidR="000F1D71">
        <w:rPr>
          <w:rFonts w:ascii="Times New Roman" w:eastAsia="Calibri" w:hAnsi="Times New Roman" w:cs="Times New Roman"/>
          <w:kern w:val="0"/>
          <w:sz w:val="28"/>
          <w:szCs w:val="28"/>
          <w14:ligatures w14:val="none"/>
        </w:rPr>
        <w:t xml:space="preserve"> rating 100% for GFL and 90% for GFM</w:t>
      </w:r>
      <w:r w:rsidR="00680452">
        <w:rPr>
          <w:rFonts w:ascii="Times New Roman" w:eastAsia="Calibri" w:hAnsi="Times New Roman" w:cs="Times New Roman"/>
          <w:kern w:val="0"/>
          <w:sz w:val="28"/>
          <w:szCs w:val="28"/>
          <w14:ligatures w14:val="none"/>
        </w:rPr>
        <w:t xml:space="preserve">. For GFL this 100% does that include the capability for reactive response? </w:t>
      </w:r>
    </w:p>
    <w:p w14:paraId="1C53CFF3" w14:textId="24554FAC" w:rsidR="00680452" w:rsidRDefault="00680452"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w:t>
      </w:r>
      <w:r w:rsidR="00446298">
        <w:rPr>
          <w:rFonts w:ascii="Times New Roman" w:eastAsia="Calibri" w:hAnsi="Times New Roman" w:cs="Times New Roman"/>
          <w:kern w:val="0"/>
          <w:sz w:val="28"/>
          <w:szCs w:val="28"/>
          <w14:ligatures w14:val="none"/>
        </w:rPr>
        <w:t>I was thinking about this in terms of kVA rating</w:t>
      </w:r>
      <w:r w:rsidR="00D77703">
        <w:rPr>
          <w:rFonts w:ascii="Times New Roman" w:eastAsia="Calibri" w:hAnsi="Times New Roman" w:cs="Times New Roman"/>
          <w:kern w:val="0"/>
          <w:sz w:val="28"/>
          <w:szCs w:val="28"/>
          <w14:ligatures w14:val="none"/>
        </w:rPr>
        <w:t xml:space="preserve">, so this is a kVA rating that will give you a rated current. </w:t>
      </w:r>
    </w:p>
    <w:p w14:paraId="3D88EF4D" w14:textId="4A92E1BD" w:rsidR="0059204A" w:rsidRDefault="0059204A"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Mark Henry: </w:t>
      </w:r>
      <w:r w:rsidR="00FA4D00">
        <w:rPr>
          <w:rFonts w:ascii="Times New Roman" w:eastAsia="Calibri" w:hAnsi="Times New Roman" w:cs="Times New Roman"/>
          <w:kern w:val="0"/>
          <w:sz w:val="28"/>
          <w:szCs w:val="28"/>
          <w14:ligatures w14:val="none"/>
        </w:rPr>
        <w:t>The projects on side 27 are these from all manufacturers or just PE?</w:t>
      </w:r>
    </w:p>
    <w:p w14:paraId="730999CA" w14:textId="53643CF5" w:rsidR="00FA4D00" w:rsidRDefault="00FA4D00"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 We only track our own projects</w:t>
      </w:r>
    </w:p>
    <w:p w14:paraId="4799FA2A" w14:textId="77777777" w:rsidR="00E229DB" w:rsidRDefault="00FA4D00" w:rsidP="006B3990">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ESIG is keeping track for all GFM projects around the world</w:t>
      </w:r>
      <w:r w:rsidR="00AB53BC">
        <w:rPr>
          <w:rFonts w:ascii="Times New Roman" w:eastAsia="Calibri" w:hAnsi="Times New Roman" w:cs="Times New Roman"/>
          <w:kern w:val="0"/>
          <w:sz w:val="28"/>
          <w:szCs w:val="28"/>
          <w14:ligatures w14:val="none"/>
        </w:rPr>
        <w:t xml:space="preserve"> </w:t>
      </w:r>
      <w:hyperlink r:id="rId10" w:history="1">
        <w:r w:rsidR="00AB53BC" w:rsidRPr="00F113D8">
          <w:rPr>
            <w:rStyle w:val="Hyperlink"/>
            <w:rFonts w:ascii="Times New Roman" w:eastAsia="Calibri" w:hAnsi="Times New Roman" w:cs="Times New Roman"/>
            <w:kern w:val="0"/>
            <w:sz w:val="28"/>
            <w:szCs w:val="28"/>
            <w14:ligatures w14:val="none"/>
          </w:rPr>
          <w:t>here</w:t>
        </w:r>
      </w:hyperlink>
      <w:r w:rsidR="00F113D8">
        <w:rPr>
          <w:rFonts w:ascii="Times New Roman" w:eastAsia="Calibri" w:hAnsi="Times New Roman" w:cs="Times New Roman"/>
          <w:kern w:val="0"/>
          <w:sz w:val="28"/>
          <w:szCs w:val="28"/>
          <w14:ligatures w14:val="none"/>
        </w:rPr>
        <w:t xml:space="preserve">. Will check if PE’s projects are already included. </w:t>
      </w:r>
    </w:p>
    <w:p w14:paraId="51748A7A" w14:textId="60090FFF" w:rsidR="0044339A" w:rsidRDefault="001B3959" w:rsidP="001B3959">
      <w:pPr>
        <w:tabs>
          <w:tab w:val="right" w:pos="9360"/>
        </w:tabs>
        <w:spacing w:line="259" w:lineRule="auto"/>
        <w:rPr>
          <w:rFonts w:ascii="Times New Roman" w:eastAsia="Calibri" w:hAnsi="Times New Roman" w:cs="Times New Roman"/>
          <w:b/>
          <w:bCs/>
          <w:kern w:val="0"/>
          <w:sz w:val="28"/>
          <w:szCs w:val="28"/>
          <w14:ligatures w14:val="none"/>
        </w:rPr>
      </w:pPr>
      <w:r w:rsidRPr="001B3959">
        <w:rPr>
          <w:rFonts w:ascii="Times New Roman" w:eastAsia="Calibri" w:hAnsi="Times New Roman" w:cs="Times New Roman"/>
          <w:b/>
          <w:bCs/>
          <w:kern w:val="0"/>
          <w:sz w:val="28"/>
          <w:szCs w:val="28"/>
          <w14:ligatures w14:val="none"/>
        </w:rPr>
        <w:t xml:space="preserve">SUNGROW’s GFM Capabilities Perspective </w:t>
      </w:r>
      <w:r w:rsidR="00251EB0" w:rsidRPr="001B3959">
        <w:rPr>
          <w:rFonts w:ascii="Times New Roman" w:eastAsia="Calibri" w:hAnsi="Times New Roman" w:cs="Times New Roman"/>
          <w:b/>
          <w:bCs/>
          <w:kern w:val="0"/>
          <w:sz w:val="28"/>
          <w:szCs w:val="28"/>
          <w14:ligatures w14:val="none"/>
        </w:rPr>
        <w:t>of</w:t>
      </w:r>
      <w:r w:rsidRPr="001B3959">
        <w:rPr>
          <w:rFonts w:ascii="Times New Roman" w:eastAsia="Calibri" w:hAnsi="Times New Roman" w:cs="Times New Roman"/>
          <w:b/>
          <w:bCs/>
          <w:kern w:val="0"/>
          <w:sz w:val="28"/>
          <w:szCs w:val="28"/>
          <w14:ligatures w14:val="none"/>
        </w:rPr>
        <w:t xml:space="preserve"> ERCOT’s Advanced Grid Support Requirements</w:t>
      </w:r>
    </w:p>
    <w:p w14:paraId="720021FE" w14:textId="77777777" w:rsidR="0044339A" w:rsidRPr="0044339A" w:rsidRDefault="0044339A" w:rsidP="001B3959">
      <w:pPr>
        <w:tabs>
          <w:tab w:val="right" w:pos="9360"/>
        </w:tabs>
        <w:spacing w:line="259" w:lineRule="auto"/>
        <w:rPr>
          <w:rFonts w:ascii="Times New Roman" w:eastAsia="Calibri" w:hAnsi="Times New Roman" w:cs="Times New Roman"/>
          <w:kern w:val="0"/>
          <w:sz w:val="28"/>
          <w:szCs w:val="28"/>
          <w14:ligatures w14:val="none"/>
        </w:rPr>
      </w:pPr>
      <w:r w:rsidRPr="0044339A">
        <w:rPr>
          <w:rFonts w:ascii="Times New Roman" w:eastAsia="Calibri" w:hAnsi="Times New Roman" w:cs="Times New Roman"/>
          <w:kern w:val="0"/>
          <w:sz w:val="28"/>
          <w:szCs w:val="28"/>
          <w14:ligatures w14:val="none"/>
        </w:rPr>
        <w:t>Ling Chen, SUNGROW</w:t>
      </w:r>
    </w:p>
    <w:p w14:paraId="30FB23D7" w14:textId="481FE026" w:rsidR="00A3551A" w:rsidRDefault="00E74B31"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SUGROW is </w:t>
      </w:r>
      <w:r w:rsidR="008037EC">
        <w:rPr>
          <w:rFonts w:ascii="Times New Roman" w:eastAsia="Calibri" w:hAnsi="Times New Roman" w:cs="Times New Roman"/>
          <w:kern w:val="0"/>
          <w:sz w:val="28"/>
          <w:szCs w:val="28"/>
          <w14:ligatures w14:val="none"/>
        </w:rPr>
        <w:t xml:space="preserve">an </w:t>
      </w:r>
      <w:r w:rsidR="005C53EE">
        <w:rPr>
          <w:rFonts w:ascii="Times New Roman" w:eastAsia="Calibri" w:hAnsi="Times New Roman" w:cs="Times New Roman"/>
          <w:kern w:val="0"/>
          <w:sz w:val="28"/>
          <w:szCs w:val="28"/>
          <w14:ligatures w14:val="none"/>
        </w:rPr>
        <w:t>OEM, manufacturing inverters</w:t>
      </w:r>
      <w:r w:rsidR="008037EC">
        <w:rPr>
          <w:rFonts w:ascii="Times New Roman" w:eastAsia="Calibri" w:hAnsi="Times New Roman" w:cs="Times New Roman"/>
          <w:kern w:val="0"/>
          <w:sz w:val="28"/>
          <w:szCs w:val="28"/>
          <w14:ligatures w14:val="none"/>
        </w:rPr>
        <w:t xml:space="preserve"> for PV and BESS </w:t>
      </w:r>
    </w:p>
    <w:p w14:paraId="6023D6A1" w14:textId="77777777" w:rsidR="00864782" w:rsidRDefault="005C53EE" w:rsidP="00864782">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Will cover GFM technology and benefits, GFM model test results and GFM project references</w:t>
      </w:r>
      <w:r w:rsidR="00C23FAD">
        <w:rPr>
          <w:rFonts w:ascii="Times New Roman" w:eastAsia="Calibri" w:hAnsi="Times New Roman" w:cs="Times New Roman"/>
          <w:kern w:val="0"/>
          <w:sz w:val="28"/>
          <w:szCs w:val="28"/>
          <w14:ligatures w14:val="none"/>
        </w:rPr>
        <w:t xml:space="preserve">. </w:t>
      </w:r>
    </w:p>
    <w:p w14:paraId="74048883" w14:textId="7B434E68" w:rsidR="00864782" w:rsidRDefault="00864782" w:rsidP="00864782">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GFM technology is developed around virtual synchronous generator concept </w:t>
      </w:r>
    </w:p>
    <w:p w14:paraId="29E78330" w14:textId="30B9C747" w:rsidR="005C53EE" w:rsidRDefault="00C23FAD"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It has </w:t>
      </w:r>
      <w:r w:rsidR="003D1B94">
        <w:rPr>
          <w:rFonts w:ascii="Times New Roman" w:eastAsia="Calibri" w:hAnsi="Times New Roman" w:cs="Times New Roman"/>
          <w:kern w:val="0"/>
          <w:sz w:val="28"/>
          <w:szCs w:val="28"/>
          <w14:ligatures w14:val="none"/>
        </w:rPr>
        <w:t>the capability</w:t>
      </w:r>
      <w:r>
        <w:rPr>
          <w:rFonts w:ascii="Times New Roman" w:eastAsia="Calibri" w:hAnsi="Times New Roman" w:cs="Times New Roman"/>
          <w:kern w:val="0"/>
          <w:sz w:val="28"/>
          <w:szCs w:val="28"/>
          <w14:ligatures w14:val="none"/>
        </w:rPr>
        <w:t xml:space="preserve"> to respond automatically or spontaneously to the grid voltage </w:t>
      </w:r>
      <w:r w:rsidR="00246C61">
        <w:rPr>
          <w:rFonts w:ascii="Times New Roman" w:eastAsia="Calibri" w:hAnsi="Times New Roman" w:cs="Times New Roman"/>
          <w:kern w:val="0"/>
          <w:sz w:val="28"/>
          <w:szCs w:val="28"/>
          <w14:ligatures w14:val="none"/>
        </w:rPr>
        <w:t>or frequency events</w:t>
      </w:r>
    </w:p>
    <w:p w14:paraId="0FBBBBB3" w14:textId="722BDC68" w:rsidR="00540FD7" w:rsidRDefault="00864782"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3 </w:t>
      </w:r>
      <w:r w:rsidR="003D1B94">
        <w:rPr>
          <w:rFonts w:ascii="Times New Roman" w:eastAsia="Calibri" w:hAnsi="Times New Roman" w:cs="Times New Roman"/>
          <w:kern w:val="0"/>
          <w:sz w:val="28"/>
          <w:szCs w:val="28"/>
          <w14:ligatures w14:val="none"/>
        </w:rPr>
        <w:t>shows</w:t>
      </w:r>
      <w:r>
        <w:rPr>
          <w:rFonts w:ascii="Times New Roman" w:eastAsia="Calibri" w:hAnsi="Times New Roman" w:cs="Times New Roman"/>
          <w:kern w:val="0"/>
          <w:sz w:val="28"/>
          <w:szCs w:val="28"/>
          <w14:ligatures w14:val="none"/>
        </w:rPr>
        <w:t xml:space="preserve"> GFM response to voltage disturbance</w:t>
      </w:r>
      <w:r w:rsidR="00B64A71">
        <w:rPr>
          <w:rFonts w:ascii="Times New Roman" w:eastAsia="Calibri" w:hAnsi="Times New Roman" w:cs="Times New Roman"/>
          <w:kern w:val="0"/>
          <w:sz w:val="28"/>
          <w:szCs w:val="28"/>
          <w14:ligatures w14:val="none"/>
        </w:rPr>
        <w:t xml:space="preserve"> and a difference in response between GFM and GFL inverter. </w:t>
      </w:r>
      <w:r w:rsidR="000D2395">
        <w:rPr>
          <w:rFonts w:ascii="Times New Roman" w:eastAsia="Calibri" w:hAnsi="Times New Roman" w:cs="Times New Roman"/>
          <w:kern w:val="0"/>
          <w:sz w:val="28"/>
          <w:szCs w:val="28"/>
          <w14:ligatures w14:val="none"/>
        </w:rPr>
        <w:t xml:space="preserve">While GFL inverter is providing voltage support (as seen on the </w:t>
      </w:r>
      <w:r w:rsidR="003D1B94">
        <w:rPr>
          <w:rFonts w:ascii="Times New Roman" w:eastAsia="Calibri" w:hAnsi="Times New Roman" w:cs="Times New Roman"/>
          <w:kern w:val="0"/>
          <w:sz w:val="28"/>
          <w:szCs w:val="28"/>
          <w14:ligatures w14:val="none"/>
        </w:rPr>
        <w:t>right-hand</w:t>
      </w:r>
      <w:r w:rsidR="000D2395">
        <w:rPr>
          <w:rFonts w:ascii="Times New Roman" w:eastAsia="Calibri" w:hAnsi="Times New Roman" w:cs="Times New Roman"/>
          <w:kern w:val="0"/>
          <w:sz w:val="28"/>
          <w:szCs w:val="28"/>
          <w14:ligatures w14:val="none"/>
        </w:rPr>
        <w:t xml:space="preserve"> side zoomed out charts this support only </w:t>
      </w:r>
      <w:r w:rsidR="00315B1C">
        <w:rPr>
          <w:rFonts w:ascii="Times New Roman" w:eastAsia="Calibri" w:hAnsi="Times New Roman" w:cs="Times New Roman"/>
          <w:kern w:val="0"/>
          <w:sz w:val="28"/>
          <w:szCs w:val="28"/>
          <w14:ligatures w14:val="none"/>
        </w:rPr>
        <w:t xml:space="preserve">starts </w:t>
      </w:r>
      <w:r w:rsidR="000D2395">
        <w:rPr>
          <w:rFonts w:ascii="Times New Roman" w:eastAsia="Calibri" w:hAnsi="Times New Roman" w:cs="Times New Roman"/>
          <w:kern w:val="0"/>
          <w:sz w:val="28"/>
          <w:szCs w:val="28"/>
          <w14:ligatures w14:val="none"/>
        </w:rPr>
        <w:t>after 100 ms)</w:t>
      </w:r>
      <w:r w:rsidR="00315B1C">
        <w:rPr>
          <w:rFonts w:ascii="Times New Roman" w:eastAsia="Calibri" w:hAnsi="Times New Roman" w:cs="Times New Roman"/>
          <w:kern w:val="0"/>
          <w:sz w:val="28"/>
          <w:szCs w:val="28"/>
          <w14:ligatures w14:val="none"/>
        </w:rPr>
        <w:t xml:space="preserve">, while GFM responds in subtangent timeframe. This is the main difference between GFL and GFM </w:t>
      </w:r>
    </w:p>
    <w:p w14:paraId="693B527D" w14:textId="0ADE1B24" w:rsidR="00315B1C" w:rsidRDefault="00966816"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4 </w:t>
      </w:r>
      <w:r w:rsidR="003D1B94">
        <w:rPr>
          <w:rFonts w:ascii="Times New Roman" w:eastAsia="Calibri" w:hAnsi="Times New Roman" w:cs="Times New Roman"/>
          <w:kern w:val="0"/>
          <w:sz w:val="28"/>
          <w:szCs w:val="28"/>
          <w14:ligatures w14:val="none"/>
        </w:rPr>
        <w:t>shows</w:t>
      </w:r>
      <w:r>
        <w:rPr>
          <w:rFonts w:ascii="Times New Roman" w:eastAsia="Calibri" w:hAnsi="Times New Roman" w:cs="Times New Roman"/>
          <w:kern w:val="0"/>
          <w:sz w:val="28"/>
          <w:szCs w:val="28"/>
          <w14:ligatures w14:val="none"/>
        </w:rPr>
        <w:t xml:space="preserve"> how GFM inverters can enhance the response to the frequency disturbance. </w:t>
      </w:r>
      <w:r w:rsidR="00012873">
        <w:rPr>
          <w:rFonts w:ascii="Times New Roman" w:eastAsia="Calibri" w:hAnsi="Times New Roman" w:cs="Times New Roman"/>
          <w:kern w:val="0"/>
          <w:sz w:val="28"/>
          <w:szCs w:val="28"/>
          <w14:ligatures w14:val="none"/>
        </w:rPr>
        <w:t>There are two types of control, one is a droop control similar to PFR in a GFL inverter, on top of that there’s inertia control</w:t>
      </w:r>
      <w:r w:rsidR="00112284">
        <w:rPr>
          <w:rFonts w:ascii="Times New Roman" w:eastAsia="Calibri" w:hAnsi="Times New Roman" w:cs="Times New Roman"/>
          <w:kern w:val="0"/>
          <w:sz w:val="28"/>
          <w:szCs w:val="28"/>
          <w14:ligatures w14:val="none"/>
        </w:rPr>
        <w:t xml:space="preserve"> that can be provided </w:t>
      </w:r>
      <w:r w:rsidR="00112284">
        <w:rPr>
          <w:rFonts w:ascii="Times New Roman" w:eastAsia="Calibri" w:hAnsi="Times New Roman" w:cs="Times New Roman"/>
          <w:kern w:val="0"/>
          <w:sz w:val="28"/>
          <w:szCs w:val="28"/>
          <w14:ligatures w14:val="none"/>
        </w:rPr>
        <w:lastRenderedPageBreak/>
        <w:t xml:space="preserve">in millisecond range. </w:t>
      </w:r>
      <w:r w:rsidR="003D1B94">
        <w:rPr>
          <w:rFonts w:ascii="Times New Roman" w:eastAsia="Calibri" w:hAnsi="Times New Roman" w:cs="Times New Roman"/>
          <w:kern w:val="0"/>
          <w:sz w:val="28"/>
          <w:szCs w:val="28"/>
          <w14:ligatures w14:val="none"/>
        </w:rPr>
        <w:t>Additionally,</w:t>
      </w:r>
      <w:r w:rsidR="00112284">
        <w:rPr>
          <w:rFonts w:ascii="Times New Roman" w:eastAsia="Calibri" w:hAnsi="Times New Roman" w:cs="Times New Roman"/>
          <w:kern w:val="0"/>
          <w:sz w:val="28"/>
          <w:szCs w:val="28"/>
          <w14:ligatures w14:val="none"/>
        </w:rPr>
        <w:t xml:space="preserve"> inertia controls are </w:t>
      </w:r>
      <w:r w:rsidR="003D1B94">
        <w:rPr>
          <w:rFonts w:ascii="Times New Roman" w:eastAsia="Calibri" w:hAnsi="Times New Roman" w:cs="Times New Roman"/>
          <w:kern w:val="0"/>
          <w:sz w:val="28"/>
          <w:szCs w:val="28"/>
          <w14:ligatures w14:val="none"/>
        </w:rPr>
        <w:t>adjustable,</w:t>
      </w:r>
      <w:r w:rsidR="00112284">
        <w:rPr>
          <w:rFonts w:ascii="Times New Roman" w:eastAsia="Calibri" w:hAnsi="Times New Roman" w:cs="Times New Roman"/>
          <w:kern w:val="0"/>
          <w:sz w:val="28"/>
          <w:szCs w:val="28"/>
          <w14:ligatures w14:val="none"/>
        </w:rPr>
        <w:t xml:space="preserve"> and inertia contribution can </w:t>
      </w:r>
      <w:r w:rsidR="003272BA">
        <w:rPr>
          <w:rFonts w:ascii="Times New Roman" w:eastAsia="Calibri" w:hAnsi="Times New Roman" w:cs="Times New Roman"/>
          <w:kern w:val="0"/>
          <w:sz w:val="28"/>
          <w:szCs w:val="28"/>
          <w14:ligatures w14:val="none"/>
        </w:rPr>
        <w:t xml:space="preserve">be increased as needed. </w:t>
      </w:r>
    </w:p>
    <w:p w14:paraId="59D5158B" w14:textId="1ADFB31D" w:rsidR="00F42DB7" w:rsidRDefault="00F42DB7"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5 demonstrates ride through capability under extremely weak grid conditions. </w:t>
      </w:r>
      <w:r w:rsidR="00F90CC9">
        <w:rPr>
          <w:rFonts w:ascii="Times New Roman" w:eastAsia="Calibri" w:hAnsi="Times New Roman" w:cs="Times New Roman"/>
          <w:kern w:val="0"/>
          <w:sz w:val="28"/>
          <w:szCs w:val="28"/>
          <w14:ligatures w14:val="none"/>
        </w:rPr>
        <w:t>Under extreme grid conditions it’s always a challenge for the inverter to ride through disturbance</w:t>
      </w:r>
      <w:r w:rsidR="0082311F">
        <w:rPr>
          <w:rFonts w:ascii="Times New Roman" w:eastAsia="Calibri" w:hAnsi="Times New Roman" w:cs="Times New Roman"/>
          <w:kern w:val="0"/>
          <w:sz w:val="28"/>
          <w:szCs w:val="28"/>
          <w14:ligatures w14:val="none"/>
        </w:rPr>
        <w:t>, in GFL IBRs oscillations are observed during the recovery period after the ride through</w:t>
      </w:r>
      <w:r w:rsidR="0019774B">
        <w:rPr>
          <w:rFonts w:ascii="Times New Roman" w:eastAsia="Calibri" w:hAnsi="Times New Roman" w:cs="Times New Roman"/>
          <w:kern w:val="0"/>
          <w:sz w:val="28"/>
          <w:szCs w:val="28"/>
          <w14:ligatures w14:val="none"/>
        </w:rPr>
        <w:t xml:space="preserve">. The figure shows that GFM is not susceptible to these oscillations. </w:t>
      </w:r>
    </w:p>
    <w:p w14:paraId="20F9217F" w14:textId="6A3180B1" w:rsidR="00182F3A" w:rsidRDefault="00182F3A"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6 </w:t>
      </w:r>
      <w:r w:rsidR="00996471">
        <w:rPr>
          <w:rFonts w:ascii="Times New Roman" w:eastAsia="Calibri" w:hAnsi="Times New Roman" w:cs="Times New Roman"/>
          <w:kern w:val="0"/>
          <w:sz w:val="28"/>
          <w:szCs w:val="28"/>
          <w14:ligatures w14:val="none"/>
        </w:rPr>
        <w:t>demonstrates</w:t>
      </w:r>
      <w:r>
        <w:rPr>
          <w:rFonts w:ascii="Times New Roman" w:eastAsia="Calibri" w:hAnsi="Times New Roman" w:cs="Times New Roman"/>
          <w:kern w:val="0"/>
          <w:sz w:val="28"/>
          <w:szCs w:val="28"/>
          <w14:ligatures w14:val="none"/>
        </w:rPr>
        <w:t xml:space="preserve"> damping </w:t>
      </w:r>
      <w:r w:rsidR="003D1B94">
        <w:rPr>
          <w:rFonts w:ascii="Times New Roman" w:eastAsia="Calibri" w:hAnsi="Times New Roman" w:cs="Times New Roman"/>
          <w:kern w:val="0"/>
          <w:sz w:val="28"/>
          <w:szCs w:val="28"/>
          <w14:ligatures w14:val="none"/>
        </w:rPr>
        <w:t>capability</w:t>
      </w:r>
      <w:r w:rsidR="00996471">
        <w:rPr>
          <w:rFonts w:ascii="Times New Roman" w:eastAsia="Calibri" w:hAnsi="Times New Roman" w:cs="Times New Roman"/>
          <w:kern w:val="0"/>
          <w:sz w:val="28"/>
          <w:szCs w:val="28"/>
          <w14:ligatures w14:val="none"/>
        </w:rPr>
        <w:t xml:space="preserve"> that helps to enhance stability for inter</w:t>
      </w:r>
      <w:r w:rsidR="00801921">
        <w:rPr>
          <w:rFonts w:ascii="Times New Roman" w:eastAsia="Calibri" w:hAnsi="Times New Roman" w:cs="Times New Roman"/>
          <w:kern w:val="0"/>
          <w:sz w:val="28"/>
          <w:szCs w:val="28"/>
          <w14:ligatures w14:val="none"/>
        </w:rPr>
        <w:t>-</w:t>
      </w:r>
      <w:r w:rsidR="00996471">
        <w:rPr>
          <w:rFonts w:ascii="Times New Roman" w:eastAsia="Calibri" w:hAnsi="Times New Roman" w:cs="Times New Roman"/>
          <w:kern w:val="0"/>
          <w:sz w:val="28"/>
          <w:szCs w:val="28"/>
          <w14:ligatures w14:val="none"/>
        </w:rPr>
        <w:t>a</w:t>
      </w:r>
      <w:r w:rsidR="00801921">
        <w:rPr>
          <w:rFonts w:ascii="Times New Roman" w:eastAsia="Calibri" w:hAnsi="Times New Roman" w:cs="Times New Roman"/>
          <w:kern w:val="0"/>
          <w:sz w:val="28"/>
          <w:szCs w:val="28"/>
          <w14:ligatures w14:val="none"/>
        </w:rPr>
        <w:t>r</w:t>
      </w:r>
      <w:r w:rsidR="00996471">
        <w:rPr>
          <w:rFonts w:ascii="Times New Roman" w:eastAsia="Calibri" w:hAnsi="Times New Roman" w:cs="Times New Roman"/>
          <w:kern w:val="0"/>
          <w:sz w:val="28"/>
          <w:szCs w:val="28"/>
          <w14:ligatures w14:val="none"/>
        </w:rPr>
        <w:t>ea oscillations</w:t>
      </w:r>
      <w:r w:rsidR="00801921">
        <w:rPr>
          <w:rFonts w:ascii="Times New Roman" w:eastAsia="Calibri" w:hAnsi="Times New Roman" w:cs="Times New Roman"/>
          <w:kern w:val="0"/>
          <w:sz w:val="28"/>
          <w:szCs w:val="28"/>
          <w14:ligatures w14:val="none"/>
        </w:rPr>
        <w:t xml:space="preserve"> as well as control interactions between </w:t>
      </w:r>
      <w:r w:rsidR="00E15427">
        <w:rPr>
          <w:rFonts w:ascii="Times New Roman" w:eastAsia="Calibri" w:hAnsi="Times New Roman" w:cs="Times New Roman"/>
          <w:kern w:val="0"/>
          <w:sz w:val="28"/>
          <w:szCs w:val="28"/>
          <w14:ligatures w14:val="none"/>
        </w:rPr>
        <w:t xml:space="preserve">several GFL IBRs. </w:t>
      </w:r>
    </w:p>
    <w:p w14:paraId="4FAA3CEB" w14:textId="3671F668" w:rsidR="001F232E" w:rsidRDefault="00F211C5"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SUNGROW has developed OEM specific inverter models, those were provided to ERCOT and successfully passed the </w:t>
      </w:r>
      <w:r w:rsidR="0061163F">
        <w:rPr>
          <w:rFonts w:ascii="Times New Roman" w:eastAsia="Calibri" w:hAnsi="Times New Roman" w:cs="Times New Roman"/>
          <w:kern w:val="0"/>
          <w:sz w:val="28"/>
          <w:szCs w:val="28"/>
          <w14:ligatures w14:val="none"/>
        </w:rPr>
        <w:t xml:space="preserve">tests in ERCOT AGS ESR Testing Framework document. </w:t>
      </w:r>
      <w:r w:rsidR="00023F79">
        <w:rPr>
          <w:rFonts w:ascii="Times New Roman" w:eastAsia="Calibri" w:hAnsi="Times New Roman" w:cs="Times New Roman"/>
          <w:kern w:val="0"/>
          <w:sz w:val="28"/>
          <w:szCs w:val="28"/>
          <w14:ligatures w14:val="none"/>
        </w:rPr>
        <w:t>S</w:t>
      </w:r>
      <w:r w:rsidR="00B4119D">
        <w:rPr>
          <w:rFonts w:ascii="Times New Roman" w:eastAsia="Calibri" w:hAnsi="Times New Roman" w:cs="Times New Roman"/>
          <w:kern w:val="0"/>
          <w:sz w:val="28"/>
          <w:szCs w:val="28"/>
          <w14:ligatures w14:val="none"/>
        </w:rPr>
        <w:t>lides</w:t>
      </w:r>
      <w:r w:rsidR="00023F79">
        <w:rPr>
          <w:rFonts w:ascii="Times New Roman" w:eastAsia="Calibri" w:hAnsi="Times New Roman" w:cs="Times New Roman"/>
          <w:kern w:val="0"/>
          <w:sz w:val="28"/>
          <w:szCs w:val="28"/>
          <w14:ligatures w14:val="none"/>
        </w:rPr>
        <w:t xml:space="preserve"> 8-11 are</w:t>
      </w:r>
      <w:r w:rsidR="00B4119D">
        <w:rPr>
          <w:rFonts w:ascii="Times New Roman" w:eastAsia="Calibri" w:hAnsi="Times New Roman" w:cs="Times New Roman"/>
          <w:kern w:val="0"/>
          <w:sz w:val="28"/>
          <w:szCs w:val="28"/>
          <w14:ligatures w14:val="none"/>
        </w:rPr>
        <w:t xml:space="preserve"> </w:t>
      </w:r>
      <w:r w:rsidR="00023F79">
        <w:rPr>
          <w:rFonts w:ascii="Times New Roman" w:eastAsia="Calibri" w:hAnsi="Times New Roman" w:cs="Times New Roman"/>
          <w:kern w:val="0"/>
          <w:sz w:val="28"/>
          <w:szCs w:val="28"/>
          <w14:ligatures w14:val="none"/>
        </w:rPr>
        <w:t xml:space="preserve">showing the results. On the </w:t>
      </w:r>
      <w:r w:rsidR="003D1B94">
        <w:rPr>
          <w:rFonts w:ascii="Times New Roman" w:eastAsia="Calibri" w:hAnsi="Times New Roman" w:cs="Times New Roman"/>
          <w:kern w:val="0"/>
          <w:sz w:val="28"/>
          <w:szCs w:val="28"/>
          <w14:ligatures w14:val="none"/>
        </w:rPr>
        <w:t>left-hand</w:t>
      </w:r>
      <w:r w:rsidR="00023F79">
        <w:rPr>
          <w:rFonts w:ascii="Times New Roman" w:eastAsia="Calibri" w:hAnsi="Times New Roman" w:cs="Times New Roman"/>
          <w:kern w:val="0"/>
          <w:sz w:val="28"/>
          <w:szCs w:val="28"/>
          <w14:ligatures w14:val="none"/>
        </w:rPr>
        <w:t xml:space="preserve"> side of each slide is the response of SUNGROW GFM inverter model while on the </w:t>
      </w:r>
      <w:r w:rsidR="003D1B94">
        <w:rPr>
          <w:rFonts w:ascii="Times New Roman" w:eastAsia="Calibri" w:hAnsi="Times New Roman" w:cs="Times New Roman"/>
          <w:kern w:val="0"/>
          <w:sz w:val="28"/>
          <w:szCs w:val="28"/>
          <w14:ligatures w14:val="none"/>
        </w:rPr>
        <w:t>right-hand</w:t>
      </w:r>
      <w:r w:rsidR="00023F79">
        <w:rPr>
          <w:rFonts w:ascii="Times New Roman" w:eastAsia="Calibri" w:hAnsi="Times New Roman" w:cs="Times New Roman"/>
          <w:kern w:val="0"/>
          <w:sz w:val="28"/>
          <w:szCs w:val="28"/>
          <w14:ligatures w14:val="none"/>
        </w:rPr>
        <w:t xml:space="preserve"> side there are sample acceptance results provided by ERCOT for comparison. </w:t>
      </w:r>
    </w:p>
    <w:p w14:paraId="27313BC5" w14:textId="40117009" w:rsidR="0061163F" w:rsidRDefault="0099614B"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The next few slides provided </w:t>
      </w:r>
      <w:r w:rsidR="00796098">
        <w:rPr>
          <w:rFonts w:ascii="Times New Roman" w:eastAsia="Calibri" w:hAnsi="Times New Roman" w:cs="Times New Roman"/>
          <w:kern w:val="0"/>
          <w:sz w:val="28"/>
          <w:szCs w:val="28"/>
          <w14:ligatures w14:val="none"/>
        </w:rPr>
        <w:t>samples</w:t>
      </w:r>
      <w:r>
        <w:rPr>
          <w:rFonts w:ascii="Times New Roman" w:eastAsia="Calibri" w:hAnsi="Times New Roman" w:cs="Times New Roman"/>
          <w:kern w:val="0"/>
          <w:sz w:val="28"/>
          <w:szCs w:val="28"/>
          <w14:ligatures w14:val="none"/>
        </w:rPr>
        <w:t xml:space="preserve"> of the projects. </w:t>
      </w:r>
      <w:r w:rsidR="007E2905">
        <w:rPr>
          <w:rFonts w:ascii="Times New Roman" w:eastAsia="Calibri" w:hAnsi="Times New Roman" w:cs="Times New Roman"/>
          <w:kern w:val="0"/>
          <w:sz w:val="28"/>
          <w:szCs w:val="28"/>
          <w14:ligatures w14:val="none"/>
        </w:rPr>
        <w:t>L</w:t>
      </w:r>
      <w:r w:rsidR="00AE553D">
        <w:rPr>
          <w:rFonts w:ascii="Times New Roman" w:eastAsia="Calibri" w:hAnsi="Times New Roman" w:cs="Times New Roman"/>
          <w:kern w:val="0"/>
          <w:sz w:val="28"/>
          <w:szCs w:val="28"/>
          <w14:ligatures w14:val="none"/>
        </w:rPr>
        <w:t xml:space="preserve">ing referred to the ESIG’s list of </w:t>
      </w:r>
      <w:r w:rsidR="00796098">
        <w:rPr>
          <w:rFonts w:ascii="Times New Roman" w:eastAsia="Calibri" w:hAnsi="Times New Roman" w:cs="Times New Roman"/>
          <w:kern w:val="0"/>
          <w:sz w:val="28"/>
          <w:szCs w:val="28"/>
          <w14:ligatures w14:val="none"/>
        </w:rPr>
        <w:t>grid forming</w:t>
      </w:r>
      <w:r w:rsidR="00AE553D">
        <w:rPr>
          <w:rFonts w:ascii="Times New Roman" w:eastAsia="Calibri" w:hAnsi="Times New Roman" w:cs="Times New Roman"/>
          <w:kern w:val="0"/>
          <w:sz w:val="28"/>
          <w:szCs w:val="28"/>
          <w14:ligatures w14:val="none"/>
        </w:rPr>
        <w:t xml:space="preserve"> projects as providing more comprehensive information, while the presentation is bringing up a few samples. </w:t>
      </w:r>
    </w:p>
    <w:p w14:paraId="558AD4A6" w14:textId="09C090FC" w:rsidR="00AE553D" w:rsidRDefault="00252CC8"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SUNGROW also has local capability to support GFM model development and encouraged interested stakeholders to reach out. </w:t>
      </w:r>
    </w:p>
    <w:p w14:paraId="6257BC73" w14:textId="0C7514A3" w:rsidR="00D51510" w:rsidRDefault="00D51510"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Q&amp;A</w:t>
      </w:r>
    </w:p>
    <w:p w14:paraId="1D347610" w14:textId="500776A8" w:rsidR="00D51510" w:rsidRDefault="00D51510"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What were the main drivers for the projects that you’ve shown in these different countries? </w:t>
      </w:r>
      <w:r w:rsidR="00E95609">
        <w:rPr>
          <w:rFonts w:ascii="Times New Roman" w:eastAsia="Calibri" w:hAnsi="Times New Roman" w:cs="Times New Roman"/>
          <w:kern w:val="0"/>
          <w:sz w:val="28"/>
          <w:szCs w:val="28"/>
          <w14:ligatures w14:val="none"/>
        </w:rPr>
        <w:t>Are those driven by pilot projects, requirements, tenders or markets?</w:t>
      </w:r>
    </w:p>
    <w:p w14:paraId="7FADE73D" w14:textId="370D97E5" w:rsidR="00E95609" w:rsidRDefault="00E95609"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Ling: I believe that </w:t>
      </w:r>
      <w:r w:rsidR="00E76830">
        <w:rPr>
          <w:rFonts w:ascii="Times New Roman" w:eastAsia="Calibri" w:hAnsi="Times New Roman" w:cs="Times New Roman"/>
          <w:kern w:val="0"/>
          <w:sz w:val="28"/>
          <w:szCs w:val="28"/>
          <w14:ligatures w14:val="none"/>
        </w:rPr>
        <w:t xml:space="preserve">in South Australia it was a utility requirement. But in another project in </w:t>
      </w:r>
      <w:r w:rsidR="00F759A3">
        <w:rPr>
          <w:rFonts w:ascii="Times New Roman" w:eastAsia="Calibri" w:hAnsi="Times New Roman" w:cs="Times New Roman"/>
          <w:kern w:val="0"/>
          <w:sz w:val="28"/>
          <w:szCs w:val="28"/>
          <w14:ligatures w14:val="none"/>
        </w:rPr>
        <w:t xml:space="preserve">Finland and </w:t>
      </w:r>
      <w:r w:rsidR="00E76830">
        <w:rPr>
          <w:rFonts w:ascii="Times New Roman" w:eastAsia="Calibri" w:hAnsi="Times New Roman" w:cs="Times New Roman"/>
          <w:kern w:val="0"/>
          <w:sz w:val="28"/>
          <w:szCs w:val="28"/>
          <w14:ligatures w14:val="none"/>
        </w:rPr>
        <w:t xml:space="preserve">Saudi Arabia </w:t>
      </w:r>
      <w:r w:rsidR="00F759A3">
        <w:rPr>
          <w:rFonts w:ascii="Times New Roman" w:eastAsia="Calibri" w:hAnsi="Times New Roman" w:cs="Times New Roman"/>
          <w:kern w:val="0"/>
          <w:sz w:val="28"/>
          <w:szCs w:val="28"/>
          <w14:ligatures w14:val="none"/>
        </w:rPr>
        <w:t>this is a reliability requirement</w:t>
      </w:r>
    </w:p>
    <w:p w14:paraId="4FFA48C8" w14:textId="602273AB" w:rsidR="003A06B0" w:rsidRDefault="003647F7"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Pablo Rocomora: </w:t>
      </w:r>
      <w:r w:rsidR="00D76E53">
        <w:rPr>
          <w:rFonts w:ascii="Times New Roman" w:eastAsia="Calibri" w:hAnsi="Times New Roman" w:cs="Times New Roman"/>
          <w:kern w:val="0"/>
          <w:sz w:val="28"/>
          <w:szCs w:val="28"/>
          <w14:ligatures w14:val="none"/>
        </w:rPr>
        <w:t>How would the price differ between GFL project and project with GFM capabilities</w:t>
      </w:r>
      <w:r w:rsidR="003A06B0">
        <w:rPr>
          <w:rFonts w:ascii="Times New Roman" w:eastAsia="Calibri" w:hAnsi="Times New Roman" w:cs="Times New Roman"/>
          <w:kern w:val="0"/>
          <w:sz w:val="28"/>
          <w:szCs w:val="28"/>
          <w14:ligatures w14:val="none"/>
        </w:rPr>
        <w:t>.</w:t>
      </w:r>
    </w:p>
    <w:p w14:paraId="6582C08B" w14:textId="68F91451" w:rsidR="00F759A3" w:rsidRDefault="009F7026"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Ling: This is something to be discussed on </w:t>
      </w:r>
      <w:r w:rsidR="001847D1">
        <w:rPr>
          <w:rFonts w:ascii="Times New Roman" w:eastAsia="Calibri" w:hAnsi="Times New Roman" w:cs="Times New Roman"/>
          <w:kern w:val="0"/>
          <w:sz w:val="28"/>
          <w:szCs w:val="28"/>
          <w14:ligatures w14:val="none"/>
        </w:rPr>
        <w:t>project-by-project</w:t>
      </w:r>
      <w:r>
        <w:rPr>
          <w:rFonts w:ascii="Times New Roman" w:eastAsia="Calibri" w:hAnsi="Times New Roman" w:cs="Times New Roman"/>
          <w:kern w:val="0"/>
          <w:sz w:val="28"/>
          <w:szCs w:val="28"/>
          <w14:ligatures w14:val="none"/>
        </w:rPr>
        <w:t xml:space="preserve"> basis but what I can say is that</w:t>
      </w:r>
      <w:r w:rsidR="006B20DD">
        <w:rPr>
          <w:rFonts w:ascii="Times New Roman" w:eastAsia="Calibri" w:hAnsi="Times New Roman" w:cs="Times New Roman"/>
          <w:kern w:val="0"/>
          <w:sz w:val="28"/>
          <w:szCs w:val="28"/>
          <w14:ligatures w14:val="none"/>
        </w:rPr>
        <w:t xml:space="preserve"> </w:t>
      </w:r>
      <w:r w:rsidR="00BF1E87">
        <w:rPr>
          <w:rFonts w:ascii="Times New Roman" w:eastAsia="Calibri" w:hAnsi="Times New Roman" w:cs="Times New Roman"/>
          <w:kern w:val="0"/>
          <w:sz w:val="28"/>
          <w:szCs w:val="28"/>
          <w14:ligatures w14:val="none"/>
        </w:rPr>
        <w:t xml:space="preserve">in </w:t>
      </w:r>
      <w:r w:rsidR="006B20DD">
        <w:rPr>
          <w:rFonts w:ascii="Times New Roman" w:eastAsia="Calibri" w:hAnsi="Times New Roman" w:cs="Times New Roman"/>
          <w:kern w:val="0"/>
          <w:sz w:val="28"/>
          <w:szCs w:val="28"/>
          <w14:ligatures w14:val="none"/>
        </w:rPr>
        <w:t xml:space="preserve">all inverters </w:t>
      </w:r>
      <w:r w:rsidR="00BF1E87">
        <w:rPr>
          <w:rFonts w:ascii="Times New Roman" w:eastAsia="Calibri" w:hAnsi="Times New Roman" w:cs="Times New Roman"/>
          <w:kern w:val="0"/>
          <w:sz w:val="28"/>
          <w:szCs w:val="28"/>
          <w14:ligatures w14:val="none"/>
        </w:rPr>
        <w:t xml:space="preserve">that SUNGROW produces, it’s </w:t>
      </w:r>
      <w:r w:rsidR="0011687E">
        <w:rPr>
          <w:rFonts w:ascii="Times New Roman" w:eastAsia="Calibri" w:hAnsi="Times New Roman" w:cs="Times New Roman"/>
          <w:kern w:val="0"/>
          <w:sz w:val="28"/>
          <w:szCs w:val="28"/>
          <w14:ligatures w14:val="none"/>
        </w:rPr>
        <w:t xml:space="preserve">a software upgrade to make it grid forming, no hardware upgrade is required. There may be </w:t>
      </w:r>
      <w:r w:rsidR="004C607E">
        <w:rPr>
          <w:rFonts w:ascii="Times New Roman" w:eastAsia="Calibri" w:hAnsi="Times New Roman" w:cs="Times New Roman"/>
          <w:kern w:val="0"/>
          <w:sz w:val="28"/>
          <w:szCs w:val="28"/>
          <w14:ligatures w14:val="none"/>
        </w:rPr>
        <w:t xml:space="preserve">additional costs associated with the modeling efforts (tests) which are more comprehensive than for grid following. </w:t>
      </w:r>
    </w:p>
    <w:p w14:paraId="19B9838B" w14:textId="1D75B7D0" w:rsidR="004C607E" w:rsidRDefault="00E24289"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That was a good </w:t>
      </w:r>
      <w:r w:rsidR="003D1B94">
        <w:rPr>
          <w:rFonts w:ascii="Times New Roman" w:eastAsia="Calibri" w:hAnsi="Times New Roman" w:cs="Times New Roman"/>
          <w:kern w:val="0"/>
          <w:sz w:val="28"/>
          <w:szCs w:val="28"/>
          <w14:ligatures w14:val="none"/>
        </w:rPr>
        <w:t>question,</w:t>
      </w:r>
      <w:r>
        <w:rPr>
          <w:rFonts w:ascii="Times New Roman" w:eastAsia="Calibri" w:hAnsi="Times New Roman" w:cs="Times New Roman"/>
          <w:kern w:val="0"/>
          <w:sz w:val="28"/>
          <w:szCs w:val="28"/>
          <w14:ligatures w14:val="none"/>
        </w:rPr>
        <w:t xml:space="preserve"> and we should ask PE the same. </w:t>
      </w:r>
    </w:p>
    <w:p w14:paraId="23965238" w14:textId="1AB3814A" w:rsidR="00E24289" w:rsidRDefault="00E24289"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w:t>
      </w:r>
      <w:r w:rsidR="00ED4F9C">
        <w:rPr>
          <w:rFonts w:ascii="Times New Roman" w:eastAsia="Calibri" w:hAnsi="Times New Roman" w:cs="Times New Roman"/>
          <w:kern w:val="0"/>
          <w:sz w:val="28"/>
          <w:szCs w:val="28"/>
          <w14:ligatures w14:val="none"/>
        </w:rPr>
        <w:t>Yes,</w:t>
      </w:r>
      <w:r w:rsidR="005274E3">
        <w:rPr>
          <w:rFonts w:ascii="Times New Roman" w:eastAsia="Calibri" w:hAnsi="Times New Roman" w:cs="Times New Roman"/>
          <w:kern w:val="0"/>
          <w:sz w:val="28"/>
          <w:szCs w:val="28"/>
          <w14:ligatures w14:val="none"/>
        </w:rPr>
        <w:t xml:space="preserve"> it’s about $5000 extra cost for the filter</w:t>
      </w:r>
      <w:r w:rsidR="00A021C5">
        <w:rPr>
          <w:rFonts w:ascii="Times New Roman" w:eastAsia="Calibri" w:hAnsi="Times New Roman" w:cs="Times New Roman"/>
          <w:kern w:val="0"/>
          <w:sz w:val="28"/>
          <w:szCs w:val="28"/>
          <w14:ligatures w14:val="none"/>
        </w:rPr>
        <w:t>, per inverter</w:t>
      </w:r>
      <w:r w:rsidR="005274E3">
        <w:rPr>
          <w:rFonts w:ascii="Times New Roman" w:eastAsia="Calibri" w:hAnsi="Times New Roman" w:cs="Times New Roman"/>
          <w:kern w:val="0"/>
          <w:sz w:val="28"/>
          <w:szCs w:val="28"/>
          <w14:ligatures w14:val="none"/>
        </w:rPr>
        <w:t xml:space="preserve">. </w:t>
      </w:r>
    </w:p>
    <w:p w14:paraId="46ABAB80" w14:textId="33314FA0" w:rsidR="00C44219" w:rsidRDefault="00C44219" w:rsidP="00D651E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(clarifying question): Can you talk about </w:t>
      </w:r>
      <w:r w:rsidR="003D1B94">
        <w:rPr>
          <w:rFonts w:ascii="Times New Roman" w:eastAsia="Calibri" w:hAnsi="Times New Roman" w:cs="Times New Roman"/>
          <w:kern w:val="0"/>
          <w:sz w:val="28"/>
          <w:szCs w:val="28"/>
          <w14:ligatures w14:val="none"/>
        </w:rPr>
        <w:t>the overall</w:t>
      </w:r>
      <w:r>
        <w:rPr>
          <w:rFonts w:ascii="Times New Roman" w:eastAsia="Calibri" w:hAnsi="Times New Roman" w:cs="Times New Roman"/>
          <w:kern w:val="0"/>
          <w:sz w:val="28"/>
          <w:szCs w:val="28"/>
          <w14:ligatures w14:val="none"/>
        </w:rPr>
        <w:t xml:space="preserve"> cost of GFL vs GFM of the same size? </w:t>
      </w:r>
    </w:p>
    <w:p w14:paraId="349D05C3" w14:textId="09B0CF88" w:rsidR="00F20B61" w:rsidRPr="00F20B61" w:rsidRDefault="0038355F" w:rsidP="00F20B6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Stephen: We are actually using the same power modules. The only thing is just to upgrade the firmware functionality</w:t>
      </w:r>
      <w:r w:rsidR="00165E4E">
        <w:rPr>
          <w:rFonts w:ascii="Times New Roman" w:eastAsia="Calibri" w:hAnsi="Times New Roman" w:cs="Times New Roman"/>
          <w:kern w:val="0"/>
          <w:sz w:val="28"/>
          <w:szCs w:val="28"/>
          <w14:ligatures w14:val="none"/>
        </w:rPr>
        <w:t>, but to meet GFM requirements you might need more beefy filters, so that’s really the only</w:t>
      </w:r>
      <w:r w:rsidR="00F20B61">
        <w:rPr>
          <w:rFonts w:ascii="Times New Roman" w:eastAsia="Calibri" w:hAnsi="Times New Roman" w:cs="Times New Roman"/>
          <w:kern w:val="0"/>
          <w:sz w:val="28"/>
          <w:szCs w:val="28"/>
          <w14:ligatures w14:val="none"/>
        </w:rPr>
        <w:t xml:space="preserve"> thing that’s needed to enable grid forming. </w:t>
      </w:r>
    </w:p>
    <w:p w14:paraId="5B9E40B4" w14:textId="45CDF81C" w:rsidR="00C43323" w:rsidRPr="00E8084A" w:rsidRDefault="00760560" w:rsidP="00E8084A">
      <w:pPr>
        <w:tabs>
          <w:tab w:val="right" w:pos="9360"/>
        </w:tabs>
        <w:spacing w:line="259" w:lineRule="auto"/>
        <w:rPr>
          <w:rFonts w:ascii="Times New Roman" w:eastAsia="Calibri" w:hAnsi="Times New Roman" w:cs="Times New Roman"/>
          <w:b/>
          <w:bCs/>
          <w:kern w:val="0"/>
          <w:sz w:val="28"/>
          <w:szCs w:val="28"/>
          <w14:ligatures w14:val="none"/>
        </w:rPr>
      </w:pPr>
      <w:r w:rsidRPr="00760560">
        <w:rPr>
          <w:rFonts w:ascii="Times New Roman" w:eastAsia="Calibri" w:hAnsi="Times New Roman" w:cs="Times New Roman"/>
          <w:b/>
          <w:bCs/>
          <w:kern w:val="0"/>
          <w:sz w:val="28"/>
          <w:szCs w:val="28"/>
          <w14:ligatures w14:val="none"/>
        </w:rPr>
        <w:t>Including HRL as an aggregated value of a defined IRR Group</w:t>
      </w:r>
    </w:p>
    <w:p w14:paraId="66AD96DF" w14:textId="77777777" w:rsidR="00F367CD" w:rsidRPr="00F367CD" w:rsidRDefault="00F367CD" w:rsidP="00F367CD">
      <w:pPr>
        <w:tabs>
          <w:tab w:val="right" w:pos="9360"/>
        </w:tabs>
        <w:spacing w:line="259" w:lineRule="auto"/>
        <w:rPr>
          <w:rFonts w:ascii="Times New Roman" w:eastAsia="Calibri" w:hAnsi="Times New Roman" w:cs="Times New Roman"/>
          <w:kern w:val="0"/>
          <w:sz w:val="28"/>
          <w:szCs w:val="28"/>
          <w14:ligatures w14:val="none"/>
        </w:rPr>
      </w:pPr>
      <w:r w:rsidRPr="00F367CD">
        <w:rPr>
          <w:rFonts w:ascii="Times New Roman" w:eastAsia="Calibri" w:hAnsi="Times New Roman" w:cs="Times New Roman"/>
          <w:kern w:val="0"/>
          <w:sz w:val="28"/>
          <w:szCs w:val="28"/>
          <w14:ligatures w14:val="none"/>
        </w:rPr>
        <w:t>Ismael Moral Diaz, Acciona</w:t>
      </w:r>
    </w:p>
    <w:p w14:paraId="77BE6904" w14:textId="06A40F7E" w:rsidR="00207F58" w:rsidRDefault="00207F58" w:rsidP="001D5AC3">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2 some information on Acciona, originally from Spain but now represented in 40+ countries. </w:t>
      </w:r>
      <w:r w:rsidR="00B3654D">
        <w:rPr>
          <w:rFonts w:ascii="Times New Roman" w:eastAsia="Calibri" w:hAnsi="Times New Roman" w:cs="Times New Roman"/>
          <w:kern w:val="0"/>
          <w:sz w:val="28"/>
          <w:szCs w:val="28"/>
          <w14:ligatures w14:val="none"/>
        </w:rPr>
        <w:t xml:space="preserve">Over 14 GW globally including wind, solar, storage, </w:t>
      </w:r>
      <w:r w:rsidR="00251EB0">
        <w:rPr>
          <w:rFonts w:ascii="Times New Roman" w:eastAsia="Calibri" w:hAnsi="Times New Roman" w:cs="Times New Roman"/>
          <w:kern w:val="0"/>
          <w:sz w:val="28"/>
          <w:szCs w:val="28"/>
          <w14:ligatures w14:val="none"/>
        </w:rPr>
        <w:t>biomass</w:t>
      </w:r>
      <w:r w:rsidR="00B3654D">
        <w:rPr>
          <w:rFonts w:ascii="Times New Roman" w:eastAsia="Calibri" w:hAnsi="Times New Roman" w:cs="Times New Roman"/>
          <w:kern w:val="0"/>
          <w:sz w:val="28"/>
          <w:szCs w:val="28"/>
          <w14:ligatures w14:val="none"/>
        </w:rPr>
        <w:t xml:space="preserve"> and hydro</w:t>
      </w:r>
    </w:p>
    <w:p w14:paraId="33C3713A" w14:textId="4549F800" w:rsidR="00115C4D" w:rsidRDefault="00FB4F90" w:rsidP="001D5AC3">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Slied 3 </w:t>
      </w:r>
      <w:r w:rsidR="00115C4D">
        <w:rPr>
          <w:rFonts w:ascii="Times New Roman" w:eastAsia="Calibri" w:hAnsi="Times New Roman" w:cs="Times New Roman"/>
          <w:kern w:val="0"/>
          <w:sz w:val="28"/>
          <w:szCs w:val="28"/>
          <w14:ligatures w14:val="none"/>
        </w:rPr>
        <w:t>indicates discrepancies between interconnection studies and real time operation associated with primary resource variability and output variability between the units (where a plant consists of multiple units).</w:t>
      </w:r>
      <w:r w:rsidR="009817F1">
        <w:rPr>
          <w:rFonts w:ascii="Times New Roman" w:eastAsia="Calibri" w:hAnsi="Times New Roman" w:cs="Times New Roman"/>
          <w:kern w:val="0"/>
          <w:sz w:val="28"/>
          <w:szCs w:val="28"/>
          <w14:ligatures w14:val="none"/>
        </w:rPr>
        <w:t xml:space="preserve"> SGIA is signed for a single plant of given MW output (not </w:t>
      </w:r>
      <w:r w:rsidR="00251EB0">
        <w:rPr>
          <w:rFonts w:ascii="Times New Roman" w:eastAsia="Calibri" w:hAnsi="Times New Roman" w:cs="Times New Roman"/>
          <w:kern w:val="0"/>
          <w:sz w:val="28"/>
          <w:szCs w:val="28"/>
          <w14:ligatures w14:val="none"/>
        </w:rPr>
        <w:t>on a</w:t>
      </w:r>
      <w:r w:rsidR="009817F1">
        <w:rPr>
          <w:rFonts w:ascii="Times New Roman" w:eastAsia="Calibri" w:hAnsi="Times New Roman" w:cs="Times New Roman"/>
          <w:kern w:val="0"/>
          <w:sz w:val="28"/>
          <w:szCs w:val="28"/>
          <w14:ligatures w14:val="none"/>
        </w:rPr>
        <w:t xml:space="preserve"> per-unit basis). The plant then operates with different HRLs </w:t>
      </w:r>
      <w:r w:rsidR="008B0CB6">
        <w:rPr>
          <w:rFonts w:ascii="Times New Roman" w:eastAsia="Calibri" w:hAnsi="Times New Roman" w:cs="Times New Roman"/>
          <w:kern w:val="0"/>
          <w:sz w:val="28"/>
          <w:szCs w:val="28"/>
          <w14:ligatures w14:val="none"/>
        </w:rPr>
        <w:t>per unit and generates an alert if a unit exceeds the limit</w:t>
      </w:r>
      <w:r w:rsidR="00CE03A9">
        <w:rPr>
          <w:rFonts w:ascii="Times New Roman" w:eastAsia="Calibri" w:hAnsi="Times New Roman" w:cs="Times New Roman"/>
          <w:kern w:val="0"/>
          <w:sz w:val="28"/>
          <w:szCs w:val="28"/>
          <w14:ligatures w14:val="none"/>
        </w:rPr>
        <w:t xml:space="preserve">. Control is also not limited at the POI level it considers individual unit operation. </w:t>
      </w:r>
    </w:p>
    <w:p w14:paraId="15F2E408" w14:textId="05943463" w:rsidR="00B3654D" w:rsidRDefault="00115C4D" w:rsidP="001D5AC3">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D26291">
        <w:rPr>
          <w:rFonts w:ascii="Times New Roman" w:eastAsia="Calibri" w:hAnsi="Times New Roman" w:cs="Times New Roman"/>
          <w:kern w:val="0"/>
          <w:sz w:val="28"/>
          <w:szCs w:val="28"/>
          <w14:ligatures w14:val="none"/>
        </w:rPr>
        <w:t>Slide 4 provides ERCOT’s definition of HRL and what it is used fo</w:t>
      </w:r>
      <w:r w:rsidR="00B85F4C">
        <w:rPr>
          <w:rFonts w:ascii="Times New Roman" w:eastAsia="Calibri" w:hAnsi="Times New Roman" w:cs="Times New Roman"/>
          <w:kern w:val="0"/>
          <w:sz w:val="28"/>
          <w:szCs w:val="28"/>
          <w14:ligatures w14:val="none"/>
        </w:rPr>
        <w:t xml:space="preserve">r and applicability to thermal generation vs IBRs. </w:t>
      </w:r>
    </w:p>
    <w:p w14:paraId="23A2694D" w14:textId="11076785" w:rsidR="00B85F4C" w:rsidRDefault="00E32F1B" w:rsidP="001D5AC3">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Slide 5</w:t>
      </w:r>
      <w:r w:rsidR="009C651C">
        <w:rPr>
          <w:rFonts w:ascii="Times New Roman" w:eastAsia="Calibri" w:hAnsi="Times New Roman" w:cs="Times New Roman"/>
          <w:kern w:val="0"/>
          <w:sz w:val="28"/>
          <w:szCs w:val="28"/>
          <w14:ligatures w14:val="none"/>
        </w:rPr>
        <w:t xml:space="preserve">-7 </w:t>
      </w:r>
      <w:r w:rsidR="00EC16E7">
        <w:rPr>
          <w:rFonts w:ascii="Times New Roman" w:eastAsia="Calibri" w:hAnsi="Times New Roman" w:cs="Times New Roman"/>
          <w:kern w:val="0"/>
          <w:sz w:val="28"/>
          <w:szCs w:val="28"/>
          <w14:ligatures w14:val="none"/>
        </w:rPr>
        <w:t>demonstrate the issue using the example plant</w:t>
      </w:r>
      <w:r w:rsidR="00AE01FB">
        <w:rPr>
          <w:rFonts w:ascii="Times New Roman" w:eastAsia="Calibri" w:hAnsi="Times New Roman" w:cs="Times New Roman"/>
          <w:kern w:val="0"/>
          <w:sz w:val="28"/>
          <w:szCs w:val="28"/>
          <w14:ligatures w14:val="none"/>
        </w:rPr>
        <w:t xml:space="preserve"> </w:t>
      </w:r>
      <w:r w:rsidR="00ED4F9C">
        <w:rPr>
          <w:rFonts w:ascii="Times New Roman" w:eastAsia="Calibri" w:hAnsi="Times New Roman" w:cs="Times New Roman"/>
          <w:kern w:val="0"/>
          <w:sz w:val="28"/>
          <w:szCs w:val="28"/>
          <w14:ligatures w14:val="none"/>
        </w:rPr>
        <w:t>with two</w:t>
      </w:r>
      <w:r w:rsidR="00AE01FB">
        <w:rPr>
          <w:rFonts w:ascii="Times New Roman" w:eastAsia="Calibri" w:hAnsi="Times New Roman" w:cs="Times New Roman"/>
          <w:kern w:val="0"/>
          <w:sz w:val="28"/>
          <w:szCs w:val="28"/>
          <w14:ligatures w14:val="none"/>
        </w:rPr>
        <w:t xml:space="preserve"> units having 140 MW and 160 MW HRL respectively but using same PPC controlling the output to 300 MW (as per SGIA).</w:t>
      </w:r>
      <w:r w:rsidR="00391956">
        <w:rPr>
          <w:rFonts w:ascii="Times New Roman" w:eastAsia="Calibri" w:hAnsi="Times New Roman" w:cs="Times New Roman"/>
          <w:kern w:val="0"/>
          <w:sz w:val="28"/>
          <w:szCs w:val="28"/>
          <w14:ligatures w14:val="none"/>
        </w:rPr>
        <w:t xml:space="preserve"> On a bright sunny day both units can produce up to their HRL</w:t>
      </w:r>
      <w:r w:rsidR="00712581">
        <w:rPr>
          <w:rFonts w:ascii="Times New Roman" w:eastAsia="Calibri" w:hAnsi="Times New Roman" w:cs="Times New Roman"/>
          <w:kern w:val="0"/>
          <w:sz w:val="28"/>
          <w:szCs w:val="28"/>
          <w14:ligatures w14:val="none"/>
        </w:rPr>
        <w:t xml:space="preserve">, while if there is a cloud cover over one unit it cannot produce maximum, the other unit has capability (overbuilt) to produce more but is limited by pre-set unit HRL that it cannot go </w:t>
      </w:r>
      <w:r w:rsidR="00BC150E">
        <w:rPr>
          <w:rFonts w:ascii="Times New Roman" w:eastAsia="Calibri" w:hAnsi="Times New Roman" w:cs="Times New Roman"/>
          <w:kern w:val="0"/>
          <w:sz w:val="28"/>
          <w:szCs w:val="28"/>
          <w14:ligatures w14:val="none"/>
        </w:rPr>
        <w:t>above,</w:t>
      </w:r>
      <w:r w:rsidR="00712581">
        <w:rPr>
          <w:rFonts w:ascii="Times New Roman" w:eastAsia="Calibri" w:hAnsi="Times New Roman" w:cs="Times New Roman"/>
          <w:kern w:val="0"/>
          <w:sz w:val="28"/>
          <w:szCs w:val="28"/>
          <w14:ligatures w14:val="none"/>
        </w:rPr>
        <w:t xml:space="preserve"> and this results in loss of revenue for the plant. </w:t>
      </w:r>
    </w:p>
    <w:p w14:paraId="46BBA57F" w14:textId="689E4DCD" w:rsidR="00D97401" w:rsidRDefault="009C651C" w:rsidP="00D9740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On slide 8 </w:t>
      </w:r>
      <w:r w:rsidR="00D97401">
        <w:rPr>
          <w:rFonts w:ascii="Times New Roman" w:eastAsia="Calibri" w:hAnsi="Times New Roman" w:cs="Times New Roman"/>
          <w:kern w:val="0"/>
          <w:sz w:val="28"/>
          <w:szCs w:val="28"/>
          <w14:ligatures w14:val="none"/>
        </w:rPr>
        <w:t xml:space="preserve">Acciona proposes to group HRL in aggregated units. Proposes to </w:t>
      </w:r>
      <w:r>
        <w:rPr>
          <w:rFonts w:ascii="Times New Roman" w:eastAsia="Calibri" w:hAnsi="Times New Roman" w:cs="Times New Roman"/>
          <w:kern w:val="0"/>
          <w:sz w:val="28"/>
          <w:szCs w:val="28"/>
          <w14:ligatures w14:val="none"/>
        </w:rPr>
        <w:t>use</w:t>
      </w:r>
      <w:r w:rsidR="00D97401">
        <w:rPr>
          <w:rFonts w:ascii="Times New Roman" w:eastAsia="Calibri" w:hAnsi="Times New Roman" w:cs="Times New Roman"/>
          <w:kern w:val="0"/>
          <w:sz w:val="28"/>
          <w:szCs w:val="28"/>
          <w14:ligatures w14:val="none"/>
        </w:rPr>
        <w:t xml:space="preserve"> existing definition for IRR Group. </w:t>
      </w:r>
      <w:r w:rsidR="00FC7715">
        <w:rPr>
          <w:rFonts w:ascii="Times New Roman" w:eastAsia="Calibri" w:hAnsi="Times New Roman" w:cs="Times New Roman"/>
          <w:kern w:val="0"/>
          <w:sz w:val="28"/>
          <w:szCs w:val="28"/>
          <w14:ligatures w14:val="none"/>
        </w:rPr>
        <w:t xml:space="preserve">This will no </w:t>
      </w:r>
      <w:r w:rsidR="00553359">
        <w:rPr>
          <w:rFonts w:ascii="Times New Roman" w:eastAsia="Calibri" w:hAnsi="Times New Roman" w:cs="Times New Roman"/>
          <w:kern w:val="0"/>
          <w:sz w:val="28"/>
          <w:szCs w:val="28"/>
          <w14:ligatures w14:val="none"/>
        </w:rPr>
        <w:t xml:space="preserve">effect planning phase and studies as during the planning phase different HRL per unit is not being accounted for. </w:t>
      </w:r>
      <w:r w:rsidR="00B27FD2">
        <w:rPr>
          <w:rFonts w:ascii="Times New Roman" w:eastAsia="Calibri" w:hAnsi="Times New Roman" w:cs="Times New Roman"/>
          <w:kern w:val="0"/>
          <w:sz w:val="28"/>
          <w:szCs w:val="28"/>
          <w14:ligatures w14:val="none"/>
        </w:rPr>
        <w:t xml:space="preserve">This proposal will also allow ERCOT to get more MW from existing power plants in operation. </w:t>
      </w:r>
    </w:p>
    <w:p w14:paraId="2D843234" w14:textId="0D4717D1" w:rsidR="00553359" w:rsidRDefault="0003680C" w:rsidP="00D9740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w:t>
      </w:r>
      <w:r w:rsidR="00B27FD2">
        <w:rPr>
          <w:rFonts w:ascii="Times New Roman" w:eastAsia="Calibri" w:hAnsi="Times New Roman" w:cs="Times New Roman"/>
          <w:kern w:val="0"/>
          <w:sz w:val="28"/>
          <w:szCs w:val="28"/>
          <w14:ligatures w14:val="none"/>
        </w:rPr>
        <w:t xml:space="preserve">9 demonstrates how this proposal would work in the example. </w:t>
      </w:r>
    </w:p>
    <w:p w14:paraId="6AC74AAF" w14:textId="489E3D07" w:rsidR="00B27FD2" w:rsidRDefault="00F4116A" w:rsidP="00D9740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Two</w:t>
      </w:r>
      <w:r w:rsidR="00B27FD2">
        <w:rPr>
          <w:rFonts w:ascii="Times New Roman" w:eastAsia="Calibri" w:hAnsi="Times New Roman" w:cs="Times New Roman"/>
          <w:kern w:val="0"/>
          <w:sz w:val="28"/>
          <w:szCs w:val="28"/>
          <w14:ligatures w14:val="none"/>
        </w:rPr>
        <w:t xml:space="preserve"> key aspects to consider is ERCOT reactive requirement and PPC functionality. </w:t>
      </w:r>
      <w:r>
        <w:rPr>
          <w:rFonts w:ascii="Times New Roman" w:eastAsia="Calibri" w:hAnsi="Times New Roman" w:cs="Times New Roman"/>
          <w:kern w:val="0"/>
          <w:sz w:val="28"/>
          <w:szCs w:val="28"/>
          <w14:ligatures w14:val="none"/>
        </w:rPr>
        <w:t xml:space="preserve">Slide 11 explains reactive power requirements. </w:t>
      </w:r>
      <w:r w:rsidR="00D561C6">
        <w:rPr>
          <w:rFonts w:ascii="Times New Roman" w:eastAsia="Calibri" w:hAnsi="Times New Roman" w:cs="Times New Roman"/>
          <w:kern w:val="0"/>
          <w:sz w:val="28"/>
          <w:szCs w:val="28"/>
          <w14:ligatures w14:val="none"/>
        </w:rPr>
        <w:t xml:space="preserve">And how PV can still provide maximum reactive support even during cloudy conditions/low output. </w:t>
      </w:r>
    </w:p>
    <w:p w14:paraId="59FA6F9E" w14:textId="4B09A5DC" w:rsidR="00D561C6" w:rsidRDefault="006E6E83" w:rsidP="00D97401">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Slide 12 explains PPC functionality</w:t>
      </w:r>
      <w:r w:rsidR="006E5ED7">
        <w:rPr>
          <w:rFonts w:ascii="Times New Roman" w:eastAsia="Calibri" w:hAnsi="Times New Roman" w:cs="Times New Roman"/>
          <w:kern w:val="0"/>
          <w:sz w:val="28"/>
          <w:szCs w:val="28"/>
          <w14:ligatures w14:val="none"/>
        </w:rPr>
        <w:t xml:space="preserve"> and how the issue with individual unit HRL </w:t>
      </w:r>
      <w:r w:rsidR="00506644">
        <w:rPr>
          <w:rFonts w:ascii="Times New Roman" w:eastAsia="Calibri" w:hAnsi="Times New Roman" w:cs="Times New Roman"/>
          <w:kern w:val="0"/>
          <w:sz w:val="28"/>
          <w:szCs w:val="28"/>
          <w14:ligatures w14:val="none"/>
        </w:rPr>
        <w:t xml:space="preserve">may prevent the PPC from </w:t>
      </w:r>
      <w:r w:rsidR="00CE5C8C">
        <w:rPr>
          <w:rFonts w:ascii="Times New Roman" w:eastAsia="Calibri" w:hAnsi="Times New Roman" w:cs="Times New Roman"/>
          <w:kern w:val="0"/>
          <w:sz w:val="28"/>
          <w:szCs w:val="28"/>
          <w14:ligatures w14:val="none"/>
        </w:rPr>
        <w:t xml:space="preserve">controlling the plant to produce maximum from all of the units combined, based on available irradiance, while respecting SGIA limit. </w:t>
      </w:r>
    </w:p>
    <w:p w14:paraId="69340656" w14:textId="6041C611" w:rsidR="00066E39" w:rsidRPr="002B47E8" w:rsidRDefault="001847D1" w:rsidP="00574DF1">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sidRPr="002B47E8">
        <w:rPr>
          <w:rFonts w:ascii="Times New Roman" w:eastAsia="Calibri" w:hAnsi="Times New Roman" w:cs="Times New Roman"/>
          <w:kern w:val="0"/>
          <w:sz w:val="28"/>
          <w:szCs w:val="28"/>
          <w14:ligatures w14:val="none"/>
        </w:rPr>
        <w:t>Slide 13 presents the recap for the proposal</w:t>
      </w:r>
      <w:r w:rsidR="002B47E8" w:rsidRPr="002B47E8">
        <w:rPr>
          <w:rFonts w:ascii="Times New Roman" w:eastAsia="Calibri" w:hAnsi="Times New Roman" w:cs="Times New Roman"/>
          <w:kern w:val="0"/>
          <w:sz w:val="28"/>
          <w:szCs w:val="28"/>
          <w14:ligatures w14:val="none"/>
        </w:rPr>
        <w:t xml:space="preserve">. </w:t>
      </w:r>
    </w:p>
    <w:p w14:paraId="44EBD1B4" w14:textId="2B51DB24" w:rsidR="00066E39" w:rsidRPr="002B47E8" w:rsidRDefault="00066E39" w:rsidP="002B47E8">
      <w:pPr>
        <w:pStyle w:val="ListParagraph"/>
        <w:numPr>
          <w:ilvl w:val="1"/>
          <w:numId w:val="1"/>
        </w:numPr>
        <w:tabs>
          <w:tab w:val="right" w:pos="9360"/>
        </w:tabs>
        <w:spacing w:line="259" w:lineRule="auto"/>
        <w:rPr>
          <w:rFonts w:ascii="Times New Roman" w:eastAsia="Calibri" w:hAnsi="Times New Roman" w:cs="Times New Roman"/>
          <w:kern w:val="0"/>
          <w:sz w:val="28"/>
          <w:szCs w:val="28"/>
          <w14:ligatures w14:val="none"/>
        </w:rPr>
      </w:pPr>
      <w:r w:rsidRPr="00066E39">
        <w:rPr>
          <w:rFonts w:ascii="Times New Roman" w:eastAsia="Calibri" w:hAnsi="Times New Roman" w:cs="Times New Roman"/>
          <w:kern w:val="0"/>
          <w:sz w:val="28"/>
          <w:szCs w:val="28"/>
          <w14:ligatures w14:val="none"/>
        </w:rPr>
        <w:t>HRL aggregation: When units are grouped, a single HRL value is assigned per plant instead of separate HRLs for each unit.</w:t>
      </w:r>
    </w:p>
    <w:p w14:paraId="2D277CF9" w14:textId="77777777" w:rsidR="008B271D" w:rsidRDefault="00066E39" w:rsidP="008B271D">
      <w:pPr>
        <w:pStyle w:val="ListParagraph"/>
        <w:numPr>
          <w:ilvl w:val="1"/>
          <w:numId w:val="1"/>
        </w:numPr>
        <w:tabs>
          <w:tab w:val="right" w:pos="9360"/>
        </w:tabs>
        <w:spacing w:line="259" w:lineRule="auto"/>
        <w:rPr>
          <w:rFonts w:ascii="Times New Roman" w:eastAsia="Calibri" w:hAnsi="Times New Roman" w:cs="Times New Roman"/>
          <w:kern w:val="0"/>
          <w:sz w:val="28"/>
          <w:szCs w:val="28"/>
          <w14:ligatures w14:val="none"/>
        </w:rPr>
      </w:pPr>
      <w:r w:rsidRPr="002B47E8">
        <w:rPr>
          <w:rFonts w:ascii="Times New Roman" w:eastAsia="Calibri" w:hAnsi="Times New Roman" w:cs="Times New Roman"/>
          <w:kern w:val="0"/>
          <w:sz w:val="28"/>
          <w:szCs w:val="28"/>
          <w14:ligatures w14:val="none"/>
        </w:rPr>
        <w:t>Operational Benefits: Maintains compliance with ERCOT requirements, including reactive power.</w:t>
      </w:r>
      <w:r w:rsidR="008B271D">
        <w:rPr>
          <w:rFonts w:ascii="Times New Roman" w:eastAsia="Calibri" w:hAnsi="Times New Roman" w:cs="Times New Roman"/>
          <w:kern w:val="0"/>
          <w:sz w:val="28"/>
          <w:szCs w:val="28"/>
          <w14:ligatures w14:val="none"/>
        </w:rPr>
        <w:t xml:space="preserve"> </w:t>
      </w:r>
    </w:p>
    <w:p w14:paraId="7F129D26" w14:textId="77777777" w:rsidR="008B271D" w:rsidRDefault="00066E39" w:rsidP="008B271D">
      <w:pPr>
        <w:pStyle w:val="ListParagraph"/>
        <w:numPr>
          <w:ilvl w:val="1"/>
          <w:numId w:val="1"/>
        </w:numPr>
        <w:tabs>
          <w:tab w:val="right" w:pos="9360"/>
        </w:tabs>
        <w:spacing w:line="259" w:lineRule="auto"/>
        <w:rPr>
          <w:rFonts w:ascii="Times New Roman" w:eastAsia="Calibri" w:hAnsi="Times New Roman" w:cs="Times New Roman"/>
          <w:kern w:val="0"/>
          <w:sz w:val="28"/>
          <w:szCs w:val="28"/>
          <w14:ligatures w14:val="none"/>
        </w:rPr>
      </w:pPr>
      <w:r w:rsidRPr="008B271D">
        <w:rPr>
          <w:rFonts w:ascii="Times New Roman" w:eastAsia="Calibri" w:hAnsi="Times New Roman" w:cs="Times New Roman"/>
          <w:kern w:val="0"/>
          <w:sz w:val="28"/>
          <w:szCs w:val="28"/>
          <w14:ligatures w14:val="none"/>
        </w:rPr>
        <w:t xml:space="preserve">Allows for increased stabilization of generation </w:t>
      </w:r>
      <w:r w:rsidR="002B47E8" w:rsidRPr="008B271D">
        <w:rPr>
          <w:rFonts w:ascii="Times New Roman" w:eastAsia="Calibri" w:hAnsi="Times New Roman" w:cs="Times New Roman"/>
          <w:kern w:val="0"/>
          <w:sz w:val="28"/>
          <w:szCs w:val="28"/>
          <w14:ligatures w14:val="none"/>
        </w:rPr>
        <w:t>injections</w:t>
      </w:r>
      <w:r w:rsidRPr="008B271D">
        <w:rPr>
          <w:rFonts w:ascii="Times New Roman" w:eastAsia="Calibri" w:hAnsi="Times New Roman" w:cs="Times New Roman"/>
          <w:kern w:val="0"/>
          <w:sz w:val="28"/>
          <w:szCs w:val="28"/>
          <w14:ligatures w14:val="none"/>
        </w:rPr>
        <w:t xml:space="preserve"> in the ERCOT area helping to maintain a stable grid, for instance during Energy Emergency Level (EEA).</w:t>
      </w:r>
    </w:p>
    <w:p w14:paraId="5A27D097" w14:textId="060B24E5" w:rsidR="00CE5C8C" w:rsidRDefault="00066E39" w:rsidP="008B271D">
      <w:pPr>
        <w:pStyle w:val="ListParagraph"/>
        <w:numPr>
          <w:ilvl w:val="1"/>
          <w:numId w:val="1"/>
        </w:numPr>
        <w:tabs>
          <w:tab w:val="right" w:pos="9360"/>
        </w:tabs>
        <w:spacing w:line="259" w:lineRule="auto"/>
        <w:rPr>
          <w:rFonts w:ascii="Times New Roman" w:eastAsia="Calibri" w:hAnsi="Times New Roman" w:cs="Times New Roman"/>
          <w:kern w:val="0"/>
          <w:sz w:val="28"/>
          <w:szCs w:val="28"/>
          <w14:ligatures w14:val="none"/>
        </w:rPr>
      </w:pPr>
      <w:r w:rsidRPr="008B271D">
        <w:rPr>
          <w:rFonts w:ascii="Times New Roman" w:eastAsia="Calibri" w:hAnsi="Times New Roman" w:cs="Times New Roman"/>
          <w:kern w:val="0"/>
          <w:sz w:val="28"/>
          <w:szCs w:val="28"/>
          <w14:ligatures w14:val="none"/>
        </w:rPr>
        <w:t>Flexibility: This approach is optional - if units prefer to have different setpoints and participate with separate bids at different prices, they can retain individual HRLs.</w:t>
      </w:r>
    </w:p>
    <w:p w14:paraId="113C3742" w14:textId="6D24BAD8" w:rsidR="008B271D" w:rsidRDefault="00D214B0" w:rsidP="008B271D">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Ismael also asked if other project owners/developers have similar experiences and would like to share? </w:t>
      </w:r>
    </w:p>
    <w:p w14:paraId="0BB7BC29" w14:textId="49C4CB97" w:rsidR="00420A47" w:rsidRDefault="00420A47" w:rsidP="008B271D">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Seth Maslowski (Ulteig): Would like to share</w:t>
      </w:r>
      <w:r w:rsidR="00CE2234">
        <w:rPr>
          <w:rFonts w:ascii="Times New Roman" w:eastAsia="Calibri" w:hAnsi="Times New Roman" w:cs="Times New Roman"/>
          <w:kern w:val="0"/>
          <w:sz w:val="28"/>
          <w:szCs w:val="28"/>
          <w14:ligatures w14:val="none"/>
        </w:rPr>
        <w:t xml:space="preserve"> this experience from the perspective of the </w:t>
      </w:r>
      <w:r w:rsidR="002221A6">
        <w:rPr>
          <w:rFonts w:ascii="Times New Roman" w:eastAsia="Calibri" w:hAnsi="Times New Roman" w:cs="Times New Roman"/>
          <w:kern w:val="0"/>
          <w:sz w:val="28"/>
          <w:szCs w:val="28"/>
          <w14:ligatures w14:val="none"/>
        </w:rPr>
        <w:t xml:space="preserve">plant </w:t>
      </w:r>
      <w:r w:rsidR="00CE2234">
        <w:rPr>
          <w:rFonts w:ascii="Times New Roman" w:eastAsia="Calibri" w:hAnsi="Times New Roman" w:cs="Times New Roman"/>
          <w:kern w:val="0"/>
          <w:sz w:val="28"/>
          <w:szCs w:val="28"/>
          <w14:ligatures w14:val="none"/>
        </w:rPr>
        <w:t>systems integrator</w:t>
      </w:r>
      <w:r w:rsidR="00156157">
        <w:rPr>
          <w:rFonts w:ascii="Times New Roman" w:eastAsia="Calibri" w:hAnsi="Times New Roman" w:cs="Times New Roman"/>
          <w:kern w:val="0"/>
          <w:sz w:val="28"/>
          <w:szCs w:val="28"/>
          <w14:ligatures w14:val="none"/>
        </w:rPr>
        <w:t xml:space="preserve"> and advise plants to register as IRR Group Resources. And what Isamel is proposing is exactly the reason why you mi</w:t>
      </w:r>
      <w:r w:rsidR="00D11987">
        <w:rPr>
          <w:rFonts w:ascii="Times New Roman" w:eastAsia="Calibri" w:hAnsi="Times New Roman" w:cs="Times New Roman"/>
          <w:kern w:val="0"/>
          <w:sz w:val="28"/>
          <w:szCs w:val="28"/>
          <w14:ligatures w14:val="none"/>
        </w:rPr>
        <w:t xml:space="preserve">ght </w:t>
      </w:r>
      <w:r w:rsidR="00156157">
        <w:rPr>
          <w:rFonts w:ascii="Times New Roman" w:eastAsia="Calibri" w:hAnsi="Times New Roman" w:cs="Times New Roman"/>
          <w:kern w:val="0"/>
          <w:sz w:val="28"/>
          <w:szCs w:val="28"/>
          <w14:ligatures w14:val="none"/>
        </w:rPr>
        <w:t>want to have IRR Group Resource</w:t>
      </w:r>
      <w:r w:rsidR="00BA1E8B">
        <w:rPr>
          <w:rFonts w:ascii="Times New Roman" w:eastAsia="Calibri" w:hAnsi="Times New Roman" w:cs="Times New Roman"/>
          <w:kern w:val="0"/>
          <w:sz w:val="28"/>
          <w:szCs w:val="28"/>
          <w14:ligatures w14:val="none"/>
        </w:rPr>
        <w:t>.</w:t>
      </w:r>
      <w:r w:rsidR="0002079B">
        <w:rPr>
          <w:rFonts w:ascii="Times New Roman" w:eastAsia="Calibri" w:hAnsi="Times New Roman" w:cs="Times New Roman"/>
          <w:kern w:val="0"/>
          <w:sz w:val="28"/>
          <w:szCs w:val="28"/>
          <w14:ligatures w14:val="none"/>
        </w:rPr>
        <w:t xml:space="preserve"> IRR Group Resource was created at the time when it wasn’t possible to have a single PPC controlling both units. </w:t>
      </w:r>
      <w:r w:rsidR="000E1F82">
        <w:rPr>
          <w:rFonts w:ascii="Times New Roman" w:eastAsia="Calibri" w:hAnsi="Times New Roman" w:cs="Times New Roman"/>
          <w:kern w:val="0"/>
          <w:sz w:val="28"/>
          <w:szCs w:val="28"/>
          <w14:ligatures w14:val="none"/>
        </w:rPr>
        <w:t>So,</w:t>
      </w:r>
      <w:r w:rsidR="0002079B">
        <w:rPr>
          <w:rFonts w:ascii="Times New Roman" w:eastAsia="Calibri" w:hAnsi="Times New Roman" w:cs="Times New Roman"/>
          <w:kern w:val="0"/>
          <w:sz w:val="28"/>
          <w:szCs w:val="28"/>
          <w14:ligatures w14:val="none"/>
        </w:rPr>
        <w:t xml:space="preserve"> this discussion makes a lot of sense. </w:t>
      </w:r>
      <w:r w:rsidR="00156157">
        <w:rPr>
          <w:rFonts w:ascii="Times New Roman" w:eastAsia="Calibri" w:hAnsi="Times New Roman" w:cs="Times New Roman"/>
          <w:kern w:val="0"/>
          <w:sz w:val="28"/>
          <w:szCs w:val="28"/>
          <w14:ligatures w14:val="none"/>
        </w:rPr>
        <w:t xml:space="preserve"> </w:t>
      </w:r>
    </w:p>
    <w:p w14:paraId="066A5116" w14:textId="42432DE9" w:rsidR="006E2B35" w:rsidRDefault="00C232A0" w:rsidP="008B271D">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Julia: What would the next steps be with the proposal?</w:t>
      </w:r>
    </w:p>
    <w:p w14:paraId="1EAC58EA" w14:textId="45E9B982" w:rsidR="00034FFA" w:rsidRDefault="00034FFA" w:rsidP="00A96AA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Isamel: We just wanted to bring it up to people’s awareness and see if other companies </w:t>
      </w:r>
      <w:r w:rsidR="00ED4F9C">
        <w:rPr>
          <w:rFonts w:ascii="Times New Roman" w:eastAsia="Calibri" w:hAnsi="Times New Roman" w:cs="Times New Roman"/>
          <w:kern w:val="0"/>
          <w:sz w:val="28"/>
          <w:szCs w:val="28"/>
          <w14:ligatures w14:val="none"/>
        </w:rPr>
        <w:t>have</w:t>
      </w:r>
      <w:r>
        <w:rPr>
          <w:rFonts w:ascii="Times New Roman" w:eastAsia="Calibri" w:hAnsi="Times New Roman" w:cs="Times New Roman"/>
          <w:kern w:val="0"/>
          <w:sz w:val="28"/>
          <w:szCs w:val="28"/>
          <w14:ligatures w14:val="none"/>
        </w:rPr>
        <w:t xml:space="preserve"> similar experience and our ideas for solution and then formally propose this change to ERCOT. </w:t>
      </w:r>
    </w:p>
    <w:p w14:paraId="64546768" w14:textId="3AE2928E" w:rsidR="00A96AA6" w:rsidRPr="00A96AA6" w:rsidRDefault="00A96AA6" w:rsidP="00A96AA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If there are other generator owners that </w:t>
      </w:r>
      <w:r w:rsidR="00ED4F9C">
        <w:rPr>
          <w:rFonts w:ascii="Times New Roman" w:eastAsia="Calibri" w:hAnsi="Times New Roman" w:cs="Times New Roman"/>
          <w:kern w:val="0"/>
          <w:sz w:val="28"/>
          <w:szCs w:val="28"/>
          <w14:ligatures w14:val="none"/>
        </w:rPr>
        <w:t>see</w:t>
      </w:r>
      <w:r>
        <w:rPr>
          <w:rFonts w:ascii="Times New Roman" w:eastAsia="Calibri" w:hAnsi="Times New Roman" w:cs="Times New Roman"/>
          <w:kern w:val="0"/>
          <w:sz w:val="28"/>
          <w:szCs w:val="28"/>
          <w14:ligatures w14:val="none"/>
        </w:rPr>
        <w:t xml:space="preserve"> similar issues please follow up and we can work with ERCOT to formally </w:t>
      </w:r>
      <w:r w:rsidR="0060539D">
        <w:rPr>
          <w:rFonts w:ascii="Times New Roman" w:eastAsia="Calibri" w:hAnsi="Times New Roman" w:cs="Times New Roman"/>
          <w:kern w:val="0"/>
          <w:sz w:val="28"/>
          <w:szCs w:val="28"/>
          <w14:ligatures w14:val="none"/>
        </w:rPr>
        <w:t xml:space="preserve">propose the changes. </w:t>
      </w:r>
    </w:p>
    <w:p w14:paraId="6D62C0B5" w14:textId="77777777" w:rsidR="00A61A10" w:rsidRDefault="00A61A10" w:rsidP="00A52D6C">
      <w:pPr>
        <w:tabs>
          <w:tab w:val="right" w:pos="9360"/>
        </w:tabs>
        <w:spacing w:line="259" w:lineRule="auto"/>
        <w:rPr>
          <w:rFonts w:ascii="Times New Roman" w:eastAsia="Calibri" w:hAnsi="Times New Roman" w:cs="Times New Roman"/>
          <w:b/>
          <w:bCs/>
          <w:kern w:val="0"/>
          <w:sz w:val="28"/>
          <w:szCs w:val="28"/>
          <w14:ligatures w14:val="none"/>
        </w:rPr>
      </w:pPr>
      <w:r w:rsidRPr="00A61A10">
        <w:rPr>
          <w:rFonts w:ascii="Times New Roman" w:eastAsia="Calibri" w:hAnsi="Times New Roman" w:cs="Times New Roman"/>
          <w:b/>
          <w:bCs/>
          <w:kern w:val="0"/>
          <w:sz w:val="28"/>
          <w:szCs w:val="28"/>
          <w14:ligatures w14:val="none"/>
        </w:rPr>
        <w:t xml:space="preserve">PRC-029-1 &amp; NOGRR245 Comparison and Category 2 Registration Practice Guide </w:t>
      </w:r>
    </w:p>
    <w:p w14:paraId="0C191085" w14:textId="1C0E586B" w:rsidR="0060539D" w:rsidRDefault="0060539D" w:rsidP="00A52D6C">
      <w:pPr>
        <w:tabs>
          <w:tab w:val="right" w:pos="9360"/>
        </w:tabs>
        <w:spacing w:line="259" w:lineRule="auto"/>
        <w:rPr>
          <w:rFonts w:ascii="Times New Roman" w:eastAsia="Calibri" w:hAnsi="Times New Roman" w:cs="Times New Roman"/>
          <w:kern w:val="0"/>
          <w:sz w:val="28"/>
          <w:szCs w:val="28"/>
          <w14:ligatures w14:val="none"/>
        </w:rPr>
      </w:pPr>
      <w:r w:rsidRPr="0060539D">
        <w:rPr>
          <w:rFonts w:ascii="Times New Roman" w:eastAsia="Calibri" w:hAnsi="Times New Roman" w:cs="Times New Roman"/>
          <w:kern w:val="0"/>
          <w:sz w:val="28"/>
          <w:szCs w:val="28"/>
          <w14:ligatures w14:val="none"/>
        </w:rPr>
        <w:t xml:space="preserve">Mark Henry, ERCOT </w:t>
      </w:r>
    </w:p>
    <w:p w14:paraId="3D09BCA5" w14:textId="2A356BD5" w:rsidR="0060539D" w:rsidRDefault="00E1067A" w:rsidP="00A2337A">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request</w:t>
      </w:r>
      <w:r w:rsidR="00A2337A">
        <w:rPr>
          <w:rFonts w:ascii="Times New Roman" w:eastAsia="Calibri" w:hAnsi="Times New Roman" w:cs="Times New Roman"/>
          <w:kern w:val="0"/>
          <w:sz w:val="28"/>
          <w:szCs w:val="28"/>
          <w14:ligatures w14:val="none"/>
        </w:rPr>
        <w:t xml:space="preserve"> was to compare NERC PRC-029 standard and NOGRR25</w:t>
      </w:r>
      <w:r w:rsidR="00D02143">
        <w:rPr>
          <w:rFonts w:ascii="Times New Roman" w:eastAsia="Calibri" w:hAnsi="Times New Roman" w:cs="Times New Roman"/>
          <w:kern w:val="0"/>
          <w:sz w:val="28"/>
          <w:szCs w:val="28"/>
          <w14:ligatures w14:val="none"/>
        </w:rPr>
        <w:t>.</w:t>
      </w:r>
    </w:p>
    <w:p w14:paraId="44B42CB0" w14:textId="352F0195" w:rsidR="00AD78D9" w:rsidRDefault="00D02143" w:rsidP="00F104A8">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PRC-029</w:t>
      </w:r>
      <w:r w:rsidR="009F40C7">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 xml:space="preserve"> is NERC’s</w:t>
      </w:r>
      <w:r w:rsidR="009F40C7">
        <w:rPr>
          <w:rFonts w:ascii="Times New Roman" w:eastAsia="Calibri" w:hAnsi="Times New Roman" w:cs="Times New Roman"/>
          <w:kern w:val="0"/>
          <w:sz w:val="28"/>
          <w:szCs w:val="28"/>
          <w14:ligatures w14:val="none"/>
        </w:rPr>
        <w:t xml:space="preserve"> new</w:t>
      </w:r>
      <w:r>
        <w:rPr>
          <w:rFonts w:ascii="Times New Roman" w:eastAsia="Calibri" w:hAnsi="Times New Roman" w:cs="Times New Roman"/>
          <w:kern w:val="0"/>
          <w:sz w:val="28"/>
          <w:szCs w:val="28"/>
          <w14:ligatures w14:val="none"/>
        </w:rPr>
        <w:t xml:space="preserve"> ride through standard for IBRs. IBRs are defined as Type 3</w:t>
      </w:r>
      <w:r w:rsidR="00E1067A">
        <w:rPr>
          <w:rFonts w:ascii="Times New Roman" w:eastAsia="Calibri" w:hAnsi="Times New Roman" w:cs="Times New Roman"/>
          <w:kern w:val="0"/>
          <w:sz w:val="28"/>
          <w:szCs w:val="28"/>
          <w14:ligatures w14:val="none"/>
        </w:rPr>
        <w:t xml:space="preserve">&amp;4 wind, </w:t>
      </w:r>
      <w:r w:rsidR="00AD78D9">
        <w:rPr>
          <w:rFonts w:ascii="Times New Roman" w:eastAsia="Calibri" w:hAnsi="Times New Roman" w:cs="Times New Roman"/>
          <w:kern w:val="0"/>
          <w:sz w:val="28"/>
          <w:szCs w:val="28"/>
          <w14:ligatures w14:val="none"/>
        </w:rPr>
        <w:t xml:space="preserve">PV </w:t>
      </w:r>
      <w:r w:rsidR="00E1067A">
        <w:rPr>
          <w:rFonts w:ascii="Times New Roman" w:eastAsia="Calibri" w:hAnsi="Times New Roman" w:cs="Times New Roman"/>
          <w:kern w:val="0"/>
          <w:sz w:val="28"/>
          <w:szCs w:val="28"/>
          <w14:ligatures w14:val="none"/>
        </w:rPr>
        <w:t>solar and BESS inverters</w:t>
      </w:r>
      <w:r w:rsidR="00AD78D9">
        <w:rPr>
          <w:rFonts w:ascii="Times New Roman" w:eastAsia="Calibri" w:hAnsi="Times New Roman" w:cs="Times New Roman"/>
          <w:kern w:val="0"/>
          <w:sz w:val="28"/>
          <w:szCs w:val="28"/>
          <w14:ligatures w14:val="none"/>
        </w:rPr>
        <w:t xml:space="preserve"> and fuel cell inverters</w:t>
      </w:r>
      <w:r w:rsidR="00E1067A">
        <w:rPr>
          <w:rFonts w:ascii="Times New Roman" w:eastAsia="Calibri" w:hAnsi="Times New Roman" w:cs="Times New Roman"/>
          <w:kern w:val="0"/>
          <w:sz w:val="28"/>
          <w:szCs w:val="28"/>
          <w14:ligatures w14:val="none"/>
        </w:rPr>
        <w:t xml:space="preserve">. </w:t>
      </w:r>
      <w:r w:rsidR="00E1067A">
        <w:rPr>
          <w:rFonts w:ascii="Times New Roman" w:eastAsia="Calibri" w:hAnsi="Times New Roman" w:cs="Times New Roman"/>
          <w:kern w:val="0"/>
          <w:sz w:val="28"/>
          <w:szCs w:val="28"/>
          <w14:ligatures w14:val="none"/>
        </w:rPr>
        <w:lastRenderedPageBreak/>
        <w:t>Type 1 &amp; 2 wind is covered in PRC</w:t>
      </w:r>
      <w:r w:rsidR="002727E0">
        <w:rPr>
          <w:rFonts w:ascii="Times New Roman" w:eastAsia="Calibri" w:hAnsi="Times New Roman" w:cs="Times New Roman"/>
          <w:kern w:val="0"/>
          <w:sz w:val="28"/>
          <w:szCs w:val="28"/>
          <w14:ligatures w14:val="none"/>
        </w:rPr>
        <w:t>-024</w:t>
      </w:r>
      <w:r w:rsidR="00AD78D9">
        <w:rPr>
          <w:rFonts w:ascii="Times New Roman" w:eastAsia="Calibri" w:hAnsi="Times New Roman" w:cs="Times New Roman"/>
          <w:kern w:val="0"/>
          <w:sz w:val="28"/>
          <w:szCs w:val="28"/>
          <w14:ligatures w14:val="none"/>
        </w:rPr>
        <w:t>-4</w:t>
      </w:r>
      <w:r w:rsidR="002727E0">
        <w:rPr>
          <w:rFonts w:ascii="Times New Roman" w:eastAsia="Calibri" w:hAnsi="Times New Roman" w:cs="Times New Roman"/>
          <w:kern w:val="0"/>
          <w:sz w:val="28"/>
          <w:szCs w:val="28"/>
          <w14:ligatures w14:val="none"/>
        </w:rPr>
        <w:t xml:space="preserve"> which was a precursor to PRC-29.</w:t>
      </w:r>
      <w:r w:rsidR="00AD78D9">
        <w:rPr>
          <w:rFonts w:ascii="Times New Roman" w:eastAsia="Calibri" w:hAnsi="Times New Roman" w:cs="Times New Roman"/>
          <w:kern w:val="0"/>
          <w:sz w:val="28"/>
          <w:szCs w:val="28"/>
          <w14:ligatures w14:val="none"/>
        </w:rPr>
        <w:t xml:space="preserve"> </w:t>
      </w:r>
    </w:p>
    <w:p w14:paraId="6CFC0028" w14:textId="2E99B31A" w:rsidR="00D02143" w:rsidRDefault="00AD78D9" w:rsidP="00C13DE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sidRPr="003910E2">
        <w:rPr>
          <w:rFonts w:ascii="Times New Roman" w:eastAsia="Calibri" w:hAnsi="Times New Roman" w:cs="Times New Roman"/>
          <w:kern w:val="0"/>
          <w:sz w:val="28"/>
          <w:szCs w:val="28"/>
          <w14:ligatures w14:val="none"/>
        </w:rPr>
        <w:t xml:space="preserve">Both of these standards were sent to FERC after </w:t>
      </w:r>
      <w:r w:rsidR="003910E2" w:rsidRPr="003910E2">
        <w:rPr>
          <w:rFonts w:ascii="Times New Roman" w:eastAsia="Calibri" w:hAnsi="Times New Roman" w:cs="Times New Roman"/>
          <w:kern w:val="0"/>
          <w:sz w:val="28"/>
          <w:szCs w:val="28"/>
          <w14:ligatures w14:val="none"/>
        </w:rPr>
        <w:t>the exhaustive</w:t>
      </w:r>
      <w:r w:rsidRPr="003910E2">
        <w:rPr>
          <w:rFonts w:ascii="Times New Roman" w:eastAsia="Calibri" w:hAnsi="Times New Roman" w:cs="Times New Roman"/>
          <w:kern w:val="0"/>
          <w:sz w:val="28"/>
          <w:szCs w:val="28"/>
          <w14:ligatures w14:val="none"/>
        </w:rPr>
        <w:t xml:space="preserve"> stakeholder process</w:t>
      </w:r>
      <w:r w:rsidR="003910E2" w:rsidRPr="003910E2">
        <w:rPr>
          <w:rFonts w:ascii="Times New Roman" w:eastAsia="Calibri" w:hAnsi="Times New Roman" w:cs="Times New Roman"/>
          <w:kern w:val="0"/>
          <w:sz w:val="28"/>
          <w:szCs w:val="28"/>
          <w14:ligatures w14:val="none"/>
        </w:rPr>
        <w:t xml:space="preserve">. </w:t>
      </w:r>
      <w:r w:rsidR="00F104A8" w:rsidRPr="003910E2">
        <w:rPr>
          <w:rFonts w:ascii="Times New Roman" w:eastAsia="Calibri" w:hAnsi="Times New Roman" w:cs="Times New Roman"/>
          <w:kern w:val="0"/>
          <w:sz w:val="28"/>
          <w:szCs w:val="28"/>
          <w14:ligatures w14:val="none"/>
        </w:rPr>
        <w:t xml:space="preserve">NERC had </w:t>
      </w:r>
      <w:r w:rsidR="00137698" w:rsidRPr="003910E2">
        <w:rPr>
          <w:rFonts w:ascii="Times New Roman" w:eastAsia="Calibri" w:hAnsi="Times New Roman" w:cs="Times New Roman"/>
          <w:kern w:val="0"/>
          <w:sz w:val="28"/>
          <w:szCs w:val="28"/>
          <w14:ligatures w14:val="none"/>
        </w:rPr>
        <w:t>exercised</w:t>
      </w:r>
      <w:r w:rsidR="00F104A8" w:rsidRPr="003910E2">
        <w:rPr>
          <w:rFonts w:ascii="Times New Roman" w:eastAsia="Calibri" w:hAnsi="Times New Roman" w:cs="Times New Roman"/>
          <w:kern w:val="0"/>
          <w:sz w:val="28"/>
          <w:szCs w:val="28"/>
          <w14:ligatures w14:val="none"/>
        </w:rPr>
        <w:t xml:space="preserve"> </w:t>
      </w:r>
      <w:r w:rsidR="003910E2">
        <w:rPr>
          <w:rFonts w:ascii="Times New Roman" w:eastAsia="Calibri" w:hAnsi="Times New Roman" w:cs="Times New Roman"/>
          <w:kern w:val="0"/>
          <w:sz w:val="28"/>
          <w:szCs w:val="28"/>
          <w14:ligatures w14:val="none"/>
        </w:rPr>
        <w:t xml:space="preserve">Rule </w:t>
      </w:r>
      <w:r w:rsidR="00251EB0" w:rsidRPr="003910E2">
        <w:rPr>
          <w:rFonts w:ascii="Times New Roman" w:eastAsia="Calibri" w:hAnsi="Times New Roman" w:cs="Times New Roman"/>
          <w:kern w:val="0"/>
          <w:sz w:val="28"/>
          <w:szCs w:val="28"/>
          <w14:ligatures w14:val="none"/>
        </w:rPr>
        <w:t>321</w:t>
      </w:r>
      <w:r w:rsidR="002727E0" w:rsidRPr="003910E2">
        <w:rPr>
          <w:rFonts w:ascii="Times New Roman" w:eastAsia="Calibri" w:hAnsi="Times New Roman" w:cs="Times New Roman"/>
          <w:kern w:val="0"/>
          <w:sz w:val="28"/>
          <w:szCs w:val="28"/>
          <w14:ligatures w14:val="none"/>
        </w:rPr>
        <w:t xml:space="preserve"> </w:t>
      </w:r>
      <w:r w:rsidR="003910E2">
        <w:rPr>
          <w:rFonts w:ascii="Times New Roman" w:eastAsia="Calibri" w:hAnsi="Times New Roman" w:cs="Times New Roman"/>
          <w:kern w:val="0"/>
          <w:sz w:val="28"/>
          <w:szCs w:val="28"/>
          <w14:ligatures w14:val="none"/>
        </w:rPr>
        <w:t xml:space="preserve">to extend the work on the standard but both standards are at FERC right now, they just issued a Notice of Proposed Rule Making </w:t>
      </w:r>
      <w:r w:rsidR="00056096">
        <w:rPr>
          <w:rFonts w:ascii="Times New Roman" w:eastAsia="Calibri" w:hAnsi="Times New Roman" w:cs="Times New Roman"/>
          <w:kern w:val="0"/>
          <w:sz w:val="28"/>
          <w:szCs w:val="28"/>
          <w14:ligatures w14:val="none"/>
        </w:rPr>
        <w:t xml:space="preserve">RM 25-3-000, comments due till 3/24, after this time they’ll review the comments. TRE encourages to review and submit comments. </w:t>
      </w:r>
    </w:p>
    <w:p w14:paraId="060ADEDA" w14:textId="0737EAB2" w:rsidR="00056096" w:rsidRDefault="005D5BCD" w:rsidP="00C13DE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w:t>
      </w:r>
      <w:r w:rsidR="00A35B17">
        <w:rPr>
          <w:rFonts w:ascii="Times New Roman" w:eastAsia="Calibri" w:hAnsi="Times New Roman" w:cs="Times New Roman"/>
          <w:kern w:val="0"/>
          <w:sz w:val="28"/>
          <w:szCs w:val="28"/>
          <w14:ligatures w14:val="none"/>
        </w:rPr>
        <w:t xml:space="preserve">2 </w:t>
      </w:r>
      <w:r>
        <w:rPr>
          <w:rFonts w:ascii="Times New Roman" w:eastAsia="Calibri" w:hAnsi="Times New Roman" w:cs="Times New Roman"/>
          <w:kern w:val="0"/>
          <w:sz w:val="28"/>
          <w:szCs w:val="28"/>
          <w14:ligatures w14:val="none"/>
        </w:rPr>
        <w:t>compares requirement R1</w:t>
      </w:r>
      <w:r w:rsidR="00A35B17">
        <w:rPr>
          <w:rFonts w:ascii="Times New Roman" w:eastAsia="Calibri" w:hAnsi="Times New Roman" w:cs="Times New Roman"/>
          <w:kern w:val="0"/>
          <w:sz w:val="28"/>
          <w:szCs w:val="28"/>
          <w14:ligatures w14:val="none"/>
        </w:rPr>
        <w:t xml:space="preserve"> (VRT/FRT)</w:t>
      </w:r>
      <w:r>
        <w:rPr>
          <w:rFonts w:ascii="Times New Roman" w:eastAsia="Calibri" w:hAnsi="Times New Roman" w:cs="Times New Roman"/>
          <w:kern w:val="0"/>
          <w:sz w:val="28"/>
          <w:szCs w:val="28"/>
          <w14:ligatures w14:val="none"/>
        </w:rPr>
        <w:t xml:space="preserve"> of PRC-029 with Section </w:t>
      </w:r>
      <w:r w:rsidR="00137698">
        <w:rPr>
          <w:rFonts w:ascii="Times New Roman" w:eastAsia="Calibri" w:hAnsi="Times New Roman" w:cs="Times New Roman"/>
          <w:kern w:val="0"/>
          <w:sz w:val="28"/>
          <w:szCs w:val="28"/>
          <w14:ligatures w14:val="none"/>
        </w:rPr>
        <w:t>2.9 and</w:t>
      </w:r>
      <w:r w:rsidR="00B71B15">
        <w:rPr>
          <w:rFonts w:ascii="Times New Roman" w:eastAsia="Calibri" w:hAnsi="Times New Roman" w:cs="Times New Roman"/>
          <w:kern w:val="0"/>
          <w:sz w:val="28"/>
          <w:szCs w:val="28"/>
          <w14:ligatures w14:val="none"/>
        </w:rPr>
        <w:t xml:space="preserve"> 2.9.1 in NOGRR245</w:t>
      </w:r>
      <w:r w:rsidR="002B18DA">
        <w:rPr>
          <w:rFonts w:ascii="Times New Roman" w:eastAsia="Calibri" w:hAnsi="Times New Roman" w:cs="Times New Roman"/>
          <w:kern w:val="0"/>
          <w:sz w:val="28"/>
          <w:szCs w:val="28"/>
          <w14:ligatures w14:val="none"/>
        </w:rPr>
        <w:t>. There is a match there but lot more details in NOGRR245</w:t>
      </w:r>
      <w:r w:rsidR="00913B57">
        <w:rPr>
          <w:rFonts w:ascii="Times New Roman" w:eastAsia="Calibri" w:hAnsi="Times New Roman" w:cs="Times New Roman"/>
          <w:kern w:val="0"/>
          <w:sz w:val="28"/>
          <w:szCs w:val="28"/>
          <w14:ligatures w14:val="none"/>
        </w:rPr>
        <w:t xml:space="preserve">. </w:t>
      </w:r>
    </w:p>
    <w:p w14:paraId="2F1F017D" w14:textId="77777777" w:rsidR="009B6644" w:rsidRDefault="00A35B17" w:rsidP="00C13DE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3 compares requirement R2 (VRT) </w:t>
      </w:r>
      <w:r w:rsidR="007F7546">
        <w:rPr>
          <w:rFonts w:ascii="Times New Roman" w:eastAsia="Calibri" w:hAnsi="Times New Roman" w:cs="Times New Roman"/>
          <w:kern w:val="0"/>
          <w:sz w:val="28"/>
          <w:szCs w:val="28"/>
          <w14:ligatures w14:val="none"/>
        </w:rPr>
        <w:t xml:space="preserve">of PRC-029 to NOGRR245. The latter requires maximizing capability with regards to all </w:t>
      </w:r>
      <w:r w:rsidR="009B6644">
        <w:rPr>
          <w:rFonts w:ascii="Times New Roman" w:eastAsia="Calibri" w:hAnsi="Times New Roman" w:cs="Times New Roman"/>
          <w:kern w:val="0"/>
          <w:sz w:val="28"/>
          <w:szCs w:val="28"/>
          <w14:ligatures w14:val="none"/>
        </w:rPr>
        <w:t>scope of ride through requirements, which PRC-029 seems to only mention maximizing capability with regard to voltage support.</w:t>
      </w:r>
    </w:p>
    <w:p w14:paraId="60A8B2C7" w14:textId="03C5A36E" w:rsidR="00913B57" w:rsidRDefault="0011539E" w:rsidP="00C13DE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Slide</w:t>
      </w:r>
      <w:r w:rsidR="00E460C0">
        <w:rPr>
          <w:rFonts w:ascii="Times New Roman" w:eastAsia="Calibri" w:hAnsi="Times New Roman" w:cs="Times New Roman"/>
          <w:kern w:val="0"/>
          <w:sz w:val="28"/>
          <w:szCs w:val="28"/>
          <w14:ligatures w14:val="none"/>
        </w:rPr>
        <w:t>s</w:t>
      </w:r>
      <w:r>
        <w:rPr>
          <w:rFonts w:ascii="Times New Roman" w:eastAsia="Calibri" w:hAnsi="Times New Roman" w:cs="Times New Roman"/>
          <w:kern w:val="0"/>
          <w:sz w:val="28"/>
          <w:szCs w:val="28"/>
          <w14:ligatures w14:val="none"/>
        </w:rPr>
        <w:t xml:space="preserve"> 4</w:t>
      </w:r>
      <w:r w:rsidR="00E460C0">
        <w:rPr>
          <w:rFonts w:ascii="Times New Roman" w:eastAsia="Calibri" w:hAnsi="Times New Roman" w:cs="Times New Roman"/>
          <w:kern w:val="0"/>
          <w:sz w:val="28"/>
          <w:szCs w:val="28"/>
          <w14:ligatures w14:val="none"/>
        </w:rPr>
        <w:t>-5</w:t>
      </w:r>
      <w:r>
        <w:rPr>
          <w:rFonts w:ascii="Times New Roman" w:eastAsia="Calibri" w:hAnsi="Times New Roman" w:cs="Times New Roman"/>
          <w:kern w:val="0"/>
          <w:sz w:val="28"/>
          <w:szCs w:val="28"/>
          <w14:ligatures w14:val="none"/>
        </w:rPr>
        <w:t xml:space="preserve"> compare Attachment 1</w:t>
      </w:r>
      <w:r w:rsidR="009B6644">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of PRC-029 and NOGRR245, ERCOT preserves a portion of legacy ride through curve, while PRC-029</w:t>
      </w:r>
      <w:r w:rsidR="00341FE5">
        <w:rPr>
          <w:rFonts w:ascii="Times New Roman" w:eastAsia="Calibri" w:hAnsi="Times New Roman" w:cs="Times New Roman"/>
          <w:kern w:val="0"/>
          <w:sz w:val="28"/>
          <w:szCs w:val="28"/>
          <w14:ligatures w14:val="none"/>
        </w:rPr>
        <w:t xml:space="preserve">, but otherwise the same ride-through curve. </w:t>
      </w:r>
    </w:p>
    <w:p w14:paraId="2830D442" w14:textId="373D3234" w:rsidR="00341FE5" w:rsidRDefault="00E460C0" w:rsidP="00C13DE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6 shows the comparison for the ride through curve to understand the tables better. </w:t>
      </w:r>
    </w:p>
    <w:p w14:paraId="1FF499C5" w14:textId="5CE2B1A4" w:rsidR="00A522D9" w:rsidRDefault="009C7F76"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7 </w:t>
      </w:r>
      <w:r w:rsidR="00713698">
        <w:rPr>
          <w:rFonts w:ascii="Times New Roman" w:eastAsia="Calibri" w:hAnsi="Times New Roman" w:cs="Times New Roman"/>
          <w:kern w:val="0"/>
          <w:sz w:val="28"/>
          <w:szCs w:val="28"/>
          <w14:ligatures w14:val="none"/>
        </w:rPr>
        <w:t>compares requirement R3 of PRC-029 and NOGRR245</w:t>
      </w:r>
      <w:r w:rsidR="00DF1D68">
        <w:rPr>
          <w:rFonts w:ascii="Times New Roman" w:eastAsia="Calibri" w:hAnsi="Times New Roman" w:cs="Times New Roman"/>
          <w:kern w:val="0"/>
          <w:sz w:val="28"/>
          <w:szCs w:val="28"/>
          <w14:ligatures w14:val="none"/>
        </w:rPr>
        <w:t xml:space="preserve">. The requirements are fairly similar. </w:t>
      </w:r>
      <w:r w:rsidR="00A84125">
        <w:rPr>
          <w:rFonts w:ascii="Times New Roman" w:eastAsia="Calibri" w:hAnsi="Times New Roman" w:cs="Times New Roman"/>
          <w:kern w:val="0"/>
          <w:sz w:val="28"/>
          <w:szCs w:val="28"/>
          <w14:ligatures w14:val="none"/>
        </w:rPr>
        <w:t>Except for section 2.6.2.2 of the NOGRR with regards to DGRs, which was out of scope for PRC-029</w:t>
      </w:r>
    </w:p>
    <w:p w14:paraId="5FAA2B40" w14:textId="5492A5EB" w:rsidR="00A84125" w:rsidRDefault="00282AE7"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8 compares Attachment 2 of PRC-029 (FRT Table) with NOGRR245 frequency ride through table. Illustrates additional steps in ERCOT’s FRT requirement. </w:t>
      </w:r>
    </w:p>
    <w:p w14:paraId="68742971" w14:textId="17D05859" w:rsidR="007E5471" w:rsidRDefault="007E5471"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Slide 9 again illustrates FRT tables for DGRs and highlights that it was out of scope for PRC-029. </w:t>
      </w:r>
    </w:p>
    <w:p w14:paraId="5981A7E7" w14:textId="77777777" w:rsidR="008B5906" w:rsidRDefault="008B5906"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Slide 10 showing FRT requirements compared in terms of curves with additional step as per ERCOT’s requirements.</w:t>
      </w:r>
    </w:p>
    <w:p w14:paraId="6A2D89DC" w14:textId="627B763B" w:rsidR="00182331" w:rsidRPr="006E4758" w:rsidRDefault="008B5906" w:rsidP="006E4758">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Slide 11 compares R4 of PRC-029 hardware limitations with NOGRR245</w:t>
      </w:r>
      <w:r w:rsidR="006C4DC0">
        <w:rPr>
          <w:rFonts w:ascii="Times New Roman" w:eastAsia="Calibri" w:hAnsi="Times New Roman" w:cs="Times New Roman"/>
          <w:kern w:val="0"/>
          <w:sz w:val="28"/>
          <w:szCs w:val="28"/>
          <w14:ligatures w14:val="none"/>
        </w:rPr>
        <w:t xml:space="preserve">. </w:t>
      </w:r>
      <w:r w:rsidR="006C4DC0" w:rsidRPr="006C4DC0">
        <w:rPr>
          <w:rFonts w:ascii="Times New Roman" w:eastAsia="Calibri" w:hAnsi="Times New Roman" w:cs="Times New Roman"/>
          <w:kern w:val="0"/>
          <w:sz w:val="28"/>
          <w:szCs w:val="28"/>
          <w14:ligatures w14:val="none"/>
        </w:rPr>
        <w:t xml:space="preserve">PRC-029 does not have the exemption process steps detailed in NOGRR245 Section 2.11 and 2.12, although R4 has a similar intent </w:t>
      </w:r>
      <w:r w:rsidR="00182331">
        <w:rPr>
          <w:rFonts w:ascii="Times New Roman" w:eastAsia="Calibri" w:hAnsi="Times New Roman" w:cs="Times New Roman"/>
          <w:kern w:val="0"/>
          <w:sz w:val="28"/>
          <w:szCs w:val="28"/>
          <w14:ligatures w14:val="none"/>
        </w:rPr>
        <w:t xml:space="preserve">(details spelled out on the slide). </w:t>
      </w:r>
      <w:r w:rsidR="0003656D" w:rsidRPr="006E4758">
        <w:rPr>
          <w:rFonts w:ascii="Times New Roman" w:eastAsia="Calibri" w:hAnsi="Times New Roman" w:cs="Times New Roman"/>
          <w:kern w:val="0"/>
          <w:sz w:val="28"/>
          <w:szCs w:val="28"/>
          <w14:ligatures w14:val="none"/>
        </w:rPr>
        <w:t xml:space="preserve">ERCOT doesn’t </w:t>
      </w:r>
      <w:r w:rsidR="00251EB0" w:rsidRPr="006E4758">
        <w:rPr>
          <w:rFonts w:ascii="Times New Roman" w:eastAsia="Calibri" w:hAnsi="Times New Roman" w:cs="Times New Roman"/>
          <w:kern w:val="0"/>
          <w:sz w:val="28"/>
          <w:szCs w:val="28"/>
          <w14:ligatures w14:val="none"/>
        </w:rPr>
        <w:t>decide</w:t>
      </w:r>
      <w:r w:rsidR="0003656D" w:rsidRPr="006E4758">
        <w:rPr>
          <w:rFonts w:ascii="Times New Roman" w:eastAsia="Calibri" w:hAnsi="Times New Roman" w:cs="Times New Roman"/>
          <w:kern w:val="0"/>
          <w:sz w:val="28"/>
          <w:szCs w:val="28"/>
          <w14:ligatures w14:val="none"/>
        </w:rPr>
        <w:t xml:space="preserve"> whether</w:t>
      </w:r>
      <w:r w:rsidR="006E4758">
        <w:rPr>
          <w:rFonts w:ascii="Times New Roman" w:eastAsia="Calibri" w:hAnsi="Times New Roman" w:cs="Times New Roman"/>
          <w:kern w:val="0"/>
          <w:sz w:val="28"/>
          <w:szCs w:val="28"/>
          <w14:ligatures w14:val="none"/>
        </w:rPr>
        <w:t xml:space="preserve"> or not</w:t>
      </w:r>
      <w:r w:rsidR="0003656D" w:rsidRPr="006E4758">
        <w:rPr>
          <w:rFonts w:ascii="Times New Roman" w:eastAsia="Calibri" w:hAnsi="Times New Roman" w:cs="Times New Roman"/>
          <w:kern w:val="0"/>
          <w:sz w:val="28"/>
          <w:szCs w:val="28"/>
          <w14:ligatures w14:val="none"/>
        </w:rPr>
        <w:t xml:space="preserve"> gran</w:t>
      </w:r>
      <w:r w:rsidR="006E4758" w:rsidRPr="006E4758">
        <w:rPr>
          <w:rFonts w:ascii="Times New Roman" w:eastAsia="Calibri" w:hAnsi="Times New Roman" w:cs="Times New Roman"/>
          <w:kern w:val="0"/>
          <w:sz w:val="28"/>
          <w:szCs w:val="28"/>
          <w14:ligatures w14:val="none"/>
        </w:rPr>
        <w:t>t</w:t>
      </w:r>
      <w:r w:rsidR="0003656D" w:rsidRPr="006E4758">
        <w:rPr>
          <w:rFonts w:ascii="Times New Roman" w:eastAsia="Calibri" w:hAnsi="Times New Roman" w:cs="Times New Roman"/>
          <w:kern w:val="0"/>
          <w:sz w:val="28"/>
          <w:szCs w:val="28"/>
          <w14:ligatures w14:val="none"/>
        </w:rPr>
        <w:t xml:space="preserve"> an exemption from PRC-029, this will have to come from Texas RE</w:t>
      </w:r>
      <w:r w:rsidR="00694C0C">
        <w:rPr>
          <w:rFonts w:ascii="Times New Roman" w:eastAsia="Calibri" w:hAnsi="Times New Roman" w:cs="Times New Roman"/>
          <w:kern w:val="0"/>
          <w:sz w:val="28"/>
          <w:szCs w:val="28"/>
          <w14:ligatures w14:val="none"/>
        </w:rPr>
        <w:t>, if your facility is in ERCOT region or other REs for other regions</w:t>
      </w:r>
      <w:r w:rsidR="006E4758">
        <w:rPr>
          <w:rFonts w:ascii="Times New Roman" w:eastAsia="Calibri" w:hAnsi="Times New Roman" w:cs="Times New Roman"/>
          <w:kern w:val="0"/>
          <w:sz w:val="28"/>
          <w:szCs w:val="28"/>
          <w14:ligatures w14:val="none"/>
        </w:rPr>
        <w:t>.</w:t>
      </w:r>
    </w:p>
    <w:p w14:paraId="7DB2064A" w14:textId="2B3CAFF0" w:rsidR="007E5471" w:rsidRDefault="00182331"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Last slide presents Category 2 IBR Registration Practice Guide Release and webinar on </w:t>
      </w:r>
      <w:r w:rsidR="00137698" w:rsidRPr="00137698">
        <w:rPr>
          <w:rFonts w:ascii="Times New Roman" w:eastAsia="Calibri" w:hAnsi="Times New Roman" w:cs="Times New Roman"/>
          <w:kern w:val="0"/>
          <w:sz w:val="28"/>
          <w:szCs w:val="28"/>
          <w14:ligatures w14:val="none"/>
        </w:rPr>
        <w:t xml:space="preserve">Application of the Registration Criteria for Category 2 Generator Owner </w:t>
      </w:r>
      <w:r w:rsidR="0003656D" w:rsidRPr="0003656D">
        <w:rPr>
          <w:rFonts w:ascii="Times New Roman" w:eastAsia="Calibri" w:hAnsi="Times New Roman" w:cs="Times New Roman"/>
          <w:kern w:val="0"/>
          <w:sz w:val="28"/>
          <w:szCs w:val="28"/>
          <w14:ligatures w14:val="none"/>
        </w:rPr>
        <w:t xml:space="preserve">and Generator Operator Inverter-Based Resources March 3, </w:t>
      </w:r>
      <w:r w:rsidR="00ED4F9C" w:rsidRPr="0003656D">
        <w:rPr>
          <w:rFonts w:ascii="Times New Roman" w:eastAsia="Calibri" w:hAnsi="Times New Roman" w:cs="Times New Roman"/>
          <w:kern w:val="0"/>
          <w:sz w:val="28"/>
          <w:szCs w:val="28"/>
          <w14:ligatures w14:val="none"/>
        </w:rPr>
        <w:t>2025,</w:t>
      </w:r>
      <w:r w:rsidR="0003656D" w:rsidRPr="0003656D">
        <w:rPr>
          <w:rFonts w:ascii="Times New Roman" w:eastAsia="Calibri" w:hAnsi="Times New Roman" w:cs="Times New Roman"/>
          <w:kern w:val="0"/>
          <w:sz w:val="28"/>
          <w:szCs w:val="28"/>
          <w14:ligatures w14:val="none"/>
        </w:rPr>
        <w:t xml:space="preserve"> | 2:00–3:30 p.m. Eastern</w:t>
      </w:r>
      <w:r w:rsidR="00694C0C">
        <w:rPr>
          <w:rFonts w:ascii="Times New Roman" w:eastAsia="Calibri" w:hAnsi="Times New Roman" w:cs="Times New Roman"/>
          <w:kern w:val="0"/>
          <w:sz w:val="28"/>
          <w:szCs w:val="28"/>
          <w14:ligatures w14:val="none"/>
        </w:rPr>
        <w:t xml:space="preserve">. Registration link is available on the slide. </w:t>
      </w:r>
    </w:p>
    <w:p w14:paraId="3366A616" w14:textId="6B1D0010" w:rsidR="00771ED5" w:rsidRDefault="00771ED5"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Q&amp;A</w:t>
      </w:r>
    </w:p>
    <w:p w14:paraId="37C2FBD7" w14:textId="0B1305AD" w:rsidR="00771ED5" w:rsidRDefault="00771ED5" w:rsidP="00A522D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Shawn Wang: </w:t>
      </w:r>
      <w:r w:rsidR="009A4FCD">
        <w:rPr>
          <w:rFonts w:ascii="Times New Roman" w:eastAsia="Calibri" w:hAnsi="Times New Roman" w:cs="Times New Roman"/>
          <w:kern w:val="0"/>
          <w:sz w:val="28"/>
          <w:szCs w:val="28"/>
          <w14:ligatures w14:val="none"/>
        </w:rPr>
        <w:t xml:space="preserve">Wanted to clarify PRC-029 requirement </w:t>
      </w:r>
      <w:r w:rsidR="00ED4F9C">
        <w:rPr>
          <w:rFonts w:ascii="Times New Roman" w:eastAsia="Calibri" w:hAnsi="Times New Roman" w:cs="Times New Roman"/>
          <w:kern w:val="0"/>
          <w:sz w:val="28"/>
          <w:szCs w:val="28"/>
          <w14:ligatures w14:val="none"/>
        </w:rPr>
        <w:t>about</w:t>
      </w:r>
      <w:r w:rsidR="009A4FCD">
        <w:rPr>
          <w:rFonts w:ascii="Times New Roman" w:eastAsia="Calibri" w:hAnsi="Times New Roman" w:cs="Times New Roman"/>
          <w:kern w:val="0"/>
          <w:sz w:val="28"/>
          <w:szCs w:val="28"/>
          <w14:ligatures w14:val="none"/>
        </w:rPr>
        <w:t xml:space="preserve"> maximum capability, it’s very different from NOGRR245. In PRC-029 capability maximization is </w:t>
      </w:r>
      <w:r w:rsidR="00ED4F9C">
        <w:rPr>
          <w:rFonts w:ascii="Times New Roman" w:eastAsia="Calibri" w:hAnsi="Times New Roman" w:cs="Times New Roman"/>
          <w:kern w:val="0"/>
          <w:sz w:val="28"/>
          <w:szCs w:val="28"/>
          <w14:ligatures w14:val="none"/>
        </w:rPr>
        <w:t>about</w:t>
      </w:r>
      <w:r w:rsidR="009A4FCD">
        <w:rPr>
          <w:rFonts w:ascii="Times New Roman" w:eastAsia="Calibri" w:hAnsi="Times New Roman" w:cs="Times New Roman"/>
          <w:kern w:val="0"/>
          <w:sz w:val="28"/>
          <w:szCs w:val="28"/>
          <w14:ligatures w14:val="none"/>
        </w:rPr>
        <w:t xml:space="preserve"> current limit</w:t>
      </w:r>
      <w:r w:rsidR="00DA6BC4">
        <w:rPr>
          <w:rFonts w:ascii="Times New Roman" w:eastAsia="Calibri" w:hAnsi="Times New Roman" w:cs="Times New Roman"/>
          <w:kern w:val="0"/>
          <w:sz w:val="28"/>
          <w:szCs w:val="28"/>
          <w14:ligatures w14:val="none"/>
        </w:rPr>
        <w:t xml:space="preserve">. The requirement is to provide support up to the maximum current limit. </w:t>
      </w:r>
      <w:r w:rsidR="003D1B94">
        <w:rPr>
          <w:rFonts w:ascii="Times New Roman" w:eastAsia="Calibri" w:hAnsi="Times New Roman" w:cs="Times New Roman"/>
          <w:kern w:val="0"/>
          <w:sz w:val="28"/>
          <w:szCs w:val="28"/>
          <w14:ligatures w14:val="none"/>
        </w:rPr>
        <w:t>So,</w:t>
      </w:r>
      <w:r w:rsidR="00A0179D">
        <w:rPr>
          <w:rFonts w:ascii="Times New Roman" w:eastAsia="Calibri" w:hAnsi="Times New Roman" w:cs="Times New Roman"/>
          <w:kern w:val="0"/>
          <w:sz w:val="28"/>
          <w:szCs w:val="28"/>
          <w14:ligatures w14:val="none"/>
        </w:rPr>
        <w:t xml:space="preserve"> it’s related but expressed differently that in NOGRR245</w:t>
      </w:r>
    </w:p>
    <w:p w14:paraId="2BA7578B" w14:textId="77777777" w:rsidR="008E4735" w:rsidRDefault="008E4735" w:rsidP="008E4735">
      <w:pPr>
        <w:tabs>
          <w:tab w:val="right" w:pos="9360"/>
        </w:tabs>
        <w:spacing w:line="259" w:lineRule="auto"/>
        <w:rPr>
          <w:rFonts w:ascii="Times New Roman" w:eastAsia="Calibri" w:hAnsi="Times New Roman" w:cs="Times New Roman"/>
          <w:b/>
          <w:bCs/>
          <w:kern w:val="0"/>
          <w:sz w:val="28"/>
          <w:szCs w:val="28"/>
          <w14:ligatures w14:val="none"/>
        </w:rPr>
      </w:pPr>
    </w:p>
    <w:p w14:paraId="692A7AB6" w14:textId="4C491B41" w:rsidR="00A0179D" w:rsidRDefault="008E4735" w:rsidP="008E4735">
      <w:pPr>
        <w:tabs>
          <w:tab w:val="right" w:pos="9360"/>
        </w:tabs>
        <w:spacing w:line="259" w:lineRule="auto"/>
        <w:rPr>
          <w:rFonts w:ascii="Times New Roman" w:eastAsia="Calibri" w:hAnsi="Times New Roman" w:cs="Times New Roman"/>
          <w:b/>
          <w:bCs/>
          <w:kern w:val="0"/>
          <w:sz w:val="28"/>
          <w:szCs w:val="28"/>
          <w14:ligatures w14:val="none"/>
        </w:rPr>
      </w:pPr>
      <w:r w:rsidRPr="008E4735">
        <w:rPr>
          <w:rFonts w:ascii="Times New Roman" w:eastAsia="Calibri" w:hAnsi="Times New Roman" w:cs="Times New Roman"/>
          <w:b/>
          <w:bCs/>
          <w:kern w:val="0"/>
          <w:sz w:val="28"/>
          <w:szCs w:val="28"/>
          <w14:ligatures w14:val="none"/>
        </w:rPr>
        <w:t>Other Industry Updates</w:t>
      </w:r>
    </w:p>
    <w:p w14:paraId="3F4390C1" w14:textId="73A0C59E" w:rsidR="008556BA" w:rsidRPr="008556BA" w:rsidRDefault="008556BA" w:rsidP="008E4735">
      <w:pPr>
        <w:tabs>
          <w:tab w:val="right" w:pos="9360"/>
        </w:tabs>
        <w:spacing w:line="259" w:lineRule="auto"/>
        <w:rPr>
          <w:rFonts w:ascii="Times New Roman" w:eastAsia="Calibri" w:hAnsi="Times New Roman" w:cs="Times New Roman"/>
          <w:kern w:val="0"/>
          <w:sz w:val="28"/>
          <w:szCs w:val="28"/>
          <w14:ligatures w14:val="none"/>
        </w:rPr>
      </w:pPr>
      <w:r w:rsidRPr="008556BA">
        <w:rPr>
          <w:rFonts w:ascii="Times New Roman" w:eastAsia="Calibri" w:hAnsi="Times New Roman" w:cs="Times New Roman"/>
          <w:kern w:val="0"/>
          <w:sz w:val="28"/>
          <w:szCs w:val="28"/>
          <w14:ligatures w14:val="none"/>
        </w:rPr>
        <w:t>Julia Matevosyan, ESIG</w:t>
      </w:r>
    </w:p>
    <w:p w14:paraId="77DBF36F" w14:textId="437E1E83" w:rsidR="00B31C3A" w:rsidRPr="00B31C3A" w:rsidRDefault="00B31C3A" w:rsidP="00B31C3A">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sidRPr="00B31C3A">
        <w:rPr>
          <w:rFonts w:ascii="Times New Roman" w:eastAsia="Calibri" w:hAnsi="Times New Roman" w:cs="Times New Roman"/>
          <w:kern w:val="0"/>
          <w:sz w:val="28"/>
          <w:szCs w:val="28"/>
          <w14:ligatures w14:val="none"/>
        </w:rPr>
        <w:t>Salt River Project (SRP)</w:t>
      </w:r>
      <w:r w:rsidRPr="00390829">
        <w:rPr>
          <w:rFonts w:ascii="Times New Roman" w:eastAsia="Calibri" w:hAnsi="Times New Roman" w:cs="Times New Roman"/>
          <w:kern w:val="0"/>
          <w:sz w:val="28"/>
          <w:szCs w:val="28"/>
          <w14:ligatures w14:val="none"/>
        </w:rPr>
        <w:t>, utility in AZ,</w:t>
      </w:r>
      <w:r w:rsidRPr="00B31C3A">
        <w:rPr>
          <w:rFonts w:ascii="Times New Roman" w:eastAsia="Calibri" w:hAnsi="Times New Roman" w:cs="Times New Roman"/>
          <w:kern w:val="0"/>
          <w:sz w:val="28"/>
          <w:szCs w:val="28"/>
          <w14:ligatures w14:val="none"/>
        </w:rPr>
        <w:t xml:space="preserve"> recently released a </w:t>
      </w:r>
      <w:hyperlink r:id="rId11" w:history="1">
        <w:r w:rsidRPr="00B31C3A">
          <w:rPr>
            <w:rStyle w:val="Hyperlink"/>
            <w:rFonts w:ascii="Times New Roman" w:eastAsia="Calibri" w:hAnsi="Times New Roman" w:cs="Times New Roman"/>
            <w:kern w:val="0"/>
            <w:sz w:val="28"/>
            <w:szCs w:val="28"/>
            <w14:ligatures w14:val="none"/>
          </w:rPr>
          <w:t>Business Practice on Grid Forming Battery Energy Storage System Specification and Simulation Test Procedures</w:t>
        </w:r>
      </w:hyperlink>
      <w:r w:rsidRPr="00B31C3A">
        <w:rPr>
          <w:rFonts w:ascii="Times New Roman" w:eastAsia="Calibri" w:hAnsi="Times New Roman" w:cs="Times New Roman"/>
          <w:kern w:val="0"/>
          <w:sz w:val="28"/>
          <w:szCs w:val="28"/>
          <w14:ligatures w14:val="none"/>
        </w:rPr>
        <w:t xml:space="preserve">, effective February 14, 2025. </w:t>
      </w:r>
    </w:p>
    <w:p w14:paraId="22385DC3" w14:textId="77777777" w:rsidR="00B31C3A" w:rsidRPr="00B31C3A" w:rsidRDefault="00B31C3A" w:rsidP="00B31C3A">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sidRPr="00B31C3A">
        <w:rPr>
          <w:rFonts w:ascii="Times New Roman" w:eastAsia="Calibri" w:hAnsi="Times New Roman" w:cs="Times New Roman"/>
          <w:kern w:val="0"/>
          <w:sz w:val="28"/>
          <w:szCs w:val="28"/>
          <w14:ligatures w14:val="none"/>
        </w:rPr>
        <w:t xml:space="preserve">SRP is "adopting GFM technology for BESS on a case-by-case basis” and the Business Practice serves as the technical requirements for SRP to test performance against for applicable interconnections. </w:t>
      </w:r>
    </w:p>
    <w:p w14:paraId="6771CFEA" w14:textId="77777777" w:rsidR="00B31C3A" w:rsidRPr="00B31C3A" w:rsidRDefault="00B31C3A" w:rsidP="00B31C3A">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sidRPr="00B31C3A">
        <w:rPr>
          <w:rFonts w:ascii="Times New Roman" w:eastAsia="Calibri" w:hAnsi="Times New Roman" w:cs="Times New Roman"/>
          <w:kern w:val="0"/>
          <w:sz w:val="28"/>
          <w:szCs w:val="28"/>
          <w14:ligatures w14:val="none"/>
        </w:rPr>
        <w:t>The Business Practice applies to “to any standalone BESS or the BESS component of a co-located facility where SRP specifies that the BESS shall operate in GFM mode.”</w:t>
      </w:r>
    </w:p>
    <w:p w14:paraId="14422831" w14:textId="77777777" w:rsidR="00B31C3A" w:rsidRPr="00B31C3A" w:rsidRDefault="00B31C3A" w:rsidP="00B31C3A">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sidRPr="00B31C3A">
        <w:rPr>
          <w:rFonts w:ascii="Times New Roman" w:eastAsia="Calibri" w:hAnsi="Times New Roman" w:cs="Times New Roman"/>
          <w:kern w:val="0"/>
          <w:sz w:val="28"/>
          <w:szCs w:val="28"/>
          <w14:ligatures w14:val="none"/>
        </w:rPr>
        <w:t xml:space="preserve">The functional specification mirrors NERC specification closely and the simulation test procedures are a simplified version of the NERC tests, using one test system and simulation test with pass/fail criteria defined. </w:t>
      </w:r>
    </w:p>
    <w:p w14:paraId="5CEAA19F" w14:textId="2BF4949E" w:rsidR="008556BA" w:rsidRPr="00A6520F" w:rsidRDefault="00390829" w:rsidP="003E5A7B">
      <w:pPr>
        <w:pStyle w:val="ListParagraph"/>
        <w:numPr>
          <w:ilvl w:val="0"/>
          <w:numId w:val="1"/>
        </w:numPr>
        <w:tabs>
          <w:tab w:val="right" w:pos="9360"/>
        </w:tabs>
        <w:spacing w:line="259"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ESIG </w:t>
      </w:r>
      <w:r w:rsidR="00AE3696">
        <w:rPr>
          <w:rFonts w:ascii="Times New Roman" w:eastAsia="Calibri" w:hAnsi="Times New Roman" w:cs="Times New Roman"/>
          <w:kern w:val="0"/>
          <w:sz w:val="28"/>
          <w:szCs w:val="28"/>
          <w14:ligatures w14:val="none"/>
        </w:rPr>
        <w:t>completed a study looking into the benefits of GFM BESS in realistic network. In collaboration with ATC (transmission owner in Wisconsin and p</w:t>
      </w:r>
      <w:r w:rsidR="009E0871">
        <w:rPr>
          <w:rFonts w:ascii="Times New Roman" w:eastAsia="Calibri" w:hAnsi="Times New Roman" w:cs="Times New Roman"/>
          <w:kern w:val="0"/>
          <w:sz w:val="28"/>
          <w:szCs w:val="28"/>
          <w14:ligatures w14:val="none"/>
        </w:rPr>
        <w:t>art of Michigan), who under NDA provided their network model in EMT</w:t>
      </w:r>
      <w:r w:rsidR="000146B2">
        <w:rPr>
          <w:rFonts w:ascii="Times New Roman" w:eastAsia="Calibri" w:hAnsi="Times New Roman" w:cs="Times New Roman"/>
          <w:kern w:val="0"/>
          <w:sz w:val="28"/>
          <w:szCs w:val="28"/>
          <w14:ligatures w14:val="none"/>
        </w:rPr>
        <w:t xml:space="preserve">. The study also looked at if GFM BESS is a “do no harm” solution, in terms of any adverse interactions or under operation in strong grid conditions. The results are summarized on </w:t>
      </w:r>
      <w:r w:rsidR="00B76F98">
        <w:rPr>
          <w:rFonts w:ascii="Times New Roman" w:eastAsia="Calibri" w:hAnsi="Times New Roman" w:cs="Times New Roman"/>
          <w:kern w:val="0"/>
          <w:sz w:val="28"/>
          <w:szCs w:val="28"/>
          <w14:ligatures w14:val="none"/>
        </w:rPr>
        <w:t xml:space="preserve">slide 3 </w:t>
      </w:r>
      <w:r w:rsidR="003836B7">
        <w:rPr>
          <w:rFonts w:ascii="Times New Roman" w:eastAsia="Calibri" w:hAnsi="Times New Roman" w:cs="Times New Roman"/>
          <w:kern w:val="0"/>
          <w:sz w:val="28"/>
          <w:szCs w:val="28"/>
          <w14:ligatures w14:val="none"/>
        </w:rPr>
        <w:t xml:space="preserve">and slide 4 lists out study recommendations. </w:t>
      </w:r>
      <w:r w:rsidR="000C2CAA">
        <w:rPr>
          <w:rFonts w:ascii="Times New Roman" w:eastAsia="Calibri" w:hAnsi="Times New Roman" w:cs="Times New Roman"/>
          <w:kern w:val="0"/>
          <w:sz w:val="28"/>
          <w:szCs w:val="28"/>
          <w14:ligatures w14:val="none"/>
        </w:rPr>
        <w:t xml:space="preserve">The </w:t>
      </w:r>
      <w:hyperlink r:id="rId12" w:history="1">
        <w:r w:rsidR="000C2CAA" w:rsidRPr="00782115">
          <w:rPr>
            <w:rStyle w:val="Hyperlink"/>
            <w:rFonts w:ascii="Times New Roman" w:eastAsia="Calibri" w:hAnsi="Times New Roman" w:cs="Times New Roman"/>
            <w:kern w:val="0"/>
            <w:sz w:val="28"/>
            <w:szCs w:val="28"/>
            <w14:ligatures w14:val="none"/>
          </w:rPr>
          <w:t>webinar</w:t>
        </w:r>
      </w:hyperlink>
      <w:r w:rsidR="000C2CAA">
        <w:rPr>
          <w:rFonts w:ascii="Times New Roman" w:eastAsia="Calibri" w:hAnsi="Times New Roman" w:cs="Times New Roman"/>
          <w:kern w:val="0"/>
          <w:sz w:val="28"/>
          <w:szCs w:val="28"/>
          <w14:ligatures w14:val="none"/>
        </w:rPr>
        <w:t xml:space="preserve"> was held recently presenting the study results and recommendations.  </w:t>
      </w:r>
      <w:r w:rsidR="009E0871">
        <w:rPr>
          <w:rFonts w:ascii="Times New Roman" w:eastAsia="Calibri" w:hAnsi="Times New Roman" w:cs="Times New Roman"/>
          <w:kern w:val="0"/>
          <w:sz w:val="28"/>
          <w:szCs w:val="28"/>
          <w14:ligatures w14:val="none"/>
        </w:rPr>
        <w:t xml:space="preserve"> </w:t>
      </w:r>
    </w:p>
    <w:p w14:paraId="76C84C87" w14:textId="63863721" w:rsidR="00A6520F" w:rsidRPr="00253D09" w:rsidRDefault="00827FDD" w:rsidP="003E5A7B">
      <w:pPr>
        <w:pStyle w:val="ListParagraph"/>
        <w:numPr>
          <w:ilvl w:val="0"/>
          <w:numId w:val="1"/>
        </w:numPr>
        <w:tabs>
          <w:tab w:val="right" w:pos="9360"/>
        </w:tabs>
        <w:spacing w:line="259"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The last</w:t>
      </w:r>
      <w:r w:rsidR="00A6520F">
        <w:rPr>
          <w:rFonts w:ascii="Times New Roman" w:eastAsia="Calibri" w:hAnsi="Times New Roman" w:cs="Times New Roman"/>
          <w:kern w:val="0"/>
          <w:sz w:val="28"/>
          <w:szCs w:val="28"/>
          <w14:ligatures w14:val="none"/>
        </w:rPr>
        <w:t xml:space="preserve"> slide is information on </w:t>
      </w:r>
      <w:hyperlink r:id="rId13" w:history="1">
        <w:r w:rsidR="00A6520F" w:rsidRPr="00B9397E">
          <w:rPr>
            <w:rStyle w:val="Hyperlink"/>
            <w:rFonts w:ascii="Times New Roman" w:eastAsia="Calibri" w:hAnsi="Times New Roman" w:cs="Times New Roman"/>
            <w:kern w:val="0"/>
            <w:sz w:val="28"/>
            <w:szCs w:val="28"/>
            <w14:ligatures w14:val="none"/>
          </w:rPr>
          <w:t xml:space="preserve">ESIG Spring Technical </w:t>
        </w:r>
        <w:r w:rsidR="00B9397E">
          <w:rPr>
            <w:rStyle w:val="Hyperlink"/>
            <w:rFonts w:ascii="Times New Roman" w:eastAsia="Calibri" w:hAnsi="Times New Roman" w:cs="Times New Roman"/>
            <w:kern w:val="0"/>
            <w:sz w:val="28"/>
            <w:szCs w:val="28"/>
            <w14:ligatures w14:val="none"/>
          </w:rPr>
          <w:t>W</w:t>
        </w:r>
        <w:r w:rsidR="00A6520F" w:rsidRPr="00B9397E">
          <w:rPr>
            <w:rStyle w:val="Hyperlink"/>
            <w:rFonts w:ascii="Times New Roman" w:eastAsia="Calibri" w:hAnsi="Times New Roman" w:cs="Times New Roman"/>
            <w:kern w:val="0"/>
            <w:sz w:val="28"/>
            <w:szCs w:val="28"/>
            <w14:ligatures w14:val="none"/>
          </w:rPr>
          <w:t>orkshop</w:t>
        </w:r>
      </w:hyperlink>
      <w:r w:rsidR="00A6520F">
        <w:rPr>
          <w:rFonts w:ascii="Times New Roman" w:eastAsia="Calibri" w:hAnsi="Times New Roman" w:cs="Times New Roman"/>
          <w:kern w:val="0"/>
          <w:sz w:val="28"/>
          <w:szCs w:val="28"/>
          <w14:ligatures w14:val="none"/>
        </w:rPr>
        <w:t xml:space="preserve"> and sessions relevant for IBRWG scope.</w:t>
      </w:r>
    </w:p>
    <w:p w14:paraId="5D8BC117" w14:textId="77777777" w:rsidR="00253D09" w:rsidRDefault="00253D09" w:rsidP="00253D09">
      <w:pPr>
        <w:spacing w:line="259" w:lineRule="auto"/>
        <w:rPr>
          <w:rFonts w:ascii="Times New Roman" w:eastAsia="Calibri" w:hAnsi="Times New Roman" w:cs="Times New Roman"/>
          <w:b/>
          <w:bCs/>
          <w:kern w:val="0"/>
          <w:sz w:val="28"/>
          <w:szCs w:val="28"/>
          <w:u w:val="single"/>
          <w14:ligatures w14:val="none"/>
        </w:rPr>
      </w:pPr>
    </w:p>
    <w:p w14:paraId="3EF0A1F0" w14:textId="35C18EB0" w:rsidR="00253D09" w:rsidRDefault="00253D09" w:rsidP="00253D09">
      <w:pPr>
        <w:spacing w:line="259" w:lineRule="auto"/>
        <w:rPr>
          <w:rFonts w:ascii="Times New Roman" w:eastAsia="Calibri" w:hAnsi="Times New Roman" w:cs="Times New Roman"/>
          <w:b/>
          <w:bCs/>
          <w:kern w:val="0"/>
          <w:sz w:val="28"/>
          <w:szCs w:val="28"/>
          <w:u w:val="single"/>
          <w14:ligatures w14:val="none"/>
        </w:rPr>
      </w:pPr>
      <w:r w:rsidRPr="00253D09">
        <w:rPr>
          <w:rFonts w:ascii="Times New Roman" w:eastAsia="Calibri" w:hAnsi="Times New Roman" w:cs="Times New Roman"/>
          <w:b/>
          <w:bCs/>
          <w:kern w:val="0"/>
          <w:sz w:val="28"/>
          <w:szCs w:val="28"/>
          <w:u w:val="single"/>
          <w14:ligatures w14:val="none"/>
        </w:rPr>
        <w:t>DWG and IBRWG Collaboration</w:t>
      </w:r>
    </w:p>
    <w:p w14:paraId="7B90888C" w14:textId="0EE8165A" w:rsidR="00253D09" w:rsidRDefault="006713F7" w:rsidP="00253D09">
      <w:pPr>
        <w:spacing w:line="259" w:lineRule="auto"/>
        <w:rPr>
          <w:rFonts w:ascii="Times New Roman" w:eastAsia="Calibri" w:hAnsi="Times New Roman" w:cs="Times New Roman"/>
          <w:kern w:val="0"/>
          <w:sz w:val="28"/>
          <w:szCs w:val="28"/>
          <w14:ligatures w14:val="none"/>
        </w:rPr>
      </w:pPr>
      <w:r w:rsidRPr="006713F7">
        <w:rPr>
          <w:rFonts w:ascii="Times New Roman" w:eastAsia="Calibri" w:hAnsi="Times New Roman" w:cs="Times New Roman"/>
          <w:kern w:val="0"/>
          <w:sz w:val="28"/>
          <w:szCs w:val="28"/>
          <w14:ligatures w14:val="none"/>
        </w:rPr>
        <w:t>AGS ESR Model Quality Tests</w:t>
      </w:r>
      <w:r w:rsidR="000D2555">
        <w:rPr>
          <w:rFonts w:ascii="Times New Roman" w:eastAsia="Calibri" w:hAnsi="Times New Roman" w:cs="Times New Roman"/>
          <w:kern w:val="0"/>
          <w:sz w:val="28"/>
          <w:szCs w:val="28"/>
          <w14:ligatures w14:val="none"/>
        </w:rPr>
        <w:t>, Sun Wook</w:t>
      </w:r>
      <w:r w:rsidR="00616822">
        <w:rPr>
          <w:rFonts w:ascii="Times New Roman" w:eastAsia="Calibri" w:hAnsi="Times New Roman" w:cs="Times New Roman"/>
          <w:kern w:val="0"/>
          <w:sz w:val="28"/>
          <w:szCs w:val="28"/>
          <w14:ligatures w14:val="none"/>
        </w:rPr>
        <w:t xml:space="preserve"> and Scott</w:t>
      </w:r>
      <w:r w:rsidR="006A1F90">
        <w:rPr>
          <w:rFonts w:ascii="Times New Roman" w:eastAsia="Calibri" w:hAnsi="Times New Roman" w:cs="Times New Roman"/>
          <w:kern w:val="0"/>
          <w:sz w:val="28"/>
          <w:szCs w:val="28"/>
          <w14:ligatures w14:val="none"/>
        </w:rPr>
        <w:t xml:space="preserve"> Zuloaga</w:t>
      </w:r>
    </w:p>
    <w:p w14:paraId="2D57EDA6" w14:textId="1BA4F02D" w:rsidR="00E84DD6" w:rsidRDefault="00987A06"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Fred</w:t>
      </w:r>
      <w:r w:rsidR="00E84DD6">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this </w:t>
      </w:r>
      <w:r w:rsidR="00E84DD6">
        <w:rPr>
          <w:rFonts w:ascii="Times New Roman" w:eastAsia="Calibri" w:hAnsi="Times New Roman" w:cs="Times New Roman"/>
          <w:kern w:val="0"/>
          <w:sz w:val="28"/>
          <w:szCs w:val="28"/>
          <w14:ligatures w14:val="none"/>
        </w:rPr>
        <w:t xml:space="preserve">discussion item </w:t>
      </w:r>
      <w:r>
        <w:rPr>
          <w:rFonts w:ascii="Times New Roman" w:eastAsia="Calibri" w:hAnsi="Times New Roman" w:cs="Times New Roman"/>
          <w:kern w:val="0"/>
          <w:sz w:val="28"/>
          <w:szCs w:val="28"/>
          <w14:ligatures w14:val="none"/>
        </w:rPr>
        <w:t xml:space="preserve">will be high level, to address if the detailed tests </w:t>
      </w:r>
      <w:r w:rsidR="00251EB0">
        <w:rPr>
          <w:rFonts w:ascii="Times New Roman" w:eastAsia="Calibri" w:hAnsi="Times New Roman" w:cs="Times New Roman"/>
          <w:kern w:val="0"/>
          <w:sz w:val="28"/>
          <w:szCs w:val="28"/>
          <w14:ligatures w14:val="none"/>
        </w:rPr>
        <w:t>work</w:t>
      </w:r>
      <w:r w:rsidR="00E84DD6">
        <w:rPr>
          <w:rFonts w:ascii="Times New Roman" w:eastAsia="Calibri" w:hAnsi="Times New Roman" w:cs="Times New Roman"/>
          <w:kern w:val="0"/>
          <w:sz w:val="28"/>
          <w:szCs w:val="28"/>
          <w14:ligatures w14:val="none"/>
        </w:rPr>
        <w:t xml:space="preserve">, we will not discuss </w:t>
      </w:r>
      <w:r>
        <w:rPr>
          <w:rFonts w:ascii="Times New Roman" w:eastAsia="Calibri" w:hAnsi="Times New Roman" w:cs="Times New Roman"/>
          <w:kern w:val="0"/>
          <w:sz w:val="28"/>
          <w:szCs w:val="28"/>
          <w14:ligatures w14:val="none"/>
        </w:rPr>
        <w:t xml:space="preserve">NOGRR272 and </w:t>
      </w:r>
      <w:r w:rsidR="00E84DD6">
        <w:rPr>
          <w:rFonts w:ascii="Times New Roman" w:eastAsia="Calibri" w:hAnsi="Times New Roman" w:cs="Times New Roman"/>
          <w:kern w:val="0"/>
          <w:sz w:val="28"/>
          <w:szCs w:val="28"/>
          <w14:ligatures w14:val="none"/>
        </w:rPr>
        <w:t>PGRR12</w:t>
      </w:r>
      <w:r w:rsidR="00E84DD6">
        <w:rPr>
          <w:rFonts w:ascii="Times New Roman" w:eastAsia="Calibri" w:hAnsi="Times New Roman" w:cs="Times New Roman"/>
          <w:kern w:val="0"/>
          <w:sz w:val="28"/>
          <w:szCs w:val="28"/>
          <w14:ligatures w14:val="none"/>
        </w:rPr>
        <w:t>1 and keep it to technical content of the tests.</w:t>
      </w:r>
    </w:p>
    <w:p w14:paraId="456A224D" w14:textId="71D3A531" w:rsidR="00987A06" w:rsidRDefault="00B830C5"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 Wook: </w:t>
      </w:r>
      <w:r w:rsidR="000D2555">
        <w:rPr>
          <w:rFonts w:ascii="Times New Roman" w:eastAsia="Calibri" w:hAnsi="Times New Roman" w:cs="Times New Roman"/>
          <w:kern w:val="0"/>
          <w:sz w:val="28"/>
          <w:szCs w:val="28"/>
          <w14:ligatures w14:val="none"/>
        </w:rPr>
        <w:t>These changes to DWG Manual on AGS ESR Testing</w:t>
      </w:r>
      <w:r w:rsidR="004020CB">
        <w:rPr>
          <w:rFonts w:ascii="Times New Roman" w:eastAsia="Calibri" w:hAnsi="Times New Roman" w:cs="Times New Roman"/>
          <w:kern w:val="0"/>
          <w:sz w:val="28"/>
          <w:szCs w:val="28"/>
          <w14:ligatures w14:val="none"/>
        </w:rPr>
        <w:t xml:space="preserve"> were presented last week at DWG meeting</w:t>
      </w:r>
      <w:r w:rsidR="00616822">
        <w:rPr>
          <w:rFonts w:ascii="Times New Roman" w:eastAsia="Calibri" w:hAnsi="Times New Roman" w:cs="Times New Roman"/>
          <w:kern w:val="0"/>
          <w:sz w:val="28"/>
          <w:szCs w:val="28"/>
          <w14:ligatures w14:val="none"/>
        </w:rPr>
        <w:t xml:space="preserve">, so we should be ok to provide high level update here. </w:t>
      </w:r>
    </w:p>
    <w:p w14:paraId="68DA066C" w14:textId="6A79B228" w:rsidR="004020CB" w:rsidRDefault="00616822"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Sun Wook</w:t>
      </w:r>
      <w:r w:rsidR="006A1F90">
        <w:rPr>
          <w:rFonts w:ascii="Times New Roman" w:eastAsia="Calibri" w:hAnsi="Times New Roman" w:cs="Times New Roman"/>
          <w:kern w:val="0"/>
          <w:sz w:val="28"/>
          <w:szCs w:val="28"/>
          <w14:ligatures w14:val="none"/>
        </w:rPr>
        <w:t xml:space="preserve">: we </w:t>
      </w:r>
      <w:r>
        <w:rPr>
          <w:rFonts w:ascii="Times New Roman" w:eastAsia="Calibri" w:hAnsi="Times New Roman" w:cs="Times New Roman"/>
          <w:kern w:val="0"/>
          <w:sz w:val="28"/>
          <w:szCs w:val="28"/>
          <w14:ligatures w14:val="none"/>
        </w:rPr>
        <w:t xml:space="preserve">will also cover responses to comments on testing (again not on PGRR and NOGRR). </w:t>
      </w:r>
    </w:p>
    <w:p w14:paraId="7139BAB1" w14:textId="6210628D" w:rsidR="00616822" w:rsidRDefault="00423F9E"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Scott went through </w:t>
      </w:r>
      <w:r w:rsidR="006C4F49">
        <w:rPr>
          <w:rFonts w:ascii="Times New Roman" w:eastAsia="Calibri" w:hAnsi="Times New Roman" w:cs="Times New Roman"/>
          <w:kern w:val="0"/>
          <w:sz w:val="28"/>
          <w:szCs w:val="28"/>
          <w14:ligatures w14:val="none"/>
        </w:rPr>
        <w:t>DWG Manual redlines</w:t>
      </w:r>
      <w:r w:rsidR="0077622F">
        <w:rPr>
          <w:rFonts w:ascii="Times New Roman" w:eastAsia="Calibri" w:hAnsi="Times New Roman" w:cs="Times New Roman"/>
          <w:kern w:val="0"/>
          <w:sz w:val="28"/>
          <w:szCs w:val="28"/>
          <w14:ligatures w14:val="none"/>
        </w:rPr>
        <w:t>, just stepping through where the changes were made, the manual is posted on IBRWG meeting page</w:t>
      </w:r>
    </w:p>
    <w:p w14:paraId="3C46FA47" w14:textId="31679195" w:rsidR="0077622F" w:rsidRDefault="007C778C"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The redlines are consistent with ERCOT’s AGS ESR Testing document</w:t>
      </w:r>
      <w:r w:rsidR="009C6DB5">
        <w:rPr>
          <w:rFonts w:ascii="Times New Roman" w:eastAsia="Calibri" w:hAnsi="Times New Roman" w:cs="Times New Roman"/>
          <w:kern w:val="0"/>
          <w:sz w:val="28"/>
          <w:szCs w:val="28"/>
          <w14:ligatures w14:val="none"/>
        </w:rPr>
        <w:t xml:space="preserve"> (posted on September 2024 IBRWG meeting page).</w:t>
      </w:r>
    </w:p>
    <w:p w14:paraId="1773DE63" w14:textId="24311DA1" w:rsidR="007F112C" w:rsidRPr="005F27D4" w:rsidRDefault="009C6DB5" w:rsidP="005F27D4">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Got a few comments from DWG last week and will be updating the document accordingly but th</w:t>
      </w:r>
      <w:r w:rsidR="007F112C">
        <w:rPr>
          <w:rFonts w:ascii="Times New Roman" w:eastAsia="Calibri" w:hAnsi="Times New Roman" w:cs="Times New Roman"/>
          <w:kern w:val="0"/>
          <w:sz w:val="28"/>
          <w:szCs w:val="28"/>
          <w14:ligatures w14:val="none"/>
        </w:rPr>
        <w:t>ese</w:t>
      </w:r>
      <w:r>
        <w:rPr>
          <w:rFonts w:ascii="Times New Roman" w:eastAsia="Calibri" w:hAnsi="Times New Roman" w:cs="Times New Roman"/>
          <w:kern w:val="0"/>
          <w:sz w:val="28"/>
          <w:szCs w:val="28"/>
          <w14:ligatures w14:val="none"/>
        </w:rPr>
        <w:t xml:space="preserve"> changes are not yet </w:t>
      </w:r>
      <w:r w:rsidR="007F112C">
        <w:rPr>
          <w:rFonts w:ascii="Times New Roman" w:eastAsia="Calibri" w:hAnsi="Times New Roman" w:cs="Times New Roman"/>
          <w:kern w:val="0"/>
          <w:sz w:val="28"/>
          <w:szCs w:val="28"/>
          <w14:ligatures w14:val="none"/>
        </w:rPr>
        <w:t>included</w:t>
      </w:r>
      <w:r>
        <w:rPr>
          <w:rFonts w:ascii="Times New Roman" w:eastAsia="Calibri" w:hAnsi="Times New Roman" w:cs="Times New Roman"/>
          <w:kern w:val="0"/>
          <w:sz w:val="28"/>
          <w:szCs w:val="28"/>
          <w14:ligatures w14:val="none"/>
        </w:rPr>
        <w:t>.</w:t>
      </w:r>
    </w:p>
    <w:p w14:paraId="053CDBF9" w14:textId="364ECE21" w:rsidR="009C6DB5" w:rsidRDefault="00A04883"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 Wook: </w:t>
      </w:r>
      <w:r w:rsidR="007F112C" w:rsidRPr="007F112C">
        <w:rPr>
          <w:rFonts w:ascii="Times New Roman" w:eastAsia="Calibri" w:hAnsi="Times New Roman" w:cs="Times New Roman"/>
          <w:kern w:val="0"/>
          <w:sz w:val="28"/>
          <w:szCs w:val="28"/>
          <w14:ligatures w14:val="none"/>
        </w:rPr>
        <w:t xml:space="preserve">ERCOT has posted the FAQ document on the February 2025 IBRWG </w:t>
      </w:r>
      <w:r w:rsidR="007F112C">
        <w:rPr>
          <w:rFonts w:ascii="Times New Roman" w:eastAsia="Calibri" w:hAnsi="Times New Roman" w:cs="Times New Roman"/>
          <w:kern w:val="0"/>
          <w:sz w:val="28"/>
          <w:szCs w:val="28"/>
          <w14:ligatures w14:val="none"/>
        </w:rPr>
        <w:t>meeting page</w:t>
      </w:r>
      <w:r w:rsidR="00B92595">
        <w:rPr>
          <w:rFonts w:ascii="Times New Roman" w:eastAsia="Calibri" w:hAnsi="Times New Roman" w:cs="Times New Roman"/>
          <w:kern w:val="0"/>
          <w:sz w:val="28"/>
          <w:szCs w:val="28"/>
          <w14:ligatures w14:val="none"/>
        </w:rPr>
        <w:t xml:space="preserve">. </w:t>
      </w:r>
    </w:p>
    <w:p w14:paraId="3CB06C3B" w14:textId="71E3479D" w:rsidR="00A04883" w:rsidRDefault="00A04883"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Sun Wook stepped through the Questions during the meeting</w:t>
      </w:r>
      <w:r w:rsidR="00CC5E7D">
        <w:rPr>
          <w:rFonts w:ascii="Times New Roman" w:eastAsia="Calibri" w:hAnsi="Times New Roman" w:cs="Times New Roman"/>
          <w:kern w:val="0"/>
          <w:sz w:val="28"/>
          <w:szCs w:val="28"/>
          <w14:ligatures w14:val="none"/>
        </w:rPr>
        <w:t xml:space="preserve">, the slides </w:t>
      </w:r>
      <w:r w:rsidR="000831BA">
        <w:rPr>
          <w:rFonts w:ascii="Times New Roman" w:eastAsia="Calibri" w:hAnsi="Times New Roman" w:cs="Times New Roman"/>
          <w:kern w:val="0"/>
          <w:sz w:val="28"/>
          <w:szCs w:val="28"/>
          <w14:ligatures w14:val="none"/>
        </w:rPr>
        <w:t xml:space="preserve">provide detailed responses. </w:t>
      </w:r>
      <w:r w:rsidR="00B92595">
        <w:rPr>
          <w:rFonts w:ascii="Times New Roman" w:eastAsia="Calibri" w:hAnsi="Times New Roman" w:cs="Times New Roman"/>
          <w:kern w:val="0"/>
          <w:sz w:val="28"/>
          <w:szCs w:val="28"/>
          <w14:ligatures w14:val="none"/>
        </w:rPr>
        <w:t>Focusing only on technical items</w:t>
      </w:r>
      <w:r w:rsidR="0055726E">
        <w:rPr>
          <w:rFonts w:ascii="Times New Roman" w:eastAsia="Calibri" w:hAnsi="Times New Roman" w:cs="Times New Roman"/>
          <w:kern w:val="0"/>
          <w:sz w:val="28"/>
          <w:szCs w:val="28"/>
          <w14:ligatures w14:val="none"/>
        </w:rPr>
        <w:t xml:space="preserve"> (skipped Q1 as advised in the beginning of the meeting)</w:t>
      </w:r>
      <w:r w:rsidR="00B92595">
        <w:rPr>
          <w:rFonts w:ascii="Times New Roman" w:eastAsia="Calibri" w:hAnsi="Times New Roman" w:cs="Times New Roman"/>
          <w:kern w:val="0"/>
          <w:sz w:val="28"/>
          <w:szCs w:val="28"/>
          <w14:ligatures w14:val="none"/>
        </w:rPr>
        <w:t xml:space="preserve"> and skipped some questions that were discussed in the previous meetings. </w:t>
      </w:r>
    </w:p>
    <w:p w14:paraId="072283F7" w14:textId="78E4473E" w:rsidR="00543763" w:rsidRDefault="000E5E6F"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 Wook also highlighted where questions resulted in changes in </w:t>
      </w:r>
      <w:r w:rsidR="00FD71C1">
        <w:rPr>
          <w:rFonts w:ascii="Times New Roman" w:eastAsia="Calibri" w:hAnsi="Times New Roman" w:cs="Times New Roman"/>
          <w:kern w:val="0"/>
          <w:sz w:val="28"/>
          <w:szCs w:val="28"/>
          <w14:ligatures w14:val="none"/>
        </w:rPr>
        <w:t>DWG Manual</w:t>
      </w:r>
      <w:r w:rsidR="00D56B19">
        <w:rPr>
          <w:rFonts w:ascii="Times New Roman" w:eastAsia="Calibri" w:hAnsi="Times New Roman" w:cs="Times New Roman"/>
          <w:kern w:val="0"/>
          <w:sz w:val="28"/>
          <w:szCs w:val="28"/>
          <w14:ligatures w14:val="none"/>
        </w:rPr>
        <w:t>.</w:t>
      </w:r>
    </w:p>
    <w:p w14:paraId="47E58A41" w14:textId="2CEA2703" w:rsidR="00CC7050" w:rsidRDefault="00CC7050"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Q&amp;A </w:t>
      </w:r>
    </w:p>
    <w:p w14:paraId="1FA6A88A" w14:textId="05AA9A94" w:rsidR="00CC7050" w:rsidRDefault="00CC7050" w:rsidP="00E84DD6">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Stephen Solis: </w:t>
      </w:r>
      <w:r w:rsidR="00425981">
        <w:rPr>
          <w:rFonts w:ascii="Times New Roman" w:eastAsia="Calibri" w:hAnsi="Times New Roman" w:cs="Times New Roman"/>
          <w:kern w:val="0"/>
          <w:sz w:val="28"/>
          <w:szCs w:val="28"/>
          <w14:ligatures w14:val="none"/>
        </w:rPr>
        <w:t xml:space="preserve">Question on Q1 response. Is </w:t>
      </w:r>
      <w:r w:rsidR="00031B7E">
        <w:rPr>
          <w:rFonts w:ascii="Times New Roman" w:eastAsia="Calibri" w:hAnsi="Times New Roman" w:cs="Times New Roman"/>
          <w:kern w:val="0"/>
          <w:sz w:val="28"/>
          <w:szCs w:val="28"/>
          <w14:ligatures w14:val="none"/>
        </w:rPr>
        <w:t>ERCOT</w:t>
      </w:r>
      <w:r w:rsidR="00425981">
        <w:rPr>
          <w:rFonts w:ascii="Times New Roman" w:eastAsia="Calibri" w:hAnsi="Times New Roman" w:cs="Times New Roman"/>
          <w:kern w:val="0"/>
          <w:sz w:val="28"/>
          <w:szCs w:val="28"/>
          <w14:ligatures w14:val="none"/>
        </w:rPr>
        <w:t xml:space="preserve"> going to be making assumptions in the planning studies and any studies determining limits, if you we have to maintain SOC to get the benefit of AGS ESR, are we assuming that it’s not going to be there to be conservative in the studies where you are making a decision </w:t>
      </w:r>
      <w:r w:rsidR="00031B7E">
        <w:rPr>
          <w:rFonts w:ascii="Times New Roman" w:eastAsia="Calibri" w:hAnsi="Times New Roman" w:cs="Times New Roman"/>
          <w:kern w:val="0"/>
          <w:sz w:val="28"/>
          <w:szCs w:val="28"/>
          <w14:ligatures w14:val="none"/>
        </w:rPr>
        <w:t xml:space="preserve">if additional equipment or transmission is needed. There </w:t>
      </w:r>
      <w:r w:rsidR="00ED4F9C">
        <w:rPr>
          <w:rFonts w:ascii="Times New Roman" w:eastAsia="Calibri" w:hAnsi="Times New Roman" w:cs="Times New Roman"/>
          <w:kern w:val="0"/>
          <w:sz w:val="28"/>
          <w:szCs w:val="28"/>
          <w14:ligatures w14:val="none"/>
        </w:rPr>
        <w:t>seems</w:t>
      </w:r>
      <w:r w:rsidR="00031B7E">
        <w:rPr>
          <w:rFonts w:ascii="Times New Roman" w:eastAsia="Calibri" w:hAnsi="Times New Roman" w:cs="Times New Roman"/>
          <w:kern w:val="0"/>
          <w:sz w:val="28"/>
          <w:szCs w:val="28"/>
          <w14:ligatures w14:val="none"/>
        </w:rPr>
        <w:t xml:space="preserve"> to be a disconnect between no headroom requirement and then needed headroom to get the benefit, can you please elaborate? </w:t>
      </w:r>
    </w:p>
    <w:p w14:paraId="2D09DC26" w14:textId="0CB2D706" w:rsidR="00D56B19" w:rsidRDefault="000F6B72" w:rsidP="00D56B1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Sun Wook: I was trying to avoid policy related questions around PGRR and NOGRR. But basically, ERCOT does not mandate any headroom. But I </w:t>
      </w:r>
      <w:r>
        <w:rPr>
          <w:rFonts w:ascii="Times New Roman" w:eastAsia="Calibri" w:hAnsi="Times New Roman" w:cs="Times New Roman"/>
          <w:kern w:val="0"/>
          <w:sz w:val="28"/>
          <w:szCs w:val="28"/>
          <w14:ligatures w14:val="none"/>
        </w:rPr>
        <w:lastRenderedPageBreak/>
        <w:t xml:space="preserve">would like to separate this question from the MQT discussion here.  </w:t>
      </w:r>
      <w:r w:rsidR="00253179">
        <w:rPr>
          <w:rFonts w:ascii="Times New Roman" w:eastAsia="Calibri" w:hAnsi="Times New Roman" w:cs="Times New Roman"/>
          <w:kern w:val="0"/>
          <w:sz w:val="28"/>
          <w:szCs w:val="28"/>
          <w14:ligatures w14:val="none"/>
        </w:rPr>
        <w:t>The FAQ is only related to MQT (not planning studies).</w:t>
      </w:r>
    </w:p>
    <w:p w14:paraId="15DDDE4A" w14:textId="38351720" w:rsidR="005D30C7" w:rsidRDefault="00AF784A" w:rsidP="00D56B19">
      <w:pPr>
        <w:pStyle w:val="ListParagraph"/>
        <w:numPr>
          <w:ilvl w:val="0"/>
          <w:numId w:val="1"/>
        </w:numPr>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Stephen Solis</w:t>
      </w:r>
      <w:r w:rsidR="00545C35">
        <w:rPr>
          <w:rFonts w:ascii="Times New Roman" w:eastAsia="Calibri" w:hAnsi="Times New Roman" w:cs="Times New Roman"/>
          <w:kern w:val="0"/>
          <w:sz w:val="28"/>
          <w:szCs w:val="28"/>
          <w14:ligatures w14:val="none"/>
        </w:rPr>
        <w:t xml:space="preserve"> </w:t>
      </w:r>
      <w:r w:rsidR="008E6934">
        <w:rPr>
          <w:rFonts w:ascii="Times New Roman" w:eastAsia="Calibri" w:hAnsi="Times New Roman" w:cs="Times New Roman"/>
          <w:kern w:val="0"/>
          <w:sz w:val="28"/>
          <w:szCs w:val="28"/>
          <w14:ligatures w14:val="none"/>
        </w:rPr>
        <w:t xml:space="preserve">comments </w:t>
      </w:r>
      <w:r w:rsidR="00545C35">
        <w:rPr>
          <w:rFonts w:ascii="Times New Roman" w:eastAsia="Calibri" w:hAnsi="Times New Roman" w:cs="Times New Roman"/>
          <w:kern w:val="0"/>
          <w:sz w:val="28"/>
          <w:szCs w:val="28"/>
          <w14:ligatures w14:val="none"/>
        </w:rPr>
        <w:t xml:space="preserve">(after the presentation completed): Coming back to the same question, would like to point out </w:t>
      </w:r>
      <w:hyperlink r:id="rId14" w:history="1">
        <w:r w:rsidR="00545C35" w:rsidRPr="00F314B2">
          <w:rPr>
            <w:rStyle w:val="Hyperlink"/>
            <w:rFonts w:ascii="Times New Roman" w:eastAsia="Calibri" w:hAnsi="Times New Roman" w:cs="Times New Roman"/>
            <w:kern w:val="0"/>
            <w:sz w:val="28"/>
            <w:szCs w:val="28"/>
            <w14:ligatures w14:val="none"/>
          </w:rPr>
          <w:t>NERC White Paper</w:t>
        </w:r>
      </w:hyperlink>
      <w:r w:rsidR="00F314B2">
        <w:rPr>
          <w:rFonts w:ascii="Times New Roman" w:eastAsia="Calibri" w:hAnsi="Times New Roman" w:cs="Times New Roman"/>
          <w:kern w:val="0"/>
          <w:sz w:val="28"/>
          <w:szCs w:val="28"/>
          <w14:ligatures w14:val="none"/>
        </w:rPr>
        <w:t xml:space="preserve">, chapter 2, page 16, there is a bullet that talks about that, this is something to consider from a technical perspective for the MQT. </w:t>
      </w:r>
    </w:p>
    <w:p w14:paraId="6D26648D" w14:textId="230AEEFD" w:rsidR="00AF784A" w:rsidRPr="00D56B19" w:rsidRDefault="00545C35" w:rsidP="005D30C7">
      <w:pPr>
        <w:pStyle w:val="ListParagraph"/>
        <w:tabs>
          <w:tab w:val="right" w:pos="9360"/>
        </w:tabs>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p>
    <w:p w14:paraId="735EDD60" w14:textId="77777777" w:rsidR="00543763" w:rsidRDefault="00543763" w:rsidP="00543763">
      <w:pPr>
        <w:pStyle w:val="ListParagraph"/>
        <w:tabs>
          <w:tab w:val="right" w:pos="9360"/>
        </w:tabs>
        <w:spacing w:line="259" w:lineRule="auto"/>
        <w:rPr>
          <w:rFonts w:ascii="Times New Roman" w:eastAsia="Calibri" w:hAnsi="Times New Roman" w:cs="Times New Roman"/>
          <w:kern w:val="0"/>
          <w:sz w:val="28"/>
          <w:szCs w:val="28"/>
          <w14:ligatures w14:val="none"/>
        </w:rPr>
      </w:pPr>
    </w:p>
    <w:p w14:paraId="348AACB9" w14:textId="77777777" w:rsidR="00253179" w:rsidRPr="00253179" w:rsidRDefault="00253179" w:rsidP="00253179">
      <w:pPr>
        <w:pStyle w:val="ListParagraph"/>
        <w:tabs>
          <w:tab w:val="right" w:pos="9360"/>
        </w:tabs>
        <w:spacing w:line="259" w:lineRule="auto"/>
        <w:rPr>
          <w:rFonts w:ascii="Times New Roman" w:eastAsia="Calibri" w:hAnsi="Times New Roman" w:cs="Times New Roman"/>
          <w:kern w:val="0"/>
          <w:sz w:val="28"/>
          <w:szCs w:val="28"/>
          <w14:ligatures w14:val="none"/>
        </w:rPr>
      </w:pPr>
    </w:p>
    <w:sectPr w:rsidR="00253179" w:rsidRPr="00253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6BB4" w14:textId="77777777" w:rsidR="005B5AF4" w:rsidRDefault="005B5AF4" w:rsidP="00EA00F9">
      <w:pPr>
        <w:spacing w:after="0" w:line="240" w:lineRule="auto"/>
      </w:pPr>
      <w:r>
        <w:separator/>
      </w:r>
    </w:p>
  </w:endnote>
  <w:endnote w:type="continuationSeparator" w:id="0">
    <w:p w14:paraId="2847C1EC" w14:textId="77777777" w:rsidR="005B5AF4" w:rsidRDefault="005B5AF4" w:rsidP="00EA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DB6F8" w14:textId="77777777" w:rsidR="005B5AF4" w:rsidRDefault="005B5AF4" w:rsidP="00EA00F9">
      <w:pPr>
        <w:spacing w:after="0" w:line="240" w:lineRule="auto"/>
      </w:pPr>
      <w:r>
        <w:separator/>
      </w:r>
    </w:p>
  </w:footnote>
  <w:footnote w:type="continuationSeparator" w:id="0">
    <w:p w14:paraId="5012D222" w14:textId="77777777" w:rsidR="005B5AF4" w:rsidRDefault="005B5AF4" w:rsidP="00EA00F9">
      <w:pPr>
        <w:spacing w:after="0" w:line="240" w:lineRule="auto"/>
      </w:pPr>
      <w:r>
        <w:continuationSeparator/>
      </w:r>
    </w:p>
  </w:footnote>
  <w:footnote w:id="1">
    <w:p w14:paraId="0F4CDEBC" w14:textId="0C86A7E5" w:rsidR="00EA00F9" w:rsidRDefault="00EA00F9">
      <w:pPr>
        <w:pStyle w:val="FootnoteText"/>
      </w:pPr>
      <w:r>
        <w:rPr>
          <w:rStyle w:val="FootnoteReference"/>
        </w:rPr>
        <w:footnoteRef/>
      </w:r>
      <w:r>
        <w:t xml:space="preserve"> </w:t>
      </w:r>
      <w:r>
        <w:rPr>
          <w:rFonts w:ascii="Times New Roman" w:eastAsia="Calibri" w:hAnsi="Times New Roman" w:cs="Times New Roman"/>
          <w:kern w:val="0"/>
          <w:sz w:val="28"/>
          <w:szCs w:val="28"/>
          <w14:ligatures w14:val="none"/>
        </w:rPr>
        <w:t xml:space="preserve">Electranix is </w:t>
      </w:r>
      <w:r>
        <w:rPr>
          <w:rFonts w:ascii="Times New Roman" w:eastAsia="Calibri" w:hAnsi="Times New Roman" w:cs="Times New Roman"/>
          <w:kern w:val="0"/>
          <w:sz w:val="28"/>
          <w:szCs w:val="28"/>
          <w14:ligatures w14:val="none"/>
        </w:rPr>
        <w:t>the consultant that work with ERCOT to develop the testing framework</w:t>
      </w:r>
      <w:r>
        <w:rPr>
          <w:rFonts w:ascii="Times New Roman" w:eastAsia="Calibri" w:hAnsi="Times New Roman" w:cs="Times New Roman"/>
          <w:kern w:val="0"/>
          <w:sz w:val="28"/>
          <w:szCs w:val="28"/>
          <w14:ligatures w14:val="none"/>
        </w:rPr>
        <w:t xml:space="preserve"> </w:t>
      </w:r>
      <w:r w:rsidR="001D7695">
        <w:rPr>
          <w:rFonts w:ascii="Times New Roman" w:eastAsia="Calibri" w:hAnsi="Times New Roman" w:cs="Times New Roman"/>
          <w:kern w:val="0"/>
          <w:sz w:val="28"/>
          <w:szCs w:val="28"/>
          <w14:ligatures w14:val="none"/>
        </w:rPr>
        <w:t>posted at the</w:t>
      </w:r>
      <w:r w:rsidR="00121DC3">
        <w:rPr>
          <w:rFonts w:ascii="Times New Roman" w:eastAsia="Calibri" w:hAnsi="Times New Roman" w:cs="Times New Roman"/>
          <w:kern w:val="0"/>
          <w:sz w:val="28"/>
          <w:szCs w:val="28"/>
          <w14:ligatures w14:val="none"/>
        </w:rPr>
        <w:t xml:space="preserve"> </w:t>
      </w:r>
      <w:hyperlink r:id="rId1" w:history="1">
        <w:r w:rsidR="00121DC3" w:rsidRPr="00121DC3">
          <w:rPr>
            <w:rStyle w:val="Hyperlink"/>
            <w:rFonts w:ascii="Times New Roman" w:eastAsia="Calibri" w:hAnsi="Times New Roman" w:cs="Times New Roman"/>
            <w:kern w:val="0"/>
            <w:sz w:val="28"/>
            <w:szCs w:val="28"/>
            <w14:ligatures w14:val="none"/>
          </w:rPr>
          <w:t>September 2024 IBRWG meeting page</w:t>
        </w:r>
      </w:hyperlink>
      <w:r w:rsidR="00121DC3">
        <w:rPr>
          <w:rFonts w:ascii="Times New Roman" w:eastAsia="Calibri" w:hAnsi="Times New Roman" w:cs="Times New Roman"/>
          <w:kern w:val="0"/>
          <w:sz w:val="28"/>
          <w:szCs w:val="28"/>
          <w14:ligatures w14: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BC0"/>
    <w:multiLevelType w:val="hybridMultilevel"/>
    <w:tmpl w:val="8DE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95BC2"/>
    <w:multiLevelType w:val="hybridMultilevel"/>
    <w:tmpl w:val="D4E4E48E"/>
    <w:lvl w:ilvl="0" w:tplc="BE60201E">
      <w:start w:val="1"/>
      <w:numFmt w:val="bullet"/>
      <w:lvlText w:val="•"/>
      <w:lvlJc w:val="left"/>
      <w:pPr>
        <w:tabs>
          <w:tab w:val="num" w:pos="720"/>
        </w:tabs>
        <w:ind w:left="720" w:hanging="360"/>
      </w:pPr>
      <w:rPr>
        <w:rFonts w:ascii="Arial" w:hAnsi="Arial" w:hint="default"/>
      </w:rPr>
    </w:lvl>
    <w:lvl w:ilvl="1" w:tplc="615EB9BC" w:tentative="1">
      <w:start w:val="1"/>
      <w:numFmt w:val="bullet"/>
      <w:lvlText w:val="•"/>
      <w:lvlJc w:val="left"/>
      <w:pPr>
        <w:tabs>
          <w:tab w:val="num" w:pos="1440"/>
        </w:tabs>
        <w:ind w:left="1440" w:hanging="360"/>
      </w:pPr>
      <w:rPr>
        <w:rFonts w:ascii="Arial" w:hAnsi="Arial" w:hint="default"/>
      </w:rPr>
    </w:lvl>
    <w:lvl w:ilvl="2" w:tplc="DC2C1CF4" w:tentative="1">
      <w:start w:val="1"/>
      <w:numFmt w:val="bullet"/>
      <w:lvlText w:val="•"/>
      <w:lvlJc w:val="left"/>
      <w:pPr>
        <w:tabs>
          <w:tab w:val="num" w:pos="2160"/>
        </w:tabs>
        <w:ind w:left="2160" w:hanging="360"/>
      </w:pPr>
      <w:rPr>
        <w:rFonts w:ascii="Arial" w:hAnsi="Arial" w:hint="default"/>
      </w:rPr>
    </w:lvl>
    <w:lvl w:ilvl="3" w:tplc="3230A20A" w:tentative="1">
      <w:start w:val="1"/>
      <w:numFmt w:val="bullet"/>
      <w:lvlText w:val="•"/>
      <w:lvlJc w:val="left"/>
      <w:pPr>
        <w:tabs>
          <w:tab w:val="num" w:pos="2880"/>
        </w:tabs>
        <w:ind w:left="2880" w:hanging="360"/>
      </w:pPr>
      <w:rPr>
        <w:rFonts w:ascii="Arial" w:hAnsi="Arial" w:hint="default"/>
      </w:rPr>
    </w:lvl>
    <w:lvl w:ilvl="4" w:tplc="FDB6D55A" w:tentative="1">
      <w:start w:val="1"/>
      <w:numFmt w:val="bullet"/>
      <w:lvlText w:val="•"/>
      <w:lvlJc w:val="left"/>
      <w:pPr>
        <w:tabs>
          <w:tab w:val="num" w:pos="3600"/>
        </w:tabs>
        <w:ind w:left="3600" w:hanging="360"/>
      </w:pPr>
      <w:rPr>
        <w:rFonts w:ascii="Arial" w:hAnsi="Arial" w:hint="default"/>
      </w:rPr>
    </w:lvl>
    <w:lvl w:ilvl="5" w:tplc="60D677EE" w:tentative="1">
      <w:start w:val="1"/>
      <w:numFmt w:val="bullet"/>
      <w:lvlText w:val="•"/>
      <w:lvlJc w:val="left"/>
      <w:pPr>
        <w:tabs>
          <w:tab w:val="num" w:pos="4320"/>
        </w:tabs>
        <w:ind w:left="4320" w:hanging="360"/>
      </w:pPr>
      <w:rPr>
        <w:rFonts w:ascii="Arial" w:hAnsi="Arial" w:hint="default"/>
      </w:rPr>
    </w:lvl>
    <w:lvl w:ilvl="6" w:tplc="7D18A098" w:tentative="1">
      <w:start w:val="1"/>
      <w:numFmt w:val="bullet"/>
      <w:lvlText w:val="•"/>
      <w:lvlJc w:val="left"/>
      <w:pPr>
        <w:tabs>
          <w:tab w:val="num" w:pos="5040"/>
        </w:tabs>
        <w:ind w:left="5040" w:hanging="360"/>
      </w:pPr>
      <w:rPr>
        <w:rFonts w:ascii="Arial" w:hAnsi="Arial" w:hint="default"/>
      </w:rPr>
    </w:lvl>
    <w:lvl w:ilvl="7" w:tplc="77DE0C44" w:tentative="1">
      <w:start w:val="1"/>
      <w:numFmt w:val="bullet"/>
      <w:lvlText w:val="•"/>
      <w:lvlJc w:val="left"/>
      <w:pPr>
        <w:tabs>
          <w:tab w:val="num" w:pos="5760"/>
        </w:tabs>
        <w:ind w:left="5760" w:hanging="360"/>
      </w:pPr>
      <w:rPr>
        <w:rFonts w:ascii="Arial" w:hAnsi="Arial" w:hint="default"/>
      </w:rPr>
    </w:lvl>
    <w:lvl w:ilvl="8" w:tplc="E006C1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D7556"/>
    <w:multiLevelType w:val="hybridMultilevel"/>
    <w:tmpl w:val="F000E15A"/>
    <w:lvl w:ilvl="0" w:tplc="FFFFFFFF">
      <w:start w:val="1"/>
      <w:numFmt w:val="bullet"/>
      <w:lvlText w:val="o"/>
      <w:lvlJc w:val="left"/>
      <w:pPr>
        <w:ind w:left="720" w:hanging="360"/>
      </w:pPr>
      <w:rPr>
        <w:rFonts w:ascii="Courier New" w:hAnsi="Courier New" w:cs="Courier New" w:hint="default"/>
      </w:rPr>
    </w:lvl>
    <w:lvl w:ilvl="1" w:tplc="C37279E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C1484D"/>
    <w:multiLevelType w:val="hybridMultilevel"/>
    <w:tmpl w:val="255C8BFA"/>
    <w:lvl w:ilvl="0" w:tplc="1996148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D064A0"/>
    <w:multiLevelType w:val="hybridMultilevel"/>
    <w:tmpl w:val="2E32A09A"/>
    <w:lvl w:ilvl="0" w:tplc="C7382FD0">
      <w:start w:val="1"/>
      <w:numFmt w:val="bullet"/>
      <w:lvlText w:val=""/>
      <w:lvlJc w:val="left"/>
      <w:pPr>
        <w:tabs>
          <w:tab w:val="num" w:pos="720"/>
        </w:tabs>
        <w:ind w:left="720" w:hanging="360"/>
      </w:pPr>
      <w:rPr>
        <w:rFonts w:ascii="Wingdings" w:hAnsi="Wingdings" w:hint="default"/>
      </w:rPr>
    </w:lvl>
    <w:lvl w:ilvl="1" w:tplc="C8A4E2C6" w:tentative="1">
      <w:start w:val="1"/>
      <w:numFmt w:val="bullet"/>
      <w:lvlText w:val=""/>
      <w:lvlJc w:val="left"/>
      <w:pPr>
        <w:tabs>
          <w:tab w:val="num" w:pos="1440"/>
        </w:tabs>
        <w:ind w:left="1440" w:hanging="360"/>
      </w:pPr>
      <w:rPr>
        <w:rFonts w:ascii="Wingdings" w:hAnsi="Wingdings" w:hint="default"/>
      </w:rPr>
    </w:lvl>
    <w:lvl w:ilvl="2" w:tplc="6CCE8FAA" w:tentative="1">
      <w:start w:val="1"/>
      <w:numFmt w:val="bullet"/>
      <w:lvlText w:val=""/>
      <w:lvlJc w:val="left"/>
      <w:pPr>
        <w:tabs>
          <w:tab w:val="num" w:pos="2160"/>
        </w:tabs>
        <w:ind w:left="2160" w:hanging="360"/>
      </w:pPr>
      <w:rPr>
        <w:rFonts w:ascii="Wingdings" w:hAnsi="Wingdings" w:hint="default"/>
      </w:rPr>
    </w:lvl>
    <w:lvl w:ilvl="3" w:tplc="093A42B2" w:tentative="1">
      <w:start w:val="1"/>
      <w:numFmt w:val="bullet"/>
      <w:lvlText w:val=""/>
      <w:lvlJc w:val="left"/>
      <w:pPr>
        <w:tabs>
          <w:tab w:val="num" w:pos="2880"/>
        </w:tabs>
        <w:ind w:left="2880" w:hanging="360"/>
      </w:pPr>
      <w:rPr>
        <w:rFonts w:ascii="Wingdings" w:hAnsi="Wingdings" w:hint="default"/>
      </w:rPr>
    </w:lvl>
    <w:lvl w:ilvl="4" w:tplc="2A986ADC" w:tentative="1">
      <w:start w:val="1"/>
      <w:numFmt w:val="bullet"/>
      <w:lvlText w:val=""/>
      <w:lvlJc w:val="left"/>
      <w:pPr>
        <w:tabs>
          <w:tab w:val="num" w:pos="3600"/>
        </w:tabs>
        <w:ind w:left="3600" w:hanging="360"/>
      </w:pPr>
      <w:rPr>
        <w:rFonts w:ascii="Wingdings" w:hAnsi="Wingdings" w:hint="default"/>
      </w:rPr>
    </w:lvl>
    <w:lvl w:ilvl="5" w:tplc="E15ABEE8" w:tentative="1">
      <w:start w:val="1"/>
      <w:numFmt w:val="bullet"/>
      <w:lvlText w:val=""/>
      <w:lvlJc w:val="left"/>
      <w:pPr>
        <w:tabs>
          <w:tab w:val="num" w:pos="4320"/>
        </w:tabs>
        <w:ind w:left="4320" w:hanging="360"/>
      </w:pPr>
      <w:rPr>
        <w:rFonts w:ascii="Wingdings" w:hAnsi="Wingdings" w:hint="default"/>
      </w:rPr>
    </w:lvl>
    <w:lvl w:ilvl="6" w:tplc="4EEC1D10" w:tentative="1">
      <w:start w:val="1"/>
      <w:numFmt w:val="bullet"/>
      <w:lvlText w:val=""/>
      <w:lvlJc w:val="left"/>
      <w:pPr>
        <w:tabs>
          <w:tab w:val="num" w:pos="5040"/>
        </w:tabs>
        <w:ind w:left="5040" w:hanging="360"/>
      </w:pPr>
      <w:rPr>
        <w:rFonts w:ascii="Wingdings" w:hAnsi="Wingdings" w:hint="default"/>
      </w:rPr>
    </w:lvl>
    <w:lvl w:ilvl="7" w:tplc="60B6BF48" w:tentative="1">
      <w:start w:val="1"/>
      <w:numFmt w:val="bullet"/>
      <w:lvlText w:val=""/>
      <w:lvlJc w:val="left"/>
      <w:pPr>
        <w:tabs>
          <w:tab w:val="num" w:pos="5760"/>
        </w:tabs>
        <w:ind w:left="5760" w:hanging="360"/>
      </w:pPr>
      <w:rPr>
        <w:rFonts w:ascii="Wingdings" w:hAnsi="Wingdings" w:hint="default"/>
      </w:rPr>
    </w:lvl>
    <w:lvl w:ilvl="8" w:tplc="B8E247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F7726"/>
    <w:multiLevelType w:val="hybridMultilevel"/>
    <w:tmpl w:val="8DC2DF4C"/>
    <w:lvl w:ilvl="0" w:tplc="F68C0608">
      <w:start w:val="1"/>
      <w:numFmt w:val="bullet"/>
      <w:lvlText w:val=""/>
      <w:lvlJc w:val="left"/>
      <w:pPr>
        <w:tabs>
          <w:tab w:val="num" w:pos="720"/>
        </w:tabs>
        <w:ind w:left="720" w:hanging="360"/>
      </w:pPr>
      <w:rPr>
        <w:rFonts w:ascii="Wingdings" w:hAnsi="Wingdings" w:hint="default"/>
      </w:rPr>
    </w:lvl>
    <w:lvl w:ilvl="1" w:tplc="B1106624" w:tentative="1">
      <w:start w:val="1"/>
      <w:numFmt w:val="bullet"/>
      <w:lvlText w:val=""/>
      <w:lvlJc w:val="left"/>
      <w:pPr>
        <w:tabs>
          <w:tab w:val="num" w:pos="1440"/>
        </w:tabs>
        <w:ind w:left="1440" w:hanging="360"/>
      </w:pPr>
      <w:rPr>
        <w:rFonts w:ascii="Wingdings" w:hAnsi="Wingdings" w:hint="default"/>
      </w:rPr>
    </w:lvl>
    <w:lvl w:ilvl="2" w:tplc="D750B2BC" w:tentative="1">
      <w:start w:val="1"/>
      <w:numFmt w:val="bullet"/>
      <w:lvlText w:val=""/>
      <w:lvlJc w:val="left"/>
      <w:pPr>
        <w:tabs>
          <w:tab w:val="num" w:pos="2160"/>
        </w:tabs>
        <w:ind w:left="2160" w:hanging="360"/>
      </w:pPr>
      <w:rPr>
        <w:rFonts w:ascii="Wingdings" w:hAnsi="Wingdings" w:hint="default"/>
      </w:rPr>
    </w:lvl>
    <w:lvl w:ilvl="3" w:tplc="43DE2840" w:tentative="1">
      <w:start w:val="1"/>
      <w:numFmt w:val="bullet"/>
      <w:lvlText w:val=""/>
      <w:lvlJc w:val="left"/>
      <w:pPr>
        <w:tabs>
          <w:tab w:val="num" w:pos="2880"/>
        </w:tabs>
        <w:ind w:left="2880" w:hanging="360"/>
      </w:pPr>
      <w:rPr>
        <w:rFonts w:ascii="Wingdings" w:hAnsi="Wingdings" w:hint="default"/>
      </w:rPr>
    </w:lvl>
    <w:lvl w:ilvl="4" w:tplc="A9C0B6B2" w:tentative="1">
      <w:start w:val="1"/>
      <w:numFmt w:val="bullet"/>
      <w:lvlText w:val=""/>
      <w:lvlJc w:val="left"/>
      <w:pPr>
        <w:tabs>
          <w:tab w:val="num" w:pos="3600"/>
        </w:tabs>
        <w:ind w:left="3600" w:hanging="360"/>
      </w:pPr>
      <w:rPr>
        <w:rFonts w:ascii="Wingdings" w:hAnsi="Wingdings" w:hint="default"/>
      </w:rPr>
    </w:lvl>
    <w:lvl w:ilvl="5" w:tplc="742AFDFC" w:tentative="1">
      <w:start w:val="1"/>
      <w:numFmt w:val="bullet"/>
      <w:lvlText w:val=""/>
      <w:lvlJc w:val="left"/>
      <w:pPr>
        <w:tabs>
          <w:tab w:val="num" w:pos="4320"/>
        </w:tabs>
        <w:ind w:left="4320" w:hanging="360"/>
      </w:pPr>
      <w:rPr>
        <w:rFonts w:ascii="Wingdings" w:hAnsi="Wingdings" w:hint="default"/>
      </w:rPr>
    </w:lvl>
    <w:lvl w:ilvl="6" w:tplc="514C3182" w:tentative="1">
      <w:start w:val="1"/>
      <w:numFmt w:val="bullet"/>
      <w:lvlText w:val=""/>
      <w:lvlJc w:val="left"/>
      <w:pPr>
        <w:tabs>
          <w:tab w:val="num" w:pos="5040"/>
        </w:tabs>
        <w:ind w:left="5040" w:hanging="360"/>
      </w:pPr>
      <w:rPr>
        <w:rFonts w:ascii="Wingdings" w:hAnsi="Wingdings" w:hint="default"/>
      </w:rPr>
    </w:lvl>
    <w:lvl w:ilvl="7" w:tplc="AE8E158C" w:tentative="1">
      <w:start w:val="1"/>
      <w:numFmt w:val="bullet"/>
      <w:lvlText w:val=""/>
      <w:lvlJc w:val="left"/>
      <w:pPr>
        <w:tabs>
          <w:tab w:val="num" w:pos="5760"/>
        </w:tabs>
        <w:ind w:left="5760" w:hanging="360"/>
      </w:pPr>
      <w:rPr>
        <w:rFonts w:ascii="Wingdings" w:hAnsi="Wingdings" w:hint="default"/>
      </w:rPr>
    </w:lvl>
    <w:lvl w:ilvl="8" w:tplc="E2A2DD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444CE"/>
    <w:multiLevelType w:val="hybridMultilevel"/>
    <w:tmpl w:val="D05E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D61AB"/>
    <w:multiLevelType w:val="hybridMultilevel"/>
    <w:tmpl w:val="2D8A81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12CDE"/>
    <w:multiLevelType w:val="hybridMultilevel"/>
    <w:tmpl w:val="EE42F592"/>
    <w:lvl w:ilvl="0" w:tplc="9F96A64E">
      <w:start w:val="1"/>
      <w:numFmt w:val="bullet"/>
      <w:lvlText w:val=""/>
      <w:lvlJc w:val="left"/>
      <w:pPr>
        <w:tabs>
          <w:tab w:val="num" w:pos="720"/>
        </w:tabs>
        <w:ind w:left="720" w:hanging="360"/>
      </w:pPr>
      <w:rPr>
        <w:rFonts w:ascii="Wingdings" w:hAnsi="Wingdings" w:hint="default"/>
      </w:rPr>
    </w:lvl>
    <w:lvl w:ilvl="1" w:tplc="78D4EA78" w:tentative="1">
      <w:start w:val="1"/>
      <w:numFmt w:val="bullet"/>
      <w:lvlText w:val=""/>
      <w:lvlJc w:val="left"/>
      <w:pPr>
        <w:tabs>
          <w:tab w:val="num" w:pos="1440"/>
        </w:tabs>
        <w:ind w:left="1440" w:hanging="360"/>
      </w:pPr>
      <w:rPr>
        <w:rFonts w:ascii="Wingdings" w:hAnsi="Wingdings" w:hint="default"/>
      </w:rPr>
    </w:lvl>
    <w:lvl w:ilvl="2" w:tplc="9FD8AA24" w:tentative="1">
      <w:start w:val="1"/>
      <w:numFmt w:val="bullet"/>
      <w:lvlText w:val=""/>
      <w:lvlJc w:val="left"/>
      <w:pPr>
        <w:tabs>
          <w:tab w:val="num" w:pos="2160"/>
        </w:tabs>
        <w:ind w:left="2160" w:hanging="360"/>
      </w:pPr>
      <w:rPr>
        <w:rFonts w:ascii="Wingdings" w:hAnsi="Wingdings" w:hint="default"/>
      </w:rPr>
    </w:lvl>
    <w:lvl w:ilvl="3" w:tplc="91201A1C" w:tentative="1">
      <w:start w:val="1"/>
      <w:numFmt w:val="bullet"/>
      <w:lvlText w:val=""/>
      <w:lvlJc w:val="left"/>
      <w:pPr>
        <w:tabs>
          <w:tab w:val="num" w:pos="2880"/>
        </w:tabs>
        <w:ind w:left="2880" w:hanging="360"/>
      </w:pPr>
      <w:rPr>
        <w:rFonts w:ascii="Wingdings" w:hAnsi="Wingdings" w:hint="default"/>
      </w:rPr>
    </w:lvl>
    <w:lvl w:ilvl="4" w:tplc="0E6465F2" w:tentative="1">
      <w:start w:val="1"/>
      <w:numFmt w:val="bullet"/>
      <w:lvlText w:val=""/>
      <w:lvlJc w:val="left"/>
      <w:pPr>
        <w:tabs>
          <w:tab w:val="num" w:pos="3600"/>
        </w:tabs>
        <w:ind w:left="3600" w:hanging="360"/>
      </w:pPr>
      <w:rPr>
        <w:rFonts w:ascii="Wingdings" w:hAnsi="Wingdings" w:hint="default"/>
      </w:rPr>
    </w:lvl>
    <w:lvl w:ilvl="5" w:tplc="87C4FD96" w:tentative="1">
      <w:start w:val="1"/>
      <w:numFmt w:val="bullet"/>
      <w:lvlText w:val=""/>
      <w:lvlJc w:val="left"/>
      <w:pPr>
        <w:tabs>
          <w:tab w:val="num" w:pos="4320"/>
        </w:tabs>
        <w:ind w:left="4320" w:hanging="360"/>
      </w:pPr>
      <w:rPr>
        <w:rFonts w:ascii="Wingdings" w:hAnsi="Wingdings" w:hint="default"/>
      </w:rPr>
    </w:lvl>
    <w:lvl w:ilvl="6" w:tplc="161A4D8C" w:tentative="1">
      <w:start w:val="1"/>
      <w:numFmt w:val="bullet"/>
      <w:lvlText w:val=""/>
      <w:lvlJc w:val="left"/>
      <w:pPr>
        <w:tabs>
          <w:tab w:val="num" w:pos="5040"/>
        </w:tabs>
        <w:ind w:left="5040" w:hanging="360"/>
      </w:pPr>
      <w:rPr>
        <w:rFonts w:ascii="Wingdings" w:hAnsi="Wingdings" w:hint="default"/>
      </w:rPr>
    </w:lvl>
    <w:lvl w:ilvl="7" w:tplc="80B2D0FC" w:tentative="1">
      <w:start w:val="1"/>
      <w:numFmt w:val="bullet"/>
      <w:lvlText w:val=""/>
      <w:lvlJc w:val="left"/>
      <w:pPr>
        <w:tabs>
          <w:tab w:val="num" w:pos="5760"/>
        </w:tabs>
        <w:ind w:left="5760" w:hanging="360"/>
      </w:pPr>
      <w:rPr>
        <w:rFonts w:ascii="Wingdings" w:hAnsi="Wingdings" w:hint="default"/>
      </w:rPr>
    </w:lvl>
    <w:lvl w:ilvl="8" w:tplc="108AFF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8332D"/>
    <w:multiLevelType w:val="hybridMultilevel"/>
    <w:tmpl w:val="FC6418AA"/>
    <w:lvl w:ilvl="0" w:tplc="8014E146">
      <w:start w:val="1"/>
      <w:numFmt w:val="bullet"/>
      <w:lvlText w:val="•"/>
      <w:lvlJc w:val="left"/>
      <w:pPr>
        <w:tabs>
          <w:tab w:val="num" w:pos="720"/>
        </w:tabs>
        <w:ind w:left="720" w:hanging="360"/>
      </w:pPr>
      <w:rPr>
        <w:rFonts w:ascii="Arial" w:hAnsi="Arial" w:hint="default"/>
      </w:rPr>
    </w:lvl>
    <w:lvl w:ilvl="1" w:tplc="D376E59E" w:tentative="1">
      <w:start w:val="1"/>
      <w:numFmt w:val="bullet"/>
      <w:lvlText w:val="•"/>
      <w:lvlJc w:val="left"/>
      <w:pPr>
        <w:tabs>
          <w:tab w:val="num" w:pos="1440"/>
        </w:tabs>
        <w:ind w:left="1440" w:hanging="360"/>
      </w:pPr>
      <w:rPr>
        <w:rFonts w:ascii="Arial" w:hAnsi="Arial" w:hint="default"/>
      </w:rPr>
    </w:lvl>
    <w:lvl w:ilvl="2" w:tplc="7996F592" w:tentative="1">
      <w:start w:val="1"/>
      <w:numFmt w:val="bullet"/>
      <w:lvlText w:val="•"/>
      <w:lvlJc w:val="left"/>
      <w:pPr>
        <w:tabs>
          <w:tab w:val="num" w:pos="2160"/>
        </w:tabs>
        <w:ind w:left="2160" w:hanging="360"/>
      </w:pPr>
      <w:rPr>
        <w:rFonts w:ascii="Arial" w:hAnsi="Arial" w:hint="default"/>
      </w:rPr>
    </w:lvl>
    <w:lvl w:ilvl="3" w:tplc="7AC8EA9A" w:tentative="1">
      <w:start w:val="1"/>
      <w:numFmt w:val="bullet"/>
      <w:lvlText w:val="•"/>
      <w:lvlJc w:val="left"/>
      <w:pPr>
        <w:tabs>
          <w:tab w:val="num" w:pos="2880"/>
        </w:tabs>
        <w:ind w:left="2880" w:hanging="360"/>
      </w:pPr>
      <w:rPr>
        <w:rFonts w:ascii="Arial" w:hAnsi="Arial" w:hint="default"/>
      </w:rPr>
    </w:lvl>
    <w:lvl w:ilvl="4" w:tplc="BA8E504E" w:tentative="1">
      <w:start w:val="1"/>
      <w:numFmt w:val="bullet"/>
      <w:lvlText w:val="•"/>
      <w:lvlJc w:val="left"/>
      <w:pPr>
        <w:tabs>
          <w:tab w:val="num" w:pos="3600"/>
        </w:tabs>
        <w:ind w:left="3600" w:hanging="360"/>
      </w:pPr>
      <w:rPr>
        <w:rFonts w:ascii="Arial" w:hAnsi="Arial" w:hint="default"/>
      </w:rPr>
    </w:lvl>
    <w:lvl w:ilvl="5" w:tplc="495E2108" w:tentative="1">
      <w:start w:val="1"/>
      <w:numFmt w:val="bullet"/>
      <w:lvlText w:val="•"/>
      <w:lvlJc w:val="left"/>
      <w:pPr>
        <w:tabs>
          <w:tab w:val="num" w:pos="4320"/>
        </w:tabs>
        <w:ind w:left="4320" w:hanging="360"/>
      </w:pPr>
      <w:rPr>
        <w:rFonts w:ascii="Arial" w:hAnsi="Arial" w:hint="default"/>
      </w:rPr>
    </w:lvl>
    <w:lvl w:ilvl="6" w:tplc="B2F01236" w:tentative="1">
      <w:start w:val="1"/>
      <w:numFmt w:val="bullet"/>
      <w:lvlText w:val="•"/>
      <w:lvlJc w:val="left"/>
      <w:pPr>
        <w:tabs>
          <w:tab w:val="num" w:pos="5040"/>
        </w:tabs>
        <w:ind w:left="5040" w:hanging="360"/>
      </w:pPr>
      <w:rPr>
        <w:rFonts w:ascii="Arial" w:hAnsi="Arial" w:hint="default"/>
      </w:rPr>
    </w:lvl>
    <w:lvl w:ilvl="7" w:tplc="140EAA1C" w:tentative="1">
      <w:start w:val="1"/>
      <w:numFmt w:val="bullet"/>
      <w:lvlText w:val="•"/>
      <w:lvlJc w:val="left"/>
      <w:pPr>
        <w:tabs>
          <w:tab w:val="num" w:pos="5760"/>
        </w:tabs>
        <w:ind w:left="5760" w:hanging="360"/>
      </w:pPr>
      <w:rPr>
        <w:rFonts w:ascii="Arial" w:hAnsi="Arial" w:hint="default"/>
      </w:rPr>
    </w:lvl>
    <w:lvl w:ilvl="8" w:tplc="92A0A9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6A736F"/>
    <w:multiLevelType w:val="hybridMultilevel"/>
    <w:tmpl w:val="6D749D86"/>
    <w:lvl w:ilvl="0" w:tplc="BB2AA948">
      <w:start w:val="1"/>
      <w:numFmt w:val="decimal"/>
      <w:lvlText w:val="%1."/>
      <w:lvlJc w:val="left"/>
      <w:pPr>
        <w:tabs>
          <w:tab w:val="num" w:pos="720"/>
        </w:tabs>
        <w:ind w:left="720" w:hanging="360"/>
      </w:pPr>
    </w:lvl>
    <w:lvl w:ilvl="1" w:tplc="E0DC12C6" w:tentative="1">
      <w:start w:val="1"/>
      <w:numFmt w:val="decimal"/>
      <w:lvlText w:val="%2."/>
      <w:lvlJc w:val="left"/>
      <w:pPr>
        <w:tabs>
          <w:tab w:val="num" w:pos="1440"/>
        </w:tabs>
        <w:ind w:left="1440" w:hanging="360"/>
      </w:pPr>
    </w:lvl>
    <w:lvl w:ilvl="2" w:tplc="A7D65EA8" w:tentative="1">
      <w:start w:val="1"/>
      <w:numFmt w:val="decimal"/>
      <w:lvlText w:val="%3."/>
      <w:lvlJc w:val="left"/>
      <w:pPr>
        <w:tabs>
          <w:tab w:val="num" w:pos="2160"/>
        </w:tabs>
        <w:ind w:left="2160" w:hanging="360"/>
      </w:pPr>
    </w:lvl>
    <w:lvl w:ilvl="3" w:tplc="AB242C4A" w:tentative="1">
      <w:start w:val="1"/>
      <w:numFmt w:val="decimal"/>
      <w:lvlText w:val="%4."/>
      <w:lvlJc w:val="left"/>
      <w:pPr>
        <w:tabs>
          <w:tab w:val="num" w:pos="2880"/>
        </w:tabs>
        <w:ind w:left="2880" w:hanging="360"/>
      </w:pPr>
    </w:lvl>
    <w:lvl w:ilvl="4" w:tplc="5F18B99A" w:tentative="1">
      <w:start w:val="1"/>
      <w:numFmt w:val="decimal"/>
      <w:lvlText w:val="%5."/>
      <w:lvlJc w:val="left"/>
      <w:pPr>
        <w:tabs>
          <w:tab w:val="num" w:pos="3600"/>
        </w:tabs>
        <w:ind w:left="3600" w:hanging="360"/>
      </w:pPr>
    </w:lvl>
    <w:lvl w:ilvl="5" w:tplc="C8CCF328" w:tentative="1">
      <w:start w:val="1"/>
      <w:numFmt w:val="decimal"/>
      <w:lvlText w:val="%6."/>
      <w:lvlJc w:val="left"/>
      <w:pPr>
        <w:tabs>
          <w:tab w:val="num" w:pos="4320"/>
        </w:tabs>
        <w:ind w:left="4320" w:hanging="360"/>
      </w:pPr>
    </w:lvl>
    <w:lvl w:ilvl="6" w:tplc="DD28FB2A" w:tentative="1">
      <w:start w:val="1"/>
      <w:numFmt w:val="decimal"/>
      <w:lvlText w:val="%7."/>
      <w:lvlJc w:val="left"/>
      <w:pPr>
        <w:tabs>
          <w:tab w:val="num" w:pos="5040"/>
        </w:tabs>
        <w:ind w:left="5040" w:hanging="360"/>
      </w:pPr>
    </w:lvl>
    <w:lvl w:ilvl="7" w:tplc="4528A376" w:tentative="1">
      <w:start w:val="1"/>
      <w:numFmt w:val="decimal"/>
      <w:lvlText w:val="%8."/>
      <w:lvlJc w:val="left"/>
      <w:pPr>
        <w:tabs>
          <w:tab w:val="num" w:pos="5760"/>
        </w:tabs>
        <w:ind w:left="5760" w:hanging="360"/>
      </w:pPr>
    </w:lvl>
    <w:lvl w:ilvl="8" w:tplc="64825422" w:tentative="1">
      <w:start w:val="1"/>
      <w:numFmt w:val="decimal"/>
      <w:lvlText w:val="%9."/>
      <w:lvlJc w:val="left"/>
      <w:pPr>
        <w:tabs>
          <w:tab w:val="num" w:pos="6480"/>
        </w:tabs>
        <w:ind w:left="6480" w:hanging="360"/>
      </w:pPr>
    </w:lvl>
  </w:abstractNum>
  <w:abstractNum w:abstractNumId="11" w15:restartNumberingAfterBreak="0">
    <w:nsid w:val="76E57AEB"/>
    <w:multiLevelType w:val="hybridMultilevel"/>
    <w:tmpl w:val="A0C63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C51E2"/>
    <w:multiLevelType w:val="hybridMultilevel"/>
    <w:tmpl w:val="0BE21A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8731345">
    <w:abstractNumId w:val="7"/>
  </w:num>
  <w:num w:numId="2" w16cid:durableId="443354048">
    <w:abstractNumId w:val="12"/>
  </w:num>
  <w:num w:numId="3" w16cid:durableId="327945492">
    <w:abstractNumId w:val="4"/>
  </w:num>
  <w:num w:numId="4" w16cid:durableId="1254169350">
    <w:abstractNumId w:val="11"/>
  </w:num>
  <w:num w:numId="5" w16cid:durableId="726223235">
    <w:abstractNumId w:val="5"/>
  </w:num>
  <w:num w:numId="6" w16cid:durableId="1418747488">
    <w:abstractNumId w:val="1"/>
  </w:num>
  <w:num w:numId="7" w16cid:durableId="163984290">
    <w:abstractNumId w:val="10"/>
  </w:num>
  <w:num w:numId="8" w16cid:durableId="630133820">
    <w:abstractNumId w:val="2"/>
  </w:num>
  <w:num w:numId="9" w16cid:durableId="1881697641">
    <w:abstractNumId w:val="3"/>
  </w:num>
  <w:num w:numId="10" w16cid:durableId="353918359">
    <w:abstractNumId w:val="9"/>
  </w:num>
  <w:num w:numId="11" w16cid:durableId="1452045151">
    <w:abstractNumId w:val="6"/>
  </w:num>
  <w:num w:numId="12" w16cid:durableId="2135438789">
    <w:abstractNumId w:val="0"/>
  </w:num>
  <w:num w:numId="13" w16cid:durableId="212481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AF"/>
    <w:rsid w:val="00001BED"/>
    <w:rsid w:val="00002EE8"/>
    <w:rsid w:val="0000317D"/>
    <w:rsid w:val="00003FB9"/>
    <w:rsid w:val="000072F8"/>
    <w:rsid w:val="00010054"/>
    <w:rsid w:val="00012873"/>
    <w:rsid w:val="000146B2"/>
    <w:rsid w:val="0002079B"/>
    <w:rsid w:val="00022971"/>
    <w:rsid w:val="00023F79"/>
    <w:rsid w:val="000249C4"/>
    <w:rsid w:val="00031B7E"/>
    <w:rsid w:val="000348A7"/>
    <w:rsid w:val="00034FFA"/>
    <w:rsid w:val="0003656D"/>
    <w:rsid w:val="0003680C"/>
    <w:rsid w:val="00041F89"/>
    <w:rsid w:val="000436D6"/>
    <w:rsid w:val="00044BA1"/>
    <w:rsid w:val="00050234"/>
    <w:rsid w:val="00054EC5"/>
    <w:rsid w:val="00055558"/>
    <w:rsid w:val="00056096"/>
    <w:rsid w:val="000600D2"/>
    <w:rsid w:val="000601BA"/>
    <w:rsid w:val="00064BE5"/>
    <w:rsid w:val="00066E39"/>
    <w:rsid w:val="000674CA"/>
    <w:rsid w:val="00070DAB"/>
    <w:rsid w:val="00073413"/>
    <w:rsid w:val="000831BA"/>
    <w:rsid w:val="00084FA8"/>
    <w:rsid w:val="00087BA1"/>
    <w:rsid w:val="000903BA"/>
    <w:rsid w:val="00092165"/>
    <w:rsid w:val="000927CD"/>
    <w:rsid w:val="00092835"/>
    <w:rsid w:val="000934F8"/>
    <w:rsid w:val="00093D07"/>
    <w:rsid w:val="000955CB"/>
    <w:rsid w:val="000A2E37"/>
    <w:rsid w:val="000A3CA4"/>
    <w:rsid w:val="000B388D"/>
    <w:rsid w:val="000C2CAA"/>
    <w:rsid w:val="000C42C3"/>
    <w:rsid w:val="000D2395"/>
    <w:rsid w:val="000D2555"/>
    <w:rsid w:val="000D30B9"/>
    <w:rsid w:val="000D5B42"/>
    <w:rsid w:val="000D6AE4"/>
    <w:rsid w:val="000D6FB8"/>
    <w:rsid w:val="000D7D01"/>
    <w:rsid w:val="000E111F"/>
    <w:rsid w:val="000E1F82"/>
    <w:rsid w:val="000E49C4"/>
    <w:rsid w:val="000E5E6F"/>
    <w:rsid w:val="000F1D71"/>
    <w:rsid w:val="000F6B72"/>
    <w:rsid w:val="0010035B"/>
    <w:rsid w:val="0010340F"/>
    <w:rsid w:val="00106AB4"/>
    <w:rsid w:val="00110420"/>
    <w:rsid w:val="00112284"/>
    <w:rsid w:val="001138B3"/>
    <w:rsid w:val="0011539E"/>
    <w:rsid w:val="00115C4D"/>
    <w:rsid w:val="0011687E"/>
    <w:rsid w:val="0011720B"/>
    <w:rsid w:val="00121DC3"/>
    <w:rsid w:val="001258BD"/>
    <w:rsid w:val="00137698"/>
    <w:rsid w:val="00141E54"/>
    <w:rsid w:val="00143F97"/>
    <w:rsid w:val="001467C3"/>
    <w:rsid w:val="00146C02"/>
    <w:rsid w:val="00156157"/>
    <w:rsid w:val="0015686E"/>
    <w:rsid w:val="00163370"/>
    <w:rsid w:val="00165E4E"/>
    <w:rsid w:val="00172AEF"/>
    <w:rsid w:val="00175CA5"/>
    <w:rsid w:val="00180852"/>
    <w:rsid w:val="00182331"/>
    <w:rsid w:val="0018295E"/>
    <w:rsid w:val="00182F3A"/>
    <w:rsid w:val="00183B72"/>
    <w:rsid w:val="001847D1"/>
    <w:rsid w:val="00195A6B"/>
    <w:rsid w:val="0019724B"/>
    <w:rsid w:val="0019774B"/>
    <w:rsid w:val="001A4A75"/>
    <w:rsid w:val="001A4FB6"/>
    <w:rsid w:val="001B00A6"/>
    <w:rsid w:val="001B14CD"/>
    <w:rsid w:val="001B3959"/>
    <w:rsid w:val="001B485C"/>
    <w:rsid w:val="001B564D"/>
    <w:rsid w:val="001D1543"/>
    <w:rsid w:val="001D2F2C"/>
    <w:rsid w:val="001D7695"/>
    <w:rsid w:val="001E38E4"/>
    <w:rsid w:val="001F028B"/>
    <w:rsid w:val="001F1CEA"/>
    <w:rsid w:val="001F232E"/>
    <w:rsid w:val="001F6E46"/>
    <w:rsid w:val="00204C3E"/>
    <w:rsid w:val="002055D1"/>
    <w:rsid w:val="002076AF"/>
    <w:rsid w:val="00207F58"/>
    <w:rsid w:val="00212937"/>
    <w:rsid w:val="002221A6"/>
    <w:rsid w:val="00226DC7"/>
    <w:rsid w:val="00234DAF"/>
    <w:rsid w:val="00237EA2"/>
    <w:rsid w:val="00245AE3"/>
    <w:rsid w:val="00246C61"/>
    <w:rsid w:val="00247AFD"/>
    <w:rsid w:val="00251EB0"/>
    <w:rsid w:val="00252BE1"/>
    <w:rsid w:val="00252CC8"/>
    <w:rsid w:val="00253179"/>
    <w:rsid w:val="00253D09"/>
    <w:rsid w:val="00270850"/>
    <w:rsid w:val="0027107D"/>
    <w:rsid w:val="002727E0"/>
    <w:rsid w:val="00272FAE"/>
    <w:rsid w:val="00276E0B"/>
    <w:rsid w:val="002772E3"/>
    <w:rsid w:val="002827C4"/>
    <w:rsid w:val="00282AE7"/>
    <w:rsid w:val="00284015"/>
    <w:rsid w:val="00285204"/>
    <w:rsid w:val="00291C74"/>
    <w:rsid w:val="0029291E"/>
    <w:rsid w:val="00293374"/>
    <w:rsid w:val="00297365"/>
    <w:rsid w:val="002A7A50"/>
    <w:rsid w:val="002B02F6"/>
    <w:rsid w:val="002B18DA"/>
    <w:rsid w:val="002B47E8"/>
    <w:rsid w:val="002D1B4A"/>
    <w:rsid w:val="002D1DB4"/>
    <w:rsid w:val="002D4213"/>
    <w:rsid w:val="002D5622"/>
    <w:rsid w:val="002E5C82"/>
    <w:rsid w:val="002F4BBA"/>
    <w:rsid w:val="00300EAF"/>
    <w:rsid w:val="00301F9B"/>
    <w:rsid w:val="00302C51"/>
    <w:rsid w:val="00315B1C"/>
    <w:rsid w:val="00320310"/>
    <w:rsid w:val="0032395D"/>
    <w:rsid w:val="003272BA"/>
    <w:rsid w:val="0032785B"/>
    <w:rsid w:val="00330C50"/>
    <w:rsid w:val="00331BB1"/>
    <w:rsid w:val="00333835"/>
    <w:rsid w:val="003338B4"/>
    <w:rsid w:val="003401B1"/>
    <w:rsid w:val="00341FE5"/>
    <w:rsid w:val="00350E20"/>
    <w:rsid w:val="00356C05"/>
    <w:rsid w:val="00360584"/>
    <w:rsid w:val="00360C6D"/>
    <w:rsid w:val="00363443"/>
    <w:rsid w:val="0036421C"/>
    <w:rsid w:val="003647F7"/>
    <w:rsid w:val="00370DF7"/>
    <w:rsid w:val="00372882"/>
    <w:rsid w:val="0037393A"/>
    <w:rsid w:val="003756F7"/>
    <w:rsid w:val="0038355F"/>
    <w:rsid w:val="003836B7"/>
    <w:rsid w:val="003872BA"/>
    <w:rsid w:val="00390829"/>
    <w:rsid w:val="003910E2"/>
    <w:rsid w:val="00391956"/>
    <w:rsid w:val="00391C1D"/>
    <w:rsid w:val="003A06B0"/>
    <w:rsid w:val="003A1C0A"/>
    <w:rsid w:val="003A2B15"/>
    <w:rsid w:val="003A6B6F"/>
    <w:rsid w:val="003A7016"/>
    <w:rsid w:val="003A7281"/>
    <w:rsid w:val="003B3D91"/>
    <w:rsid w:val="003B4226"/>
    <w:rsid w:val="003B6AAA"/>
    <w:rsid w:val="003C041D"/>
    <w:rsid w:val="003C5F98"/>
    <w:rsid w:val="003D09D8"/>
    <w:rsid w:val="003D1B94"/>
    <w:rsid w:val="003D2579"/>
    <w:rsid w:val="003D2A34"/>
    <w:rsid w:val="003D5BD3"/>
    <w:rsid w:val="003E0170"/>
    <w:rsid w:val="003E303A"/>
    <w:rsid w:val="003E3AAF"/>
    <w:rsid w:val="003E5A7B"/>
    <w:rsid w:val="003E7B76"/>
    <w:rsid w:val="004020CB"/>
    <w:rsid w:val="004027C3"/>
    <w:rsid w:val="00403EE3"/>
    <w:rsid w:val="0040572D"/>
    <w:rsid w:val="00410AD0"/>
    <w:rsid w:val="004126DE"/>
    <w:rsid w:val="004138B9"/>
    <w:rsid w:val="00413929"/>
    <w:rsid w:val="004145B6"/>
    <w:rsid w:val="004201AD"/>
    <w:rsid w:val="00420A47"/>
    <w:rsid w:val="00423F9E"/>
    <w:rsid w:val="00425981"/>
    <w:rsid w:val="0043147A"/>
    <w:rsid w:val="004318D9"/>
    <w:rsid w:val="00431A1C"/>
    <w:rsid w:val="004331B7"/>
    <w:rsid w:val="0044339A"/>
    <w:rsid w:val="00446298"/>
    <w:rsid w:val="00454B01"/>
    <w:rsid w:val="00456079"/>
    <w:rsid w:val="00457947"/>
    <w:rsid w:val="00461FAF"/>
    <w:rsid w:val="00476EC4"/>
    <w:rsid w:val="004A11FB"/>
    <w:rsid w:val="004A6EB2"/>
    <w:rsid w:val="004B7835"/>
    <w:rsid w:val="004C0433"/>
    <w:rsid w:val="004C2591"/>
    <w:rsid w:val="004C38AB"/>
    <w:rsid w:val="004C3A84"/>
    <w:rsid w:val="004C3E2D"/>
    <w:rsid w:val="004C607E"/>
    <w:rsid w:val="004D2EE2"/>
    <w:rsid w:val="004D7BCC"/>
    <w:rsid w:val="004E1948"/>
    <w:rsid w:val="004E42AC"/>
    <w:rsid w:val="004F3CA7"/>
    <w:rsid w:val="004F69BA"/>
    <w:rsid w:val="00502037"/>
    <w:rsid w:val="0050327E"/>
    <w:rsid w:val="00505F14"/>
    <w:rsid w:val="00506644"/>
    <w:rsid w:val="00513F9C"/>
    <w:rsid w:val="005159D4"/>
    <w:rsid w:val="005274E3"/>
    <w:rsid w:val="0053332C"/>
    <w:rsid w:val="00540FD7"/>
    <w:rsid w:val="00542196"/>
    <w:rsid w:val="00543763"/>
    <w:rsid w:val="00545C35"/>
    <w:rsid w:val="00553359"/>
    <w:rsid w:val="0055726E"/>
    <w:rsid w:val="00557AA5"/>
    <w:rsid w:val="00557BE3"/>
    <w:rsid w:val="005623B4"/>
    <w:rsid w:val="00564403"/>
    <w:rsid w:val="00564E8D"/>
    <w:rsid w:val="005655C2"/>
    <w:rsid w:val="00570607"/>
    <w:rsid w:val="00583640"/>
    <w:rsid w:val="005848CD"/>
    <w:rsid w:val="0059204A"/>
    <w:rsid w:val="005931AE"/>
    <w:rsid w:val="005972F4"/>
    <w:rsid w:val="005A0653"/>
    <w:rsid w:val="005A6F11"/>
    <w:rsid w:val="005B1D88"/>
    <w:rsid w:val="005B517D"/>
    <w:rsid w:val="005B5AF4"/>
    <w:rsid w:val="005B78D3"/>
    <w:rsid w:val="005B7D2C"/>
    <w:rsid w:val="005C53EE"/>
    <w:rsid w:val="005C7170"/>
    <w:rsid w:val="005D0502"/>
    <w:rsid w:val="005D1B2D"/>
    <w:rsid w:val="005D30C7"/>
    <w:rsid w:val="005D4A9C"/>
    <w:rsid w:val="005D5BCD"/>
    <w:rsid w:val="005E0347"/>
    <w:rsid w:val="005E167E"/>
    <w:rsid w:val="005E2B72"/>
    <w:rsid w:val="005E4D68"/>
    <w:rsid w:val="005F27D4"/>
    <w:rsid w:val="005F3AF6"/>
    <w:rsid w:val="005F68AB"/>
    <w:rsid w:val="005F6ADB"/>
    <w:rsid w:val="005F77BA"/>
    <w:rsid w:val="0060539D"/>
    <w:rsid w:val="00605864"/>
    <w:rsid w:val="00607334"/>
    <w:rsid w:val="0061163F"/>
    <w:rsid w:val="00611707"/>
    <w:rsid w:val="00616822"/>
    <w:rsid w:val="00627E3F"/>
    <w:rsid w:val="00637884"/>
    <w:rsid w:val="0064238A"/>
    <w:rsid w:val="00643BD2"/>
    <w:rsid w:val="00645E51"/>
    <w:rsid w:val="00646AFE"/>
    <w:rsid w:val="00647EAE"/>
    <w:rsid w:val="00651B56"/>
    <w:rsid w:val="00660D71"/>
    <w:rsid w:val="00662410"/>
    <w:rsid w:val="00662AB9"/>
    <w:rsid w:val="00671265"/>
    <w:rsid w:val="006713F7"/>
    <w:rsid w:val="00673CF8"/>
    <w:rsid w:val="00674A2A"/>
    <w:rsid w:val="006763EB"/>
    <w:rsid w:val="00680452"/>
    <w:rsid w:val="0068254E"/>
    <w:rsid w:val="00682882"/>
    <w:rsid w:val="006879B5"/>
    <w:rsid w:val="00694C0C"/>
    <w:rsid w:val="006A1F90"/>
    <w:rsid w:val="006A416E"/>
    <w:rsid w:val="006A64E8"/>
    <w:rsid w:val="006A6AC7"/>
    <w:rsid w:val="006A6CCA"/>
    <w:rsid w:val="006B20DD"/>
    <w:rsid w:val="006B3990"/>
    <w:rsid w:val="006B7300"/>
    <w:rsid w:val="006C4DC0"/>
    <w:rsid w:val="006C4F49"/>
    <w:rsid w:val="006C5711"/>
    <w:rsid w:val="006D006D"/>
    <w:rsid w:val="006D19DF"/>
    <w:rsid w:val="006D2155"/>
    <w:rsid w:val="006D52D0"/>
    <w:rsid w:val="006D62EB"/>
    <w:rsid w:val="006E0255"/>
    <w:rsid w:val="006E2B35"/>
    <w:rsid w:val="006E4758"/>
    <w:rsid w:val="006E5ED7"/>
    <w:rsid w:val="006E6E83"/>
    <w:rsid w:val="006F1ABE"/>
    <w:rsid w:val="006F1AC3"/>
    <w:rsid w:val="006F4567"/>
    <w:rsid w:val="006F6AB4"/>
    <w:rsid w:val="006F6B92"/>
    <w:rsid w:val="007018F7"/>
    <w:rsid w:val="00702CAC"/>
    <w:rsid w:val="0070714C"/>
    <w:rsid w:val="00712581"/>
    <w:rsid w:val="00713698"/>
    <w:rsid w:val="00737602"/>
    <w:rsid w:val="00745555"/>
    <w:rsid w:val="0075087A"/>
    <w:rsid w:val="00751683"/>
    <w:rsid w:val="007526E2"/>
    <w:rsid w:val="00753BD9"/>
    <w:rsid w:val="00757F50"/>
    <w:rsid w:val="00760560"/>
    <w:rsid w:val="007609F8"/>
    <w:rsid w:val="00765F96"/>
    <w:rsid w:val="00765F99"/>
    <w:rsid w:val="00771ED5"/>
    <w:rsid w:val="007723F4"/>
    <w:rsid w:val="00773D9B"/>
    <w:rsid w:val="00775427"/>
    <w:rsid w:val="00775834"/>
    <w:rsid w:val="0077622F"/>
    <w:rsid w:val="00776742"/>
    <w:rsid w:val="00782115"/>
    <w:rsid w:val="00786097"/>
    <w:rsid w:val="00791851"/>
    <w:rsid w:val="00793976"/>
    <w:rsid w:val="00795733"/>
    <w:rsid w:val="00795968"/>
    <w:rsid w:val="00796098"/>
    <w:rsid w:val="0079628F"/>
    <w:rsid w:val="007A75A0"/>
    <w:rsid w:val="007B1122"/>
    <w:rsid w:val="007B4CF5"/>
    <w:rsid w:val="007B5892"/>
    <w:rsid w:val="007B6F7D"/>
    <w:rsid w:val="007C32A5"/>
    <w:rsid w:val="007C778C"/>
    <w:rsid w:val="007D43DB"/>
    <w:rsid w:val="007D45AB"/>
    <w:rsid w:val="007E0B77"/>
    <w:rsid w:val="007E2905"/>
    <w:rsid w:val="007E309F"/>
    <w:rsid w:val="007E3478"/>
    <w:rsid w:val="007E5471"/>
    <w:rsid w:val="007E6DD1"/>
    <w:rsid w:val="007E73F5"/>
    <w:rsid w:val="007F099C"/>
    <w:rsid w:val="007F112C"/>
    <w:rsid w:val="007F1368"/>
    <w:rsid w:val="007F4041"/>
    <w:rsid w:val="007F7546"/>
    <w:rsid w:val="00801921"/>
    <w:rsid w:val="008037EC"/>
    <w:rsid w:val="00806C03"/>
    <w:rsid w:val="00821DEC"/>
    <w:rsid w:val="0082311F"/>
    <w:rsid w:val="00823314"/>
    <w:rsid w:val="00824879"/>
    <w:rsid w:val="0082779E"/>
    <w:rsid w:val="00827FDD"/>
    <w:rsid w:val="00831A3E"/>
    <w:rsid w:val="00833358"/>
    <w:rsid w:val="00833ECB"/>
    <w:rsid w:val="008365D5"/>
    <w:rsid w:val="00837910"/>
    <w:rsid w:val="00841E8D"/>
    <w:rsid w:val="0085396A"/>
    <w:rsid w:val="008554AD"/>
    <w:rsid w:val="00855671"/>
    <w:rsid w:val="008556BA"/>
    <w:rsid w:val="008560A4"/>
    <w:rsid w:val="0085610F"/>
    <w:rsid w:val="008572D4"/>
    <w:rsid w:val="0086126E"/>
    <w:rsid w:val="00864782"/>
    <w:rsid w:val="00864A8F"/>
    <w:rsid w:val="00873DAE"/>
    <w:rsid w:val="00880BFF"/>
    <w:rsid w:val="00891683"/>
    <w:rsid w:val="00894EEF"/>
    <w:rsid w:val="008A1C2C"/>
    <w:rsid w:val="008A30CC"/>
    <w:rsid w:val="008A5B17"/>
    <w:rsid w:val="008B0CB6"/>
    <w:rsid w:val="008B216F"/>
    <w:rsid w:val="008B271D"/>
    <w:rsid w:val="008B5906"/>
    <w:rsid w:val="008C0601"/>
    <w:rsid w:val="008C0C44"/>
    <w:rsid w:val="008C2FD5"/>
    <w:rsid w:val="008C48FA"/>
    <w:rsid w:val="008C4EE0"/>
    <w:rsid w:val="008D68C1"/>
    <w:rsid w:val="008E4735"/>
    <w:rsid w:val="008E493A"/>
    <w:rsid w:val="008E6934"/>
    <w:rsid w:val="008F47A9"/>
    <w:rsid w:val="008F7062"/>
    <w:rsid w:val="00901535"/>
    <w:rsid w:val="00903B71"/>
    <w:rsid w:val="00903BCF"/>
    <w:rsid w:val="00903CE3"/>
    <w:rsid w:val="009069AD"/>
    <w:rsid w:val="009070C1"/>
    <w:rsid w:val="00907421"/>
    <w:rsid w:val="00913B57"/>
    <w:rsid w:val="0091795B"/>
    <w:rsid w:val="0092335B"/>
    <w:rsid w:val="00926DB3"/>
    <w:rsid w:val="00935C50"/>
    <w:rsid w:val="00935CFC"/>
    <w:rsid w:val="0093710C"/>
    <w:rsid w:val="00940A6A"/>
    <w:rsid w:val="009410EF"/>
    <w:rsid w:val="00945DD6"/>
    <w:rsid w:val="009516FF"/>
    <w:rsid w:val="0096252A"/>
    <w:rsid w:val="00964112"/>
    <w:rsid w:val="009647CA"/>
    <w:rsid w:val="00966816"/>
    <w:rsid w:val="0097499F"/>
    <w:rsid w:val="009759BC"/>
    <w:rsid w:val="00977860"/>
    <w:rsid w:val="00980A1F"/>
    <w:rsid w:val="009817F1"/>
    <w:rsid w:val="009869FD"/>
    <w:rsid w:val="00986C71"/>
    <w:rsid w:val="00987A06"/>
    <w:rsid w:val="009915BC"/>
    <w:rsid w:val="00995029"/>
    <w:rsid w:val="009951FA"/>
    <w:rsid w:val="0099614B"/>
    <w:rsid w:val="00996471"/>
    <w:rsid w:val="0099683B"/>
    <w:rsid w:val="00996AA9"/>
    <w:rsid w:val="009A29E1"/>
    <w:rsid w:val="009A3ADA"/>
    <w:rsid w:val="009A4FCD"/>
    <w:rsid w:val="009A7EAF"/>
    <w:rsid w:val="009B0176"/>
    <w:rsid w:val="009B079C"/>
    <w:rsid w:val="009B1EFC"/>
    <w:rsid w:val="009B2821"/>
    <w:rsid w:val="009B353D"/>
    <w:rsid w:val="009B6596"/>
    <w:rsid w:val="009B6644"/>
    <w:rsid w:val="009C3312"/>
    <w:rsid w:val="009C651C"/>
    <w:rsid w:val="009C6DB5"/>
    <w:rsid w:val="009C7F76"/>
    <w:rsid w:val="009D2A46"/>
    <w:rsid w:val="009D4FC1"/>
    <w:rsid w:val="009E0871"/>
    <w:rsid w:val="009E0DE0"/>
    <w:rsid w:val="009E1D6E"/>
    <w:rsid w:val="009E20F9"/>
    <w:rsid w:val="009E4156"/>
    <w:rsid w:val="009F40C7"/>
    <w:rsid w:val="009F6F79"/>
    <w:rsid w:val="009F7026"/>
    <w:rsid w:val="00A015C7"/>
    <w:rsid w:val="00A0179D"/>
    <w:rsid w:val="00A021C5"/>
    <w:rsid w:val="00A04883"/>
    <w:rsid w:val="00A05F48"/>
    <w:rsid w:val="00A12B7B"/>
    <w:rsid w:val="00A1493A"/>
    <w:rsid w:val="00A20444"/>
    <w:rsid w:val="00A214BA"/>
    <w:rsid w:val="00A22925"/>
    <w:rsid w:val="00A2337A"/>
    <w:rsid w:val="00A24BAA"/>
    <w:rsid w:val="00A25924"/>
    <w:rsid w:val="00A30977"/>
    <w:rsid w:val="00A30D90"/>
    <w:rsid w:val="00A30E9B"/>
    <w:rsid w:val="00A3551A"/>
    <w:rsid w:val="00A35B17"/>
    <w:rsid w:val="00A362F2"/>
    <w:rsid w:val="00A45B34"/>
    <w:rsid w:val="00A47E17"/>
    <w:rsid w:val="00A522D9"/>
    <w:rsid w:val="00A52D6C"/>
    <w:rsid w:val="00A563EA"/>
    <w:rsid w:val="00A613A6"/>
    <w:rsid w:val="00A6194F"/>
    <w:rsid w:val="00A61A10"/>
    <w:rsid w:val="00A61C90"/>
    <w:rsid w:val="00A63CE9"/>
    <w:rsid w:val="00A6520F"/>
    <w:rsid w:val="00A65F87"/>
    <w:rsid w:val="00A66D9C"/>
    <w:rsid w:val="00A72C45"/>
    <w:rsid w:val="00A74F63"/>
    <w:rsid w:val="00A77203"/>
    <w:rsid w:val="00A836A2"/>
    <w:rsid w:val="00A84125"/>
    <w:rsid w:val="00A9622E"/>
    <w:rsid w:val="00A96AA6"/>
    <w:rsid w:val="00AA24BA"/>
    <w:rsid w:val="00AA2CAC"/>
    <w:rsid w:val="00AA4EF1"/>
    <w:rsid w:val="00AA6E27"/>
    <w:rsid w:val="00AB07B5"/>
    <w:rsid w:val="00AB267D"/>
    <w:rsid w:val="00AB2840"/>
    <w:rsid w:val="00AB53BC"/>
    <w:rsid w:val="00AC5E78"/>
    <w:rsid w:val="00AD10C2"/>
    <w:rsid w:val="00AD5E45"/>
    <w:rsid w:val="00AD69AC"/>
    <w:rsid w:val="00AD78D9"/>
    <w:rsid w:val="00AE01FB"/>
    <w:rsid w:val="00AE163E"/>
    <w:rsid w:val="00AE3696"/>
    <w:rsid w:val="00AE553D"/>
    <w:rsid w:val="00AF04E5"/>
    <w:rsid w:val="00AF6EAA"/>
    <w:rsid w:val="00AF784A"/>
    <w:rsid w:val="00B014F6"/>
    <w:rsid w:val="00B021AF"/>
    <w:rsid w:val="00B10DF1"/>
    <w:rsid w:val="00B26553"/>
    <w:rsid w:val="00B27E0C"/>
    <w:rsid w:val="00B27FD2"/>
    <w:rsid w:val="00B31C3A"/>
    <w:rsid w:val="00B32A9F"/>
    <w:rsid w:val="00B34E38"/>
    <w:rsid w:val="00B35B8E"/>
    <w:rsid w:val="00B3654D"/>
    <w:rsid w:val="00B4067B"/>
    <w:rsid w:val="00B40FDE"/>
    <w:rsid w:val="00B4119D"/>
    <w:rsid w:val="00B41A95"/>
    <w:rsid w:val="00B43007"/>
    <w:rsid w:val="00B459F5"/>
    <w:rsid w:val="00B45C83"/>
    <w:rsid w:val="00B54134"/>
    <w:rsid w:val="00B54690"/>
    <w:rsid w:val="00B55CF2"/>
    <w:rsid w:val="00B61EDD"/>
    <w:rsid w:val="00B64A71"/>
    <w:rsid w:val="00B67DFF"/>
    <w:rsid w:val="00B71B15"/>
    <w:rsid w:val="00B76981"/>
    <w:rsid w:val="00B76F98"/>
    <w:rsid w:val="00B830C5"/>
    <w:rsid w:val="00B85094"/>
    <w:rsid w:val="00B85F4C"/>
    <w:rsid w:val="00B90C36"/>
    <w:rsid w:val="00B92595"/>
    <w:rsid w:val="00B92718"/>
    <w:rsid w:val="00B9397E"/>
    <w:rsid w:val="00B94695"/>
    <w:rsid w:val="00B96823"/>
    <w:rsid w:val="00BA130B"/>
    <w:rsid w:val="00BA179F"/>
    <w:rsid w:val="00BA1E8B"/>
    <w:rsid w:val="00BA3285"/>
    <w:rsid w:val="00BA3593"/>
    <w:rsid w:val="00BA4FE6"/>
    <w:rsid w:val="00BA595A"/>
    <w:rsid w:val="00BB2070"/>
    <w:rsid w:val="00BB570A"/>
    <w:rsid w:val="00BB5D37"/>
    <w:rsid w:val="00BB5E5F"/>
    <w:rsid w:val="00BC150E"/>
    <w:rsid w:val="00BD1D81"/>
    <w:rsid w:val="00BD37A7"/>
    <w:rsid w:val="00BD68D5"/>
    <w:rsid w:val="00BE4F32"/>
    <w:rsid w:val="00BE5B28"/>
    <w:rsid w:val="00BE7795"/>
    <w:rsid w:val="00BF13C1"/>
    <w:rsid w:val="00BF1E87"/>
    <w:rsid w:val="00BF446A"/>
    <w:rsid w:val="00BF6F62"/>
    <w:rsid w:val="00C00148"/>
    <w:rsid w:val="00C028E3"/>
    <w:rsid w:val="00C16FDF"/>
    <w:rsid w:val="00C230D8"/>
    <w:rsid w:val="00C232A0"/>
    <w:rsid w:val="00C23FAD"/>
    <w:rsid w:val="00C261FA"/>
    <w:rsid w:val="00C330F6"/>
    <w:rsid w:val="00C410CD"/>
    <w:rsid w:val="00C43323"/>
    <w:rsid w:val="00C44219"/>
    <w:rsid w:val="00C6154D"/>
    <w:rsid w:val="00C638CF"/>
    <w:rsid w:val="00C738D5"/>
    <w:rsid w:val="00C772C8"/>
    <w:rsid w:val="00C83891"/>
    <w:rsid w:val="00C8402F"/>
    <w:rsid w:val="00C950D2"/>
    <w:rsid w:val="00C96ACB"/>
    <w:rsid w:val="00C96FB7"/>
    <w:rsid w:val="00C97F40"/>
    <w:rsid w:val="00CA0534"/>
    <w:rsid w:val="00CA2CD3"/>
    <w:rsid w:val="00CA6A1A"/>
    <w:rsid w:val="00CB33D2"/>
    <w:rsid w:val="00CB3A32"/>
    <w:rsid w:val="00CB5DF9"/>
    <w:rsid w:val="00CC148F"/>
    <w:rsid w:val="00CC5E7D"/>
    <w:rsid w:val="00CC7050"/>
    <w:rsid w:val="00CD2DAD"/>
    <w:rsid w:val="00CD518B"/>
    <w:rsid w:val="00CD6F77"/>
    <w:rsid w:val="00CE02E5"/>
    <w:rsid w:val="00CE03A9"/>
    <w:rsid w:val="00CE2234"/>
    <w:rsid w:val="00CE5C8C"/>
    <w:rsid w:val="00CE79D3"/>
    <w:rsid w:val="00CF0DC3"/>
    <w:rsid w:val="00CF6EBB"/>
    <w:rsid w:val="00D00AA8"/>
    <w:rsid w:val="00D00B11"/>
    <w:rsid w:val="00D02143"/>
    <w:rsid w:val="00D04F82"/>
    <w:rsid w:val="00D0617E"/>
    <w:rsid w:val="00D11987"/>
    <w:rsid w:val="00D14FFD"/>
    <w:rsid w:val="00D15CA6"/>
    <w:rsid w:val="00D213F7"/>
    <w:rsid w:val="00D214B0"/>
    <w:rsid w:val="00D21778"/>
    <w:rsid w:val="00D23C9C"/>
    <w:rsid w:val="00D25DD0"/>
    <w:rsid w:val="00D26291"/>
    <w:rsid w:val="00D31B07"/>
    <w:rsid w:val="00D353B3"/>
    <w:rsid w:val="00D502D1"/>
    <w:rsid w:val="00D5052C"/>
    <w:rsid w:val="00D51510"/>
    <w:rsid w:val="00D561C6"/>
    <w:rsid w:val="00D56B19"/>
    <w:rsid w:val="00D612F2"/>
    <w:rsid w:val="00D64271"/>
    <w:rsid w:val="00D651E1"/>
    <w:rsid w:val="00D71CCE"/>
    <w:rsid w:val="00D76452"/>
    <w:rsid w:val="00D76E53"/>
    <w:rsid w:val="00D76E60"/>
    <w:rsid w:val="00D771DD"/>
    <w:rsid w:val="00D77703"/>
    <w:rsid w:val="00D848D7"/>
    <w:rsid w:val="00D90BE5"/>
    <w:rsid w:val="00D93C2C"/>
    <w:rsid w:val="00D97238"/>
    <w:rsid w:val="00D97401"/>
    <w:rsid w:val="00D976D9"/>
    <w:rsid w:val="00DA17FB"/>
    <w:rsid w:val="00DA2BAE"/>
    <w:rsid w:val="00DA5BBB"/>
    <w:rsid w:val="00DA602D"/>
    <w:rsid w:val="00DA6BC4"/>
    <w:rsid w:val="00DB183F"/>
    <w:rsid w:val="00DC2414"/>
    <w:rsid w:val="00DC2965"/>
    <w:rsid w:val="00DE00B5"/>
    <w:rsid w:val="00DE67BA"/>
    <w:rsid w:val="00DF1D68"/>
    <w:rsid w:val="00DF3325"/>
    <w:rsid w:val="00DF6244"/>
    <w:rsid w:val="00E00CD7"/>
    <w:rsid w:val="00E024BC"/>
    <w:rsid w:val="00E057C9"/>
    <w:rsid w:val="00E05BED"/>
    <w:rsid w:val="00E1067A"/>
    <w:rsid w:val="00E11590"/>
    <w:rsid w:val="00E15427"/>
    <w:rsid w:val="00E15CDF"/>
    <w:rsid w:val="00E17742"/>
    <w:rsid w:val="00E17D63"/>
    <w:rsid w:val="00E229DB"/>
    <w:rsid w:val="00E23E9C"/>
    <w:rsid w:val="00E24289"/>
    <w:rsid w:val="00E27B68"/>
    <w:rsid w:val="00E30E84"/>
    <w:rsid w:val="00E32F1B"/>
    <w:rsid w:val="00E460C0"/>
    <w:rsid w:val="00E502D6"/>
    <w:rsid w:val="00E509DD"/>
    <w:rsid w:val="00E530B4"/>
    <w:rsid w:val="00E618A8"/>
    <w:rsid w:val="00E65188"/>
    <w:rsid w:val="00E74377"/>
    <w:rsid w:val="00E74B31"/>
    <w:rsid w:val="00E76830"/>
    <w:rsid w:val="00E8084A"/>
    <w:rsid w:val="00E84DD6"/>
    <w:rsid w:val="00E9203E"/>
    <w:rsid w:val="00E95609"/>
    <w:rsid w:val="00EA00F9"/>
    <w:rsid w:val="00EA4443"/>
    <w:rsid w:val="00EA4C2A"/>
    <w:rsid w:val="00EA5547"/>
    <w:rsid w:val="00EA61C7"/>
    <w:rsid w:val="00EA7FB9"/>
    <w:rsid w:val="00EB24DF"/>
    <w:rsid w:val="00EB4F6E"/>
    <w:rsid w:val="00EB6472"/>
    <w:rsid w:val="00EC16E7"/>
    <w:rsid w:val="00EC4D23"/>
    <w:rsid w:val="00EC5E81"/>
    <w:rsid w:val="00ED4824"/>
    <w:rsid w:val="00ED4F9C"/>
    <w:rsid w:val="00EE02C2"/>
    <w:rsid w:val="00EE5036"/>
    <w:rsid w:val="00EE5E40"/>
    <w:rsid w:val="00EF02C4"/>
    <w:rsid w:val="00EF1F19"/>
    <w:rsid w:val="00EF6046"/>
    <w:rsid w:val="00EF7174"/>
    <w:rsid w:val="00F03B2B"/>
    <w:rsid w:val="00F104A8"/>
    <w:rsid w:val="00F10AF1"/>
    <w:rsid w:val="00F113D8"/>
    <w:rsid w:val="00F20B61"/>
    <w:rsid w:val="00F211C5"/>
    <w:rsid w:val="00F23E56"/>
    <w:rsid w:val="00F30E77"/>
    <w:rsid w:val="00F314B2"/>
    <w:rsid w:val="00F33A3B"/>
    <w:rsid w:val="00F367CD"/>
    <w:rsid w:val="00F379F1"/>
    <w:rsid w:val="00F400D9"/>
    <w:rsid w:val="00F4116A"/>
    <w:rsid w:val="00F42DB7"/>
    <w:rsid w:val="00F515F1"/>
    <w:rsid w:val="00F5283B"/>
    <w:rsid w:val="00F55217"/>
    <w:rsid w:val="00F63FF4"/>
    <w:rsid w:val="00F65C5E"/>
    <w:rsid w:val="00F71D6D"/>
    <w:rsid w:val="00F72E17"/>
    <w:rsid w:val="00F73598"/>
    <w:rsid w:val="00F759A3"/>
    <w:rsid w:val="00F8288E"/>
    <w:rsid w:val="00F832D7"/>
    <w:rsid w:val="00F90CC9"/>
    <w:rsid w:val="00F91950"/>
    <w:rsid w:val="00F92B21"/>
    <w:rsid w:val="00F94CB6"/>
    <w:rsid w:val="00F95432"/>
    <w:rsid w:val="00FA1078"/>
    <w:rsid w:val="00FA3CB5"/>
    <w:rsid w:val="00FA4D00"/>
    <w:rsid w:val="00FA6770"/>
    <w:rsid w:val="00FB1419"/>
    <w:rsid w:val="00FB3D99"/>
    <w:rsid w:val="00FB4B19"/>
    <w:rsid w:val="00FB4F90"/>
    <w:rsid w:val="00FB6095"/>
    <w:rsid w:val="00FC5D22"/>
    <w:rsid w:val="00FC7715"/>
    <w:rsid w:val="00FD1BFE"/>
    <w:rsid w:val="00FD3D7D"/>
    <w:rsid w:val="00FD71C1"/>
    <w:rsid w:val="00FE5A3C"/>
    <w:rsid w:val="00FF102F"/>
    <w:rsid w:val="00FF275E"/>
    <w:rsid w:val="00FF28C7"/>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2D0E"/>
  <w15:chartTrackingRefBased/>
  <w15:docId w15:val="{F470AFFD-CB1F-452D-BA79-7E3A0B2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EAF"/>
    <w:rPr>
      <w:rFonts w:eastAsiaTheme="majorEastAsia" w:cstheme="majorBidi"/>
      <w:color w:val="272727" w:themeColor="text1" w:themeTint="D8"/>
    </w:rPr>
  </w:style>
  <w:style w:type="paragraph" w:styleId="Title">
    <w:name w:val="Title"/>
    <w:basedOn w:val="Normal"/>
    <w:next w:val="Normal"/>
    <w:link w:val="TitleChar"/>
    <w:uiPriority w:val="10"/>
    <w:qFormat/>
    <w:rsid w:val="0030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EAF"/>
    <w:pPr>
      <w:spacing w:before="160"/>
      <w:jc w:val="center"/>
    </w:pPr>
    <w:rPr>
      <w:i/>
      <w:iCs/>
      <w:color w:val="404040" w:themeColor="text1" w:themeTint="BF"/>
    </w:rPr>
  </w:style>
  <w:style w:type="character" w:customStyle="1" w:styleId="QuoteChar">
    <w:name w:val="Quote Char"/>
    <w:basedOn w:val="DefaultParagraphFont"/>
    <w:link w:val="Quote"/>
    <w:uiPriority w:val="29"/>
    <w:rsid w:val="00300EAF"/>
    <w:rPr>
      <w:i/>
      <w:iCs/>
      <w:color w:val="404040" w:themeColor="text1" w:themeTint="BF"/>
    </w:rPr>
  </w:style>
  <w:style w:type="paragraph" w:styleId="ListParagraph">
    <w:name w:val="List Paragraph"/>
    <w:basedOn w:val="Normal"/>
    <w:uiPriority w:val="34"/>
    <w:qFormat/>
    <w:rsid w:val="00300EAF"/>
    <w:pPr>
      <w:ind w:left="720"/>
      <w:contextualSpacing/>
    </w:pPr>
  </w:style>
  <w:style w:type="character" w:styleId="IntenseEmphasis">
    <w:name w:val="Intense Emphasis"/>
    <w:basedOn w:val="DefaultParagraphFont"/>
    <w:uiPriority w:val="21"/>
    <w:qFormat/>
    <w:rsid w:val="00300EAF"/>
    <w:rPr>
      <w:i/>
      <w:iCs/>
      <w:color w:val="0F4761" w:themeColor="accent1" w:themeShade="BF"/>
    </w:rPr>
  </w:style>
  <w:style w:type="paragraph" w:styleId="IntenseQuote">
    <w:name w:val="Intense Quote"/>
    <w:basedOn w:val="Normal"/>
    <w:next w:val="Normal"/>
    <w:link w:val="IntenseQuoteChar"/>
    <w:uiPriority w:val="30"/>
    <w:qFormat/>
    <w:rsid w:val="0030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EAF"/>
    <w:rPr>
      <w:i/>
      <w:iCs/>
      <w:color w:val="0F4761" w:themeColor="accent1" w:themeShade="BF"/>
    </w:rPr>
  </w:style>
  <w:style w:type="character" w:styleId="IntenseReference">
    <w:name w:val="Intense Reference"/>
    <w:basedOn w:val="DefaultParagraphFont"/>
    <w:uiPriority w:val="32"/>
    <w:qFormat/>
    <w:rsid w:val="00300EAF"/>
    <w:rPr>
      <w:b/>
      <w:bCs/>
      <w:smallCaps/>
      <w:color w:val="0F4761" w:themeColor="accent1" w:themeShade="BF"/>
      <w:spacing w:val="5"/>
    </w:rPr>
  </w:style>
  <w:style w:type="character" w:styleId="Hyperlink">
    <w:name w:val="Hyperlink"/>
    <w:basedOn w:val="DefaultParagraphFont"/>
    <w:uiPriority w:val="99"/>
    <w:unhideWhenUsed/>
    <w:rsid w:val="000E111F"/>
    <w:rPr>
      <w:color w:val="467886" w:themeColor="hyperlink"/>
      <w:u w:val="single"/>
    </w:rPr>
  </w:style>
  <w:style w:type="character" w:styleId="UnresolvedMention">
    <w:name w:val="Unresolved Mention"/>
    <w:basedOn w:val="DefaultParagraphFont"/>
    <w:uiPriority w:val="99"/>
    <w:semiHidden/>
    <w:unhideWhenUsed/>
    <w:rsid w:val="000E111F"/>
    <w:rPr>
      <w:color w:val="605E5C"/>
      <w:shd w:val="clear" w:color="auto" w:fill="E1DFDD"/>
    </w:rPr>
  </w:style>
  <w:style w:type="character" w:styleId="CommentReference">
    <w:name w:val="annotation reference"/>
    <w:basedOn w:val="DefaultParagraphFont"/>
    <w:uiPriority w:val="99"/>
    <w:semiHidden/>
    <w:unhideWhenUsed/>
    <w:rsid w:val="00757F50"/>
    <w:rPr>
      <w:sz w:val="16"/>
      <w:szCs w:val="16"/>
    </w:rPr>
  </w:style>
  <w:style w:type="paragraph" w:styleId="CommentText">
    <w:name w:val="annotation text"/>
    <w:basedOn w:val="Normal"/>
    <w:link w:val="CommentTextChar"/>
    <w:uiPriority w:val="99"/>
    <w:unhideWhenUsed/>
    <w:rsid w:val="00757F50"/>
    <w:pPr>
      <w:spacing w:line="240" w:lineRule="auto"/>
    </w:pPr>
    <w:rPr>
      <w:sz w:val="20"/>
      <w:szCs w:val="20"/>
    </w:rPr>
  </w:style>
  <w:style w:type="character" w:customStyle="1" w:styleId="CommentTextChar">
    <w:name w:val="Comment Text Char"/>
    <w:basedOn w:val="DefaultParagraphFont"/>
    <w:link w:val="CommentText"/>
    <w:uiPriority w:val="99"/>
    <w:rsid w:val="00757F50"/>
    <w:rPr>
      <w:sz w:val="20"/>
      <w:szCs w:val="20"/>
    </w:rPr>
  </w:style>
  <w:style w:type="paragraph" w:styleId="CommentSubject">
    <w:name w:val="annotation subject"/>
    <w:basedOn w:val="CommentText"/>
    <w:next w:val="CommentText"/>
    <w:link w:val="CommentSubjectChar"/>
    <w:uiPriority w:val="99"/>
    <w:semiHidden/>
    <w:unhideWhenUsed/>
    <w:rsid w:val="00757F50"/>
    <w:rPr>
      <w:b/>
      <w:bCs/>
    </w:rPr>
  </w:style>
  <w:style w:type="character" w:customStyle="1" w:styleId="CommentSubjectChar">
    <w:name w:val="Comment Subject Char"/>
    <w:basedOn w:val="CommentTextChar"/>
    <w:link w:val="CommentSubject"/>
    <w:uiPriority w:val="99"/>
    <w:semiHidden/>
    <w:rsid w:val="00757F50"/>
    <w:rPr>
      <w:b/>
      <w:bCs/>
      <w:sz w:val="20"/>
      <w:szCs w:val="20"/>
    </w:rPr>
  </w:style>
  <w:style w:type="character" w:styleId="FollowedHyperlink">
    <w:name w:val="FollowedHyperlink"/>
    <w:basedOn w:val="DefaultParagraphFont"/>
    <w:uiPriority w:val="99"/>
    <w:semiHidden/>
    <w:unhideWhenUsed/>
    <w:rsid w:val="00360C6D"/>
    <w:rPr>
      <w:color w:val="96607D" w:themeColor="followedHyperlink"/>
      <w:u w:val="single"/>
    </w:rPr>
  </w:style>
  <w:style w:type="paragraph" w:styleId="FootnoteText">
    <w:name w:val="footnote text"/>
    <w:basedOn w:val="Normal"/>
    <w:link w:val="FootnoteTextChar"/>
    <w:uiPriority w:val="99"/>
    <w:semiHidden/>
    <w:unhideWhenUsed/>
    <w:rsid w:val="00EA0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0F9"/>
    <w:rPr>
      <w:sz w:val="20"/>
      <w:szCs w:val="20"/>
    </w:rPr>
  </w:style>
  <w:style w:type="character" w:styleId="FootnoteReference">
    <w:name w:val="footnote reference"/>
    <w:basedOn w:val="DefaultParagraphFont"/>
    <w:uiPriority w:val="99"/>
    <w:semiHidden/>
    <w:unhideWhenUsed/>
    <w:rsid w:val="00EA0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87767">
      <w:bodyDiv w:val="1"/>
      <w:marLeft w:val="0"/>
      <w:marRight w:val="0"/>
      <w:marTop w:val="0"/>
      <w:marBottom w:val="0"/>
      <w:divBdr>
        <w:top w:val="none" w:sz="0" w:space="0" w:color="auto"/>
        <w:left w:val="none" w:sz="0" w:space="0" w:color="auto"/>
        <w:bottom w:val="none" w:sz="0" w:space="0" w:color="auto"/>
        <w:right w:val="none" w:sz="0" w:space="0" w:color="auto"/>
      </w:divBdr>
      <w:divsChild>
        <w:div w:id="2030905559">
          <w:marLeft w:val="274"/>
          <w:marRight w:val="0"/>
          <w:marTop w:val="200"/>
          <w:marBottom w:val="0"/>
          <w:divBdr>
            <w:top w:val="none" w:sz="0" w:space="0" w:color="auto"/>
            <w:left w:val="none" w:sz="0" w:space="0" w:color="auto"/>
            <w:bottom w:val="none" w:sz="0" w:space="0" w:color="auto"/>
            <w:right w:val="none" w:sz="0" w:space="0" w:color="auto"/>
          </w:divBdr>
        </w:div>
        <w:div w:id="1660377971">
          <w:marLeft w:val="274"/>
          <w:marRight w:val="0"/>
          <w:marTop w:val="200"/>
          <w:marBottom w:val="0"/>
          <w:divBdr>
            <w:top w:val="none" w:sz="0" w:space="0" w:color="auto"/>
            <w:left w:val="none" w:sz="0" w:space="0" w:color="auto"/>
            <w:bottom w:val="none" w:sz="0" w:space="0" w:color="auto"/>
            <w:right w:val="none" w:sz="0" w:space="0" w:color="auto"/>
          </w:divBdr>
        </w:div>
        <w:div w:id="781266776">
          <w:marLeft w:val="274"/>
          <w:marRight w:val="0"/>
          <w:marTop w:val="200"/>
          <w:marBottom w:val="0"/>
          <w:divBdr>
            <w:top w:val="none" w:sz="0" w:space="0" w:color="auto"/>
            <w:left w:val="none" w:sz="0" w:space="0" w:color="auto"/>
            <w:bottom w:val="none" w:sz="0" w:space="0" w:color="auto"/>
            <w:right w:val="none" w:sz="0" w:space="0" w:color="auto"/>
          </w:divBdr>
        </w:div>
        <w:div w:id="556165357">
          <w:marLeft w:val="274"/>
          <w:marRight w:val="0"/>
          <w:marTop w:val="200"/>
          <w:marBottom w:val="0"/>
          <w:divBdr>
            <w:top w:val="none" w:sz="0" w:space="0" w:color="auto"/>
            <w:left w:val="none" w:sz="0" w:space="0" w:color="auto"/>
            <w:bottom w:val="none" w:sz="0" w:space="0" w:color="auto"/>
            <w:right w:val="none" w:sz="0" w:space="0" w:color="auto"/>
          </w:divBdr>
        </w:div>
        <w:div w:id="1387029957">
          <w:marLeft w:val="274"/>
          <w:marRight w:val="0"/>
          <w:marTop w:val="200"/>
          <w:marBottom w:val="0"/>
          <w:divBdr>
            <w:top w:val="none" w:sz="0" w:space="0" w:color="auto"/>
            <w:left w:val="none" w:sz="0" w:space="0" w:color="auto"/>
            <w:bottom w:val="none" w:sz="0" w:space="0" w:color="auto"/>
            <w:right w:val="none" w:sz="0" w:space="0" w:color="auto"/>
          </w:divBdr>
        </w:div>
        <w:div w:id="1040284693">
          <w:marLeft w:val="274"/>
          <w:marRight w:val="0"/>
          <w:marTop w:val="200"/>
          <w:marBottom w:val="0"/>
          <w:divBdr>
            <w:top w:val="none" w:sz="0" w:space="0" w:color="auto"/>
            <w:left w:val="none" w:sz="0" w:space="0" w:color="auto"/>
            <w:bottom w:val="none" w:sz="0" w:space="0" w:color="auto"/>
            <w:right w:val="none" w:sz="0" w:space="0" w:color="auto"/>
          </w:divBdr>
        </w:div>
        <w:div w:id="1029377206">
          <w:marLeft w:val="274"/>
          <w:marRight w:val="0"/>
          <w:marTop w:val="200"/>
          <w:marBottom w:val="0"/>
          <w:divBdr>
            <w:top w:val="none" w:sz="0" w:space="0" w:color="auto"/>
            <w:left w:val="none" w:sz="0" w:space="0" w:color="auto"/>
            <w:bottom w:val="none" w:sz="0" w:space="0" w:color="auto"/>
            <w:right w:val="none" w:sz="0" w:space="0" w:color="auto"/>
          </w:divBdr>
        </w:div>
      </w:divsChild>
    </w:div>
    <w:div w:id="629938987">
      <w:bodyDiv w:val="1"/>
      <w:marLeft w:val="0"/>
      <w:marRight w:val="0"/>
      <w:marTop w:val="0"/>
      <w:marBottom w:val="0"/>
      <w:divBdr>
        <w:top w:val="none" w:sz="0" w:space="0" w:color="auto"/>
        <w:left w:val="none" w:sz="0" w:space="0" w:color="auto"/>
        <w:bottom w:val="none" w:sz="0" w:space="0" w:color="auto"/>
        <w:right w:val="none" w:sz="0" w:space="0" w:color="auto"/>
      </w:divBdr>
    </w:div>
    <w:div w:id="707947009">
      <w:bodyDiv w:val="1"/>
      <w:marLeft w:val="0"/>
      <w:marRight w:val="0"/>
      <w:marTop w:val="0"/>
      <w:marBottom w:val="0"/>
      <w:divBdr>
        <w:top w:val="none" w:sz="0" w:space="0" w:color="auto"/>
        <w:left w:val="none" w:sz="0" w:space="0" w:color="auto"/>
        <w:bottom w:val="none" w:sz="0" w:space="0" w:color="auto"/>
        <w:right w:val="none" w:sz="0" w:space="0" w:color="auto"/>
      </w:divBdr>
      <w:divsChild>
        <w:div w:id="1032651045">
          <w:marLeft w:val="274"/>
          <w:marRight w:val="0"/>
          <w:marTop w:val="200"/>
          <w:marBottom w:val="0"/>
          <w:divBdr>
            <w:top w:val="none" w:sz="0" w:space="0" w:color="auto"/>
            <w:left w:val="none" w:sz="0" w:space="0" w:color="auto"/>
            <w:bottom w:val="none" w:sz="0" w:space="0" w:color="auto"/>
            <w:right w:val="none" w:sz="0" w:space="0" w:color="auto"/>
          </w:divBdr>
        </w:div>
        <w:div w:id="1540047262">
          <w:marLeft w:val="274"/>
          <w:marRight w:val="0"/>
          <w:marTop w:val="200"/>
          <w:marBottom w:val="0"/>
          <w:divBdr>
            <w:top w:val="none" w:sz="0" w:space="0" w:color="auto"/>
            <w:left w:val="none" w:sz="0" w:space="0" w:color="auto"/>
            <w:bottom w:val="none" w:sz="0" w:space="0" w:color="auto"/>
            <w:right w:val="none" w:sz="0" w:space="0" w:color="auto"/>
          </w:divBdr>
        </w:div>
        <w:div w:id="1582909402">
          <w:marLeft w:val="274"/>
          <w:marRight w:val="0"/>
          <w:marTop w:val="200"/>
          <w:marBottom w:val="0"/>
          <w:divBdr>
            <w:top w:val="none" w:sz="0" w:space="0" w:color="auto"/>
            <w:left w:val="none" w:sz="0" w:space="0" w:color="auto"/>
            <w:bottom w:val="none" w:sz="0" w:space="0" w:color="auto"/>
            <w:right w:val="none" w:sz="0" w:space="0" w:color="auto"/>
          </w:divBdr>
        </w:div>
        <w:div w:id="1770272243">
          <w:marLeft w:val="274"/>
          <w:marRight w:val="0"/>
          <w:marTop w:val="200"/>
          <w:marBottom w:val="0"/>
          <w:divBdr>
            <w:top w:val="none" w:sz="0" w:space="0" w:color="auto"/>
            <w:left w:val="none" w:sz="0" w:space="0" w:color="auto"/>
            <w:bottom w:val="none" w:sz="0" w:space="0" w:color="auto"/>
            <w:right w:val="none" w:sz="0" w:space="0" w:color="auto"/>
          </w:divBdr>
        </w:div>
        <w:div w:id="2115704349">
          <w:marLeft w:val="274"/>
          <w:marRight w:val="0"/>
          <w:marTop w:val="200"/>
          <w:marBottom w:val="0"/>
          <w:divBdr>
            <w:top w:val="none" w:sz="0" w:space="0" w:color="auto"/>
            <w:left w:val="none" w:sz="0" w:space="0" w:color="auto"/>
            <w:bottom w:val="none" w:sz="0" w:space="0" w:color="auto"/>
            <w:right w:val="none" w:sz="0" w:space="0" w:color="auto"/>
          </w:divBdr>
        </w:div>
        <w:div w:id="1357656183">
          <w:marLeft w:val="274"/>
          <w:marRight w:val="0"/>
          <w:marTop w:val="200"/>
          <w:marBottom w:val="0"/>
          <w:divBdr>
            <w:top w:val="none" w:sz="0" w:space="0" w:color="auto"/>
            <w:left w:val="none" w:sz="0" w:space="0" w:color="auto"/>
            <w:bottom w:val="none" w:sz="0" w:space="0" w:color="auto"/>
            <w:right w:val="none" w:sz="0" w:space="0" w:color="auto"/>
          </w:divBdr>
        </w:div>
        <w:div w:id="867182165">
          <w:marLeft w:val="274"/>
          <w:marRight w:val="0"/>
          <w:marTop w:val="200"/>
          <w:marBottom w:val="0"/>
          <w:divBdr>
            <w:top w:val="none" w:sz="0" w:space="0" w:color="auto"/>
            <w:left w:val="none" w:sz="0" w:space="0" w:color="auto"/>
            <w:bottom w:val="none" w:sz="0" w:space="0" w:color="auto"/>
            <w:right w:val="none" w:sz="0" w:space="0" w:color="auto"/>
          </w:divBdr>
        </w:div>
      </w:divsChild>
    </w:div>
    <w:div w:id="799569619">
      <w:bodyDiv w:val="1"/>
      <w:marLeft w:val="0"/>
      <w:marRight w:val="0"/>
      <w:marTop w:val="0"/>
      <w:marBottom w:val="0"/>
      <w:divBdr>
        <w:top w:val="none" w:sz="0" w:space="0" w:color="auto"/>
        <w:left w:val="none" w:sz="0" w:space="0" w:color="auto"/>
        <w:bottom w:val="none" w:sz="0" w:space="0" w:color="auto"/>
        <w:right w:val="none" w:sz="0" w:space="0" w:color="auto"/>
      </w:divBdr>
      <w:divsChild>
        <w:div w:id="1738089789">
          <w:marLeft w:val="720"/>
          <w:marRight w:val="0"/>
          <w:marTop w:val="0"/>
          <w:marBottom w:val="0"/>
          <w:divBdr>
            <w:top w:val="none" w:sz="0" w:space="0" w:color="auto"/>
            <w:left w:val="none" w:sz="0" w:space="0" w:color="auto"/>
            <w:bottom w:val="none" w:sz="0" w:space="0" w:color="auto"/>
            <w:right w:val="none" w:sz="0" w:space="0" w:color="auto"/>
          </w:divBdr>
        </w:div>
      </w:divsChild>
    </w:div>
    <w:div w:id="812336576">
      <w:bodyDiv w:val="1"/>
      <w:marLeft w:val="0"/>
      <w:marRight w:val="0"/>
      <w:marTop w:val="0"/>
      <w:marBottom w:val="0"/>
      <w:divBdr>
        <w:top w:val="none" w:sz="0" w:space="0" w:color="auto"/>
        <w:left w:val="none" w:sz="0" w:space="0" w:color="auto"/>
        <w:bottom w:val="none" w:sz="0" w:space="0" w:color="auto"/>
        <w:right w:val="none" w:sz="0" w:space="0" w:color="auto"/>
      </w:divBdr>
    </w:div>
    <w:div w:id="822503987">
      <w:bodyDiv w:val="1"/>
      <w:marLeft w:val="0"/>
      <w:marRight w:val="0"/>
      <w:marTop w:val="0"/>
      <w:marBottom w:val="0"/>
      <w:divBdr>
        <w:top w:val="none" w:sz="0" w:space="0" w:color="auto"/>
        <w:left w:val="none" w:sz="0" w:space="0" w:color="auto"/>
        <w:bottom w:val="none" w:sz="0" w:space="0" w:color="auto"/>
        <w:right w:val="none" w:sz="0" w:space="0" w:color="auto"/>
      </w:divBdr>
    </w:div>
    <w:div w:id="1213083472">
      <w:bodyDiv w:val="1"/>
      <w:marLeft w:val="0"/>
      <w:marRight w:val="0"/>
      <w:marTop w:val="0"/>
      <w:marBottom w:val="0"/>
      <w:divBdr>
        <w:top w:val="none" w:sz="0" w:space="0" w:color="auto"/>
        <w:left w:val="none" w:sz="0" w:space="0" w:color="auto"/>
        <w:bottom w:val="none" w:sz="0" w:space="0" w:color="auto"/>
        <w:right w:val="none" w:sz="0" w:space="0" w:color="auto"/>
      </w:divBdr>
      <w:divsChild>
        <w:div w:id="221528033">
          <w:marLeft w:val="274"/>
          <w:marRight w:val="0"/>
          <w:marTop w:val="0"/>
          <w:marBottom w:val="120"/>
          <w:divBdr>
            <w:top w:val="none" w:sz="0" w:space="0" w:color="auto"/>
            <w:left w:val="none" w:sz="0" w:space="0" w:color="auto"/>
            <w:bottom w:val="none" w:sz="0" w:space="0" w:color="auto"/>
            <w:right w:val="none" w:sz="0" w:space="0" w:color="auto"/>
          </w:divBdr>
        </w:div>
      </w:divsChild>
    </w:div>
    <w:div w:id="1407728484">
      <w:bodyDiv w:val="1"/>
      <w:marLeft w:val="0"/>
      <w:marRight w:val="0"/>
      <w:marTop w:val="0"/>
      <w:marBottom w:val="0"/>
      <w:divBdr>
        <w:top w:val="none" w:sz="0" w:space="0" w:color="auto"/>
        <w:left w:val="none" w:sz="0" w:space="0" w:color="auto"/>
        <w:bottom w:val="none" w:sz="0" w:space="0" w:color="auto"/>
        <w:right w:val="none" w:sz="0" w:space="0" w:color="auto"/>
      </w:divBdr>
      <w:divsChild>
        <w:div w:id="1423183123">
          <w:marLeft w:val="547"/>
          <w:marRight w:val="0"/>
          <w:marTop w:val="96"/>
          <w:marBottom w:val="0"/>
          <w:divBdr>
            <w:top w:val="none" w:sz="0" w:space="0" w:color="auto"/>
            <w:left w:val="none" w:sz="0" w:space="0" w:color="auto"/>
            <w:bottom w:val="none" w:sz="0" w:space="0" w:color="auto"/>
            <w:right w:val="none" w:sz="0" w:space="0" w:color="auto"/>
          </w:divBdr>
        </w:div>
        <w:div w:id="1259487979">
          <w:marLeft w:val="547"/>
          <w:marRight w:val="0"/>
          <w:marTop w:val="96"/>
          <w:marBottom w:val="0"/>
          <w:divBdr>
            <w:top w:val="none" w:sz="0" w:space="0" w:color="auto"/>
            <w:left w:val="none" w:sz="0" w:space="0" w:color="auto"/>
            <w:bottom w:val="none" w:sz="0" w:space="0" w:color="auto"/>
            <w:right w:val="none" w:sz="0" w:space="0" w:color="auto"/>
          </w:divBdr>
        </w:div>
      </w:divsChild>
    </w:div>
    <w:div w:id="1554733705">
      <w:bodyDiv w:val="1"/>
      <w:marLeft w:val="0"/>
      <w:marRight w:val="0"/>
      <w:marTop w:val="0"/>
      <w:marBottom w:val="0"/>
      <w:divBdr>
        <w:top w:val="none" w:sz="0" w:space="0" w:color="auto"/>
        <w:left w:val="none" w:sz="0" w:space="0" w:color="auto"/>
        <w:bottom w:val="none" w:sz="0" w:space="0" w:color="auto"/>
        <w:right w:val="none" w:sz="0" w:space="0" w:color="auto"/>
      </w:divBdr>
      <w:divsChild>
        <w:div w:id="42490615">
          <w:marLeft w:val="274"/>
          <w:marRight w:val="0"/>
          <w:marTop w:val="0"/>
          <w:marBottom w:val="120"/>
          <w:divBdr>
            <w:top w:val="none" w:sz="0" w:space="0" w:color="auto"/>
            <w:left w:val="none" w:sz="0" w:space="0" w:color="auto"/>
            <w:bottom w:val="none" w:sz="0" w:space="0" w:color="auto"/>
            <w:right w:val="none" w:sz="0" w:space="0" w:color="auto"/>
          </w:divBdr>
        </w:div>
        <w:div w:id="1315135309">
          <w:marLeft w:val="274"/>
          <w:marRight w:val="0"/>
          <w:marTop w:val="0"/>
          <w:marBottom w:val="120"/>
          <w:divBdr>
            <w:top w:val="none" w:sz="0" w:space="0" w:color="auto"/>
            <w:left w:val="none" w:sz="0" w:space="0" w:color="auto"/>
            <w:bottom w:val="none" w:sz="0" w:space="0" w:color="auto"/>
            <w:right w:val="none" w:sz="0" w:space="0" w:color="auto"/>
          </w:divBdr>
        </w:div>
        <w:div w:id="1176918951">
          <w:marLeft w:val="274"/>
          <w:marRight w:val="0"/>
          <w:marTop w:val="0"/>
          <w:marBottom w:val="120"/>
          <w:divBdr>
            <w:top w:val="none" w:sz="0" w:space="0" w:color="auto"/>
            <w:left w:val="none" w:sz="0" w:space="0" w:color="auto"/>
            <w:bottom w:val="none" w:sz="0" w:space="0" w:color="auto"/>
            <w:right w:val="none" w:sz="0" w:space="0" w:color="auto"/>
          </w:divBdr>
        </w:div>
        <w:div w:id="2076201116">
          <w:marLeft w:val="274"/>
          <w:marRight w:val="0"/>
          <w:marTop w:val="0"/>
          <w:marBottom w:val="120"/>
          <w:divBdr>
            <w:top w:val="none" w:sz="0" w:space="0" w:color="auto"/>
            <w:left w:val="none" w:sz="0" w:space="0" w:color="auto"/>
            <w:bottom w:val="none" w:sz="0" w:space="0" w:color="auto"/>
            <w:right w:val="none" w:sz="0" w:space="0" w:color="auto"/>
          </w:divBdr>
        </w:div>
        <w:div w:id="1693140180">
          <w:marLeft w:val="274"/>
          <w:marRight w:val="0"/>
          <w:marTop w:val="0"/>
          <w:marBottom w:val="120"/>
          <w:divBdr>
            <w:top w:val="none" w:sz="0" w:space="0" w:color="auto"/>
            <w:left w:val="none" w:sz="0" w:space="0" w:color="auto"/>
            <w:bottom w:val="none" w:sz="0" w:space="0" w:color="auto"/>
            <w:right w:val="none" w:sz="0" w:space="0" w:color="auto"/>
          </w:divBdr>
        </w:div>
        <w:div w:id="1915168052">
          <w:marLeft w:val="274"/>
          <w:marRight w:val="0"/>
          <w:marTop w:val="0"/>
          <w:marBottom w:val="120"/>
          <w:divBdr>
            <w:top w:val="none" w:sz="0" w:space="0" w:color="auto"/>
            <w:left w:val="none" w:sz="0" w:space="0" w:color="auto"/>
            <w:bottom w:val="none" w:sz="0" w:space="0" w:color="auto"/>
            <w:right w:val="none" w:sz="0" w:space="0" w:color="auto"/>
          </w:divBdr>
        </w:div>
      </w:divsChild>
    </w:div>
    <w:div w:id="1623614448">
      <w:bodyDiv w:val="1"/>
      <w:marLeft w:val="0"/>
      <w:marRight w:val="0"/>
      <w:marTop w:val="0"/>
      <w:marBottom w:val="0"/>
      <w:divBdr>
        <w:top w:val="none" w:sz="0" w:space="0" w:color="auto"/>
        <w:left w:val="none" w:sz="0" w:space="0" w:color="auto"/>
        <w:bottom w:val="none" w:sz="0" w:space="0" w:color="auto"/>
        <w:right w:val="none" w:sz="0" w:space="0" w:color="auto"/>
      </w:divBdr>
      <w:divsChild>
        <w:div w:id="1864130656">
          <w:marLeft w:val="720"/>
          <w:marRight w:val="0"/>
          <w:marTop w:val="0"/>
          <w:marBottom w:val="0"/>
          <w:divBdr>
            <w:top w:val="none" w:sz="0" w:space="0" w:color="auto"/>
            <w:left w:val="none" w:sz="0" w:space="0" w:color="auto"/>
            <w:bottom w:val="none" w:sz="0" w:space="0" w:color="auto"/>
            <w:right w:val="none" w:sz="0" w:space="0" w:color="auto"/>
          </w:divBdr>
        </w:div>
      </w:divsChild>
    </w:div>
    <w:div w:id="1942105818">
      <w:bodyDiv w:val="1"/>
      <w:marLeft w:val="0"/>
      <w:marRight w:val="0"/>
      <w:marTop w:val="0"/>
      <w:marBottom w:val="0"/>
      <w:divBdr>
        <w:top w:val="none" w:sz="0" w:space="0" w:color="auto"/>
        <w:left w:val="none" w:sz="0" w:space="0" w:color="auto"/>
        <w:bottom w:val="none" w:sz="0" w:space="0" w:color="auto"/>
        <w:right w:val="none" w:sz="0" w:space="0" w:color="auto"/>
      </w:divBdr>
      <w:divsChild>
        <w:div w:id="2041710220">
          <w:marLeft w:val="187"/>
          <w:marRight w:val="0"/>
          <w:marTop w:val="200"/>
          <w:marBottom w:val="0"/>
          <w:divBdr>
            <w:top w:val="none" w:sz="0" w:space="0" w:color="auto"/>
            <w:left w:val="none" w:sz="0" w:space="0" w:color="auto"/>
            <w:bottom w:val="none" w:sz="0" w:space="0" w:color="auto"/>
            <w:right w:val="none" w:sz="0" w:space="0" w:color="auto"/>
          </w:divBdr>
        </w:div>
        <w:div w:id="381641428">
          <w:marLeft w:val="187"/>
          <w:marRight w:val="0"/>
          <w:marTop w:val="200"/>
          <w:marBottom w:val="0"/>
          <w:divBdr>
            <w:top w:val="none" w:sz="0" w:space="0" w:color="auto"/>
            <w:left w:val="none" w:sz="0" w:space="0" w:color="auto"/>
            <w:bottom w:val="none" w:sz="0" w:space="0" w:color="auto"/>
            <w:right w:val="none" w:sz="0" w:space="0" w:color="auto"/>
          </w:divBdr>
        </w:div>
      </w:divsChild>
    </w:div>
    <w:div w:id="19444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calendar/02212025-IBRWG-Meeting-_-Webex" TargetMode="External"/><Relationship Id="rId13" Type="http://schemas.openxmlformats.org/officeDocument/2006/relationships/hyperlink" Target="https://www.esig.energy/event/2025-spring-technical-worksh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ig.energy/event/webinar-benefits-of-gfm-study-discus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www.oasis.oati.com/woa/docs/SRP/SRPdocs/Business_Practice_%E2%80%93_GFM_BESS_Specification_and_Simulation_Test_Procedu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ig.energy/working-users-groups/reliability/grid-forming/gfm-landscape/projec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Grid%20Forming%20Functional%20Specifications%20for%20BPS-Connected%20Battery%20Energy%20Storage%20Syste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9162024-IBRWG-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FE3A-538F-4B17-BCE0-B901D858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10</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22</cp:revision>
  <dcterms:created xsi:type="dcterms:W3CDTF">2025-02-28T02:55:00Z</dcterms:created>
  <dcterms:modified xsi:type="dcterms:W3CDTF">2025-02-28T15:38:00Z</dcterms:modified>
</cp:coreProperties>
</file>