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09B3976E" w14:textId="77777777">
        <w:tblPrEx>
          <w:tblCellMar>
            <w:top w:w="0" w:type="dxa"/>
            <w:bottom w:w="0" w:type="dxa"/>
          </w:tblCellMar>
        </w:tblPrEx>
        <w:tc>
          <w:tcPr>
            <w:tcW w:w="1620" w:type="dxa"/>
            <w:tcBorders>
              <w:bottom w:val="single" w:sz="4" w:space="0" w:color="auto"/>
            </w:tcBorders>
            <w:shd w:val="clear" w:color="auto" w:fill="FFFFFF"/>
            <w:vAlign w:val="center"/>
          </w:tcPr>
          <w:p w14:paraId="249260A4"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1E92360B" w14:textId="4DBF9D77" w:rsidR="00152993" w:rsidRDefault="00C35D8A">
            <w:pPr>
              <w:pStyle w:val="Header"/>
            </w:pPr>
            <w:hyperlink r:id="rId7" w:history="1">
              <w:r w:rsidR="00506923" w:rsidRPr="00C35D8A">
                <w:rPr>
                  <w:rStyle w:val="Hyperlink"/>
                </w:rPr>
                <w:t>1269</w:t>
              </w:r>
            </w:hyperlink>
          </w:p>
        </w:tc>
        <w:tc>
          <w:tcPr>
            <w:tcW w:w="900" w:type="dxa"/>
            <w:tcBorders>
              <w:bottom w:val="single" w:sz="4" w:space="0" w:color="auto"/>
            </w:tcBorders>
            <w:shd w:val="clear" w:color="auto" w:fill="FFFFFF"/>
            <w:vAlign w:val="center"/>
          </w:tcPr>
          <w:p w14:paraId="6A2FFBE4" w14:textId="77777777" w:rsidR="00152993" w:rsidRDefault="00EE6681">
            <w:pPr>
              <w:pStyle w:val="Header"/>
            </w:pPr>
            <w:r>
              <w:t>N</w:t>
            </w:r>
            <w:r w:rsidR="00152993">
              <w:t>PRR Title</w:t>
            </w:r>
          </w:p>
        </w:tc>
        <w:tc>
          <w:tcPr>
            <w:tcW w:w="6660" w:type="dxa"/>
            <w:tcBorders>
              <w:bottom w:val="single" w:sz="4" w:space="0" w:color="auto"/>
            </w:tcBorders>
            <w:vAlign w:val="center"/>
          </w:tcPr>
          <w:p w14:paraId="4DDF4700" w14:textId="77777777" w:rsidR="00152993" w:rsidRDefault="00506923">
            <w:pPr>
              <w:pStyle w:val="Header"/>
            </w:pPr>
            <w:r w:rsidRPr="00236DC8">
              <w:t>RTC+B Three Parameters Policy Issues</w:t>
            </w:r>
          </w:p>
        </w:tc>
      </w:tr>
      <w:tr w:rsidR="00152993" w14:paraId="02505782"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49C514E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8C0AA41" w14:textId="77777777" w:rsidR="00152993" w:rsidRDefault="00152993">
            <w:pPr>
              <w:pStyle w:val="NormalArial"/>
            </w:pPr>
          </w:p>
        </w:tc>
      </w:tr>
      <w:tr w:rsidR="00152993" w14:paraId="7C7D8C98"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F39CC2C"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75AABCC" w14:textId="77777777" w:rsidR="00152993" w:rsidRDefault="00506923">
            <w:pPr>
              <w:pStyle w:val="NormalArial"/>
            </w:pPr>
            <w:r>
              <w:t>March 11, 2025</w:t>
            </w:r>
          </w:p>
        </w:tc>
      </w:tr>
      <w:tr w:rsidR="00152993" w14:paraId="0C06AEE3"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77879B1A" w14:textId="77777777" w:rsidR="00152993" w:rsidRDefault="00152993">
            <w:pPr>
              <w:pStyle w:val="NormalArial"/>
            </w:pPr>
          </w:p>
        </w:tc>
        <w:tc>
          <w:tcPr>
            <w:tcW w:w="7560" w:type="dxa"/>
            <w:gridSpan w:val="2"/>
            <w:tcBorders>
              <w:top w:val="nil"/>
              <w:left w:val="nil"/>
              <w:bottom w:val="nil"/>
              <w:right w:val="nil"/>
            </w:tcBorders>
            <w:vAlign w:val="center"/>
          </w:tcPr>
          <w:p w14:paraId="28562643" w14:textId="77777777" w:rsidR="00152993" w:rsidRDefault="00152993">
            <w:pPr>
              <w:pStyle w:val="NormalArial"/>
            </w:pPr>
          </w:p>
        </w:tc>
      </w:tr>
      <w:tr w:rsidR="00152993" w14:paraId="1ADA35CE"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776FE612" w14:textId="77777777" w:rsidR="00152993" w:rsidRDefault="00152993">
            <w:pPr>
              <w:pStyle w:val="Header"/>
              <w:jc w:val="center"/>
            </w:pPr>
            <w:r>
              <w:t>Submitter’s Information</w:t>
            </w:r>
          </w:p>
        </w:tc>
      </w:tr>
      <w:tr w:rsidR="00152993" w14:paraId="305F9B99" w14:textId="77777777">
        <w:tblPrEx>
          <w:tblCellMar>
            <w:top w:w="0" w:type="dxa"/>
            <w:bottom w:w="0" w:type="dxa"/>
          </w:tblCellMar>
        </w:tblPrEx>
        <w:trPr>
          <w:trHeight w:val="350"/>
        </w:trPr>
        <w:tc>
          <w:tcPr>
            <w:tcW w:w="2880" w:type="dxa"/>
            <w:gridSpan w:val="2"/>
            <w:shd w:val="clear" w:color="auto" w:fill="FFFFFF"/>
            <w:vAlign w:val="center"/>
          </w:tcPr>
          <w:p w14:paraId="404EDDA7" w14:textId="77777777" w:rsidR="00152993" w:rsidRPr="00EC55B3" w:rsidRDefault="00152993" w:rsidP="00EC55B3">
            <w:pPr>
              <w:pStyle w:val="Header"/>
            </w:pPr>
            <w:r w:rsidRPr="00EC55B3">
              <w:t>Name</w:t>
            </w:r>
          </w:p>
        </w:tc>
        <w:tc>
          <w:tcPr>
            <w:tcW w:w="7560" w:type="dxa"/>
            <w:gridSpan w:val="2"/>
            <w:vAlign w:val="center"/>
          </w:tcPr>
          <w:p w14:paraId="2C9A23E4" w14:textId="104D8401" w:rsidR="00152993" w:rsidRDefault="00506923">
            <w:pPr>
              <w:pStyle w:val="NormalArial"/>
            </w:pPr>
            <w:r>
              <w:t>Jeff McDonald</w:t>
            </w:r>
            <w:r w:rsidR="00C35D8A">
              <w:t xml:space="preserve"> /</w:t>
            </w:r>
            <w:r>
              <w:t xml:space="preserve"> Andrew Reimers</w:t>
            </w:r>
          </w:p>
        </w:tc>
      </w:tr>
      <w:tr w:rsidR="00152993" w14:paraId="41046728" w14:textId="77777777">
        <w:tblPrEx>
          <w:tblCellMar>
            <w:top w:w="0" w:type="dxa"/>
            <w:bottom w:w="0" w:type="dxa"/>
          </w:tblCellMar>
        </w:tblPrEx>
        <w:trPr>
          <w:trHeight w:val="350"/>
        </w:trPr>
        <w:tc>
          <w:tcPr>
            <w:tcW w:w="2880" w:type="dxa"/>
            <w:gridSpan w:val="2"/>
            <w:shd w:val="clear" w:color="auto" w:fill="FFFFFF"/>
            <w:vAlign w:val="center"/>
          </w:tcPr>
          <w:p w14:paraId="5EE11825" w14:textId="77777777" w:rsidR="00152993" w:rsidRPr="00EC55B3" w:rsidRDefault="00152993" w:rsidP="00EC55B3">
            <w:pPr>
              <w:pStyle w:val="Header"/>
            </w:pPr>
            <w:r w:rsidRPr="00EC55B3">
              <w:t>E-mail Address</w:t>
            </w:r>
          </w:p>
        </w:tc>
        <w:tc>
          <w:tcPr>
            <w:tcW w:w="7560" w:type="dxa"/>
            <w:gridSpan w:val="2"/>
            <w:vAlign w:val="center"/>
          </w:tcPr>
          <w:p w14:paraId="7C681BEE" w14:textId="14611938" w:rsidR="00152993" w:rsidRDefault="00506923">
            <w:pPr>
              <w:pStyle w:val="NormalArial"/>
            </w:pPr>
            <w:hyperlink r:id="rId8" w:history="1">
              <w:r w:rsidRPr="00901F0F">
                <w:rPr>
                  <w:rStyle w:val="Hyperlink"/>
                </w:rPr>
                <w:t>jmcdonald@potomaceconomics.com</w:t>
              </w:r>
            </w:hyperlink>
            <w:r w:rsidR="00C35D8A">
              <w:t xml:space="preserve"> / </w:t>
            </w:r>
            <w:r>
              <w:t xml:space="preserve"> </w:t>
            </w:r>
            <w:hyperlink r:id="rId9" w:history="1">
              <w:r w:rsidR="00C35D8A" w:rsidRPr="00AD7B1D">
                <w:rPr>
                  <w:rStyle w:val="Hyperlink"/>
                </w:rPr>
                <w:t>areimers@potomaceconomics.com</w:t>
              </w:r>
            </w:hyperlink>
          </w:p>
        </w:tc>
      </w:tr>
      <w:tr w:rsidR="00506923" w14:paraId="2ACD09D7" w14:textId="77777777">
        <w:tblPrEx>
          <w:tblCellMar>
            <w:top w:w="0" w:type="dxa"/>
            <w:bottom w:w="0" w:type="dxa"/>
          </w:tblCellMar>
        </w:tblPrEx>
        <w:trPr>
          <w:trHeight w:val="350"/>
        </w:trPr>
        <w:tc>
          <w:tcPr>
            <w:tcW w:w="2880" w:type="dxa"/>
            <w:gridSpan w:val="2"/>
            <w:shd w:val="clear" w:color="auto" w:fill="FFFFFF"/>
            <w:vAlign w:val="center"/>
          </w:tcPr>
          <w:p w14:paraId="60F6405F" w14:textId="77777777" w:rsidR="00506923" w:rsidRPr="00EC55B3" w:rsidRDefault="00506923" w:rsidP="00506923">
            <w:pPr>
              <w:pStyle w:val="Header"/>
            </w:pPr>
            <w:r w:rsidRPr="00EC55B3">
              <w:t>Company</w:t>
            </w:r>
          </w:p>
        </w:tc>
        <w:tc>
          <w:tcPr>
            <w:tcW w:w="7560" w:type="dxa"/>
            <w:gridSpan w:val="2"/>
            <w:vAlign w:val="center"/>
          </w:tcPr>
          <w:p w14:paraId="62106A5B" w14:textId="77777777" w:rsidR="00506923" w:rsidRDefault="00506923" w:rsidP="00506923">
            <w:pPr>
              <w:pStyle w:val="NormalArial"/>
            </w:pPr>
            <w:r>
              <w:t>Potomac Economics, Ltd., Independent Market Monitor (IMM)</w:t>
            </w:r>
          </w:p>
        </w:tc>
      </w:tr>
      <w:tr w:rsidR="00506923" w14:paraId="1469A3B3"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16FF3C59" w14:textId="77777777" w:rsidR="00506923" w:rsidRPr="00EC55B3" w:rsidRDefault="00506923" w:rsidP="00506923">
            <w:pPr>
              <w:pStyle w:val="Header"/>
            </w:pPr>
            <w:r w:rsidRPr="00EC55B3">
              <w:t>Phone Number</w:t>
            </w:r>
          </w:p>
        </w:tc>
        <w:tc>
          <w:tcPr>
            <w:tcW w:w="7560" w:type="dxa"/>
            <w:gridSpan w:val="2"/>
            <w:tcBorders>
              <w:bottom w:val="single" w:sz="4" w:space="0" w:color="auto"/>
            </w:tcBorders>
            <w:vAlign w:val="center"/>
          </w:tcPr>
          <w:p w14:paraId="58BAE17F" w14:textId="468C4087" w:rsidR="00506923" w:rsidRDefault="00C35D8A" w:rsidP="00506923">
            <w:pPr>
              <w:pStyle w:val="NormalArial"/>
            </w:pPr>
            <w:r w:rsidRPr="00750EE6">
              <w:t>512</w:t>
            </w:r>
            <w:r>
              <w:t>-</w:t>
            </w:r>
            <w:r w:rsidRPr="00750EE6">
              <w:t>225-7077</w:t>
            </w:r>
            <w:r>
              <w:t xml:space="preserve"> (Jeff) / </w:t>
            </w:r>
            <w:r>
              <w:t>409-656-4403</w:t>
            </w:r>
            <w:r>
              <w:t xml:space="preserve"> (Andrew)</w:t>
            </w:r>
          </w:p>
        </w:tc>
      </w:tr>
      <w:tr w:rsidR="00506923" w14:paraId="50466342" w14:textId="77777777">
        <w:tblPrEx>
          <w:tblCellMar>
            <w:top w:w="0" w:type="dxa"/>
            <w:bottom w:w="0" w:type="dxa"/>
          </w:tblCellMar>
        </w:tblPrEx>
        <w:trPr>
          <w:trHeight w:val="350"/>
        </w:trPr>
        <w:tc>
          <w:tcPr>
            <w:tcW w:w="2880" w:type="dxa"/>
            <w:gridSpan w:val="2"/>
            <w:shd w:val="clear" w:color="auto" w:fill="FFFFFF"/>
            <w:vAlign w:val="center"/>
          </w:tcPr>
          <w:p w14:paraId="33B9C658" w14:textId="77777777" w:rsidR="00506923" w:rsidRPr="00EC55B3" w:rsidRDefault="00506923" w:rsidP="00506923">
            <w:pPr>
              <w:pStyle w:val="Header"/>
            </w:pPr>
            <w:r>
              <w:t>Cell</w:t>
            </w:r>
            <w:r w:rsidRPr="00EC55B3">
              <w:t xml:space="preserve"> Number</w:t>
            </w:r>
          </w:p>
        </w:tc>
        <w:tc>
          <w:tcPr>
            <w:tcW w:w="7560" w:type="dxa"/>
            <w:gridSpan w:val="2"/>
            <w:vAlign w:val="center"/>
          </w:tcPr>
          <w:p w14:paraId="78FB0046" w14:textId="77777777" w:rsidR="00506923" w:rsidRDefault="00506923" w:rsidP="00506923">
            <w:pPr>
              <w:pStyle w:val="NormalArial"/>
            </w:pPr>
          </w:p>
        </w:tc>
      </w:tr>
      <w:tr w:rsidR="00506923" w14:paraId="03926249"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375AAF1F" w14:textId="77777777" w:rsidR="00506923" w:rsidRPr="00EC55B3" w:rsidDel="00075A94" w:rsidRDefault="00506923" w:rsidP="00506923">
            <w:pPr>
              <w:pStyle w:val="Header"/>
            </w:pPr>
            <w:r>
              <w:t>Market Segment</w:t>
            </w:r>
          </w:p>
        </w:tc>
        <w:tc>
          <w:tcPr>
            <w:tcW w:w="7560" w:type="dxa"/>
            <w:gridSpan w:val="2"/>
            <w:tcBorders>
              <w:bottom w:val="single" w:sz="4" w:space="0" w:color="auto"/>
            </w:tcBorders>
            <w:vAlign w:val="center"/>
          </w:tcPr>
          <w:p w14:paraId="2CFD116E" w14:textId="54B1D1CC" w:rsidR="00506923" w:rsidRDefault="00C35D8A" w:rsidP="00506923">
            <w:pPr>
              <w:pStyle w:val="NormalArial"/>
            </w:pPr>
            <w:r>
              <w:t>Not applicable</w:t>
            </w:r>
          </w:p>
        </w:tc>
      </w:tr>
    </w:tbl>
    <w:p w14:paraId="73021448"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39047511" w14:textId="77777777" w:rsidTr="00B5080A">
        <w:trPr>
          <w:trHeight w:val="422"/>
          <w:jc w:val="center"/>
        </w:trPr>
        <w:tc>
          <w:tcPr>
            <w:tcW w:w="10440" w:type="dxa"/>
            <w:vAlign w:val="center"/>
          </w:tcPr>
          <w:p w14:paraId="31D0F99B" w14:textId="77777777" w:rsidR="00075A94" w:rsidRPr="00075A94" w:rsidRDefault="00075A94" w:rsidP="00B5080A">
            <w:pPr>
              <w:pStyle w:val="Header"/>
              <w:jc w:val="center"/>
            </w:pPr>
            <w:r w:rsidRPr="00075A94">
              <w:t>Comments</w:t>
            </w:r>
          </w:p>
        </w:tc>
      </w:tr>
    </w:tbl>
    <w:p w14:paraId="13486F04" w14:textId="59A30E9D" w:rsidR="00506923" w:rsidRPr="00506923" w:rsidRDefault="00506923" w:rsidP="00BD1E78">
      <w:pPr>
        <w:spacing w:before="120" w:after="120" w:line="259" w:lineRule="auto"/>
        <w:rPr>
          <w:rFonts w:ascii="Arial" w:eastAsia="Aptos" w:hAnsi="Arial" w:cs="Arial"/>
          <w:kern w:val="2"/>
        </w:rPr>
      </w:pPr>
      <w:r w:rsidRPr="00506923">
        <w:rPr>
          <w:rFonts w:ascii="Arial" w:eastAsia="Aptos" w:hAnsi="Arial" w:cs="Arial"/>
          <w:kern w:val="2"/>
        </w:rPr>
        <w:t xml:space="preserve">The IMM appreciates the opportunity to comment on </w:t>
      </w:r>
      <w:r w:rsidR="00C35D8A">
        <w:rPr>
          <w:rFonts w:ascii="Arial" w:eastAsia="Aptos" w:hAnsi="Arial" w:cs="Arial"/>
          <w:kern w:val="2"/>
        </w:rPr>
        <w:t>Nodal Protocol Revision Request (</w:t>
      </w:r>
      <w:r w:rsidRPr="00506923">
        <w:rPr>
          <w:rFonts w:ascii="Arial" w:eastAsia="Aptos" w:hAnsi="Arial" w:cs="Arial"/>
          <w:kern w:val="2"/>
        </w:rPr>
        <w:t>NPRR</w:t>
      </w:r>
      <w:r w:rsidR="00C35D8A">
        <w:rPr>
          <w:rFonts w:ascii="Arial" w:eastAsia="Aptos" w:hAnsi="Arial" w:cs="Arial"/>
          <w:kern w:val="2"/>
        </w:rPr>
        <w:t>)</w:t>
      </w:r>
      <w:r w:rsidRPr="00506923">
        <w:rPr>
          <w:rFonts w:ascii="Arial" w:eastAsia="Aptos" w:hAnsi="Arial" w:cs="Arial"/>
          <w:kern w:val="2"/>
        </w:rPr>
        <w:t xml:space="preserve"> 1269, which includes three separate proposals for parameters associated with </w:t>
      </w:r>
      <w:r w:rsidR="00C35D8A">
        <w:rPr>
          <w:rFonts w:ascii="Arial" w:eastAsia="Aptos" w:hAnsi="Arial" w:cs="Arial"/>
          <w:kern w:val="2"/>
        </w:rPr>
        <w:t>Real-Time Co-optimization (</w:t>
      </w:r>
      <w:r w:rsidRPr="00506923">
        <w:rPr>
          <w:rFonts w:ascii="Arial" w:eastAsia="Aptos" w:hAnsi="Arial" w:cs="Arial"/>
          <w:kern w:val="2"/>
        </w:rPr>
        <w:t>RTC</w:t>
      </w:r>
      <w:r w:rsidR="00C35D8A">
        <w:rPr>
          <w:rFonts w:ascii="Arial" w:eastAsia="Aptos" w:hAnsi="Arial" w:cs="Arial"/>
          <w:kern w:val="2"/>
        </w:rPr>
        <w:t>)</w:t>
      </w:r>
      <w:r w:rsidRPr="00506923">
        <w:rPr>
          <w:rFonts w:ascii="Arial" w:eastAsia="Aptos" w:hAnsi="Arial" w:cs="Arial"/>
          <w:kern w:val="2"/>
        </w:rPr>
        <w:t>. Our comments relate to two of those parameters: 1) the proxy offer methodology for incomplete A</w:t>
      </w:r>
      <w:r w:rsidR="00C35D8A">
        <w:rPr>
          <w:rFonts w:ascii="Arial" w:eastAsia="Aptos" w:hAnsi="Arial" w:cs="Arial"/>
          <w:kern w:val="2"/>
        </w:rPr>
        <w:t xml:space="preserve">ncillary </w:t>
      </w:r>
      <w:r w:rsidRPr="00506923">
        <w:rPr>
          <w:rFonts w:ascii="Arial" w:eastAsia="Aptos" w:hAnsi="Arial" w:cs="Arial"/>
          <w:kern w:val="2"/>
        </w:rPr>
        <w:t>S</w:t>
      </w:r>
      <w:r w:rsidR="00C35D8A">
        <w:rPr>
          <w:rFonts w:ascii="Arial" w:eastAsia="Aptos" w:hAnsi="Arial" w:cs="Arial"/>
          <w:kern w:val="2"/>
        </w:rPr>
        <w:t>ervice</w:t>
      </w:r>
      <w:r w:rsidRPr="00506923">
        <w:rPr>
          <w:rFonts w:ascii="Arial" w:eastAsia="Aptos" w:hAnsi="Arial" w:cs="Arial"/>
          <w:kern w:val="2"/>
        </w:rPr>
        <w:t xml:space="preserve"> offer curves, and 2) the </w:t>
      </w:r>
      <w:r w:rsidR="00C35D8A">
        <w:rPr>
          <w:rFonts w:ascii="Arial" w:eastAsia="Aptos" w:hAnsi="Arial" w:cs="Arial"/>
          <w:kern w:val="2"/>
        </w:rPr>
        <w:t>Ancillary Service Demand Curve (</w:t>
      </w:r>
      <w:r w:rsidRPr="00506923">
        <w:rPr>
          <w:rFonts w:ascii="Arial" w:eastAsia="Aptos" w:hAnsi="Arial" w:cs="Arial"/>
          <w:kern w:val="2"/>
        </w:rPr>
        <w:t>ASDC</w:t>
      </w:r>
      <w:r w:rsidR="00C35D8A">
        <w:rPr>
          <w:rFonts w:ascii="Arial" w:eastAsia="Aptos" w:hAnsi="Arial" w:cs="Arial"/>
          <w:kern w:val="2"/>
        </w:rPr>
        <w:t>)</w:t>
      </w:r>
      <w:r w:rsidRPr="00506923">
        <w:rPr>
          <w:rFonts w:ascii="Arial" w:eastAsia="Aptos" w:hAnsi="Arial" w:cs="Arial"/>
          <w:kern w:val="2"/>
        </w:rPr>
        <w:t xml:space="preserve"> floor of $15/MWh proposed by ERCOT for </w:t>
      </w:r>
      <w:r w:rsidR="00C35D8A">
        <w:rPr>
          <w:rFonts w:ascii="Arial" w:eastAsia="Aptos" w:hAnsi="Arial" w:cs="Arial"/>
          <w:kern w:val="2"/>
        </w:rPr>
        <w:t>Reliability Unit Commitment (</w:t>
      </w:r>
      <w:r w:rsidRPr="00506923">
        <w:rPr>
          <w:rFonts w:ascii="Arial" w:eastAsia="Aptos" w:hAnsi="Arial" w:cs="Arial"/>
          <w:kern w:val="2"/>
        </w:rPr>
        <w:t>RUC</w:t>
      </w:r>
      <w:r w:rsidR="00C35D8A">
        <w:rPr>
          <w:rFonts w:ascii="Arial" w:eastAsia="Aptos" w:hAnsi="Arial" w:cs="Arial"/>
          <w:kern w:val="2"/>
        </w:rPr>
        <w:t>)</w:t>
      </w:r>
      <w:r w:rsidRPr="00506923">
        <w:rPr>
          <w:rFonts w:ascii="Arial" w:eastAsia="Aptos" w:hAnsi="Arial" w:cs="Arial"/>
          <w:kern w:val="2"/>
        </w:rPr>
        <w:t xml:space="preserve"> and the subsequent porting of this ASDC floor to the </w:t>
      </w:r>
      <w:r w:rsidR="00C35D8A">
        <w:rPr>
          <w:rFonts w:ascii="Arial" w:eastAsia="Aptos" w:hAnsi="Arial" w:cs="Arial"/>
          <w:kern w:val="2"/>
        </w:rPr>
        <w:t>Day-Ahead Market (</w:t>
      </w:r>
      <w:r w:rsidRPr="00506923">
        <w:rPr>
          <w:rFonts w:ascii="Arial" w:eastAsia="Aptos" w:hAnsi="Arial" w:cs="Arial"/>
          <w:kern w:val="2"/>
        </w:rPr>
        <w:t>DAM</w:t>
      </w:r>
      <w:r w:rsidR="00C35D8A">
        <w:rPr>
          <w:rFonts w:ascii="Arial" w:eastAsia="Aptos" w:hAnsi="Arial" w:cs="Arial"/>
          <w:kern w:val="2"/>
        </w:rPr>
        <w:t>)</w:t>
      </w:r>
      <w:r w:rsidRPr="00506923">
        <w:rPr>
          <w:rFonts w:ascii="Arial" w:eastAsia="Aptos" w:hAnsi="Arial" w:cs="Arial"/>
          <w:kern w:val="2"/>
        </w:rPr>
        <w:t xml:space="preserve"> and </w:t>
      </w:r>
      <w:r w:rsidR="00C35D8A">
        <w:rPr>
          <w:rFonts w:ascii="Arial" w:eastAsia="Aptos" w:hAnsi="Arial" w:cs="Arial"/>
          <w:kern w:val="2"/>
        </w:rPr>
        <w:t>Real-Time Market (</w:t>
      </w:r>
      <w:r w:rsidRPr="00506923">
        <w:rPr>
          <w:rFonts w:ascii="Arial" w:eastAsia="Aptos" w:hAnsi="Arial" w:cs="Arial"/>
          <w:kern w:val="2"/>
        </w:rPr>
        <w:t>RTM</w:t>
      </w:r>
      <w:r w:rsidR="00C35D8A">
        <w:rPr>
          <w:rFonts w:ascii="Arial" w:eastAsia="Aptos" w:hAnsi="Arial" w:cs="Arial"/>
          <w:kern w:val="2"/>
        </w:rPr>
        <w:t>)</w:t>
      </w:r>
      <w:r w:rsidRPr="00506923">
        <w:rPr>
          <w:rFonts w:ascii="Arial" w:eastAsia="Aptos" w:hAnsi="Arial" w:cs="Arial"/>
          <w:kern w:val="2"/>
        </w:rPr>
        <w:t xml:space="preserve"> proposed by </w:t>
      </w:r>
      <w:r w:rsidR="002D265F" w:rsidRPr="002D265F">
        <w:rPr>
          <w:rFonts w:ascii="Arial" w:eastAsia="Aptos" w:hAnsi="Arial" w:cs="Arial"/>
          <w:kern w:val="2"/>
        </w:rPr>
        <w:t xml:space="preserve">Texas Competitive Power Advocates (TCPA) </w:t>
      </w:r>
      <w:r w:rsidRPr="00506923">
        <w:rPr>
          <w:rFonts w:ascii="Arial" w:eastAsia="Aptos" w:hAnsi="Arial" w:cs="Arial"/>
          <w:kern w:val="2"/>
        </w:rPr>
        <w:t>TCPA.</w:t>
      </w:r>
    </w:p>
    <w:p w14:paraId="5CD7A313" w14:textId="77777777" w:rsidR="00506923" w:rsidRPr="00506923" w:rsidRDefault="00506923" w:rsidP="00BD1E78">
      <w:pPr>
        <w:spacing w:before="120" w:after="120" w:line="259" w:lineRule="auto"/>
        <w:rPr>
          <w:rFonts w:ascii="Arial" w:eastAsia="Aptos" w:hAnsi="Arial" w:cs="Arial"/>
          <w:b/>
          <w:bCs/>
          <w:kern w:val="2"/>
        </w:rPr>
      </w:pPr>
      <w:r w:rsidRPr="00506923">
        <w:rPr>
          <w:rFonts w:ascii="Arial" w:eastAsia="Aptos" w:hAnsi="Arial" w:cs="Arial"/>
          <w:b/>
          <w:bCs/>
          <w:kern w:val="2"/>
        </w:rPr>
        <w:t>Summary</w:t>
      </w:r>
    </w:p>
    <w:p w14:paraId="5797F9B3" w14:textId="5D65053B" w:rsidR="00506923" w:rsidRPr="00506923" w:rsidRDefault="00506923" w:rsidP="00BD1E78">
      <w:pPr>
        <w:spacing w:before="120" w:after="120" w:line="259" w:lineRule="auto"/>
        <w:rPr>
          <w:rFonts w:ascii="Arial" w:eastAsia="Aptos" w:hAnsi="Arial" w:cs="Arial"/>
          <w:kern w:val="2"/>
        </w:rPr>
      </w:pPr>
      <w:r w:rsidRPr="00506923">
        <w:rPr>
          <w:rFonts w:ascii="Arial" w:eastAsia="Aptos" w:hAnsi="Arial" w:cs="Arial"/>
          <w:kern w:val="2"/>
        </w:rPr>
        <w:t>Our comments on the various parameters defined by NPRR1269 can be summarized as follows:</w:t>
      </w:r>
    </w:p>
    <w:p w14:paraId="7C533425" w14:textId="72C4965C" w:rsidR="00506923" w:rsidRPr="00506923" w:rsidRDefault="00506923" w:rsidP="00BD1E78">
      <w:pPr>
        <w:numPr>
          <w:ilvl w:val="0"/>
          <w:numId w:val="7"/>
        </w:numPr>
        <w:spacing w:before="120" w:after="120" w:line="259" w:lineRule="auto"/>
        <w:rPr>
          <w:rFonts w:ascii="Arial" w:eastAsia="Aptos" w:hAnsi="Arial" w:cs="Arial"/>
          <w:kern w:val="2"/>
        </w:rPr>
      </w:pPr>
      <w:r w:rsidRPr="00506923">
        <w:rPr>
          <w:rFonts w:ascii="Arial" w:eastAsia="Aptos" w:hAnsi="Arial" w:cs="Arial"/>
          <w:kern w:val="2"/>
        </w:rPr>
        <w:t xml:space="preserve">Regarding proxy offers for incomplete or empty </w:t>
      </w:r>
      <w:r w:rsidR="00BD1E78">
        <w:rPr>
          <w:rFonts w:ascii="Arial" w:eastAsia="Aptos" w:hAnsi="Arial" w:cs="Arial"/>
          <w:kern w:val="2"/>
        </w:rPr>
        <w:t>Ancillary Service O</w:t>
      </w:r>
      <w:r w:rsidRPr="00506923">
        <w:rPr>
          <w:rFonts w:ascii="Arial" w:eastAsia="Aptos" w:hAnsi="Arial" w:cs="Arial"/>
          <w:kern w:val="2"/>
        </w:rPr>
        <w:t>ffers, using the minimum of $2</w:t>
      </w:r>
      <w:r w:rsidR="00BD1E78">
        <w:rPr>
          <w:rFonts w:ascii="Arial" w:eastAsia="Aptos" w:hAnsi="Arial" w:cs="Arial"/>
          <w:kern w:val="2"/>
        </w:rPr>
        <w:t>,</w:t>
      </w:r>
      <w:r w:rsidRPr="00506923">
        <w:rPr>
          <w:rFonts w:ascii="Arial" w:eastAsia="Aptos" w:hAnsi="Arial" w:cs="Arial"/>
          <w:kern w:val="2"/>
        </w:rPr>
        <w:t xml:space="preserve">000 or the price corresponding to 95% of the capacity in the </w:t>
      </w:r>
      <w:r w:rsidR="00BD1E78">
        <w:rPr>
          <w:rFonts w:ascii="Arial" w:eastAsia="Aptos" w:hAnsi="Arial" w:cs="Arial"/>
          <w:kern w:val="2"/>
        </w:rPr>
        <w:t xml:space="preserve">Ancillary Service </w:t>
      </w:r>
      <w:r w:rsidRPr="00506923">
        <w:rPr>
          <w:rFonts w:ascii="Arial" w:eastAsia="Aptos" w:hAnsi="Arial" w:cs="Arial"/>
          <w:kern w:val="2"/>
        </w:rPr>
        <w:t xml:space="preserve">Plan for each product does not reflect a competitive offer and exposes consumers to unnecessary and excessive costs. A cap of no more than $15 on proxy offers would be sufficient to ameliorate the concerns expressed by the stakeholders. </w:t>
      </w:r>
    </w:p>
    <w:p w14:paraId="1F0473C4" w14:textId="77777777" w:rsidR="00506923" w:rsidRPr="00506923" w:rsidRDefault="00506923" w:rsidP="00BD1E78">
      <w:pPr>
        <w:numPr>
          <w:ilvl w:val="0"/>
          <w:numId w:val="7"/>
        </w:numPr>
        <w:spacing w:before="120" w:after="120" w:line="259" w:lineRule="auto"/>
        <w:rPr>
          <w:rFonts w:ascii="Arial" w:eastAsia="Aptos" w:hAnsi="Arial" w:cs="Arial"/>
          <w:kern w:val="2"/>
        </w:rPr>
      </w:pPr>
      <w:r w:rsidRPr="00506923">
        <w:rPr>
          <w:rFonts w:ascii="Arial" w:eastAsia="Aptos" w:hAnsi="Arial" w:cs="Arial"/>
          <w:kern w:val="2"/>
        </w:rPr>
        <w:t>Regarding the proposed ASDC floor for RUC, we have not seen sufficient evidence as to the extent of the problem this floor is meant to resolve and do not believe such a fix is necessary for RUC to function properly upon RTC go-live.</w:t>
      </w:r>
    </w:p>
    <w:p w14:paraId="08D9F7A7" w14:textId="77777777" w:rsidR="00506923" w:rsidRPr="00506923" w:rsidRDefault="00506923" w:rsidP="00BD1E78">
      <w:pPr>
        <w:numPr>
          <w:ilvl w:val="0"/>
          <w:numId w:val="7"/>
        </w:numPr>
        <w:spacing w:before="120" w:after="120" w:line="259" w:lineRule="auto"/>
        <w:rPr>
          <w:rFonts w:ascii="Arial" w:eastAsia="Aptos" w:hAnsi="Arial" w:cs="Arial"/>
          <w:kern w:val="2"/>
        </w:rPr>
      </w:pPr>
      <w:r w:rsidRPr="00506923">
        <w:rPr>
          <w:rFonts w:ascii="Arial" w:eastAsia="Aptos" w:hAnsi="Arial" w:cs="Arial"/>
          <w:kern w:val="2"/>
        </w:rPr>
        <w:lastRenderedPageBreak/>
        <w:t xml:space="preserve">Regarding the proposed ASDC floor for the DAM and RTM, the arguments in support of such a floor are not supported by economic fundamentals or empirical evidence and could result in over $100mm in excess costs to consumers per year. </w:t>
      </w:r>
    </w:p>
    <w:p w14:paraId="2CFE8627" w14:textId="77777777" w:rsidR="00506923" w:rsidRPr="00506923" w:rsidRDefault="00506923" w:rsidP="00BD1E78">
      <w:pPr>
        <w:keepNext/>
        <w:spacing w:before="120" w:after="120" w:line="259" w:lineRule="auto"/>
        <w:rPr>
          <w:rFonts w:ascii="Arial" w:eastAsia="Aptos" w:hAnsi="Arial" w:cs="Arial"/>
          <w:b/>
          <w:bCs/>
          <w:kern w:val="2"/>
        </w:rPr>
      </w:pPr>
      <w:r w:rsidRPr="00506923">
        <w:rPr>
          <w:rFonts w:ascii="Arial" w:eastAsia="Aptos" w:hAnsi="Arial" w:cs="Arial"/>
          <w:b/>
          <w:bCs/>
          <w:kern w:val="2"/>
        </w:rPr>
        <w:t xml:space="preserve">Parameters for Ancillary Service proxy offers </w:t>
      </w:r>
    </w:p>
    <w:p w14:paraId="3B6D60C2" w14:textId="7AC94D77" w:rsidR="00506923" w:rsidRPr="00506923" w:rsidRDefault="00506923" w:rsidP="00BD1E78">
      <w:pPr>
        <w:spacing w:before="120" w:after="120" w:line="259" w:lineRule="auto"/>
        <w:rPr>
          <w:rFonts w:ascii="Arial" w:eastAsia="Aptos" w:hAnsi="Arial" w:cs="Arial"/>
          <w:kern w:val="2"/>
        </w:rPr>
      </w:pPr>
      <w:r w:rsidRPr="00506923">
        <w:rPr>
          <w:rFonts w:ascii="Arial" w:eastAsia="Aptos" w:hAnsi="Arial" w:cs="Arial"/>
          <w:kern w:val="2"/>
        </w:rPr>
        <w:t>The IMM previously submitted the following comments on NPRR1269 regarding the proxy offer methodology:</w:t>
      </w:r>
    </w:p>
    <w:p w14:paraId="6E25BD1A" w14:textId="3362E5E6" w:rsidR="00506923" w:rsidRDefault="00506923" w:rsidP="00BD1E78">
      <w:pPr>
        <w:numPr>
          <w:ilvl w:val="0"/>
          <w:numId w:val="3"/>
        </w:numPr>
        <w:spacing w:before="120" w:after="120" w:line="259" w:lineRule="auto"/>
        <w:rPr>
          <w:rFonts w:ascii="Arial" w:eastAsia="Aptos" w:hAnsi="Arial" w:cs="Arial"/>
          <w:kern w:val="2"/>
        </w:rPr>
      </w:pPr>
      <w:proofErr w:type="gramStart"/>
      <w:r w:rsidRPr="00506923">
        <w:rPr>
          <w:rFonts w:ascii="Arial" w:eastAsia="Aptos" w:hAnsi="Arial" w:cs="Arial"/>
          <w:kern w:val="2"/>
        </w:rPr>
        <w:t>In order to</w:t>
      </w:r>
      <w:proofErr w:type="gramEnd"/>
      <w:r w:rsidRPr="00506923">
        <w:rPr>
          <w:rFonts w:ascii="Arial" w:eastAsia="Aptos" w:hAnsi="Arial" w:cs="Arial"/>
          <w:kern w:val="2"/>
        </w:rPr>
        <w:t xml:space="preserve"> minimize the impact on price formation, proxy offers should be set at fixed values corresponding to the variable cost, including opportunity cost, to provide the service. In particular, the price on the ASDC corresponding to 95% of the Ancillary Service Plan for a given product results in proxy prices that are excessively high at times and could lead to reliability and market performance issues </w:t>
      </w:r>
      <w:proofErr w:type="gramStart"/>
      <w:r w:rsidRPr="00506923">
        <w:rPr>
          <w:rFonts w:ascii="Arial" w:eastAsia="Aptos" w:hAnsi="Arial" w:cs="Arial"/>
          <w:kern w:val="2"/>
        </w:rPr>
        <w:t>similar to</w:t>
      </w:r>
      <w:proofErr w:type="gramEnd"/>
      <w:r w:rsidRPr="00506923">
        <w:rPr>
          <w:rFonts w:ascii="Arial" w:eastAsia="Aptos" w:hAnsi="Arial" w:cs="Arial"/>
          <w:kern w:val="2"/>
        </w:rPr>
        <w:t xml:space="preserve"> what we already identified with the proxy offer methodology for energy. By that same token, capping the proxy price for Ancillary Services at $2,000 is arbitrary and excessively high relative to the cost to provide the service. </w:t>
      </w:r>
    </w:p>
    <w:p w14:paraId="4CF2CDBE" w14:textId="1025C9CD" w:rsidR="00135E76" w:rsidRDefault="00506923" w:rsidP="00BD1E78">
      <w:pPr>
        <w:spacing w:before="120" w:after="120" w:line="259" w:lineRule="auto"/>
        <w:rPr>
          <w:rFonts w:ascii="Arial" w:eastAsia="Aptos" w:hAnsi="Arial" w:cs="Arial"/>
          <w:kern w:val="2"/>
        </w:rPr>
      </w:pPr>
      <w:r w:rsidRPr="00506923">
        <w:rPr>
          <w:rFonts w:ascii="Arial" w:eastAsia="Aptos" w:hAnsi="Arial" w:cs="Arial"/>
          <w:kern w:val="2"/>
        </w:rPr>
        <w:t>One way to estimate a minimally impactful proxy offer that approximates the actual or perceived cost of providing the service is to look at the DAM offers for providing A</w:t>
      </w:r>
      <w:r w:rsidR="00BD1E78">
        <w:rPr>
          <w:rFonts w:ascii="Arial" w:eastAsia="Aptos" w:hAnsi="Arial" w:cs="Arial"/>
          <w:kern w:val="2"/>
        </w:rPr>
        <w:t xml:space="preserve">ncillary </w:t>
      </w:r>
      <w:r w:rsidRPr="00506923">
        <w:rPr>
          <w:rFonts w:ascii="Arial" w:eastAsia="Aptos" w:hAnsi="Arial" w:cs="Arial"/>
          <w:kern w:val="2"/>
        </w:rPr>
        <w:t>S</w:t>
      </w:r>
      <w:r w:rsidR="00BD1E78">
        <w:rPr>
          <w:rFonts w:ascii="Arial" w:eastAsia="Aptos" w:hAnsi="Arial" w:cs="Arial"/>
          <w:kern w:val="2"/>
        </w:rPr>
        <w:t>ervice</w:t>
      </w:r>
      <w:r w:rsidRPr="00506923">
        <w:rPr>
          <w:rFonts w:ascii="Arial" w:eastAsia="Aptos" w:hAnsi="Arial" w:cs="Arial"/>
          <w:kern w:val="2"/>
        </w:rPr>
        <w:t xml:space="preserve">. The hourly aggregate </w:t>
      </w:r>
      <w:r w:rsidR="00BD1E78">
        <w:rPr>
          <w:rFonts w:ascii="Arial" w:eastAsia="Aptos" w:hAnsi="Arial" w:cs="Arial"/>
          <w:kern w:val="2"/>
        </w:rPr>
        <w:t>Ancillary Service O</w:t>
      </w:r>
      <w:r w:rsidRPr="00506923">
        <w:rPr>
          <w:rFonts w:ascii="Arial" w:eastAsia="Aptos" w:hAnsi="Arial" w:cs="Arial"/>
          <w:kern w:val="2"/>
        </w:rPr>
        <w:t xml:space="preserve">ffers in DAM for all of 2024 are summarized in </w:t>
      </w:r>
      <w:r w:rsidRPr="00506923">
        <w:rPr>
          <w:rFonts w:ascii="Arial" w:eastAsia="Aptos" w:hAnsi="Arial" w:cs="Arial"/>
          <w:kern w:val="2"/>
        </w:rPr>
        <w:fldChar w:fldCharType="begin"/>
      </w:r>
      <w:r w:rsidRPr="00506923">
        <w:rPr>
          <w:rFonts w:ascii="Arial" w:eastAsia="Aptos" w:hAnsi="Arial" w:cs="Arial"/>
          <w:kern w:val="2"/>
        </w:rPr>
        <w:instrText xml:space="preserve"> REF _Ref192416500 \h </w:instrText>
      </w:r>
      <w:r w:rsidRPr="00506923">
        <w:rPr>
          <w:rFonts w:ascii="Arial" w:eastAsia="Aptos" w:hAnsi="Arial" w:cs="Arial"/>
          <w:kern w:val="2"/>
        </w:rPr>
      </w:r>
      <w:r w:rsidRPr="00506923">
        <w:rPr>
          <w:rFonts w:ascii="Arial" w:eastAsia="Aptos" w:hAnsi="Arial" w:cs="Arial"/>
          <w:kern w:val="2"/>
        </w:rPr>
        <w:instrText xml:space="preserve"> \* MERGEFORMAT </w:instrText>
      </w:r>
      <w:r w:rsidRPr="00506923">
        <w:rPr>
          <w:rFonts w:ascii="Arial" w:eastAsia="Aptos" w:hAnsi="Arial" w:cs="Arial"/>
          <w:kern w:val="2"/>
        </w:rPr>
        <w:fldChar w:fldCharType="separate"/>
      </w:r>
      <w:r w:rsidRPr="00506923">
        <w:rPr>
          <w:rFonts w:ascii="Arial" w:eastAsia="Aptos" w:hAnsi="Arial" w:cs="Arial"/>
          <w:kern w:val="2"/>
        </w:rPr>
        <w:t xml:space="preserve">Figure </w:t>
      </w:r>
      <w:r w:rsidRPr="00506923">
        <w:rPr>
          <w:rFonts w:ascii="Arial" w:eastAsia="Aptos" w:hAnsi="Arial" w:cs="Arial"/>
          <w:noProof/>
          <w:kern w:val="2"/>
        </w:rPr>
        <w:t>1</w:t>
      </w:r>
      <w:r w:rsidRPr="00506923">
        <w:rPr>
          <w:rFonts w:ascii="Arial" w:eastAsia="Aptos" w:hAnsi="Arial" w:cs="Arial"/>
          <w:kern w:val="2"/>
        </w:rPr>
        <w:fldChar w:fldCharType="end"/>
      </w:r>
      <w:r w:rsidRPr="00506923">
        <w:rPr>
          <w:rFonts w:ascii="Arial" w:eastAsia="Aptos" w:hAnsi="Arial" w:cs="Arial"/>
          <w:kern w:val="2"/>
        </w:rPr>
        <w:t>:</w:t>
      </w:r>
    </w:p>
    <w:p w14:paraId="19CBC7E5" w14:textId="77777777" w:rsidR="00F11F49" w:rsidRPr="00506923" w:rsidRDefault="009D6B05" w:rsidP="00BD1E78">
      <w:pPr>
        <w:spacing w:before="120" w:after="120" w:line="259" w:lineRule="auto"/>
        <w:rPr>
          <w:rFonts w:ascii="Arial" w:eastAsia="Aptos" w:hAnsi="Arial" w:cs="Arial"/>
          <w:kern w:val="2"/>
        </w:rPr>
      </w:pPr>
      <w:r>
        <w:rPr>
          <w:rFonts w:ascii="Arial" w:eastAsia="Aptos" w:hAnsi="Arial" w:cs="Arial"/>
          <w:noProof/>
          <w:kern w:val="2"/>
        </w:rPr>
      </w:r>
      <w:r>
        <w:rPr>
          <w:rFonts w:ascii="Arial" w:eastAsia="Aptos" w:hAnsi="Arial" w:cs="Arial"/>
          <w:kern w:val="2"/>
        </w:rPr>
        <w:pict w14:anchorId="3CEF2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width:468.05pt;height:252pt;mso-position-horizontal-relative:char;mso-position-vertical-relative:line">
            <v:imagedata r:id="rId10" o:title=""/>
            <w10:anchorlock/>
          </v:shape>
        </w:pict>
      </w:r>
    </w:p>
    <w:p w14:paraId="39C055D0" w14:textId="24378254" w:rsidR="00506923" w:rsidRPr="00506923" w:rsidRDefault="00506923" w:rsidP="00BD1E78">
      <w:pPr>
        <w:spacing w:before="120" w:after="120" w:line="259" w:lineRule="auto"/>
        <w:jc w:val="center"/>
        <w:rPr>
          <w:rFonts w:ascii="Aptos" w:eastAsia="Aptos" w:hAnsi="Aptos"/>
          <w:kern w:val="2"/>
          <w:sz w:val="22"/>
          <w:szCs w:val="22"/>
        </w:rPr>
      </w:pPr>
      <w:bookmarkStart w:id="0" w:name="_Ref192416500"/>
      <w:r w:rsidRPr="00506923">
        <w:rPr>
          <w:rFonts w:ascii="Aptos" w:eastAsia="Aptos" w:hAnsi="Aptos"/>
          <w:i/>
          <w:iCs/>
          <w:color w:val="0E2841"/>
          <w:kern w:val="2"/>
          <w:sz w:val="18"/>
          <w:szCs w:val="18"/>
        </w:rPr>
        <w:t xml:space="preserve">Figure </w:t>
      </w:r>
      <w:r w:rsidRPr="00506923">
        <w:rPr>
          <w:rFonts w:ascii="Aptos" w:eastAsia="Aptos" w:hAnsi="Aptos"/>
          <w:i/>
          <w:iCs/>
          <w:color w:val="0E2841"/>
          <w:kern w:val="2"/>
          <w:sz w:val="18"/>
          <w:szCs w:val="18"/>
        </w:rPr>
        <w:fldChar w:fldCharType="begin"/>
      </w:r>
      <w:r w:rsidRPr="00506923">
        <w:rPr>
          <w:rFonts w:ascii="Aptos" w:eastAsia="Aptos" w:hAnsi="Aptos"/>
          <w:i/>
          <w:iCs/>
          <w:color w:val="0E2841"/>
          <w:kern w:val="2"/>
          <w:sz w:val="18"/>
          <w:szCs w:val="18"/>
        </w:rPr>
        <w:instrText xml:space="preserve"> SEQ Figure \* ARABIC </w:instrText>
      </w:r>
      <w:r w:rsidRPr="00506923">
        <w:rPr>
          <w:rFonts w:ascii="Aptos" w:eastAsia="Aptos" w:hAnsi="Aptos"/>
          <w:i/>
          <w:iCs/>
          <w:color w:val="0E2841"/>
          <w:kern w:val="2"/>
          <w:sz w:val="18"/>
          <w:szCs w:val="18"/>
        </w:rPr>
        <w:fldChar w:fldCharType="separate"/>
      </w:r>
      <w:r w:rsidRPr="00506923">
        <w:rPr>
          <w:rFonts w:ascii="Aptos" w:eastAsia="Aptos" w:hAnsi="Aptos"/>
          <w:i/>
          <w:iCs/>
          <w:noProof/>
          <w:color w:val="0E2841"/>
          <w:kern w:val="2"/>
          <w:sz w:val="18"/>
          <w:szCs w:val="18"/>
        </w:rPr>
        <w:t>1</w:t>
      </w:r>
      <w:r w:rsidRPr="00506923">
        <w:rPr>
          <w:rFonts w:ascii="Aptos" w:eastAsia="Aptos" w:hAnsi="Aptos"/>
          <w:i/>
          <w:iCs/>
          <w:color w:val="0E2841"/>
          <w:kern w:val="2"/>
          <w:sz w:val="18"/>
          <w:szCs w:val="18"/>
        </w:rPr>
        <w:fldChar w:fldCharType="end"/>
      </w:r>
      <w:bookmarkEnd w:id="0"/>
      <w:r w:rsidRPr="00506923">
        <w:rPr>
          <w:rFonts w:ascii="Aptos" w:eastAsia="Aptos" w:hAnsi="Aptos"/>
          <w:i/>
          <w:iCs/>
          <w:color w:val="0E2841"/>
          <w:kern w:val="2"/>
          <w:sz w:val="18"/>
          <w:szCs w:val="18"/>
        </w:rPr>
        <w:t xml:space="preserve">. Aggregate hourly offers for </w:t>
      </w:r>
      <w:r w:rsidR="00BD1E78">
        <w:rPr>
          <w:rFonts w:ascii="Aptos" w:eastAsia="Aptos" w:hAnsi="Aptos"/>
          <w:i/>
          <w:iCs/>
          <w:color w:val="0E2841"/>
          <w:kern w:val="2"/>
          <w:sz w:val="18"/>
          <w:szCs w:val="18"/>
        </w:rPr>
        <w:t xml:space="preserve">Ancillary Service </w:t>
      </w:r>
      <w:r w:rsidRPr="00506923">
        <w:rPr>
          <w:rFonts w:ascii="Aptos" w:eastAsia="Aptos" w:hAnsi="Aptos"/>
          <w:i/>
          <w:iCs/>
          <w:color w:val="0E2841"/>
          <w:kern w:val="2"/>
          <w:sz w:val="18"/>
          <w:szCs w:val="18"/>
        </w:rPr>
        <w:t xml:space="preserve">in DAM compared against the aggregate hourly </w:t>
      </w:r>
      <w:r w:rsidR="00BD1E78">
        <w:rPr>
          <w:rFonts w:ascii="Aptos" w:eastAsia="Aptos" w:hAnsi="Aptos"/>
          <w:i/>
          <w:iCs/>
          <w:color w:val="0E2841"/>
          <w:kern w:val="2"/>
          <w:sz w:val="18"/>
          <w:szCs w:val="18"/>
        </w:rPr>
        <w:t xml:space="preserve">Ancillary Service </w:t>
      </w:r>
      <w:r w:rsidRPr="00506923">
        <w:rPr>
          <w:rFonts w:ascii="Aptos" w:eastAsia="Aptos" w:hAnsi="Aptos"/>
          <w:i/>
          <w:iCs/>
          <w:color w:val="0E2841"/>
          <w:kern w:val="2"/>
          <w:sz w:val="18"/>
          <w:szCs w:val="18"/>
        </w:rPr>
        <w:t>Plans for all of 2024</w:t>
      </w:r>
    </w:p>
    <w:p w14:paraId="22A8DA31" w14:textId="77777777" w:rsidR="00506923" w:rsidRPr="00506923" w:rsidRDefault="00506923" w:rsidP="00BD1E78">
      <w:pPr>
        <w:spacing w:before="120" w:after="120" w:line="259" w:lineRule="auto"/>
        <w:rPr>
          <w:rFonts w:ascii="Arial" w:eastAsia="Aptos" w:hAnsi="Arial" w:cs="Arial"/>
          <w:kern w:val="2"/>
        </w:rPr>
      </w:pPr>
      <w:r w:rsidRPr="00506923">
        <w:rPr>
          <w:rFonts w:ascii="Arial" w:eastAsia="Aptos" w:hAnsi="Arial" w:cs="Arial"/>
          <w:kern w:val="2"/>
        </w:rPr>
        <w:lastRenderedPageBreak/>
        <w:fldChar w:fldCharType="begin"/>
      </w:r>
      <w:r w:rsidRPr="00506923">
        <w:rPr>
          <w:rFonts w:ascii="Arial" w:eastAsia="Aptos" w:hAnsi="Arial" w:cs="Arial"/>
          <w:kern w:val="2"/>
        </w:rPr>
        <w:instrText xml:space="preserve"> REF _Ref192416500 \h </w:instrText>
      </w:r>
      <w:r w:rsidRPr="00506923">
        <w:rPr>
          <w:rFonts w:ascii="Arial" w:eastAsia="Aptos" w:hAnsi="Arial" w:cs="Arial"/>
          <w:kern w:val="2"/>
        </w:rPr>
      </w:r>
      <w:r w:rsidRPr="00506923">
        <w:rPr>
          <w:rFonts w:ascii="Arial" w:eastAsia="Aptos" w:hAnsi="Arial" w:cs="Arial"/>
          <w:kern w:val="2"/>
        </w:rPr>
        <w:instrText xml:space="preserve"> \* MERGEFORMAT </w:instrText>
      </w:r>
      <w:r w:rsidRPr="00506923">
        <w:rPr>
          <w:rFonts w:ascii="Arial" w:eastAsia="Aptos" w:hAnsi="Arial" w:cs="Arial"/>
          <w:kern w:val="2"/>
        </w:rPr>
        <w:fldChar w:fldCharType="separate"/>
      </w:r>
      <w:r w:rsidRPr="00506923">
        <w:rPr>
          <w:rFonts w:ascii="Arial" w:eastAsia="Aptos" w:hAnsi="Arial" w:cs="Arial"/>
          <w:kern w:val="2"/>
        </w:rPr>
        <w:t xml:space="preserve">Figure </w:t>
      </w:r>
      <w:r w:rsidRPr="00506923">
        <w:rPr>
          <w:rFonts w:ascii="Arial" w:eastAsia="Aptos" w:hAnsi="Arial" w:cs="Arial"/>
          <w:noProof/>
          <w:kern w:val="2"/>
        </w:rPr>
        <w:t>1</w:t>
      </w:r>
      <w:r w:rsidRPr="00506923">
        <w:rPr>
          <w:rFonts w:ascii="Arial" w:eastAsia="Aptos" w:hAnsi="Arial" w:cs="Arial"/>
          <w:kern w:val="2"/>
        </w:rPr>
        <w:fldChar w:fldCharType="end"/>
      </w:r>
      <w:r w:rsidRPr="00506923">
        <w:rPr>
          <w:rFonts w:ascii="Arial" w:eastAsia="Aptos" w:hAnsi="Arial" w:cs="Arial"/>
          <w:kern w:val="2"/>
        </w:rPr>
        <w:t xml:space="preserve"> shows the following:</w:t>
      </w:r>
    </w:p>
    <w:p w14:paraId="42C7442C" w14:textId="2A5D44E4" w:rsidR="00506923" w:rsidRPr="00506923" w:rsidRDefault="00506923" w:rsidP="00BD1E78">
      <w:pPr>
        <w:numPr>
          <w:ilvl w:val="0"/>
          <w:numId w:val="3"/>
        </w:numPr>
        <w:spacing w:before="120" w:after="120" w:line="259" w:lineRule="auto"/>
        <w:rPr>
          <w:rFonts w:ascii="Arial" w:eastAsia="Aptos" w:hAnsi="Arial" w:cs="Arial"/>
          <w:kern w:val="2"/>
        </w:rPr>
      </w:pPr>
      <w:r w:rsidRPr="00506923">
        <w:rPr>
          <w:rFonts w:ascii="Arial" w:eastAsia="Aptos" w:hAnsi="Arial" w:cs="Arial"/>
          <w:kern w:val="2"/>
        </w:rPr>
        <w:t xml:space="preserve">On average, there are enough </w:t>
      </w:r>
      <w:r w:rsidR="00BD1E78">
        <w:rPr>
          <w:rFonts w:ascii="Arial" w:eastAsia="Aptos" w:hAnsi="Arial" w:cs="Arial"/>
          <w:kern w:val="2"/>
        </w:rPr>
        <w:t xml:space="preserve">Ancillary Service </w:t>
      </w:r>
      <w:r w:rsidRPr="00506923">
        <w:rPr>
          <w:rFonts w:ascii="Arial" w:eastAsia="Aptos" w:hAnsi="Arial" w:cs="Arial"/>
          <w:kern w:val="2"/>
        </w:rPr>
        <w:t xml:space="preserve">Offers priced at $1 or less to cover the entire plans for </w:t>
      </w:r>
      <w:r w:rsidR="00BD1E78">
        <w:rPr>
          <w:rFonts w:ascii="Arial" w:eastAsia="Aptos" w:hAnsi="Arial" w:cs="Arial"/>
          <w:kern w:val="2"/>
        </w:rPr>
        <w:t>ERCOT Contingency Reserve Service (</w:t>
      </w:r>
      <w:r w:rsidRPr="00506923">
        <w:rPr>
          <w:rFonts w:ascii="Arial" w:eastAsia="Aptos" w:hAnsi="Arial" w:cs="Arial"/>
          <w:kern w:val="2"/>
        </w:rPr>
        <w:t>ECRS</w:t>
      </w:r>
      <w:r w:rsidR="00BD1E78">
        <w:rPr>
          <w:rFonts w:ascii="Arial" w:eastAsia="Aptos" w:hAnsi="Arial" w:cs="Arial"/>
          <w:kern w:val="2"/>
        </w:rPr>
        <w:t>)</w:t>
      </w:r>
      <w:r w:rsidRPr="00506923">
        <w:rPr>
          <w:rFonts w:ascii="Arial" w:eastAsia="Aptos" w:hAnsi="Arial" w:cs="Arial"/>
          <w:kern w:val="2"/>
        </w:rPr>
        <w:t xml:space="preserve">, </w:t>
      </w:r>
      <w:r w:rsidR="00BD1E78">
        <w:rPr>
          <w:rFonts w:ascii="Arial" w:eastAsia="Aptos" w:hAnsi="Arial" w:cs="Arial"/>
          <w:kern w:val="2"/>
        </w:rPr>
        <w:t>Non-Spinning Reserve (Non-Spin)</w:t>
      </w:r>
      <w:r w:rsidRPr="00506923">
        <w:rPr>
          <w:rFonts w:ascii="Arial" w:eastAsia="Aptos" w:hAnsi="Arial" w:cs="Arial"/>
          <w:kern w:val="2"/>
        </w:rPr>
        <w:t>, and</w:t>
      </w:r>
      <w:r w:rsidR="00BD1E78">
        <w:rPr>
          <w:rFonts w:ascii="Arial" w:eastAsia="Aptos" w:hAnsi="Arial" w:cs="Arial"/>
          <w:kern w:val="2"/>
        </w:rPr>
        <w:t xml:space="preserve"> Responsive Reserve (</w:t>
      </w:r>
      <w:r w:rsidRPr="00506923">
        <w:rPr>
          <w:rFonts w:ascii="Arial" w:eastAsia="Aptos" w:hAnsi="Arial" w:cs="Arial"/>
          <w:kern w:val="2"/>
        </w:rPr>
        <w:t>RRS</w:t>
      </w:r>
      <w:r w:rsidR="00BD1E78">
        <w:rPr>
          <w:rFonts w:ascii="Arial" w:eastAsia="Aptos" w:hAnsi="Arial" w:cs="Arial"/>
          <w:kern w:val="2"/>
        </w:rPr>
        <w:t>)</w:t>
      </w:r>
      <w:r w:rsidRPr="00506923">
        <w:rPr>
          <w:rFonts w:ascii="Arial" w:eastAsia="Aptos" w:hAnsi="Arial" w:cs="Arial"/>
          <w:kern w:val="2"/>
        </w:rPr>
        <w:t xml:space="preserve">. For </w:t>
      </w:r>
      <w:r w:rsidR="00BD1E78">
        <w:rPr>
          <w:rFonts w:ascii="Arial" w:eastAsia="Aptos" w:hAnsi="Arial" w:cs="Arial"/>
          <w:kern w:val="2"/>
        </w:rPr>
        <w:t>r</w:t>
      </w:r>
      <w:r w:rsidRPr="00506923">
        <w:rPr>
          <w:rFonts w:ascii="Arial" w:eastAsia="Aptos" w:hAnsi="Arial" w:cs="Arial"/>
          <w:kern w:val="2"/>
        </w:rPr>
        <w:t>egulation</w:t>
      </w:r>
      <w:r w:rsidR="00BD1E78">
        <w:rPr>
          <w:rFonts w:ascii="Arial" w:eastAsia="Aptos" w:hAnsi="Arial" w:cs="Arial"/>
          <w:kern w:val="2"/>
        </w:rPr>
        <w:t xml:space="preserve"> service</w:t>
      </w:r>
      <w:r w:rsidRPr="00506923">
        <w:rPr>
          <w:rFonts w:ascii="Arial" w:eastAsia="Aptos" w:hAnsi="Arial" w:cs="Arial"/>
          <w:kern w:val="2"/>
        </w:rPr>
        <w:t xml:space="preserve">, there are enough offers priced below $5 to cover the entire </w:t>
      </w:r>
      <w:r w:rsidR="00BD1E78">
        <w:rPr>
          <w:rFonts w:ascii="Arial" w:eastAsia="Aptos" w:hAnsi="Arial" w:cs="Arial"/>
          <w:kern w:val="2"/>
        </w:rPr>
        <w:t xml:space="preserve">Ancillary Service </w:t>
      </w:r>
      <w:r w:rsidRPr="00506923">
        <w:rPr>
          <w:rFonts w:ascii="Arial" w:eastAsia="Aptos" w:hAnsi="Arial" w:cs="Arial"/>
          <w:kern w:val="2"/>
        </w:rPr>
        <w:t xml:space="preserve">Plan. </w:t>
      </w:r>
    </w:p>
    <w:p w14:paraId="718F1290" w14:textId="219CAA0A" w:rsidR="00506923" w:rsidRPr="00506923" w:rsidRDefault="00506923" w:rsidP="00BD1E78">
      <w:pPr>
        <w:numPr>
          <w:ilvl w:val="0"/>
          <w:numId w:val="3"/>
        </w:numPr>
        <w:spacing w:before="120" w:after="120" w:line="259" w:lineRule="auto"/>
        <w:rPr>
          <w:rFonts w:ascii="Arial" w:eastAsia="Aptos" w:hAnsi="Arial" w:cs="Arial"/>
          <w:kern w:val="2"/>
        </w:rPr>
      </w:pPr>
      <w:r w:rsidRPr="00506923">
        <w:rPr>
          <w:rFonts w:ascii="Arial" w:eastAsia="Aptos" w:hAnsi="Arial" w:cs="Arial"/>
          <w:kern w:val="2"/>
        </w:rPr>
        <w:t>Including self-arranged A</w:t>
      </w:r>
      <w:r w:rsidR="00BD1E78">
        <w:rPr>
          <w:rFonts w:ascii="Arial" w:eastAsia="Aptos" w:hAnsi="Arial" w:cs="Arial"/>
          <w:kern w:val="2"/>
        </w:rPr>
        <w:t xml:space="preserve">ncillary </w:t>
      </w:r>
      <w:r w:rsidRPr="00506923">
        <w:rPr>
          <w:rFonts w:ascii="Arial" w:eastAsia="Aptos" w:hAnsi="Arial" w:cs="Arial"/>
          <w:kern w:val="2"/>
        </w:rPr>
        <w:t>S</w:t>
      </w:r>
      <w:r w:rsidR="00BD1E78">
        <w:rPr>
          <w:rFonts w:ascii="Arial" w:eastAsia="Aptos" w:hAnsi="Arial" w:cs="Arial"/>
          <w:kern w:val="2"/>
        </w:rPr>
        <w:t>ervice</w:t>
      </w:r>
      <w:r w:rsidRPr="00506923">
        <w:rPr>
          <w:rFonts w:ascii="Arial" w:eastAsia="Aptos" w:hAnsi="Arial" w:cs="Arial"/>
          <w:kern w:val="2"/>
        </w:rPr>
        <w:t>, approximately 90% of each up-reserve product is priced at no more than $15</w:t>
      </w:r>
    </w:p>
    <w:p w14:paraId="18C82290" w14:textId="7AE730C8" w:rsidR="00506923" w:rsidRPr="00506923" w:rsidRDefault="00506923" w:rsidP="00BD1E78">
      <w:pPr>
        <w:spacing w:before="120" w:after="120" w:line="259" w:lineRule="auto"/>
        <w:rPr>
          <w:rFonts w:ascii="Arial" w:eastAsia="Aptos" w:hAnsi="Arial" w:cs="Arial"/>
          <w:kern w:val="2"/>
        </w:rPr>
      </w:pPr>
      <w:r w:rsidRPr="00506923">
        <w:rPr>
          <w:rFonts w:ascii="Arial" w:eastAsia="Aptos" w:hAnsi="Arial" w:cs="Arial"/>
          <w:kern w:val="2"/>
        </w:rPr>
        <w:t xml:space="preserve">The IMM maintains that (i) it is the participant’s responsibility to submit complete offer curves, and (ii) </w:t>
      </w:r>
      <w:proofErr w:type="gramStart"/>
      <w:r w:rsidRPr="00506923">
        <w:rPr>
          <w:rFonts w:ascii="Arial" w:eastAsia="Aptos" w:hAnsi="Arial" w:cs="Arial"/>
          <w:kern w:val="2"/>
        </w:rPr>
        <w:t>in the event that</w:t>
      </w:r>
      <w:proofErr w:type="gramEnd"/>
      <w:r w:rsidRPr="00506923">
        <w:rPr>
          <w:rFonts w:ascii="Arial" w:eastAsia="Aptos" w:hAnsi="Arial" w:cs="Arial"/>
          <w:kern w:val="2"/>
        </w:rPr>
        <w:t xml:space="preserve"> the participant chooses not to honor this obligation, the proxy offer methodology should be designed to minimize impacts to price formation. The expressed intention of the proxy offer methodology proposed by NPRR1269 is to limit the likelihood that </w:t>
      </w:r>
      <w:r w:rsidR="00BD1E78">
        <w:rPr>
          <w:rFonts w:ascii="Arial" w:eastAsia="Aptos" w:hAnsi="Arial" w:cs="Arial"/>
          <w:kern w:val="2"/>
        </w:rPr>
        <w:t>R</w:t>
      </w:r>
      <w:r w:rsidRPr="00506923">
        <w:rPr>
          <w:rFonts w:ascii="Arial" w:eastAsia="Aptos" w:hAnsi="Arial" w:cs="Arial"/>
          <w:kern w:val="2"/>
        </w:rPr>
        <w:t xml:space="preserve">esources that fail to submit complete offer curves are awarded </w:t>
      </w:r>
      <w:r w:rsidR="00BD1E78">
        <w:rPr>
          <w:rFonts w:ascii="Arial" w:eastAsia="Aptos" w:hAnsi="Arial" w:cs="Arial"/>
          <w:kern w:val="2"/>
        </w:rPr>
        <w:t xml:space="preserve">Ancillary Service </w:t>
      </w:r>
      <w:r w:rsidRPr="00506923">
        <w:rPr>
          <w:rFonts w:ascii="Arial" w:eastAsia="Aptos" w:hAnsi="Arial" w:cs="Arial"/>
          <w:kern w:val="2"/>
        </w:rPr>
        <w:t xml:space="preserve">over </w:t>
      </w:r>
      <w:r w:rsidR="00BD1E78">
        <w:rPr>
          <w:rFonts w:ascii="Arial" w:eastAsia="Aptos" w:hAnsi="Arial" w:cs="Arial"/>
          <w:kern w:val="2"/>
        </w:rPr>
        <w:t>R</w:t>
      </w:r>
      <w:r w:rsidRPr="00506923">
        <w:rPr>
          <w:rFonts w:ascii="Arial" w:eastAsia="Aptos" w:hAnsi="Arial" w:cs="Arial"/>
          <w:kern w:val="2"/>
        </w:rPr>
        <w:t xml:space="preserve">esources that submit complete and competitive offer curves. The offer data presented in </w:t>
      </w:r>
      <w:r w:rsidRPr="00506923">
        <w:rPr>
          <w:rFonts w:ascii="Arial" w:eastAsia="Aptos" w:hAnsi="Arial" w:cs="Arial"/>
          <w:kern w:val="2"/>
        </w:rPr>
        <w:fldChar w:fldCharType="begin"/>
      </w:r>
      <w:r w:rsidRPr="00506923">
        <w:rPr>
          <w:rFonts w:ascii="Arial" w:eastAsia="Aptos" w:hAnsi="Arial" w:cs="Arial"/>
          <w:kern w:val="2"/>
        </w:rPr>
        <w:instrText xml:space="preserve"> REF _Ref192416500 \h </w:instrText>
      </w:r>
      <w:r w:rsidRPr="00506923">
        <w:rPr>
          <w:rFonts w:ascii="Arial" w:eastAsia="Aptos" w:hAnsi="Arial" w:cs="Arial"/>
          <w:kern w:val="2"/>
        </w:rPr>
      </w:r>
      <w:r w:rsidRPr="00506923">
        <w:rPr>
          <w:rFonts w:ascii="Arial" w:eastAsia="Aptos" w:hAnsi="Arial" w:cs="Arial"/>
          <w:kern w:val="2"/>
        </w:rPr>
        <w:instrText xml:space="preserve"> \* MERGEFORMAT </w:instrText>
      </w:r>
      <w:r w:rsidRPr="00506923">
        <w:rPr>
          <w:rFonts w:ascii="Arial" w:eastAsia="Aptos" w:hAnsi="Arial" w:cs="Arial"/>
          <w:kern w:val="2"/>
        </w:rPr>
        <w:fldChar w:fldCharType="separate"/>
      </w:r>
      <w:r w:rsidRPr="00506923">
        <w:rPr>
          <w:rFonts w:ascii="Arial" w:eastAsia="Aptos" w:hAnsi="Arial" w:cs="Arial"/>
          <w:kern w:val="2"/>
        </w:rPr>
        <w:t xml:space="preserve">Figure </w:t>
      </w:r>
      <w:r w:rsidRPr="00506923">
        <w:rPr>
          <w:rFonts w:ascii="Arial" w:eastAsia="Aptos" w:hAnsi="Arial" w:cs="Arial"/>
          <w:noProof/>
          <w:kern w:val="2"/>
        </w:rPr>
        <w:t>1</w:t>
      </w:r>
      <w:r w:rsidRPr="00506923">
        <w:rPr>
          <w:rFonts w:ascii="Arial" w:eastAsia="Aptos" w:hAnsi="Arial" w:cs="Arial"/>
          <w:kern w:val="2"/>
        </w:rPr>
        <w:fldChar w:fldCharType="end"/>
      </w:r>
      <w:r w:rsidRPr="00506923">
        <w:rPr>
          <w:rFonts w:ascii="Arial" w:eastAsia="Aptos" w:hAnsi="Arial" w:cs="Arial"/>
          <w:kern w:val="2"/>
        </w:rPr>
        <w:t xml:space="preserve"> indicate that this goal can be achieved with a proxy offer price much less than the minimum of $2</w:t>
      </w:r>
      <w:r w:rsidR="00BD1E78">
        <w:rPr>
          <w:rFonts w:ascii="Arial" w:eastAsia="Aptos" w:hAnsi="Arial" w:cs="Arial"/>
          <w:kern w:val="2"/>
        </w:rPr>
        <w:t>,</w:t>
      </w:r>
      <w:r w:rsidRPr="00506923">
        <w:rPr>
          <w:rFonts w:ascii="Arial" w:eastAsia="Aptos" w:hAnsi="Arial" w:cs="Arial"/>
          <w:kern w:val="2"/>
        </w:rPr>
        <w:t xml:space="preserve">000 or the value on the ASDC corresponding to 95% of the </w:t>
      </w:r>
      <w:r w:rsidR="00BD1E78">
        <w:rPr>
          <w:rFonts w:ascii="Arial" w:eastAsia="Aptos" w:hAnsi="Arial" w:cs="Arial"/>
          <w:kern w:val="2"/>
        </w:rPr>
        <w:t xml:space="preserve">Ancillary Service </w:t>
      </w:r>
      <w:r w:rsidRPr="00506923">
        <w:rPr>
          <w:rFonts w:ascii="Arial" w:eastAsia="Aptos" w:hAnsi="Arial" w:cs="Arial"/>
          <w:kern w:val="2"/>
        </w:rPr>
        <w:t xml:space="preserve">Plan. A proxy </w:t>
      </w:r>
      <w:proofErr w:type="gramStart"/>
      <w:r w:rsidRPr="00506923">
        <w:rPr>
          <w:rFonts w:ascii="Arial" w:eastAsia="Aptos" w:hAnsi="Arial" w:cs="Arial"/>
          <w:kern w:val="2"/>
        </w:rPr>
        <w:t>offer</w:t>
      </w:r>
      <w:proofErr w:type="gramEnd"/>
      <w:r w:rsidRPr="00506923">
        <w:rPr>
          <w:rFonts w:ascii="Arial" w:eastAsia="Aptos" w:hAnsi="Arial" w:cs="Arial"/>
          <w:kern w:val="2"/>
        </w:rPr>
        <w:t xml:space="preserve"> capped at $15 could accomplish the same goal without subjecting consumers to unnecessary and excessive costs. </w:t>
      </w:r>
    </w:p>
    <w:p w14:paraId="50E2B8B7" w14:textId="77777777" w:rsidR="00506923" w:rsidRPr="00506923" w:rsidRDefault="00506923" w:rsidP="00BD1E78">
      <w:pPr>
        <w:spacing w:before="120" w:after="120" w:line="259" w:lineRule="auto"/>
        <w:rPr>
          <w:rFonts w:ascii="Arial" w:eastAsia="Aptos" w:hAnsi="Arial" w:cs="Arial"/>
          <w:b/>
          <w:bCs/>
          <w:kern w:val="2"/>
        </w:rPr>
      </w:pPr>
      <w:r w:rsidRPr="00506923">
        <w:rPr>
          <w:rFonts w:ascii="Arial" w:eastAsia="Aptos" w:hAnsi="Arial" w:cs="Arial"/>
          <w:b/>
          <w:bCs/>
          <w:kern w:val="2"/>
        </w:rPr>
        <w:t>Ancillary Service Demand Curves (ASDCs) for use in Reliability Unit Commitment (RUC) studies</w:t>
      </w:r>
    </w:p>
    <w:p w14:paraId="24D52C7C" w14:textId="1247572E" w:rsidR="00506923" w:rsidRPr="00506923" w:rsidRDefault="00506923" w:rsidP="00BD1E78">
      <w:pPr>
        <w:spacing w:before="120" w:after="120" w:line="259" w:lineRule="auto"/>
        <w:rPr>
          <w:rFonts w:ascii="Arial" w:eastAsia="Aptos" w:hAnsi="Arial" w:cs="Arial"/>
          <w:kern w:val="2"/>
        </w:rPr>
      </w:pPr>
      <w:r w:rsidRPr="00506923">
        <w:rPr>
          <w:rFonts w:ascii="Arial" w:eastAsia="Aptos" w:hAnsi="Arial" w:cs="Arial"/>
          <w:kern w:val="2"/>
        </w:rPr>
        <w:t xml:space="preserve">NPRR1269 also proposes a floor on the ASDC curves used in RUC. The effect of such floors is to allow RUC to produce more expensive commitment solutions to ensure there is sufficient capacity available to serve the entire </w:t>
      </w:r>
      <w:r w:rsidR="00BD1E78">
        <w:rPr>
          <w:rFonts w:ascii="Arial" w:eastAsia="Aptos" w:hAnsi="Arial" w:cs="Arial"/>
          <w:kern w:val="2"/>
        </w:rPr>
        <w:t xml:space="preserve">Ancillary Service </w:t>
      </w:r>
      <w:r w:rsidRPr="00506923">
        <w:rPr>
          <w:rFonts w:ascii="Arial" w:eastAsia="Aptos" w:hAnsi="Arial" w:cs="Arial"/>
          <w:kern w:val="2"/>
        </w:rPr>
        <w:t xml:space="preserve">Plan. We are open-minded about the use of such floors in RUC, but we have not seen sufficient evidence as to the extent of the problem that would support the necessity of such a fix. ERCOT has only presented the results of a few RUC cases and sensitivities on those cases, and we are unaware of any explicit requirement that the RUC commitment solution must always result in sufficient reserves to serve the whole </w:t>
      </w:r>
      <w:r w:rsidR="00BD1E78">
        <w:rPr>
          <w:rFonts w:ascii="Arial" w:eastAsia="Aptos" w:hAnsi="Arial" w:cs="Arial"/>
          <w:kern w:val="2"/>
        </w:rPr>
        <w:t xml:space="preserve">Ancillary Service </w:t>
      </w:r>
      <w:r w:rsidRPr="00506923">
        <w:rPr>
          <w:rFonts w:ascii="Arial" w:eastAsia="Aptos" w:hAnsi="Arial" w:cs="Arial"/>
          <w:kern w:val="2"/>
        </w:rPr>
        <w:t xml:space="preserve">Plan. Further, regardless of the commitment decisions produced by the RUC engine, the operators will still have broad discretion to select resources for commitment. We see no reason why RTC can’t go live without ASDC floors in RUC, allowing ERCOT to </w:t>
      </w:r>
      <w:proofErr w:type="gramStart"/>
      <w:r w:rsidRPr="00506923">
        <w:rPr>
          <w:rFonts w:ascii="Arial" w:eastAsia="Aptos" w:hAnsi="Arial" w:cs="Arial"/>
          <w:kern w:val="2"/>
        </w:rPr>
        <w:t>make adjustments</w:t>
      </w:r>
      <w:proofErr w:type="gramEnd"/>
      <w:r w:rsidRPr="00506923">
        <w:rPr>
          <w:rFonts w:ascii="Arial" w:eastAsia="Aptos" w:hAnsi="Arial" w:cs="Arial"/>
          <w:kern w:val="2"/>
        </w:rPr>
        <w:t xml:space="preserve"> at a later date if they are determined to be necessary. </w:t>
      </w:r>
    </w:p>
    <w:p w14:paraId="21184905" w14:textId="366D2F4C" w:rsidR="00506923" w:rsidRPr="00506923" w:rsidRDefault="00506923" w:rsidP="00BD1E78">
      <w:pPr>
        <w:spacing w:before="120" w:after="120" w:line="259" w:lineRule="auto"/>
        <w:rPr>
          <w:rFonts w:ascii="Arial" w:eastAsia="Aptos" w:hAnsi="Arial" w:cs="Arial"/>
          <w:kern w:val="2"/>
        </w:rPr>
      </w:pPr>
      <w:r w:rsidRPr="00506923">
        <w:rPr>
          <w:rFonts w:ascii="Arial" w:eastAsia="Aptos" w:hAnsi="Arial" w:cs="Arial"/>
          <w:kern w:val="2"/>
        </w:rPr>
        <w:t xml:space="preserve">In addition to ERCOT’s proposal to impose ASDC floors in RUC, TCPA proposed that the same ASDC floors be implemented in the </w:t>
      </w:r>
      <w:r w:rsidR="00BD1E78">
        <w:rPr>
          <w:rFonts w:ascii="Arial" w:eastAsia="Aptos" w:hAnsi="Arial" w:cs="Arial"/>
          <w:kern w:val="2"/>
        </w:rPr>
        <w:t>DAM and RTM</w:t>
      </w:r>
      <w:r w:rsidRPr="00506923">
        <w:rPr>
          <w:rFonts w:ascii="Arial" w:eastAsia="Aptos" w:hAnsi="Arial" w:cs="Arial"/>
          <w:kern w:val="2"/>
        </w:rPr>
        <w:t>. Their expressed arguments in favor of this proposal include the following:</w:t>
      </w:r>
    </w:p>
    <w:p w14:paraId="3BB61298" w14:textId="7950E8A7" w:rsidR="00506923" w:rsidRPr="00506923" w:rsidRDefault="00506923" w:rsidP="00BD1E78">
      <w:pPr>
        <w:numPr>
          <w:ilvl w:val="0"/>
          <w:numId w:val="4"/>
        </w:numPr>
        <w:spacing w:before="120" w:after="120" w:line="259" w:lineRule="auto"/>
        <w:rPr>
          <w:rFonts w:ascii="Arial" w:eastAsia="Aptos" w:hAnsi="Arial" w:cs="Arial"/>
          <w:kern w:val="2"/>
        </w:rPr>
      </w:pPr>
      <w:r w:rsidRPr="00506923">
        <w:rPr>
          <w:rFonts w:ascii="Arial" w:eastAsia="Aptos" w:hAnsi="Arial" w:cs="Arial"/>
          <w:b/>
          <w:bCs/>
          <w:kern w:val="2"/>
        </w:rPr>
        <w:lastRenderedPageBreak/>
        <w:t xml:space="preserve">The ASDCs floors in RUC should necessarily be implemented in the </w:t>
      </w:r>
      <w:r w:rsidR="00BD1E78">
        <w:rPr>
          <w:rFonts w:ascii="Arial" w:eastAsia="Aptos" w:hAnsi="Arial" w:cs="Arial"/>
          <w:b/>
          <w:bCs/>
          <w:kern w:val="2"/>
        </w:rPr>
        <w:t>DAM and RTM</w:t>
      </w:r>
      <w:r w:rsidRPr="00506923">
        <w:rPr>
          <w:rFonts w:ascii="Arial" w:eastAsia="Aptos" w:hAnsi="Arial" w:cs="Arial"/>
          <w:b/>
          <w:bCs/>
          <w:kern w:val="2"/>
        </w:rPr>
        <w:t xml:space="preserve"> so there is consistency as to the value of procuring A</w:t>
      </w:r>
      <w:r w:rsidR="00BD1E78">
        <w:rPr>
          <w:rFonts w:ascii="Arial" w:eastAsia="Aptos" w:hAnsi="Arial" w:cs="Arial"/>
          <w:b/>
          <w:bCs/>
          <w:kern w:val="2"/>
        </w:rPr>
        <w:t xml:space="preserve">ncillary </w:t>
      </w:r>
      <w:r w:rsidRPr="00506923">
        <w:rPr>
          <w:rFonts w:ascii="Arial" w:eastAsia="Aptos" w:hAnsi="Arial" w:cs="Arial"/>
          <w:b/>
          <w:bCs/>
          <w:kern w:val="2"/>
        </w:rPr>
        <w:t>S</w:t>
      </w:r>
      <w:r w:rsidR="00BD1E78">
        <w:rPr>
          <w:rFonts w:ascii="Arial" w:eastAsia="Aptos" w:hAnsi="Arial" w:cs="Arial"/>
          <w:b/>
          <w:bCs/>
          <w:kern w:val="2"/>
        </w:rPr>
        <w:t>ervice</w:t>
      </w:r>
      <w:r w:rsidRPr="00506923">
        <w:rPr>
          <w:rFonts w:ascii="Arial" w:eastAsia="Aptos" w:hAnsi="Arial" w:cs="Arial"/>
          <w:b/>
          <w:bCs/>
          <w:kern w:val="2"/>
        </w:rPr>
        <w:t>.</w:t>
      </w:r>
      <w:r w:rsidRPr="00506923">
        <w:rPr>
          <w:rFonts w:ascii="Arial" w:eastAsia="Aptos" w:hAnsi="Arial" w:cs="Arial"/>
          <w:kern w:val="2"/>
        </w:rPr>
        <w:t xml:space="preserve"> This is a non-sequitur. The RUC process includes numerous differences in how the cost functions are formulated in the optimization because RUC is used for an entirely different purpose than DAM or RTM. For example, energy and </w:t>
      </w:r>
      <w:r w:rsidR="00BD1E78">
        <w:rPr>
          <w:rFonts w:ascii="Arial" w:eastAsia="Aptos" w:hAnsi="Arial" w:cs="Arial"/>
          <w:kern w:val="2"/>
        </w:rPr>
        <w:t xml:space="preserve">Ancillary Service </w:t>
      </w:r>
      <w:r w:rsidRPr="00506923">
        <w:rPr>
          <w:rFonts w:ascii="Arial" w:eastAsia="Aptos" w:hAnsi="Arial" w:cs="Arial"/>
          <w:kern w:val="2"/>
        </w:rPr>
        <w:t xml:space="preserve">offers are scaled by a factor of 0.001 so that RUC weighs those costs less than the cost of start-up and minimum generation. The max shadow price for transmission constraint violations is also much higher in RUC than it is in DAM or RTM. </w:t>
      </w:r>
    </w:p>
    <w:p w14:paraId="52F41986" w14:textId="7E9E3986" w:rsidR="00506923" w:rsidRDefault="00506923" w:rsidP="00BD1E78">
      <w:pPr>
        <w:numPr>
          <w:ilvl w:val="0"/>
          <w:numId w:val="4"/>
        </w:numPr>
        <w:spacing w:before="120" w:after="120" w:line="259" w:lineRule="auto"/>
        <w:rPr>
          <w:rFonts w:ascii="Arial" w:eastAsia="Aptos" w:hAnsi="Arial" w:cs="Arial"/>
          <w:kern w:val="2"/>
        </w:rPr>
      </w:pPr>
      <w:r w:rsidRPr="00506923">
        <w:rPr>
          <w:rFonts w:ascii="Arial" w:eastAsia="Aptos" w:hAnsi="Arial" w:cs="Arial"/>
          <w:b/>
          <w:bCs/>
          <w:kern w:val="2"/>
        </w:rPr>
        <w:t xml:space="preserve">Without floors on the ASDCs, the markets won’t procure the whole </w:t>
      </w:r>
      <w:r w:rsidR="00BD1E78">
        <w:rPr>
          <w:rFonts w:ascii="Arial" w:eastAsia="Aptos" w:hAnsi="Arial" w:cs="Arial"/>
          <w:b/>
          <w:bCs/>
          <w:kern w:val="2"/>
        </w:rPr>
        <w:t xml:space="preserve">Ancillary Service </w:t>
      </w:r>
      <w:r w:rsidRPr="00506923">
        <w:rPr>
          <w:rFonts w:ascii="Arial" w:eastAsia="Aptos" w:hAnsi="Arial" w:cs="Arial"/>
          <w:b/>
          <w:bCs/>
          <w:kern w:val="2"/>
        </w:rPr>
        <w:t>Plan,</w:t>
      </w:r>
      <w:r w:rsidRPr="00506923">
        <w:rPr>
          <w:rFonts w:ascii="Arial" w:eastAsia="Aptos" w:hAnsi="Arial" w:cs="Arial"/>
          <w:kern w:val="2"/>
        </w:rPr>
        <w:t xml:space="preserve"> </w:t>
      </w:r>
      <w:r w:rsidRPr="00506923">
        <w:rPr>
          <w:rFonts w:ascii="Arial" w:eastAsia="Aptos" w:hAnsi="Arial" w:cs="Arial"/>
          <w:b/>
          <w:bCs/>
          <w:kern w:val="2"/>
        </w:rPr>
        <w:t>particularly for N</w:t>
      </w:r>
      <w:r w:rsidR="00BD1E78">
        <w:rPr>
          <w:rFonts w:ascii="Arial" w:eastAsia="Aptos" w:hAnsi="Arial" w:cs="Arial"/>
          <w:b/>
          <w:bCs/>
          <w:kern w:val="2"/>
        </w:rPr>
        <w:t>on-Spin</w:t>
      </w:r>
      <w:r w:rsidRPr="00506923">
        <w:rPr>
          <w:rFonts w:ascii="Arial" w:eastAsia="Aptos" w:hAnsi="Arial" w:cs="Arial"/>
          <w:b/>
          <w:bCs/>
          <w:kern w:val="2"/>
        </w:rPr>
        <w:t xml:space="preserve"> and ECRS,</w:t>
      </w:r>
      <w:r w:rsidRPr="00506923">
        <w:rPr>
          <w:rFonts w:ascii="Arial" w:eastAsia="Aptos" w:hAnsi="Arial" w:cs="Arial"/>
          <w:kern w:val="2"/>
        </w:rPr>
        <w:t xml:space="preserve"> </w:t>
      </w:r>
      <w:r w:rsidRPr="00506923">
        <w:rPr>
          <w:rFonts w:ascii="Arial" w:eastAsia="Aptos" w:hAnsi="Arial" w:cs="Arial"/>
          <w:b/>
          <w:bCs/>
          <w:kern w:val="2"/>
        </w:rPr>
        <w:t>under normal conditions.</w:t>
      </w:r>
      <w:r w:rsidRPr="00506923">
        <w:rPr>
          <w:rFonts w:ascii="Arial" w:eastAsia="Aptos" w:hAnsi="Arial" w:cs="Arial"/>
          <w:kern w:val="2"/>
        </w:rPr>
        <w:t xml:space="preserve"> </w:t>
      </w:r>
      <w:proofErr w:type="gramStart"/>
      <w:r w:rsidRPr="00506923">
        <w:rPr>
          <w:rFonts w:ascii="Arial" w:eastAsia="Aptos" w:hAnsi="Arial" w:cs="Arial"/>
          <w:kern w:val="2"/>
        </w:rPr>
        <w:t>Referring back</w:t>
      </w:r>
      <w:proofErr w:type="gramEnd"/>
      <w:r w:rsidRPr="00506923">
        <w:rPr>
          <w:rFonts w:ascii="Arial" w:eastAsia="Aptos" w:hAnsi="Arial" w:cs="Arial"/>
          <w:kern w:val="2"/>
        </w:rPr>
        <w:t xml:space="preserve"> to </w:t>
      </w:r>
      <w:r w:rsidRPr="00506923">
        <w:rPr>
          <w:rFonts w:ascii="Arial" w:eastAsia="Aptos" w:hAnsi="Arial" w:cs="Arial"/>
          <w:kern w:val="2"/>
        </w:rPr>
        <w:fldChar w:fldCharType="begin"/>
      </w:r>
      <w:r w:rsidRPr="00506923">
        <w:rPr>
          <w:rFonts w:ascii="Arial" w:eastAsia="Aptos" w:hAnsi="Arial" w:cs="Arial"/>
          <w:kern w:val="2"/>
        </w:rPr>
        <w:instrText xml:space="preserve"> REF _Ref192416500 \h </w:instrText>
      </w:r>
      <w:r w:rsidRPr="00506923">
        <w:rPr>
          <w:rFonts w:ascii="Arial" w:eastAsia="Aptos" w:hAnsi="Arial" w:cs="Arial"/>
          <w:kern w:val="2"/>
        </w:rPr>
      </w:r>
      <w:r w:rsidRPr="00506923">
        <w:rPr>
          <w:rFonts w:ascii="Arial" w:eastAsia="Aptos" w:hAnsi="Arial" w:cs="Arial"/>
          <w:kern w:val="2"/>
        </w:rPr>
        <w:instrText xml:space="preserve"> \* MERGEFORMAT </w:instrText>
      </w:r>
      <w:r w:rsidRPr="00506923">
        <w:rPr>
          <w:rFonts w:ascii="Arial" w:eastAsia="Aptos" w:hAnsi="Arial" w:cs="Arial"/>
          <w:kern w:val="2"/>
        </w:rPr>
        <w:fldChar w:fldCharType="separate"/>
      </w:r>
      <w:r w:rsidRPr="00506923">
        <w:rPr>
          <w:rFonts w:ascii="Arial" w:eastAsia="Aptos" w:hAnsi="Arial" w:cs="Arial"/>
          <w:kern w:val="2"/>
        </w:rPr>
        <w:t xml:space="preserve">Figure </w:t>
      </w:r>
      <w:r w:rsidRPr="00506923">
        <w:rPr>
          <w:rFonts w:ascii="Arial" w:eastAsia="Aptos" w:hAnsi="Arial" w:cs="Arial"/>
          <w:noProof/>
          <w:kern w:val="2"/>
        </w:rPr>
        <w:t>1</w:t>
      </w:r>
      <w:r w:rsidRPr="00506923">
        <w:rPr>
          <w:rFonts w:ascii="Arial" w:eastAsia="Aptos" w:hAnsi="Arial" w:cs="Arial"/>
          <w:kern w:val="2"/>
        </w:rPr>
        <w:fldChar w:fldCharType="end"/>
      </w:r>
      <w:r w:rsidRPr="00506923">
        <w:rPr>
          <w:rFonts w:ascii="Arial" w:eastAsia="Aptos" w:hAnsi="Arial" w:cs="Arial"/>
          <w:kern w:val="2"/>
        </w:rPr>
        <w:t>, approximately 90% of DAM offers for N</w:t>
      </w:r>
      <w:r w:rsidR="00BD1E78">
        <w:rPr>
          <w:rFonts w:ascii="Arial" w:eastAsia="Aptos" w:hAnsi="Arial" w:cs="Arial"/>
          <w:kern w:val="2"/>
        </w:rPr>
        <w:t>on-Spin</w:t>
      </w:r>
      <w:r w:rsidRPr="00506923">
        <w:rPr>
          <w:rFonts w:ascii="Arial" w:eastAsia="Aptos" w:hAnsi="Arial" w:cs="Arial"/>
          <w:kern w:val="2"/>
        </w:rPr>
        <w:t xml:space="preserve"> and ECRS in 2024 were priced below $15. That volume of offers corresponds to 2-3x the capacity needed to meet the N</w:t>
      </w:r>
      <w:r w:rsidR="00BD1E78">
        <w:rPr>
          <w:rFonts w:ascii="Arial" w:eastAsia="Aptos" w:hAnsi="Arial" w:cs="Arial"/>
          <w:kern w:val="2"/>
        </w:rPr>
        <w:t>on-Spin</w:t>
      </w:r>
      <w:r w:rsidRPr="00506923">
        <w:rPr>
          <w:rFonts w:ascii="Arial" w:eastAsia="Aptos" w:hAnsi="Arial" w:cs="Arial"/>
          <w:kern w:val="2"/>
        </w:rPr>
        <w:t xml:space="preserve"> and ECRS plans on average. There is no empirical basis to claim that these products will not be procured under normal system conditions. The markets will only go short of these reserves at times when system conditions are relatively tight, and the co-optimization is trading off </w:t>
      </w:r>
      <w:r w:rsidR="00BD1E78">
        <w:rPr>
          <w:rFonts w:ascii="Arial" w:eastAsia="Aptos" w:hAnsi="Arial" w:cs="Arial"/>
          <w:kern w:val="2"/>
        </w:rPr>
        <w:t xml:space="preserve">Ancillary Service </w:t>
      </w:r>
      <w:r w:rsidRPr="00506923">
        <w:rPr>
          <w:rFonts w:ascii="Arial" w:eastAsia="Aptos" w:hAnsi="Arial" w:cs="Arial"/>
          <w:kern w:val="2"/>
        </w:rPr>
        <w:t xml:space="preserve">for energy as intended. </w:t>
      </w:r>
    </w:p>
    <w:p w14:paraId="5A28A43C" w14:textId="77777777" w:rsidR="00506923" w:rsidRPr="00506923" w:rsidRDefault="00506923" w:rsidP="00BD1E78">
      <w:pPr>
        <w:spacing w:before="120" w:after="120" w:line="259" w:lineRule="auto"/>
        <w:rPr>
          <w:rFonts w:ascii="Arial" w:eastAsia="Aptos" w:hAnsi="Arial" w:cs="Arial"/>
          <w:kern w:val="2"/>
        </w:rPr>
      </w:pPr>
      <w:r w:rsidRPr="00506923">
        <w:rPr>
          <w:rFonts w:ascii="Arial" w:eastAsia="Aptos" w:hAnsi="Arial" w:cs="Arial"/>
          <w:kern w:val="2"/>
        </w:rPr>
        <w:t>Beyond the stakeholder arguments in favor of this proposal, we have the following additional concerns:</w:t>
      </w:r>
    </w:p>
    <w:p w14:paraId="64317B85" w14:textId="138E7D7D" w:rsidR="00506923" w:rsidRPr="00506923" w:rsidRDefault="00506923" w:rsidP="00BD1E78">
      <w:pPr>
        <w:numPr>
          <w:ilvl w:val="0"/>
          <w:numId w:val="5"/>
        </w:numPr>
        <w:spacing w:before="120" w:after="120" w:line="259" w:lineRule="auto"/>
        <w:rPr>
          <w:rFonts w:ascii="Arial" w:eastAsia="Aptos" w:hAnsi="Arial" w:cs="Arial"/>
          <w:kern w:val="2"/>
        </w:rPr>
      </w:pPr>
      <w:r w:rsidRPr="00506923">
        <w:rPr>
          <w:rFonts w:ascii="Arial" w:eastAsia="Aptos" w:hAnsi="Arial" w:cs="Arial"/>
          <w:kern w:val="2"/>
        </w:rPr>
        <w:t xml:space="preserve">Imposing floors on the ASDCs amounts to changing the </w:t>
      </w:r>
      <w:r w:rsidR="00BD1E78">
        <w:rPr>
          <w:rFonts w:ascii="Arial" w:eastAsia="Aptos" w:hAnsi="Arial" w:cs="Arial"/>
          <w:kern w:val="2"/>
        </w:rPr>
        <w:t>Aggregate Operating Reserve Demand Curve (</w:t>
      </w:r>
      <w:r w:rsidRPr="00506923">
        <w:rPr>
          <w:rFonts w:ascii="Arial" w:eastAsia="Aptos" w:hAnsi="Arial" w:cs="Arial"/>
          <w:kern w:val="2"/>
        </w:rPr>
        <w:t>AORDC</w:t>
      </w:r>
      <w:r w:rsidR="00BD1E78">
        <w:rPr>
          <w:rFonts w:ascii="Arial" w:eastAsia="Aptos" w:hAnsi="Arial" w:cs="Arial"/>
          <w:kern w:val="2"/>
        </w:rPr>
        <w:t>)</w:t>
      </w:r>
      <w:r w:rsidRPr="00506923">
        <w:rPr>
          <w:rFonts w:ascii="Arial" w:eastAsia="Aptos" w:hAnsi="Arial" w:cs="Arial"/>
          <w:kern w:val="2"/>
        </w:rPr>
        <w:t xml:space="preserve">, which is separate policy decision that warrants its own deliberate analysis and discussion. Numerous stakeholders have shared ideas as to how the AORDC should be reformulated or whether it should be replaced entirely by individual, independently formulated ASDCs. Insisting on a change to the shape of the AORDC at this time could result in delaying RTC go-live due to protracted discussion among stakeholders.   </w:t>
      </w:r>
    </w:p>
    <w:p w14:paraId="595C8278" w14:textId="77777777" w:rsidR="00506923" w:rsidRPr="00506923" w:rsidRDefault="00506923" w:rsidP="00BD1E78">
      <w:pPr>
        <w:numPr>
          <w:ilvl w:val="0"/>
          <w:numId w:val="5"/>
        </w:numPr>
        <w:spacing w:before="120" w:after="120" w:line="259" w:lineRule="auto"/>
        <w:rPr>
          <w:rFonts w:ascii="Arial" w:eastAsia="Aptos" w:hAnsi="Arial" w:cs="Arial"/>
          <w:kern w:val="2"/>
        </w:rPr>
      </w:pPr>
      <w:r w:rsidRPr="00506923">
        <w:rPr>
          <w:rFonts w:ascii="Arial" w:eastAsia="Aptos" w:hAnsi="Arial" w:cs="Arial"/>
          <w:kern w:val="2"/>
        </w:rPr>
        <w:t xml:space="preserve">The “bridge solution” implemented on the ORDC in 2023 introduced price floors of $10 and $20 for reserve levels less than 7,000 MW and 6,500 MW, respectively. The reserve level on the AORDC corresponding to $15 is roughly 6,983 MW. Thus, the AORDC is already in line with the bridge solution, and TCPA’s proposal represents a substantial expansion of the established price floors. </w:t>
      </w:r>
    </w:p>
    <w:p w14:paraId="4D0617AD" w14:textId="332EB4A2" w:rsidR="00506923" w:rsidRDefault="00506923" w:rsidP="00BD1E78">
      <w:pPr>
        <w:numPr>
          <w:ilvl w:val="0"/>
          <w:numId w:val="5"/>
        </w:numPr>
        <w:spacing w:before="120" w:after="120" w:line="259" w:lineRule="auto"/>
        <w:rPr>
          <w:rFonts w:ascii="Arial" w:eastAsia="Aptos" w:hAnsi="Arial" w:cs="Arial"/>
          <w:kern w:val="2"/>
        </w:rPr>
      </w:pPr>
      <w:r w:rsidRPr="00506923">
        <w:rPr>
          <w:rFonts w:ascii="Arial" w:eastAsia="Aptos" w:hAnsi="Arial" w:cs="Arial"/>
          <w:kern w:val="2"/>
        </w:rPr>
        <w:t xml:space="preserve">The capacity of reserves priced between $15 and the full </w:t>
      </w:r>
      <w:r w:rsidR="00BD1E78">
        <w:rPr>
          <w:rFonts w:ascii="Arial" w:eastAsia="Aptos" w:hAnsi="Arial" w:cs="Arial"/>
          <w:kern w:val="2"/>
        </w:rPr>
        <w:t xml:space="preserve">Ancillary Service </w:t>
      </w:r>
      <w:r w:rsidRPr="00506923">
        <w:rPr>
          <w:rFonts w:ascii="Arial" w:eastAsia="Aptos" w:hAnsi="Arial" w:cs="Arial"/>
          <w:kern w:val="2"/>
        </w:rPr>
        <w:t xml:space="preserve">Plan according to the AORDC varies from almost 1,000 MW on average to over 3,000 MW at maximum. Increasing the price of </w:t>
      </w:r>
      <w:r w:rsidR="00BD1E78">
        <w:rPr>
          <w:rFonts w:ascii="Arial" w:eastAsia="Aptos" w:hAnsi="Arial" w:cs="Arial"/>
          <w:kern w:val="2"/>
        </w:rPr>
        <w:t xml:space="preserve">Ancillary Service </w:t>
      </w:r>
      <w:r w:rsidRPr="00506923">
        <w:rPr>
          <w:rFonts w:ascii="Arial" w:eastAsia="Aptos" w:hAnsi="Arial" w:cs="Arial"/>
          <w:kern w:val="2"/>
        </w:rPr>
        <w:t>Shortages within this range to $15 could result in excess costs to the market of more than $100mm per year.</w:t>
      </w:r>
    </w:p>
    <w:p w14:paraId="7DC718C4" w14:textId="77777777" w:rsidR="00ED2ABF" w:rsidRPr="00506923" w:rsidRDefault="00ED2ABF" w:rsidP="00BD1E78">
      <w:pPr>
        <w:spacing w:before="120" w:after="120" w:line="259" w:lineRule="auto"/>
        <w:ind w:left="720"/>
        <w:rPr>
          <w:rFonts w:ascii="Arial" w:eastAsia="Aptos" w:hAnsi="Arial" w:cs="Arial"/>
          <w:kern w:val="2"/>
        </w:rPr>
      </w:pPr>
    </w:p>
    <w:p w14:paraId="5A0E1DFF" w14:textId="6C3EBEC8" w:rsidR="00506923" w:rsidRPr="00506923" w:rsidRDefault="00506923" w:rsidP="00BD1E78">
      <w:pPr>
        <w:spacing w:before="120" w:after="120" w:line="259" w:lineRule="auto"/>
        <w:rPr>
          <w:rFonts w:ascii="Arial" w:eastAsia="Aptos" w:hAnsi="Arial" w:cs="Arial"/>
          <w:kern w:val="2"/>
        </w:rPr>
      </w:pPr>
      <w:r w:rsidRPr="00506923">
        <w:rPr>
          <w:rFonts w:ascii="Arial" w:eastAsia="Aptos" w:hAnsi="Arial" w:cs="Arial"/>
          <w:kern w:val="2"/>
        </w:rPr>
        <w:t xml:space="preserve">The cost estimate is based on both the additional cost of procuring </w:t>
      </w:r>
      <w:r w:rsidR="00BD1E78">
        <w:rPr>
          <w:rFonts w:ascii="Arial" w:eastAsia="Aptos" w:hAnsi="Arial" w:cs="Arial"/>
          <w:kern w:val="2"/>
        </w:rPr>
        <w:t xml:space="preserve">Ancillary Service </w:t>
      </w:r>
      <w:r w:rsidRPr="00506923">
        <w:rPr>
          <w:rFonts w:ascii="Arial" w:eastAsia="Aptos" w:hAnsi="Arial" w:cs="Arial"/>
          <w:kern w:val="2"/>
        </w:rPr>
        <w:t xml:space="preserve">when it is being priced according to the proposed $15 ASDC price floor and the corresponding increase in energy prices. This estimate is based on the AORDC, the hourly </w:t>
      </w:r>
      <w:r w:rsidR="00BD1E78">
        <w:rPr>
          <w:rFonts w:ascii="Arial" w:eastAsia="Aptos" w:hAnsi="Arial" w:cs="Arial"/>
          <w:kern w:val="2"/>
        </w:rPr>
        <w:t xml:space="preserve">Ancillary Service </w:t>
      </w:r>
      <w:r w:rsidRPr="00506923">
        <w:rPr>
          <w:rFonts w:ascii="Arial" w:eastAsia="Aptos" w:hAnsi="Arial" w:cs="Arial"/>
          <w:kern w:val="2"/>
        </w:rPr>
        <w:t>Plan, and the historical pricing outcomes of the ORDC as follows:</w:t>
      </w:r>
    </w:p>
    <w:p w14:paraId="6AA1B725" w14:textId="0AE86213" w:rsidR="00506923" w:rsidRPr="00506923" w:rsidRDefault="00506923" w:rsidP="00BD1E78">
      <w:pPr>
        <w:numPr>
          <w:ilvl w:val="0"/>
          <w:numId w:val="6"/>
        </w:numPr>
        <w:spacing w:before="120" w:after="120" w:line="259" w:lineRule="auto"/>
        <w:rPr>
          <w:rFonts w:ascii="Arial" w:eastAsia="Aptos" w:hAnsi="Arial" w:cs="Arial"/>
          <w:kern w:val="2"/>
        </w:rPr>
      </w:pPr>
      <w:r w:rsidRPr="00506923">
        <w:rPr>
          <w:rFonts w:ascii="Arial" w:eastAsia="Aptos" w:hAnsi="Arial" w:cs="Arial"/>
          <w:kern w:val="2"/>
        </w:rPr>
        <w:t xml:space="preserve">We considered intervals in 2022-2024 where the ORDC printed between $15 and the value corresponding to the full </w:t>
      </w:r>
      <w:r w:rsidR="00BD1E78">
        <w:rPr>
          <w:rFonts w:ascii="Arial" w:eastAsia="Aptos" w:hAnsi="Arial" w:cs="Arial"/>
          <w:kern w:val="2"/>
        </w:rPr>
        <w:t xml:space="preserve">Ancillary Service </w:t>
      </w:r>
      <w:r w:rsidRPr="00506923">
        <w:rPr>
          <w:rFonts w:ascii="Arial" w:eastAsia="Aptos" w:hAnsi="Arial" w:cs="Arial"/>
          <w:kern w:val="2"/>
        </w:rPr>
        <w:t xml:space="preserve">Plan on the AORDC that will be used in RTC. For example, if the total </w:t>
      </w:r>
      <w:r w:rsidR="00BD1E78">
        <w:rPr>
          <w:rFonts w:ascii="Arial" w:eastAsia="Aptos" w:hAnsi="Arial" w:cs="Arial"/>
          <w:kern w:val="2"/>
        </w:rPr>
        <w:t xml:space="preserve">Ancillary Service </w:t>
      </w:r>
      <w:r w:rsidRPr="00506923">
        <w:rPr>
          <w:rFonts w:ascii="Arial" w:eastAsia="Aptos" w:hAnsi="Arial" w:cs="Arial"/>
          <w:kern w:val="2"/>
        </w:rPr>
        <w:t xml:space="preserve">Plan was 8,000 MW, the corresponding value on the AORDC is $0.78. Thus, if the ORDC printed between $0.78 and $15 for that interval, we assume the ASDC floor would have been binding. </w:t>
      </w:r>
    </w:p>
    <w:p w14:paraId="58FBFBC7" w14:textId="455469EB" w:rsidR="00506923" w:rsidRPr="00506923" w:rsidRDefault="00506923" w:rsidP="00BD1E78">
      <w:pPr>
        <w:numPr>
          <w:ilvl w:val="0"/>
          <w:numId w:val="6"/>
        </w:numPr>
        <w:spacing w:before="120" w:after="120" w:line="259" w:lineRule="auto"/>
        <w:rPr>
          <w:rFonts w:ascii="Arial" w:eastAsia="Aptos" w:hAnsi="Arial" w:cs="Arial"/>
          <w:kern w:val="2"/>
        </w:rPr>
      </w:pPr>
      <w:r w:rsidRPr="00506923">
        <w:rPr>
          <w:rFonts w:ascii="Arial" w:eastAsia="Aptos" w:hAnsi="Arial" w:cs="Arial"/>
          <w:kern w:val="2"/>
        </w:rPr>
        <w:t xml:space="preserve">Taking the difference between the realized ORDC price and $15, we multiply that price difference by the volume of </w:t>
      </w:r>
      <w:r w:rsidR="00BD1E78">
        <w:rPr>
          <w:rFonts w:ascii="Arial" w:eastAsia="Aptos" w:hAnsi="Arial" w:cs="Arial"/>
          <w:kern w:val="2"/>
        </w:rPr>
        <w:t xml:space="preserve">Ancillary Service </w:t>
      </w:r>
      <w:r w:rsidRPr="00506923">
        <w:rPr>
          <w:rFonts w:ascii="Arial" w:eastAsia="Aptos" w:hAnsi="Arial" w:cs="Arial"/>
          <w:kern w:val="2"/>
        </w:rPr>
        <w:t xml:space="preserve">that would have been procured after adjusting for the </w:t>
      </w:r>
      <w:r w:rsidR="00BD1E78">
        <w:rPr>
          <w:rFonts w:ascii="Arial" w:eastAsia="Aptos" w:hAnsi="Arial" w:cs="Arial"/>
          <w:kern w:val="2"/>
        </w:rPr>
        <w:t xml:space="preserve">Ancillary Service </w:t>
      </w:r>
      <w:r w:rsidRPr="00506923">
        <w:rPr>
          <w:rFonts w:ascii="Arial" w:eastAsia="Aptos" w:hAnsi="Arial" w:cs="Arial"/>
          <w:kern w:val="2"/>
        </w:rPr>
        <w:t xml:space="preserve">shortage implied by the realized ORDC price. For example, if the realized ORDC was $1, the corresponding </w:t>
      </w:r>
      <w:r w:rsidR="00BD1E78">
        <w:rPr>
          <w:rFonts w:ascii="Arial" w:eastAsia="Aptos" w:hAnsi="Arial" w:cs="Arial"/>
          <w:kern w:val="2"/>
        </w:rPr>
        <w:t xml:space="preserve">Ancillary Service </w:t>
      </w:r>
      <w:r w:rsidRPr="00506923">
        <w:rPr>
          <w:rFonts w:ascii="Arial" w:eastAsia="Aptos" w:hAnsi="Arial" w:cs="Arial"/>
          <w:kern w:val="2"/>
        </w:rPr>
        <w:t xml:space="preserve">volume is 7,921 MW, and the resulting excess cost for procuring </w:t>
      </w:r>
      <w:r w:rsidR="00BD1E78">
        <w:rPr>
          <w:rFonts w:ascii="Arial" w:eastAsia="Aptos" w:hAnsi="Arial" w:cs="Arial"/>
          <w:kern w:val="2"/>
        </w:rPr>
        <w:t xml:space="preserve">Ancillary Service </w:t>
      </w:r>
      <w:r w:rsidRPr="00506923">
        <w:rPr>
          <w:rFonts w:ascii="Arial" w:eastAsia="Aptos" w:hAnsi="Arial" w:cs="Arial"/>
          <w:kern w:val="2"/>
        </w:rPr>
        <w:t xml:space="preserve">is $110,894.  </w:t>
      </w:r>
    </w:p>
    <w:p w14:paraId="55F6EC5D" w14:textId="33898210" w:rsidR="00506923" w:rsidRPr="00506923" w:rsidRDefault="00506923" w:rsidP="00BD1E78">
      <w:pPr>
        <w:numPr>
          <w:ilvl w:val="0"/>
          <w:numId w:val="6"/>
        </w:numPr>
        <w:spacing w:before="120" w:after="120" w:line="259" w:lineRule="auto"/>
        <w:rPr>
          <w:rFonts w:ascii="Arial" w:eastAsia="Aptos" w:hAnsi="Arial" w:cs="Arial"/>
          <w:kern w:val="2"/>
        </w:rPr>
      </w:pPr>
      <w:r w:rsidRPr="00506923">
        <w:rPr>
          <w:rFonts w:ascii="Arial" w:eastAsia="Aptos" w:hAnsi="Arial" w:cs="Arial"/>
          <w:kern w:val="2"/>
        </w:rPr>
        <w:t xml:space="preserve">We then then also multiply that cost difference by the settlement load to estimate the corresponding impact on the cost of energy. The increase in the energy price in general should be at least as high as the increase in the </w:t>
      </w:r>
      <w:r w:rsidR="00BD1E78">
        <w:rPr>
          <w:rFonts w:ascii="Arial" w:eastAsia="Aptos" w:hAnsi="Arial" w:cs="Arial"/>
          <w:kern w:val="2"/>
        </w:rPr>
        <w:t xml:space="preserve">Ancillary Service </w:t>
      </w:r>
      <w:r w:rsidRPr="00506923">
        <w:rPr>
          <w:rFonts w:ascii="Arial" w:eastAsia="Aptos" w:hAnsi="Arial" w:cs="Arial"/>
          <w:kern w:val="2"/>
        </w:rPr>
        <w:t xml:space="preserve">price. </w:t>
      </w:r>
    </w:p>
    <w:p w14:paraId="7CD69B46" w14:textId="2885A0AF" w:rsidR="00506923" w:rsidRPr="00506923" w:rsidRDefault="00506923" w:rsidP="00BD1E78">
      <w:pPr>
        <w:keepNext/>
        <w:spacing w:before="120" w:after="120" w:line="259" w:lineRule="auto"/>
        <w:rPr>
          <w:rFonts w:ascii="Arial" w:eastAsia="Aptos" w:hAnsi="Arial" w:cs="Arial"/>
          <w:kern w:val="2"/>
        </w:rPr>
      </w:pPr>
      <w:r w:rsidRPr="00506923">
        <w:rPr>
          <w:rFonts w:ascii="Arial" w:eastAsia="Aptos" w:hAnsi="Arial" w:cs="Arial"/>
          <w:kern w:val="2"/>
        </w:rPr>
        <w:t xml:space="preserve">Based on this methodology, we produced the following estimates as to how these ASDC floors would have impacted the cost of energy and </w:t>
      </w:r>
      <w:r w:rsidR="00BD1E78">
        <w:rPr>
          <w:rFonts w:ascii="Arial" w:eastAsia="Aptos" w:hAnsi="Arial" w:cs="Arial"/>
          <w:kern w:val="2"/>
        </w:rPr>
        <w:t xml:space="preserve">Ancillary Service </w:t>
      </w:r>
      <w:r w:rsidRPr="00506923">
        <w:rPr>
          <w:rFonts w:ascii="Arial" w:eastAsia="Aptos" w:hAnsi="Arial" w:cs="Arial"/>
          <w:kern w:val="2"/>
        </w:rPr>
        <w:t>from 2022-2024:</w:t>
      </w:r>
    </w:p>
    <w:tbl>
      <w:tblPr>
        <w:tblW w:w="6129" w:type="dxa"/>
        <w:jc w:val="center"/>
        <w:tblBorders>
          <w:insideH w:val="single" w:sz="4" w:space="0" w:color="auto"/>
          <w:insideV w:val="single" w:sz="4" w:space="0" w:color="auto"/>
        </w:tblBorders>
        <w:tblLook w:val="04A0" w:firstRow="1" w:lastRow="0" w:firstColumn="1" w:lastColumn="0" w:noHBand="0" w:noVBand="1"/>
      </w:tblPr>
      <w:tblGrid>
        <w:gridCol w:w="1850"/>
        <w:gridCol w:w="2121"/>
        <w:gridCol w:w="2158"/>
      </w:tblGrid>
      <w:tr w:rsidR="00506923" w:rsidRPr="00506923" w14:paraId="491451DA" w14:textId="77777777" w:rsidTr="00BD1E78">
        <w:trPr>
          <w:trHeight w:val="603"/>
          <w:jc w:val="center"/>
        </w:trPr>
        <w:tc>
          <w:tcPr>
            <w:tcW w:w="1850" w:type="dxa"/>
            <w:shd w:val="clear" w:color="auto" w:fill="auto"/>
            <w:noWrap/>
            <w:vAlign w:val="center"/>
            <w:hideMark/>
          </w:tcPr>
          <w:p w14:paraId="500FD76C" w14:textId="77777777" w:rsidR="00506923" w:rsidRPr="00506923" w:rsidRDefault="00506923" w:rsidP="00BD1E78">
            <w:pPr>
              <w:spacing w:before="120" w:after="120"/>
              <w:jc w:val="center"/>
              <w:rPr>
                <w:rFonts w:ascii="Arial" w:hAnsi="Arial" w:cs="Arial"/>
                <w:color w:val="000000"/>
              </w:rPr>
            </w:pPr>
            <w:r w:rsidRPr="00506923">
              <w:rPr>
                <w:rFonts w:ascii="Arial" w:hAnsi="Arial" w:cs="Arial"/>
                <w:color w:val="000000"/>
              </w:rPr>
              <w:t>Year</w:t>
            </w:r>
          </w:p>
        </w:tc>
        <w:tc>
          <w:tcPr>
            <w:tcW w:w="2121" w:type="dxa"/>
            <w:shd w:val="clear" w:color="auto" w:fill="auto"/>
            <w:vAlign w:val="center"/>
            <w:hideMark/>
          </w:tcPr>
          <w:p w14:paraId="0AC821FB" w14:textId="1B11B35E" w:rsidR="00506923" w:rsidRPr="00506923" w:rsidRDefault="00506923" w:rsidP="00BD1E78">
            <w:pPr>
              <w:spacing w:before="120" w:after="120"/>
              <w:jc w:val="center"/>
              <w:rPr>
                <w:rFonts w:ascii="Arial" w:hAnsi="Arial" w:cs="Arial"/>
                <w:color w:val="000000"/>
              </w:rPr>
            </w:pPr>
            <w:r w:rsidRPr="00506923">
              <w:rPr>
                <w:rFonts w:ascii="Arial" w:hAnsi="Arial" w:cs="Arial"/>
                <w:color w:val="000000"/>
              </w:rPr>
              <w:t xml:space="preserve">Increased </w:t>
            </w:r>
            <w:r w:rsidR="00BD1E78">
              <w:rPr>
                <w:rFonts w:ascii="Arial" w:hAnsi="Arial" w:cs="Arial"/>
                <w:color w:val="000000"/>
              </w:rPr>
              <w:t xml:space="preserve">Ancillary Service </w:t>
            </w:r>
            <w:r w:rsidRPr="00506923">
              <w:rPr>
                <w:rFonts w:ascii="Arial" w:hAnsi="Arial" w:cs="Arial"/>
                <w:color w:val="000000"/>
              </w:rPr>
              <w:t>Cost ($MM)</w:t>
            </w:r>
          </w:p>
        </w:tc>
        <w:tc>
          <w:tcPr>
            <w:tcW w:w="2158" w:type="dxa"/>
            <w:shd w:val="clear" w:color="auto" w:fill="auto"/>
            <w:vAlign w:val="center"/>
            <w:hideMark/>
          </w:tcPr>
          <w:p w14:paraId="3ACC4232" w14:textId="77777777" w:rsidR="00506923" w:rsidRPr="00506923" w:rsidRDefault="00506923" w:rsidP="00BD1E78">
            <w:pPr>
              <w:spacing w:before="120" w:after="120"/>
              <w:jc w:val="center"/>
              <w:rPr>
                <w:rFonts w:ascii="Arial" w:hAnsi="Arial" w:cs="Arial"/>
                <w:color w:val="000000"/>
              </w:rPr>
            </w:pPr>
            <w:r w:rsidRPr="00506923">
              <w:rPr>
                <w:rFonts w:ascii="Arial" w:hAnsi="Arial" w:cs="Arial"/>
                <w:color w:val="000000"/>
              </w:rPr>
              <w:t>Increased Energy Cost ($MM)</w:t>
            </w:r>
          </w:p>
        </w:tc>
      </w:tr>
      <w:tr w:rsidR="00506923" w:rsidRPr="00506923" w14:paraId="4247F9C7" w14:textId="77777777" w:rsidTr="00BD1E78">
        <w:trPr>
          <w:trHeight w:val="301"/>
          <w:jc w:val="center"/>
        </w:trPr>
        <w:tc>
          <w:tcPr>
            <w:tcW w:w="1850" w:type="dxa"/>
            <w:shd w:val="clear" w:color="auto" w:fill="auto"/>
            <w:noWrap/>
            <w:vAlign w:val="center"/>
            <w:hideMark/>
          </w:tcPr>
          <w:p w14:paraId="2B95024C" w14:textId="77777777" w:rsidR="00506923" w:rsidRPr="00506923" w:rsidRDefault="00506923" w:rsidP="00BD1E78">
            <w:pPr>
              <w:spacing w:before="120" w:after="120"/>
              <w:jc w:val="center"/>
              <w:rPr>
                <w:rFonts w:ascii="Arial" w:hAnsi="Arial" w:cs="Arial"/>
                <w:color w:val="000000"/>
              </w:rPr>
            </w:pPr>
            <w:r w:rsidRPr="00506923">
              <w:rPr>
                <w:rFonts w:ascii="Arial" w:hAnsi="Arial" w:cs="Arial"/>
                <w:color w:val="000000"/>
              </w:rPr>
              <w:t>2022</w:t>
            </w:r>
          </w:p>
        </w:tc>
        <w:tc>
          <w:tcPr>
            <w:tcW w:w="2121" w:type="dxa"/>
            <w:shd w:val="clear" w:color="auto" w:fill="auto"/>
            <w:noWrap/>
            <w:vAlign w:val="center"/>
            <w:hideMark/>
          </w:tcPr>
          <w:p w14:paraId="0E85D8E2" w14:textId="77777777" w:rsidR="00506923" w:rsidRPr="00506923" w:rsidRDefault="00506923" w:rsidP="00BD1E78">
            <w:pPr>
              <w:spacing w:before="120" w:after="120"/>
              <w:jc w:val="center"/>
              <w:rPr>
                <w:rFonts w:ascii="Arial" w:hAnsi="Arial" w:cs="Arial"/>
                <w:color w:val="000000"/>
              </w:rPr>
            </w:pPr>
            <w:r w:rsidRPr="00506923">
              <w:rPr>
                <w:rFonts w:ascii="Arial" w:hAnsi="Arial" w:cs="Arial"/>
                <w:color w:val="000000"/>
              </w:rPr>
              <w:t>6</w:t>
            </w:r>
          </w:p>
        </w:tc>
        <w:tc>
          <w:tcPr>
            <w:tcW w:w="2158" w:type="dxa"/>
            <w:shd w:val="clear" w:color="auto" w:fill="auto"/>
            <w:noWrap/>
            <w:vAlign w:val="center"/>
            <w:hideMark/>
          </w:tcPr>
          <w:p w14:paraId="3FDDFD37" w14:textId="77777777" w:rsidR="00506923" w:rsidRPr="00506923" w:rsidRDefault="00506923" w:rsidP="00BD1E78">
            <w:pPr>
              <w:spacing w:before="120" w:after="120"/>
              <w:jc w:val="center"/>
              <w:rPr>
                <w:rFonts w:ascii="Arial" w:hAnsi="Arial" w:cs="Arial"/>
                <w:color w:val="000000"/>
              </w:rPr>
            </w:pPr>
            <w:r w:rsidRPr="00506923">
              <w:rPr>
                <w:rFonts w:ascii="Arial" w:hAnsi="Arial" w:cs="Arial"/>
                <w:color w:val="000000"/>
              </w:rPr>
              <w:t>38</w:t>
            </w:r>
          </w:p>
        </w:tc>
      </w:tr>
      <w:tr w:rsidR="00506923" w:rsidRPr="00506923" w14:paraId="79A26374" w14:textId="77777777" w:rsidTr="00BD1E78">
        <w:trPr>
          <w:trHeight w:val="301"/>
          <w:jc w:val="center"/>
        </w:trPr>
        <w:tc>
          <w:tcPr>
            <w:tcW w:w="1850" w:type="dxa"/>
            <w:shd w:val="clear" w:color="auto" w:fill="auto"/>
            <w:noWrap/>
            <w:vAlign w:val="center"/>
            <w:hideMark/>
          </w:tcPr>
          <w:p w14:paraId="5E46161E" w14:textId="77777777" w:rsidR="00506923" w:rsidRPr="00506923" w:rsidRDefault="00506923" w:rsidP="00BD1E78">
            <w:pPr>
              <w:spacing w:before="120" w:after="120"/>
              <w:jc w:val="center"/>
              <w:rPr>
                <w:rFonts w:ascii="Arial" w:hAnsi="Arial" w:cs="Arial"/>
                <w:color w:val="000000"/>
              </w:rPr>
            </w:pPr>
            <w:r w:rsidRPr="00506923">
              <w:rPr>
                <w:rFonts w:ascii="Arial" w:hAnsi="Arial" w:cs="Arial"/>
                <w:color w:val="000000"/>
              </w:rPr>
              <w:t>2023</w:t>
            </w:r>
          </w:p>
        </w:tc>
        <w:tc>
          <w:tcPr>
            <w:tcW w:w="2121" w:type="dxa"/>
            <w:shd w:val="clear" w:color="auto" w:fill="auto"/>
            <w:noWrap/>
            <w:vAlign w:val="center"/>
            <w:hideMark/>
          </w:tcPr>
          <w:p w14:paraId="41CB5A09" w14:textId="77777777" w:rsidR="00506923" w:rsidRPr="00506923" w:rsidRDefault="00506923" w:rsidP="00BD1E78">
            <w:pPr>
              <w:spacing w:before="120" w:after="120"/>
              <w:jc w:val="center"/>
              <w:rPr>
                <w:rFonts w:ascii="Arial" w:hAnsi="Arial" w:cs="Arial"/>
                <w:color w:val="000000"/>
              </w:rPr>
            </w:pPr>
            <w:r w:rsidRPr="00506923">
              <w:rPr>
                <w:rFonts w:ascii="Arial" w:hAnsi="Arial" w:cs="Arial"/>
                <w:color w:val="000000"/>
              </w:rPr>
              <w:t>18</w:t>
            </w:r>
          </w:p>
        </w:tc>
        <w:tc>
          <w:tcPr>
            <w:tcW w:w="2158" w:type="dxa"/>
            <w:shd w:val="clear" w:color="auto" w:fill="auto"/>
            <w:noWrap/>
            <w:vAlign w:val="center"/>
            <w:hideMark/>
          </w:tcPr>
          <w:p w14:paraId="3149DCA5" w14:textId="77777777" w:rsidR="00506923" w:rsidRPr="00506923" w:rsidRDefault="00506923" w:rsidP="00BD1E78">
            <w:pPr>
              <w:spacing w:before="120" w:after="120"/>
              <w:jc w:val="center"/>
              <w:rPr>
                <w:rFonts w:ascii="Arial" w:hAnsi="Arial" w:cs="Arial"/>
                <w:color w:val="000000"/>
              </w:rPr>
            </w:pPr>
            <w:r w:rsidRPr="00506923">
              <w:rPr>
                <w:rFonts w:ascii="Arial" w:hAnsi="Arial" w:cs="Arial"/>
                <w:color w:val="000000"/>
              </w:rPr>
              <w:t>136</w:t>
            </w:r>
          </w:p>
        </w:tc>
      </w:tr>
      <w:tr w:rsidR="00506923" w:rsidRPr="00506923" w14:paraId="22EA1780" w14:textId="77777777" w:rsidTr="00BD1E78">
        <w:trPr>
          <w:trHeight w:val="301"/>
          <w:jc w:val="center"/>
        </w:trPr>
        <w:tc>
          <w:tcPr>
            <w:tcW w:w="1850" w:type="dxa"/>
            <w:shd w:val="clear" w:color="auto" w:fill="auto"/>
            <w:noWrap/>
            <w:vAlign w:val="center"/>
            <w:hideMark/>
          </w:tcPr>
          <w:p w14:paraId="65CE5E36" w14:textId="77777777" w:rsidR="00506923" w:rsidRPr="00506923" w:rsidRDefault="00506923" w:rsidP="00BD1E78">
            <w:pPr>
              <w:spacing w:before="120" w:after="120"/>
              <w:jc w:val="center"/>
              <w:rPr>
                <w:rFonts w:ascii="Arial" w:hAnsi="Arial" w:cs="Arial"/>
                <w:color w:val="000000"/>
              </w:rPr>
            </w:pPr>
            <w:r w:rsidRPr="00506923">
              <w:rPr>
                <w:rFonts w:ascii="Arial" w:hAnsi="Arial" w:cs="Arial"/>
                <w:color w:val="000000"/>
              </w:rPr>
              <w:t>2024</w:t>
            </w:r>
          </w:p>
        </w:tc>
        <w:tc>
          <w:tcPr>
            <w:tcW w:w="2121" w:type="dxa"/>
            <w:shd w:val="clear" w:color="auto" w:fill="auto"/>
            <w:noWrap/>
            <w:vAlign w:val="center"/>
            <w:hideMark/>
          </w:tcPr>
          <w:p w14:paraId="39012E3C" w14:textId="77777777" w:rsidR="00506923" w:rsidRPr="00506923" w:rsidRDefault="00506923" w:rsidP="00BD1E78">
            <w:pPr>
              <w:spacing w:before="120" w:after="120"/>
              <w:jc w:val="center"/>
              <w:rPr>
                <w:rFonts w:ascii="Arial" w:hAnsi="Arial" w:cs="Arial"/>
                <w:color w:val="000000"/>
              </w:rPr>
            </w:pPr>
            <w:r w:rsidRPr="00506923">
              <w:rPr>
                <w:rFonts w:ascii="Arial" w:hAnsi="Arial" w:cs="Arial"/>
                <w:color w:val="000000"/>
              </w:rPr>
              <w:t>2</w:t>
            </w:r>
          </w:p>
        </w:tc>
        <w:tc>
          <w:tcPr>
            <w:tcW w:w="2158" w:type="dxa"/>
            <w:shd w:val="clear" w:color="auto" w:fill="auto"/>
            <w:noWrap/>
            <w:vAlign w:val="center"/>
            <w:hideMark/>
          </w:tcPr>
          <w:p w14:paraId="7D578DDB" w14:textId="77777777" w:rsidR="00506923" w:rsidRPr="00506923" w:rsidRDefault="00506923" w:rsidP="00BD1E78">
            <w:pPr>
              <w:spacing w:before="120" w:after="120"/>
              <w:jc w:val="center"/>
              <w:rPr>
                <w:rFonts w:ascii="Arial" w:hAnsi="Arial" w:cs="Arial"/>
                <w:color w:val="000000"/>
              </w:rPr>
            </w:pPr>
            <w:r w:rsidRPr="00506923">
              <w:rPr>
                <w:rFonts w:ascii="Arial" w:hAnsi="Arial" w:cs="Arial"/>
                <w:color w:val="000000"/>
              </w:rPr>
              <w:t>17</w:t>
            </w:r>
          </w:p>
        </w:tc>
      </w:tr>
    </w:tbl>
    <w:p w14:paraId="0994569B" w14:textId="77777777" w:rsidR="00506923" w:rsidRPr="00506923" w:rsidRDefault="00506923" w:rsidP="00BD1E78">
      <w:pPr>
        <w:spacing w:before="120" w:after="120" w:line="259" w:lineRule="auto"/>
        <w:rPr>
          <w:rFonts w:ascii="Arial" w:eastAsia="Aptos" w:hAnsi="Arial" w:cs="Arial"/>
          <w:kern w:val="2"/>
        </w:rPr>
      </w:pPr>
    </w:p>
    <w:p w14:paraId="1ACB2844" w14:textId="77777777" w:rsidR="00506923" w:rsidRPr="00506923" w:rsidRDefault="00506923" w:rsidP="00BD1E78">
      <w:pPr>
        <w:spacing w:before="120" w:after="120" w:line="259" w:lineRule="auto"/>
        <w:rPr>
          <w:rFonts w:ascii="Arial" w:eastAsia="Aptos" w:hAnsi="Arial" w:cs="Arial"/>
          <w:kern w:val="2"/>
        </w:rPr>
      </w:pPr>
      <w:r w:rsidRPr="00506923">
        <w:rPr>
          <w:rFonts w:ascii="Arial" w:eastAsia="Aptos" w:hAnsi="Arial" w:cs="Arial"/>
          <w:kern w:val="2"/>
        </w:rPr>
        <w:t xml:space="preserve">Note that the effect on increased prices for energy is likely to be underestimated for two reasons: </w:t>
      </w:r>
    </w:p>
    <w:p w14:paraId="7ED475C4" w14:textId="4CBF8806" w:rsidR="00506923" w:rsidRPr="00506923" w:rsidRDefault="00506923" w:rsidP="00BD1E78">
      <w:pPr>
        <w:numPr>
          <w:ilvl w:val="0"/>
          <w:numId w:val="8"/>
        </w:numPr>
        <w:spacing w:before="120" w:after="120" w:line="259" w:lineRule="auto"/>
        <w:rPr>
          <w:rFonts w:ascii="Arial" w:eastAsia="Aptos" w:hAnsi="Arial" w:cs="Arial"/>
          <w:kern w:val="2"/>
        </w:rPr>
      </w:pPr>
      <w:r w:rsidRPr="00506923">
        <w:rPr>
          <w:rFonts w:ascii="Arial" w:eastAsia="Aptos" w:hAnsi="Arial" w:cs="Arial"/>
          <w:kern w:val="2"/>
        </w:rPr>
        <w:lastRenderedPageBreak/>
        <w:t xml:space="preserve">This methodology assumes that </w:t>
      </w:r>
      <w:r w:rsidR="00BD1E78">
        <w:rPr>
          <w:rFonts w:ascii="Arial" w:eastAsia="Aptos" w:hAnsi="Arial" w:cs="Arial"/>
          <w:kern w:val="2"/>
        </w:rPr>
        <w:t xml:space="preserve">Ancillary Service </w:t>
      </w:r>
      <w:r w:rsidRPr="00506923">
        <w:rPr>
          <w:rFonts w:ascii="Arial" w:eastAsia="Aptos" w:hAnsi="Arial" w:cs="Arial"/>
          <w:kern w:val="2"/>
        </w:rPr>
        <w:t>can be traded off for energy on a one-to-one basis. In practice, the market may have to go short multiple MWs of ECRS or N</w:t>
      </w:r>
      <w:r w:rsidR="00BD1E78">
        <w:rPr>
          <w:rFonts w:ascii="Arial" w:eastAsia="Aptos" w:hAnsi="Arial" w:cs="Arial"/>
          <w:kern w:val="2"/>
        </w:rPr>
        <w:t>on-Spin</w:t>
      </w:r>
      <w:r w:rsidRPr="00506923">
        <w:rPr>
          <w:rFonts w:ascii="Arial" w:eastAsia="Aptos" w:hAnsi="Arial" w:cs="Arial"/>
          <w:kern w:val="2"/>
        </w:rPr>
        <w:t xml:space="preserve"> to produce the next MW of energy depending on the ramp rates of the reserves available in the system. In such cases, the impact of these ASDC floors on the energy price would be even more significant than what is assumed in this analysis. </w:t>
      </w:r>
    </w:p>
    <w:p w14:paraId="26F61822" w14:textId="7FDF27A7" w:rsidR="00060FCA" w:rsidRPr="00BD1E78" w:rsidRDefault="00506923" w:rsidP="00BD1E78">
      <w:pPr>
        <w:numPr>
          <w:ilvl w:val="0"/>
          <w:numId w:val="8"/>
        </w:numPr>
        <w:spacing w:before="120" w:after="120" w:line="259" w:lineRule="auto"/>
        <w:rPr>
          <w:rFonts w:ascii="Arial" w:eastAsia="Aptos" w:hAnsi="Arial" w:cs="Arial"/>
          <w:kern w:val="2"/>
        </w:rPr>
      </w:pPr>
      <w:r w:rsidRPr="00506923">
        <w:rPr>
          <w:rFonts w:ascii="Arial" w:eastAsia="Aptos" w:hAnsi="Arial" w:cs="Arial"/>
          <w:kern w:val="2"/>
        </w:rPr>
        <w:t>The price produced by the ORDC is capped by the value of system lambda. When system lambda is very high, as it was for much of summer 2023 after the implementation of ECRS, the value of the ORDC is suppressed, thus obscuring many additional intervals that would have been impacted by these ASDC floors.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60FCA" w14:paraId="1D8D2186" w14:textId="77777777" w:rsidTr="00866179">
        <w:trPr>
          <w:trHeight w:val="350"/>
        </w:trPr>
        <w:tc>
          <w:tcPr>
            <w:tcW w:w="10440" w:type="dxa"/>
            <w:tcBorders>
              <w:bottom w:val="single" w:sz="4" w:space="0" w:color="auto"/>
            </w:tcBorders>
            <w:shd w:val="clear" w:color="auto" w:fill="FFFFFF"/>
            <w:vAlign w:val="center"/>
          </w:tcPr>
          <w:p w14:paraId="56B29F11" w14:textId="77777777" w:rsidR="00060FCA" w:rsidRDefault="00060FCA" w:rsidP="00866179">
            <w:pPr>
              <w:pStyle w:val="Header"/>
              <w:jc w:val="center"/>
            </w:pPr>
            <w:r>
              <w:t>Revised Cover Page Language</w:t>
            </w:r>
          </w:p>
        </w:tc>
      </w:tr>
    </w:tbl>
    <w:p w14:paraId="25C79D69" w14:textId="4704BC73" w:rsidR="00060FCA" w:rsidRDefault="00060FCA" w:rsidP="00060FCA">
      <w:pPr>
        <w:spacing w:before="120" w:after="120" w:line="259" w:lineRule="auto"/>
        <w:rPr>
          <w:rFonts w:ascii="Arial" w:eastAsia="Aptos" w:hAnsi="Arial" w:cs="Arial"/>
          <w:kern w:val="2"/>
        </w:rPr>
      </w:pPr>
      <w:r>
        <w:rPr>
          <w:rFonts w:ascii="Arial" w:eastAsia="Aptos" w:hAnsi="Arial" w:cs="Arial"/>
          <w:kern w:val="2"/>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60FCA" w14:paraId="1C87BC2A" w14:textId="77777777" w:rsidTr="00866179">
        <w:trPr>
          <w:trHeight w:val="350"/>
        </w:trPr>
        <w:tc>
          <w:tcPr>
            <w:tcW w:w="10440" w:type="dxa"/>
            <w:tcBorders>
              <w:bottom w:val="single" w:sz="4" w:space="0" w:color="auto"/>
            </w:tcBorders>
            <w:shd w:val="clear" w:color="auto" w:fill="FFFFFF"/>
            <w:vAlign w:val="center"/>
          </w:tcPr>
          <w:p w14:paraId="0E1025D3" w14:textId="77777777" w:rsidR="00060FCA" w:rsidRDefault="00060FCA" w:rsidP="00866179">
            <w:pPr>
              <w:pStyle w:val="Header"/>
              <w:jc w:val="center"/>
            </w:pPr>
            <w:r>
              <w:t>Revised Proposed Protocol Language</w:t>
            </w:r>
          </w:p>
        </w:tc>
      </w:tr>
    </w:tbl>
    <w:p w14:paraId="3DB20067" w14:textId="41D4E307" w:rsidR="00060FCA" w:rsidRPr="00506923" w:rsidRDefault="00060FCA" w:rsidP="00060FCA">
      <w:pPr>
        <w:spacing w:before="120" w:after="120" w:line="259" w:lineRule="auto"/>
        <w:rPr>
          <w:rFonts w:ascii="Arial" w:eastAsia="Aptos" w:hAnsi="Arial" w:cs="Arial"/>
          <w:kern w:val="2"/>
        </w:rPr>
      </w:pPr>
      <w:r>
        <w:rPr>
          <w:rFonts w:ascii="Arial" w:eastAsia="Aptos" w:hAnsi="Arial" w:cs="Arial"/>
          <w:kern w:val="2"/>
        </w:rPr>
        <w:t>None</w:t>
      </w:r>
    </w:p>
    <w:sectPr w:rsidR="00060FCA" w:rsidRPr="0050692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93A6" w14:textId="77777777" w:rsidR="008F5902" w:rsidRDefault="008F5902">
      <w:r>
        <w:separator/>
      </w:r>
    </w:p>
  </w:endnote>
  <w:endnote w:type="continuationSeparator" w:id="0">
    <w:p w14:paraId="2A0E9B68" w14:textId="77777777" w:rsidR="008F5902" w:rsidRDefault="008F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D351" w14:textId="5A875FB2"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AA3599">
      <w:rPr>
        <w:rFonts w:ascii="Arial" w:hAnsi="Arial"/>
        <w:noProof/>
        <w:sz w:val="18"/>
      </w:rPr>
      <w:t>1269NPRR-09 IMM Comments 031125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22DF8F36"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B7C3" w14:textId="77777777" w:rsidR="008F5902" w:rsidRDefault="008F5902">
      <w:r>
        <w:separator/>
      </w:r>
    </w:p>
  </w:footnote>
  <w:footnote w:type="continuationSeparator" w:id="0">
    <w:p w14:paraId="62FADB8E" w14:textId="77777777" w:rsidR="008F5902" w:rsidRDefault="008F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D737" w14:textId="53E5AA1D" w:rsidR="00EE6681" w:rsidRPr="00C35D8A" w:rsidRDefault="00EE6681" w:rsidP="00C35D8A">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C10683"/>
    <w:multiLevelType w:val="hybridMultilevel"/>
    <w:tmpl w:val="0E2E4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33888"/>
    <w:multiLevelType w:val="hybridMultilevel"/>
    <w:tmpl w:val="27CE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C45E17"/>
    <w:multiLevelType w:val="hybridMultilevel"/>
    <w:tmpl w:val="C9EC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983121"/>
    <w:multiLevelType w:val="hybridMultilevel"/>
    <w:tmpl w:val="0A8AB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012D1A"/>
    <w:multiLevelType w:val="hybridMultilevel"/>
    <w:tmpl w:val="C78257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9435C"/>
    <w:multiLevelType w:val="hybridMultilevel"/>
    <w:tmpl w:val="A9AA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13738321">
    <w:abstractNumId w:val="0"/>
  </w:num>
  <w:num w:numId="2" w16cid:durableId="1641836143">
    <w:abstractNumId w:val="7"/>
  </w:num>
  <w:num w:numId="3" w16cid:durableId="2049865667">
    <w:abstractNumId w:val="2"/>
  </w:num>
  <w:num w:numId="4" w16cid:durableId="1223057859">
    <w:abstractNumId w:val="5"/>
  </w:num>
  <w:num w:numId="5" w16cid:durableId="811681506">
    <w:abstractNumId w:val="1"/>
  </w:num>
  <w:num w:numId="6" w16cid:durableId="363945048">
    <w:abstractNumId w:val="3"/>
  </w:num>
  <w:num w:numId="7" w16cid:durableId="1444423956">
    <w:abstractNumId w:val="6"/>
  </w:num>
  <w:num w:numId="8" w16cid:durableId="282461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60FCA"/>
    <w:rsid w:val="00075A94"/>
    <w:rsid w:val="00132855"/>
    <w:rsid w:val="00135E76"/>
    <w:rsid w:val="00152993"/>
    <w:rsid w:val="00170297"/>
    <w:rsid w:val="001A227D"/>
    <w:rsid w:val="001E2032"/>
    <w:rsid w:val="002D265F"/>
    <w:rsid w:val="003010C0"/>
    <w:rsid w:val="00332A97"/>
    <w:rsid w:val="00350C00"/>
    <w:rsid w:val="00366113"/>
    <w:rsid w:val="003C270C"/>
    <w:rsid w:val="003D0994"/>
    <w:rsid w:val="00423824"/>
    <w:rsid w:val="004351B4"/>
    <w:rsid w:val="0043567D"/>
    <w:rsid w:val="004B7B90"/>
    <w:rsid w:val="004E2C19"/>
    <w:rsid w:val="00506923"/>
    <w:rsid w:val="005D284C"/>
    <w:rsid w:val="00604512"/>
    <w:rsid w:val="00633E23"/>
    <w:rsid w:val="00673B94"/>
    <w:rsid w:val="00680AC6"/>
    <w:rsid w:val="006835D8"/>
    <w:rsid w:val="006C316E"/>
    <w:rsid w:val="006D0F7C"/>
    <w:rsid w:val="007269C4"/>
    <w:rsid w:val="0074209E"/>
    <w:rsid w:val="007F2CA8"/>
    <w:rsid w:val="007F7161"/>
    <w:rsid w:val="0085559E"/>
    <w:rsid w:val="00896B1B"/>
    <w:rsid w:val="008E559E"/>
    <w:rsid w:val="008F5902"/>
    <w:rsid w:val="00916080"/>
    <w:rsid w:val="00921A68"/>
    <w:rsid w:val="009D6B05"/>
    <w:rsid w:val="00A015C4"/>
    <w:rsid w:val="00A15172"/>
    <w:rsid w:val="00AA3599"/>
    <w:rsid w:val="00B4597B"/>
    <w:rsid w:val="00B5080A"/>
    <w:rsid w:val="00B943AE"/>
    <w:rsid w:val="00BD1E78"/>
    <w:rsid w:val="00BD7258"/>
    <w:rsid w:val="00C0598D"/>
    <w:rsid w:val="00C11956"/>
    <w:rsid w:val="00C35D8A"/>
    <w:rsid w:val="00C602E5"/>
    <w:rsid w:val="00C748FD"/>
    <w:rsid w:val="00D4046E"/>
    <w:rsid w:val="00D4362F"/>
    <w:rsid w:val="00DD4739"/>
    <w:rsid w:val="00DE5F33"/>
    <w:rsid w:val="00E07B54"/>
    <w:rsid w:val="00E11F78"/>
    <w:rsid w:val="00E621E1"/>
    <w:rsid w:val="00EC55B3"/>
    <w:rsid w:val="00ED2ABF"/>
    <w:rsid w:val="00EE6681"/>
    <w:rsid w:val="00F11F49"/>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7F45F86"/>
  <w15:chartTrackingRefBased/>
  <w15:docId w15:val="{169CD727-DB2D-4469-968E-8D3780F0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506923"/>
    <w:rPr>
      <w:color w:val="605E5C"/>
      <w:shd w:val="clear" w:color="auto" w:fill="E1DFDD"/>
    </w:rPr>
  </w:style>
  <w:style w:type="character" w:customStyle="1" w:styleId="HeaderChar">
    <w:name w:val="Header Char"/>
    <w:link w:val="Header"/>
    <w:rsid w:val="00060FC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mcdonald@potomaceconomic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mktrules/issues/NPRR126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reimers@potomaceconomic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11437</CharactersWithSpaces>
  <SharedDoc>false</SharedDoc>
  <HLinks>
    <vt:vector size="12" baseType="variant">
      <vt:variant>
        <vt:i4>2686991</vt:i4>
      </vt:variant>
      <vt:variant>
        <vt:i4>3</vt:i4>
      </vt:variant>
      <vt:variant>
        <vt:i4>0</vt:i4>
      </vt:variant>
      <vt:variant>
        <vt:i4>5</vt:i4>
      </vt:variant>
      <vt:variant>
        <vt:lpwstr>mailto:areimers@potomaceconomics.com</vt:lpwstr>
      </vt:variant>
      <vt:variant>
        <vt:lpwstr/>
      </vt:variant>
      <vt:variant>
        <vt:i4>4784252</vt:i4>
      </vt:variant>
      <vt:variant>
        <vt:i4>0</vt:i4>
      </vt:variant>
      <vt:variant>
        <vt:i4>0</vt:i4>
      </vt:variant>
      <vt:variant>
        <vt:i4>5</vt:i4>
      </vt:variant>
      <vt:variant>
        <vt:lpwstr>mailto:jmcdonald@potomaceconomics.com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6</cp:revision>
  <cp:lastPrinted>2001-06-20T16:28:00Z</cp:lastPrinted>
  <dcterms:created xsi:type="dcterms:W3CDTF">2025-03-11T19:38:00Z</dcterms:created>
  <dcterms:modified xsi:type="dcterms:W3CDTF">2025-03-11T19:53:00Z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2025-03-11T19:38:57Z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92da7cd6-b635-47db-8a4d-88c4f361c73d</vt:lpwstr>
  </property>
  <property fmtid="{D5CDD505-2E9C-101B-9397-08002B2CF9AE}" pid="8" name="MSIP_Label_7084cbda-52b8-46fb-a7b7-cb5bd465ed85_ContentBits">
    <vt:lpwstr>0</vt:lpwstr>
  </property>
</Properties>
</file>