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3AA8" w14:textId="0931E4CC" w:rsidR="00783405" w:rsidRPr="00783405" w:rsidRDefault="00783405">
      <w:pPr>
        <w:rPr>
          <w:b/>
          <w:bCs/>
        </w:rPr>
      </w:pPr>
      <w:r>
        <w:rPr>
          <w:b/>
          <w:bCs/>
        </w:rPr>
        <w:t>Proposed Amendment to ERCOT Bylaws</w:t>
      </w:r>
    </w:p>
    <w:p w14:paraId="26B4B5F6" w14:textId="0C89032A" w:rsidR="00783405" w:rsidRDefault="00783405">
      <w:r>
        <w:t>Pursuant to Article 13, Section 13.1(a)(2)</w:t>
      </w:r>
      <w:r w:rsidR="00964690">
        <w:t xml:space="preserve">, </w:t>
      </w:r>
      <w:r w:rsidR="00401F9D">
        <w:t xml:space="preserve">Calpine </w:t>
      </w:r>
      <w:r w:rsidR="0079233D">
        <w:t xml:space="preserve">Corporation, Constellation Energy Generation, LLC, and </w:t>
      </w:r>
      <w:r w:rsidR="00964690">
        <w:t>Vistra Operations Company LLC</w:t>
      </w:r>
      <w:r w:rsidR="009F35A5">
        <w:t xml:space="preserve"> </w:t>
      </w:r>
      <w:r w:rsidR="009E30EC">
        <w:t>propose amending the ERCOT Bylaws to (1) establish formal subsegments of the Independent Generator segment for Thermal and Inverter-Based Resources</w:t>
      </w:r>
      <w:r w:rsidR="00BE24C5">
        <w:t xml:space="preserve"> that mirrors the existing informal sharing agreement</w:t>
      </w:r>
      <w:r w:rsidR="009130F4">
        <w:t xml:space="preserve"> between segment Members</w:t>
      </w:r>
      <w:r w:rsidR="00BE24C5">
        <w:t xml:space="preserve"> that has been in </w:t>
      </w:r>
      <w:r w:rsidR="00E8345D">
        <w:t xml:space="preserve">practice </w:t>
      </w:r>
      <w:r w:rsidR="00BE24C5">
        <w:t>for many years; and (2) clarify that the 10 MW threshold for inclusion in the segment is for Generation Resources directly interconnected to the ERCOT transmission system.</w:t>
      </w:r>
    </w:p>
    <w:p w14:paraId="31AF9605" w14:textId="77777777" w:rsidR="00783405" w:rsidRDefault="00783405"/>
    <w:p w14:paraId="45B1A5BD" w14:textId="7DB55CA1" w:rsidR="000A53D0" w:rsidRPr="00783405" w:rsidRDefault="00783405">
      <w:pPr>
        <w:rPr>
          <w:b/>
          <w:bCs/>
          <w:u w:val="single"/>
        </w:rPr>
      </w:pPr>
      <w:r w:rsidRPr="00783405">
        <w:rPr>
          <w:b/>
          <w:bCs/>
          <w:u w:val="single"/>
        </w:rPr>
        <w:t>Revisions to Article 2, Definitions:</w:t>
      </w:r>
    </w:p>
    <w:p w14:paraId="043DD4B1" w14:textId="4CE510F1" w:rsidR="009653D4" w:rsidRPr="009653D4" w:rsidRDefault="009653D4" w:rsidP="009653D4">
      <w:r w:rsidRPr="009653D4">
        <w:t xml:space="preserve">11. </w:t>
      </w:r>
      <w:r w:rsidRPr="009653D4">
        <w:rPr>
          <w:b/>
          <w:bCs/>
        </w:rPr>
        <w:t>Independent Generator.</w:t>
      </w:r>
      <w:r w:rsidRPr="009653D4">
        <w:t xml:space="preserve"> Any entity that is not a T&amp;D Entity or Affiliate of a T&amp;D Entity and that (</w:t>
      </w:r>
      <w:proofErr w:type="spellStart"/>
      <w:r w:rsidRPr="009653D4">
        <w:t>i</w:t>
      </w:r>
      <w:proofErr w:type="spellEnd"/>
      <w:r w:rsidRPr="009653D4">
        <w:t xml:space="preserve">) owns or controls </w:t>
      </w:r>
      <w:proofErr w:type="spellStart"/>
      <w:r w:rsidRPr="009653D4">
        <w:rPr>
          <w:strike/>
          <w:color w:val="FF0000"/>
        </w:rPr>
        <w:t>g</w:t>
      </w:r>
      <w:r w:rsidR="00F25B09" w:rsidRPr="00F25B09">
        <w:rPr>
          <w:color w:val="FF0000"/>
          <w:u w:val="single"/>
        </w:rPr>
        <w:t>G</w:t>
      </w:r>
      <w:r w:rsidRPr="009653D4">
        <w:t>eneration</w:t>
      </w:r>
      <w:proofErr w:type="spellEnd"/>
      <w:r w:rsidRPr="009653D4">
        <w:t xml:space="preserve"> </w:t>
      </w:r>
      <w:r w:rsidR="00BF4A60" w:rsidRPr="00BF4A60">
        <w:rPr>
          <w:color w:val="FF0000"/>
          <w:u w:val="single"/>
        </w:rPr>
        <w:t>Resources</w:t>
      </w:r>
      <w:r w:rsidR="00BF4A60">
        <w:rPr>
          <w:color w:val="FF0000"/>
        </w:rPr>
        <w:t xml:space="preserve"> </w:t>
      </w:r>
      <w:r w:rsidRPr="009653D4">
        <w:t xml:space="preserve">capable of operating at least 10 megawatts </w:t>
      </w:r>
      <w:r w:rsidR="00F14886">
        <w:rPr>
          <w:color w:val="FF0000"/>
          <w:u w:val="single"/>
        </w:rPr>
        <w:t>directly interconnected to the ERCOT transmission system</w:t>
      </w:r>
      <w:r w:rsidRPr="009653D4">
        <w:rPr>
          <w:color w:val="FF0000"/>
          <w:u w:val="single"/>
        </w:rPr>
        <w:t xml:space="preserve"> </w:t>
      </w:r>
      <w:r w:rsidRPr="009653D4">
        <w:t xml:space="preserve">in the ERCOT Region, or (ii) is preparing to operate and control </w:t>
      </w:r>
      <w:proofErr w:type="spellStart"/>
      <w:r w:rsidR="00BF4A60" w:rsidRPr="009653D4">
        <w:rPr>
          <w:strike/>
          <w:color w:val="FF0000"/>
        </w:rPr>
        <w:t>g</w:t>
      </w:r>
      <w:r w:rsidR="00BF4A60" w:rsidRPr="00F25B09">
        <w:rPr>
          <w:color w:val="FF0000"/>
          <w:u w:val="single"/>
        </w:rPr>
        <w:t>G</w:t>
      </w:r>
      <w:r w:rsidR="00BF4A60" w:rsidRPr="009653D4">
        <w:t>eneration</w:t>
      </w:r>
      <w:proofErr w:type="spellEnd"/>
      <w:r w:rsidR="00BF4A60" w:rsidRPr="009653D4">
        <w:t xml:space="preserve"> </w:t>
      </w:r>
      <w:r w:rsidR="00BF4A60" w:rsidRPr="00BF4A60">
        <w:rPr>
          <w:color w:val="FF0000"/>
          <w:u w:val="single"/>
        </w:rPr>
        <w:t>Resources</w:t>
      </w:r>
      <w:r w:rsidR="00BF4A60">
        <w:rPr>
          <w:color w:val="FF0000"/>
        </w:rPr>
        <w:t xml:space="preserve"> </w:t>
      </w:r>
      <w:r w:rsidRPr="009653D4">
        <w:t>of at least 10 megawatts</w:t>
      </w:r>
      <w:r w:rsidRPr="009653D4">
        <w:rPr>
          <w:color w:val="FF0000"/>
          <w:u w:val="single"/>
        </w:rPr>
        <w:t xml:space="preserve"> </w:t>
      </w:r>
      <w:r w:rsidR="00F14886">
        <w:rPr>
          <w:color w:val="FF0000"/>
          <w:u w:val="single"/>
        </w:rPr>
        <w:t>directly interconnected to the ERCOT transmission system</w:t>
      </w:r>
      <w:r w:rsidRPr="009653D4">
        <w:t xml:space="preserve">,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 </w:t>
      </w:r>
      <w:r w:rsidRPr="009653D4">
        <w:rPr>
          <w:color w:val="FF0000"/>
          <w:u w:val="single"/>
        </w:rPr>
        <w:t xml:space="preserve">An entity that meets these criteria will be assigned to either a Thermal Independent Generator subsegment or an Inverter-Based Resource Independent Generator subsegment, based on the predominant generation technology of the </w:t>
      </w:r>
      <w:r w:rsidR="00077767">
        <w:rPr>
          <w:color w:val="FF0000"/>
          <w:u w:val="single"/>
        </w:rPr>
        <w:t>G</w:t>
      </w:r>
      <w:r w:rsidRPr="009653D4">
        <w:rPr>
          <w:color w:val="FF0000"/>
          <w:u w:val="single"/>
        </w:rPr>
        <w:t xml:space="preserve">eneration </w:t>
      </w:r>
      <w:r w:rsidR="00077767">
        <w:rPr>
          <w:color w:val="FF0000"/>
          <w:u w:val="single"/>
        </w:rPr>
        <w:t xml:space="preserve">Resources </w:t>
      </w:r>
      <w:r w:rsidRPr="009653D4">
        <w:rPr>
          <w:color w:val="FF0000"/>
          <w:u w:val="single"/>
        </w:rPr>
        <w:t>owned and controlled by the entity in the ERCOT Region.</w:t>
      </w:r>
    </w:p>
    <w:p w14:paraId="726A9E3D" w14:textId="77777777" w:rsidR="00783405" w:rsidRDefault="009653D4" w:rsidP="00783405">
      <w:r w:rsidRPr="009653D4">
        <w:t> </w:t>
      </w:r>
      <w:r w:rsidR="00783405">
        <w:t xml:space="preserve">17. </w:t>
      </w:r>
      <w:r w:rsidR="00783405" w:rsidRPr="00FC6129">
        <w:rPr>
          <w:b/>
          <w:bCs/>
        </w:rPr>
        <w:t>Market Segment.</w:t>
      </w:r>
      <w:r w:rsidR="00783405" w:rsidRPr="00FC6129">
        <w:t xml:space="preserve"> For purposes of these Bylaws, any of the segments (all of which are defined within this Article 2 of these Bylaws) </w:t>
      </w:r>
      <w:proofErr w:type="gramStart"/>
      <w:r w:rsidR="00783405" w:rsidRPr="00FC6129">
        <w:t>as</w:t>
      </w:r>
      <w:proofErr w:type="gramEnd"/>
      <w:r w:rsidR="00783405" w:rsidRPr="00FC6129">
        <w:t xml:space="preserve"> follows: </w:t>
      </w:r>
    </w:p>
    <w:p w14:paraId="7F4583FD" w14:textId="77777777" w:rsidR="00783405" w:rsidRDefault="00783405" w:rsidP="00783405">
      <w:pPr>
        <w:pStyle w:val="ListParagraph"/>
        <w:numPr>
          <w:ilvl w:val="0"/>
          <w:numId w:val="1"/>
        </w:numPr>
      </w:pPr>
      <w:proofErr w:type="gramStart"/>
      <w:r w:rsidRPr="00FC6129">
        <w:t>Cooperative;</w:t>
      </w:r>
      <w:proofErr w:type="gramEnd"/>
      <w:r w:rsidRPr="00FC6129">
        <w:t xml:space="preserve"> </w:t>
      </w:r>
    </w:p>
    <w:p w14:paraId="28E58E9A" w14:textId="3323841A" w:rsidR="00783405" w:rsidRDefault="00783405" w:rsidP="00783405">
      <w:pPr>
        <w:pStyle w:val="ListParagraph"/>
        <w:numPr>
          <w:ilvl w:val="0"/>
          <w:numId w:val="1"/>
        </w:numPr>
      </w:pPr>
      <w:r w:rsidRPr="00FC6129">
        <w:t>Independent Generator</w:t>
      </w:r>
      <w:r>
        <w:t xml:space="preserve"> </w:t>
      </w:r>
      <w:r w:rsidRPr="00FC6129">
        <w:rPr>
          <w:color w:val="FF0000"/>
          <w:u w:val="single"/>
        </w:rPr>
        <w:t>(</w:t>
      </w:r>
      <w:r w:rsidRPr="009653D4">
        <w:rPr>
          <w:color w:val="FF0000"/>
          <w:u w:val="single"/>
        </w:rPr>
        <w:t>in one of two subsegments: (</w:t>
      </w:r>
      <w:r>
        <w:rPr>
          <w:color w:val="FF0000"/>
          <w:u w:val="single"/>
        </w:rPr>
        <w:t>1</w:t>
      </w:r>
      <w:r w:rsidRPr="009653D4">
        <w:rPr>
          <w:color w:val="FF0000"/>
          <w:u w:val="single"/>
        </w:rPr>
        <w:t>) Thermal</w:t>
      </w:r>
      <w:r w:rsidR="009E30EC">
        <w:rPr>
          <w:color w:val="FF0000"/>
          <w:u w:val="single"/>
        </w:rPr>
        <w:t xml:space="preserve"> Resource</w:t>
      </w:r>
      <w:r w:rsidRPr="009653D4">
        <w:rPr>
          <w:color w:val="FF0000"/>
          <w:u w:val="single"/>
        </w:rPr>
        <w:t>; or (2) Inverter-Based Resource</w:t>
      </w:r>
      <w:proofErr w:type="gramStart"/>
      <w:r w:rsidR="001F31D8">
        <w:rPr>
          <w:color w:val="FF0000"/>
          <w:u w:val="single"/>
        </w:rPr>
        <w:t>)</w:t>
      </w:r>
      <w:r w:rsidRPr="00FC6129">
        <w:t>;</w:t>
      </w:r>
      <w:proofErr w:type="gramEnd"/>
      <w:r w:rsidRPr="00FC6129">
        <w:t xml:space="preserve"> </w:t>
      </w:r>
    </w:p>
    <w:p w14:paraId="099C7002" w14:textId="77777777" w:rsidR="00783405" w:rsidRDefault="00783405" w:rsidP="00783405">
      <w:pPr>
        <w:pStyle w:val="ListParagraph"/>
        <w:numPr>
          <w:ilvl w:val="0"/>
          <w:numId w:val="1"/>
        </w:numPr>
      </w:pPr>
      <w:r w:rsidRPr="00FC6129">
        <w:t xml:space="preserve">Independent Power </w:t>
      </w:r>
      <w:proofErr w:type="gramStart"/>
      <w:r w:rsidRPr="00FC6129">
        <w:t>Marketer;</w:t>
      </w:r>
      <w:proofErr w:type="gramEnd"/>
      <w:r w:rsidRPr="00FC6129">
        <w:t xml:space="preserve"> </w:t>
      </w:r>
    </w:p>
    <w:p w14:paraId="5181A9D5" w14:textId="77777777" w:rsidR="00783405" w:rsidRDefault="00783405" w:rsidP="00783405">
      <w:pPr>
        <w:pStyle w:val="ListParagraph"/>
        <w:numPr>
          <w:ilvl w:val="0"/>
          <w:numId w:val="1"/>
        </w:numPr>
      </w:pPr>
      <w:r w:rsidRPr="00FC6129">
        <w:t xml:space="preserve">Independent </w:t>
      </w:r>
      <w:proofErr w:type="gramStart"/>
      <w:r w:rsidRPr="00FC6129">
        <w:t>REP;</w:t>
      </w:r>
      <w:proofErr w:type="gramEnd"/>
      <w:r w:rsidRPr="00FC6129">
        <w:t xml:space="preserve"> </w:t>
      </w:r>
    </w:p>
    <w:p w14:paraId="765D378D" w14:textId="77777777" w:rsidR="00783405" w:rsidRDefault="00783405" w:rsidP="00783405">
      <w:pPr>
        <w:pStyle w:val="ListParagraph"/>
        <w:numPr>
          <w:ilvl w:val="0"/>
          <w:numId w:val="1"/>
        </w:numPr>
      </w:pPr>
      <w:proofErr w:type="gramStart"/>
      <w:r w:rsidRPr="00FC6129">
        <w:t>IOU;</w:t>
      </w:r>
      <w:proofErr w:type="gramEnd"/>
      <w:r w:rsidRPr="00FC6129">
        <w:t xml:space="preserve"> </w:t>
      </w:r>
    </w:p>
    <w:p w14:paraId="712920FE" w14:textId="77777777" w:rsidR="00783405" w:rsidRDefault="00783405" w:rsidP="00783405">
      <w:pPr>
        <w:pStyle w:val="ListParagraph"/>
        <w:numPr>
          <w:ilvl w:val="0"/>
          <w:numId w:val="1"/>
        </w:numPr>
      </w:pPr>
      <w:r w:rsidRPr="00FC6129">
        <w:t xml:space="preserve">Municipal; or </w:t>
      </w:r>
    </w:p>
    <w:p w14:paraId="51E3AB61" w14:textId="77777777" w:rsidR="00783405" w:rsidRDefault="00783405" w:rsidP="00783405">
      <w:pPr>
        <w:pStyle w:val="ListParagraph"/>
        <w:numPr>
          <w:ilvl w:val="0"/>
          <w:numId w:val="1"/>
        </w:numPr>
      </w:pPr>
      <w:r w:rsidRPr="00FC6129">
        <w:t>Consumer (including: (1) Commercial Consumer comprised of Small Commercial Consumer and Large Commercial Consumer, (2) Industrial Consumer, or (3) Residential Consumer).</w:t>
      </w:r>
    </w:p>
    <w:p w14:paraId="53153E13" w14:textId="263292DD" w:rsidR="009653D4" w:rsidRDefault="009653D4" w:rsidP="009653D4"/>
    <w:p w14:paraId="53C047BF" w14:textId="43A4AD36" w:rsidR="00783405" w:rsidRPr="009653D4" w:rsidRDefault="00783405" w:rsidP="009653D4">
      <w:r w:rsidRPr="00783405">
        <w:rPr>
          <w:b/>
          <w:bCs/>
          <w:u w:val="single"/>
        </w:rPr>
        <w:lastRenderedPageBreak/>
        <w:t xml:space="preserve">Revisions to Article </w:t>
      </w:r>
      <w:r>
        <w:rPr>
          <w:b/>
          <w:bCs/>
          <w:u w:val="single"/>
        </w:rPr>
        <w:t>3</w:t>
      </w:r>
      <w:r w:rsidRPr="00783405">
        <w:rPr>
          <w:b/>
          <w:bCs/>
          <w:u w:val="single"/>
        </w:rPr>
        <w:t xml:space="preserve">, </w:t>
      </w:r>
      <w:r>
        <w:rPr>
          <w:b/>
          <w:bCs/>
          <w:u w:val="single"/>
        </w:rPr>
        <w:t>Members</w:t>
      </w:r>
      <w:r w:rsidRPr="00783405">
        <w:rPr>
          <w:b/>
          <w:bCs/>
          <w:u w:val="single"/>
        </w:rPr>
        <w:t>:</w:t>
      </w:r>
    </w:p>
    <w:p w14:paraId="01D7A02C" w14:textId="77777777" w:rsidR="00783405" w:rsidRDefault="009653D4" w:rsidP="009653D4">
      <w:r w:rsidRPr="009653D4">
        <w:t xml:space="preserve">Section 3.1 Membership. </w:t>
      </w:r>
    </w:p>
    <w:p w14:paraId="70FB4C72" w14:textId="381B13E9" w:rsidR="009653D4" w:rsidRPr="009653D4" w:rsidRDefault="009653D4" w:rsidP="009653D4">
      <w:r w:rsidRPr="009653D4">
        <w:t xml:space="preserve">(a) Members must qualify in one of the following Segments as defined in Article 2: </w:t>
      </w:r>
    </w:p>
    <w:p w14:paraId="73B0A0AE" w14:textId="77777777" w:rsidR="009653D4" w:rsidRPr="009653D4" w:rsidRDefault="009653D4" w:rsidP="009653D4">
      <w:r w:rsidRPr="009653D4">
        <w:t xml:space="preserve">(1) </w:t>
      </w:r>
      <w:proofErr w:type="gramStart"/>
      <w:r w:rsidRPr="009653D4">
        <w:t>Cooperative;</w:t>
      </w:r>
      <w:proofErr w:type="gramEnd"/>
      <w:r w:rsidRPr="009653D4">
        <w:t xml:space="preserve"> </w:t>
      </w:r>
    </w:p>
    <w:p w14:paraId="5A11295F" w14:textId="183D3EED" w:rsidR="009653D4" w:rsidRPr="009653D4" w:rsidRDefault="009653D4" w:rsidP="009653D4">
      <w:r w:rsidRPr="009653D4">
        <w:t>(2) Independent Generator</w:t>
      </w:r>
      <w:r>
        <w:t xml:space="preserve"> </w:t>
      </w:r>
      <w:r w:rsidRPr="009653D4">
        <w:rPr>
          <w:color w:val="FF0000"/>
          <w:u w:val="single"/>
        </w:rPr>
        <w:t>in one of two subsegments: (</w:t>
      </w:r>
      <w:proofErr w:type="spellStart"/>
      <w:r w:rsidR="00687C24">
        <w:rPr>
          <w:color w:val="FF0000"/>
          <w:u w:val="single"/>
        </w:rPr>
        <w:t>i</w:t>
      </w:r>
      <w:proofErr w:type="spellEnd"/>
      <w:r w:rsidRPr="009653D4">
        <w:rPr>
          <w:color w:val="FF0000"/>
          <w:u w:val="single"/>
        </w:rPr>
        <w:t>) Thermal</w:t>
      </w:r>
      <w:r w:rsidR="00E8345D">
        <w:rPr>
          <w:color w:val="FF0000"/>
          <w:u w:val="single"/>
        </w:rPr>
        <w:t xml:space="preserve"> Resource</w:t>
      </w:r>
      <w:r w:rsidRPr="009653D4">
        <w:rPr>
          <w:color w:val="FF0000"/>
          <w:u w:val="single"/>
        </w:rPr>
        <w:t>; or (</w:t>
      </w:r>
      <w:r w:rsidR="00687C24">
        <w:rPr>
          <w:color w:val="FF0000"/>
          <w:u w:val="single"/>
        </w:rPr>
        <w:t>ii</w:t>
      </w:r>
      <w:r w:rsidRPr="009653D4">
        <w:rPr>
          <w:color w:val="FF0000"/>
          <w:u w:val="single"/>
        </w:rPr>
        <w:t xml:space="preserve">) Inverter-Based </w:t>
      </w:r>
      <w:proofErr w:type="gramStart"/>
      <w:r w:rsidRPr="009653D4">
        <w:rPr>
          <w:color w:val="FF0000"/>
          <w:u w:val="single"/>
        </w:rPr>
        <w:t>Resource</w:t>
      </w:r>
      <w:r w:rsidRPr="009653D4">
        <w:t>;</w:t>
      </w:r>
      <w:proofErr w:type="gramEnd"/>
      <w:r w:rsidRPr="009653D4">
        <w:t xml:space="preserve"> </w:t>
      </w:r>
    </w:p>
    <w:p w14:paraId="5F6D0C95" w14:textId="77777777" w:rsidR="009653D4" w:rsidRPr="009653D4" w:rsidRDefault="009653D4" w:rsidP="009653D4">
      <w:r w:rsidRPr="009653D4">
        <w:t xml:space="preserve">(3) Independent Power </w:t>
      </w:r>
      <w:proofErr w:type="gramStart"/>
      <w:r w:rsidRPr="009653D4">
        <w:t>Marketer;</w:t>
      </w:r>
      <w:proofErr w:type="gramEnd"/>
      <w:r w:rsidRPr="009653D4">
        <w:t xml:space="preserve"> </w:t>
      </w:r>
    </w:p>
    <w:p w14:paraId="75889F9F" w14:textId="77777777" w:rsidR="009653D4" w:rsidRPr="009653D4" w:rsidRDefault="009653D4" w:rsidP="009653D4">
      <w:r w:rsidRPr="009653D4">
        <w:t xml:space="preserve">(4) Independent </w:t>
      </w:r>
      <w:proofErr w:type="gramStart"/>
      <w:r w:rsidRPr="009653D4">
        <w:t>REP;</w:t>
      </w:r>
      <w:proofErr w:type="gramEnd"/>
      <w:r w:rsidRPr="009653D4">
        <w:t xml:space="preserve"> </w:t>
      </w:r>
    </w:p>
    <w:p w14:paraId="15607B65" w14:textId="77777777" w:rsidR="009653D4" w:rsidRPr="009653D4" w:rsidRDefault="009653D4" w:rsidP="009653D4">
      <w:r w:rsidRPr="009653D4">
        <w:t xml:space="preserve">(5) Investor-Owned </w:t>
      </w:r>
      <w:proofErr w:type="gramStart"/>
      <w:r w:rsidRPr="009653D4">
        <w:t>Utility;</w:t>
      </w:r>
      <w:proofErr w:type="gramEnd"/>
      <w:r w:rsidRPr="009653D4">
        <w:t xml:space="preserve"> </w:t>
      </w:r>
    </w:p>
    <w:p w14:paraId="316A8312" w14:textId="77777777" w:rsidR="009653D4" w:rsidRPr="009653D4" w:rsidRDefault="009653D4" w:rsidP="009653D4">
      <w:r w:rsidRPr="009653D4">
        <w:t xml:space="preserve">(6) Municipal; or </w:t>
      </w:r>
    </w:p>
    <w:p w14:paraId="5E3317EA" w14:textId="77777777" w:rsidR="009653D4" w:rsidRPr="009653D4" w:rsidRDefault="009653D4" w:rsidP="009653D4">
      <w:r w:rsidRPr="009653D4">
        <w:t>(7) Consumer in one of three subsegments: (</w:t>
      </w:r>
      <w:proofErr w:type="spellStart"/>
      <w:r w:rsidRPr="009653D4">
        <w:t>i</w:t>
      </w:r>
      <w:proofErr w:type="spellEnd"/>
      <w:r w:rsidRPr="009653D4">
        <w:t>) Commercial (which is further divided into Large and Small Commercial Consumer); (ii) Industrial; and (iii) Residential.</w:t>
      </w:r>
    </w:p>
    <w:p w14:paraId="24B19BC7" w14:textId="77777777" w:rsidR="009653D4" w:rsidRDefault="009653D4"/>
    <w:sectPr w:rsidR="00965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3A343" w14:textId="77777777" w:rsidR="00AB0454" w:rsidRDefault="00AB0454" w:rsidP="00AB0454">
      <w:pPr>
        <w:spacing w:after="0" w:line="240" w:lineRule="auto"/>
      </w:pPr>
      <w:r>
        <w:separator/>
      </w:r>
    </w:p>
  </w:endnote>
  <w:endnote w:type="continuationSeparator" w:id="0">
    <w:p w14:paraId="6D2C2C37" w14:textId="77777777" w:rsidR="00AB0454" w:rsidRDefault="00AB0454" w:rsidP="00AB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34A7" w14:textId="77777777" w:rsidR="00AB0454" w:rsidRDefault="00AB0454" w:rsidP="00AB0454">
      <w:pPr>
        <w:spacing w:after="0" w:line="240" w:lineRule="auto"/>
      </w:pPr>
      <w:r>
        <w:separator/>
      </w:r>
    </w:p>
  </w:footnote>
  <w:footnote w:type="continuationSeparator" w:id="0">
    <w:p w14:paraId="067439B9" w14:textId="77777777" w:rsidR="00AB0454" w:rsidRDefault="00AB0454" w:rsidP="00AB0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493D"/>
    <w:multiLevelType w:val="hybridMultilevel"/>
    <w:tmpl w:val="2B54C2F0"/>
    <w:lvl w:ilvl="0" w:tplc="BDBAF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AD01E4"/>
    <w:multiLevelType w:val="hybridMultilevel"/>
    <w:tmpl w:val="83C46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874068">
    <w:abstractNumId w:val="1"/>
  </w:num>
  <w:num w:numId="2" w16cid:durableId="108449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3D4"/>
    <w:rsid w:val="00077767"/>
    <w:rsid w:val="000A53D0"/>
    <w:rsid w:val="001F31D8"/>
    <w:rsid w:val="00314EDB"/>
    <w:rsid w:val="003B4DC5"/>
    <w:rsid w:val="00401F9D"/>
    <w:rsid w:val="00687C24"/>
    <w:rsid w:val="00783405"/>
    <w:rsid w:val="0079233D"/>
    <w:rsid w:val="009130F4"/>
    <w:rsid w:val="00964690"/>
    <w:rsid w:val="009653D4"/>
    <w:rsid w:val="009E30EC"/>
    <w:rsid w:val="009F35A5"/>
    <w:rsid w:val="00A32143"/>
    <w:rsid w:val="00A32B17"/>
    <w:rsid w:val="00AB0454"/>
    <w:rsid w:val="00B609FD"/>
    <w:rsid w:val="00B71308"/>
    <w:rsid w:val="00BB4D57"/>
    <w:rsid w:val="00BD092C"/>
    <w:rsid w:val="00BE24C5"/>
    <w:rsid w:val="00BF4A60"/>
    <w:rsid w:val="00DE1B64"/>
    <w:rsid w:val="00E8345D"/>
    <w:rsid w:val="00F13A4B"/>
    <w:rsid w:val="00F14886"/>
    <w:rsid w:val="00F25B09"/>
    <w:rsid w:val="00FC4BDC"/>
    <w:rsid w:val="00FC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9253"/>
  <w15:chartTrackingRefBased/>
  <w15:docId w15:val="{E4E1FE32-CD37-4BEF-8FDA-81E83F1A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3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3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3D4"/>
    <w:rPr>
      <w:rFonts w:eastAsiaTheme="majorEastAsia" w:cstheme="majorBidi"/>
      <w:color w:val="272727" w:themeColor="text1" w:themeTint="D8"/>
    </w:rPr>
  </w:style>
  <w:style w:type="paragraph" w:styleId="Title">
    <w:name w:val="Title"/>
    <w:basedOn w:val="Normal"/>
    <w:next w:val="Normal"/>
    <w:link w:val="TitleChar"/>
    <w:uiPriority w:val="10"/>
    <w:qFormat/>
    <w:rsid w:val="00965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3D4"/>
    <w:pPr>
      <w:spacing w:before="160"/>
      <w:jc w:val="center"/>
    </w:pPr>
    <w:rPr>
      <w:i/>
      <w:iCs/>
      <w:color w:val="404040" w:themeColor="text1" w:themeTint="BF"/>
    </w:rPr>
  </w:style>
  <w:style w:type="character" w:customStyle="1" w:styleId="QuoteChar">
    <w:name w:val="Quote Char"/>
    <w:basedOn w:val="DefaultParagraphFont"/>
    <w:link w:val="Quote"/>
    <w:uiPriority w:val="29"/>
    <w:rsid w:val="009653D4"/>
    <w:rPr>
      <w:i/>
      <w:iCs/>
      <w:color w:val="404040" w:themeColor="text1" w:themeTint="BF"/>
    </w:rPr>
  </w:style>
  <w:style w:type="paragraph" w:styleId="ListParagraph">
    <w:name w:val="List Paragraph"/>
    <w:basedOn w:val="Normal"/>
    <w:uiPriority w:val="34"/>
    <w:qFormat/>
    <w:rsid w:val="009653D4"/>
    <w:pPr>
      <w:ind w:left="720"/>
      <w:contextualSpacing/>
    </w:pPr>
  </w:style>
  <w:style w:type="character" w:styleId="IntenseEmphasis">
    <w:name w:val="Intense Emphasis"/>
    <w:basedOn w:val="DefaultParagraphFont"/>
    <w:uiPriority w:val="21"/>
    <w:qFormat/>
    <w:rsid w:val="009653D4"/>
    <w:rPr>
      <w:i/>
      <w:iCs/>
      <w:color w:val="0F4761" w:themeColor="accent1" w:themeShade="BF"/>
    </w:rPr>
  </w:style>
  <w:style w:type="paragraph" w:styleId="IntenseQuote">
    <w:name w:val="Intense Quote"/>
    <w:basedOn w:val="Normal"/>
    <w:next w:val="Normal"/>
    <w:link w:val="IntenseQuoteChar"/>
    <w:uiPriority w:val="30"/>
    <w:qFormat/>
    <w:rsid w:val="00965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3D4"/>
    <w:rPr>
      <w:i/>
      <w:iCs/>
      <w:color w:val="0F4761" w:themeColor="accent1" w:themeShade="BF"/>
    </w:rPr>
  </w:style>
  <w:style w:type="character" w:styleId="IntenseReference">
    <w:name w:val="Intense Reference"/>
    <w:basedOn w:val="DefaultParagraphFont"/>
    <w:uiPriority w:val="32"/>
    <w:qFormat/>
    <w:rsid w:val="009653D4"/>
    <w:rPr>
      <w:b/>
      <w:bCs/>
      <w:smallCaps/>
      <w:color w:val="0F4761" w:themeColor="accent1" w:themeShade="BF"/>
      <w:spacing w:val="5"/>
    </w:rPr>
  </w:style>
  <w:style w:type="paragraph" w:styleId="Header">
    <w:name w:val="header"/>
    <w:basedOn w:val="Normal"/>
    <w:link w:val="HeaderChar"/>
    <w:uiPriority w:val="99"/>
    <w:unhideWhenUsed/>
    <w:rsid w:val="00AB0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54"/>
  </w:style>
  <w:style w:type="paragraph" w:styleId="Footer">
    <w:name w:val="footer"/>
    <w:basedOn w:val="Normal"/>
    <w:link w:val="FooterChar"/>
    <w:uiPriority w:val="99"/>
    <w:unhideWhenUsed/>
    <w:rsid w:val="00AB0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10284">
      <w:bodyDiv w:val="1"/>
      <w:marLeft w:val="0"/>
      <w:marRight w:val="0"/>
      <w:marTop w:val="0"/>
      <w:marBottom w:val="0"/>
      <w:divBdr>
        <w:top w:val="none" w:sz="0" w:space="0" w:color="auto"/>
        <w:left w:val="none" w:sz="0" w:space="0" w:color="auto"/>
        <w:bottom w:val="none" w:sz="0" w:space="0" w:color="auto"/>
        <w:right w:val="none" w:sz="0" w:space="0" w:color="auto"/>
      </w:divBdr>
    </w:div>
    <w:div w:id="7801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6" ma:contentTypeDescription="Create a new document." ma:contentTypeScope="" ma:versionID="20836f7abd169c95b5ee9154357b5786">
  <xsd:schema xmlns:xsd="http://www.w3.org/2001/XMLSchema" xmlns:xs="http://www.w3.org/2001/XMLSchema" xmlns:p="http://schemas.microsoft.com/office/2006/metadata/properties" xmlns:ns1="http://schemas.microsoft.com/sharepoint/v3" xmlns:ns2="0e7f0178-c4f6-49ef-8e27-5f2d3e0fd230" targetNamespace="http://schemas.microsoft.com/office/2006/metadata/properties" ma:root="true" ma:fieldsID="6d7f645f33d90d130392415d0de862ce" ns1:_="" ns2:_="">
    <xsd:import namespace="http://schemas.microsoft.com/sharepoint/v3"/>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A30A89-3BC0-4688-8CF2-48E435DE6050}">
  <ds:schemaRefs>
    <ds:schemaRef ds:uri="http://schemas.microsoft.com/sharepoint/v3/contenttype/forms"/>
  </ds:schemaRefs>
</ds:datastoreItem>
</file>

<file path=customXml/itemProps2.xml><?xml version="1.0" encoding="utf-8"?>
<ds:datastoreItem xmlns:ds="http://schemas.openxmlformats.org/officeDocument/2006/customXml" ds:itemID="{0F73C152-AA00-4517-A9F7-DACA9F4B0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5F3C0-46A5-45D1-A75E-B6738B6AEB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Bonskowski</dc:creator>
  <cp:keywords/>
  <dc:description/>
  <cp:lastModifiedBy>Ned Bonskowski</cp:lastModifiedBy>
  <cp:revision>2</cp:revision>
  <dcterms:created xsi:type="dcterms:W3CDTF">2025-03-14T21:34:00Z</dcterms:created>
  <dcterms:modified xsi:type="dcterms:W3CDTF">2025-03-14T21:34:00Z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ies>
</file>