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06E48C8" w:rsidR="00C97625" w:rsidRPr="00595DDC" w:rsidRDefault="00CC48E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CC48E8">
                <w:rPr>
                  <w:rStyle w:val="Hyperlink"/>
                </w:rPr>
                <w:t>1268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7EFAD65" w:rsidR="00C97625" w:rsidRPr="009F3D0E" w:rsidRDefault="00CC48E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RTC – Modification of Ancillary Service Demand Curves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E0BD8AE" w:rsidR="00FC0BDC" w:rsidRPr="009F3D0E" w:rsidRDefault="00DE52B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18,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986" w14:textId="77777777" w:rsidR="00CC48E8" w:rsidRDefault="00CC48E8" w:rsidP="00CC48E8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5895920" w14:textId="77777777" w:rsidR="00B17049" w:rsidRDefault="00B17049" w:rsidP="00B0156D">
            <w:pPr>
              <w:pStyle w:val="NormalArial"/>
              <w:rPr>
                <w:sz w:val="22"/>
                <w:szCs w:val="22"/>
              </w:rPr>
            </w:pPr>
          </w:p>
          <w:p w14:paraId="7769272D" w14:textId="2FA6B40D" w:rsidR="00CC48E8" w:rsidRPr="00511748" w:rsidRDefault="00CC48E8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FD092AA" w:rsidR="000A2646" w:rsidRPr="00A36BDB" w:rsidRDefault="00CC48E8" w:rsidP="0088379F">
            <w:pPr>
              <w:pStyle w:val="NormalArial"/>
            </w:pPr>
            <w:r>
              <w:t>There are no additional impacts to this NPRR beyond what was captured in PR447, Real-Time Co-optimization.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538B829F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856FE">
      <w:rPr>
        <w:rFonts w:ascii="Arial" w:hAnsi="Arial"/>
        <w:noProof/>
        <w:sz w:val="18"/>
      </w:rPr>
      <w:t>1268NPRR-11 Impact Analysis 031825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1AB0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0C08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856FE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7780A"/>
    <w:rsid w:val="00C957F9"/>
    <w:rsid w:val="00C97625"/>
    <w:rsid w:val="00CA17FC"/>
    <w:rsid w:val="00CB3C8E"/>
    <w:rsid w:val="00CB7783"/>
    <w:rsid w:val="00CC046E"/>
    <w:rsid w:val="00CC3457"/>
    <w:rsid w:val="00CC48E8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E52BC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0344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6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03XX25</cp:lastModifiedBy>
  <cp:revision>3</cp:revision>
  <cp:lastPrinted>2007-01-12T13:31:00Z</cp:lastPrinted>
  <dcterms:created xsi:type="dcterms:W3CDTF">2025-03-18T14:33:00Z</dcterms:created>
  <dcterms:modified xsi:type="dcterms:W3CDTF">2025-03-18T14:36:00Z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