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33AF414A" w:rsidR="00480931" w:rsidRPr="00154BEC" w:rsidRDefault="00E60F27" w:rsidP="00480931">
      <w:pPr>
        <w:pBdr>
          <w:bottom w:val="single" w:sz="4" w:space="0" w:color="auto"/>
        </w:pBdr>
        <w:jc w:val="center"/>
        <w:outlineLvl w:val="0"/>
        <w:rPr>
          <w:b/>
        </w:rPr>
      </w:pPr>
      <w:r>
        <w:rPr>
          <w:b/>
        </w:rPr>
        <w:t>April</w:t>
      </w:r>
      <w:r w:rsidR="008E6A33">
        <w:rPr>
          <w:b/>
        </w:rPr>
        <w:t xml:space="preserve"> 1</w:t>
      </w:r>
      <w:r w:rsidR="00CF4FAC">
        <w:rPr>
          <w:b/>
        </w:rPr>
        <w:t>, 202</w:t>
      </w:r>
      <w:r w:rsidR="008E6A33">
        <w:rPr>
          <w:b/>
        </w:rPr>
        <w:t>5</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37D609F"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r>
      <w:r w:rsidR="008C2A2A">
        <w:rPr>
          <w:rStyle w:val="Hyperlink"/>
          <w:webHidden/>
          <w:color w:val="auto"/>
          <w:u w:val="none"/>
        </w:rPr>
        <w:t>2</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D1AD221"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8C2A2A">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1ABC7D32" w14:textId="7CB8886F" w:rsidR="00E60F27" w:rsidRPr="00E60F27" w:rsidRDefault="00EA796D" w:rsidP="00E60F27">
      <w:pPr>
        <w:pStyle w:val="TOC4"/>
        <w:rPr>
          <w:webHidden/>
        </w:rPr>
      </w:pPr>
      <w:r w:rsidRPr="00EA796D">
        <w:t>3.1.1.6</w:t>
      </w:r>
      <w:r w:rsidRPr="00EA796D">
        <w:tab/>
        <w:t>Grid Reliability and Resiliency Assessment (GRRA)</w:t>
      </w:r>
      <w:r w:rsidRPr="00EA796D">
        <w:tab/>
        <w:t>4</w:t>
      </w:r>
    </w:p>
    <w:p w14:paraId="3C15FC9A" w14:textId="1D2E318A"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8C2A2A">
        <w:rPr>
          <w:rStyle w:val="Hyperlink"/>
          <w:webHidden/>
          <w:color w:val="auto"/>
          <w:u w:val="none"/>
          <w:lang w:val="x-none" w:eastAsia="x-none"/>
        </w:rPr>
        <w:t>5</w:t>
      </w:r>
    </w:p>
    <w:p w14:paraId="32886747" w14:textId="7ED3B48E"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8C2A2A">
        <w:rPr>
          <w:rStyle w:val="Hyperlink"/>
          <w:webHidden/>
          <w:color w:val="auto"/>
          <w:u w:val="none"/>
        </w:rPr>
        <w:t>5</w:t>
      </w:r>
    </w:p>
    <w:p w14:paraId="35EEE5A3" w14:textId="36B2F3D2"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8C2A2A">
        <w:rPr>
          <w:rStyle w:val="Hyperlink"/>
          <w:webHidden/>
          <w:color w:val="auto"/>
          <w:u w:val="none"/>
          <w:lang w:val="x-none" w:eastAsia="x-none"/>
        </w:rPr>
        <w:t>6</w:t>
      </w:r>
    </w:p>
    <w:p w14:paraId="28EC65B3" w14:textId="6AF77BE4"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8C2A2A">
        <w:rPr>
          <w:rStyle w:val="Hyperlink"/>
          <w:webHidden/>
          <w:color w:val="auto"/>
          <w:u w:val="none"/>
        </w:rPr>
        <w:t>8</w:t>
      </w:r>
    </w:p>
    <w:p w14:paraId="10064272" w14:textId="70D12C2C"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8C2A2A">
        <w:rPr>
          <w:rStyle w:val="Hyperlink"/>
          <w:webHidden/>
          <w:color w:val="auto"/>
          <w:u w:val="none"/>
        </w:rPr>
        <w:t>9</w:t>
      </w:r>
    </w:p>
    <w:p w14:paraId="5B2FCEA7" w14:textId="2F0F6C0C"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8C2A2A">
        <w:rPr>
          <w:rStyle w:val="Hyperlink"/>
          <w:webHidden/>
          <w:color w:val="auto"/>
          <w:u w:val="none"/>
          <w:lang w:val="x-none" w:eastAsia="x-none"/>
        </w:rPr>
        <w:t>9</w:t>
      </w:r>
    </w:p>
    <w:p w14:paraId="5417C232" w14:textId="0202DCD2"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8C2A2A">
        <w:rPr>
          <w:rStyle w:val="Hyperlink"/>
          <w:webHidden/>
          <w:color w:val="auto"/>
          <w:u w:val="none"/>
        </w:rPr>
        <w:t>9</w:t>
      </w:r>
    </w:p>
    <w:p w14:paraId="2E81D6BA" w14:textId="1023C1EE"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sidR="008C2A2A">
        <w:rPr>
          <w:rStyle w:val="Hyperlink"/>
          <w:webHidden/>
          <w:color w:val="auto"/>
          <w:u w:val="none"/>
        </w:rPr>
        <w:t>10</w:t>
      </w:r>
    </w:p>
    <w:p w14:paraId="461759E3" w14:textId="188ADF47"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8C2A2A">
        <w:rPr>
          <w:rStyle w:val="Hyperlink"/>
          <w:webHidden/>
          <w:color w:val="auto"/>
          <w:u w:val="none"/>
        </w:rPr>
        <w:t>11</w:t>
      </w:r>
    </w:p>
    <w:p w14:paraId="08E03BC6" w14:textId="723ADCD9"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8C2A2A">
        <w:rPr>
          <w:rStyle w:val="Hyperlink"/>
          <w:webHidden/>
          <w:color w:val="auto"/>
          <w:u w:val="none"/>
          <w:lang w:val="x-none" w:eastAsia="x-none"/>
        </w:rPr>
        <w:t>12</w:t>
      </w:r>
    </w:p>
    <w:p w14:paraId="1D61DA65" w14:textId="0548B466"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CE6A99">
        <w:rPr>
          <w:rStyle w:val="Hyperlink"/>
          <w:webHidden/>
          <w:color w:val="auto"/>
          <w:u w:val="none"/>
          <w:lang w:val="x-none" w:eastAsia="x-none"/>
        </w:rPr>
        <w:t>1</w:t>
      </w:r>
      <w:r w:rsidR="008C2A2A">
        <w:rPr>
          <w:rStyle w:val="Hyperlink"/>
          <w:webHidden/>
          <w:color w:val="auto"/>
          <w:u w:val="none"/>
          <w:lang w:val="x-none" w:eastAsia="x-none"/>
        </w:rPr>
        <w:t>3</w:t>
      </w:r>
    </w:p>
    <w:p w14:paraId="4E0428C3" w14:textId="3B9BA858"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w:t>
      </w:r>
      <w:r w:rsidR="008C2A2A">
        <w:rPr>
          <w:rStyle w:val="Hyperlink"/>
          <w:webHidden/>
          <w:color w:val="auto"/>
          <w:u w:val="none"/>
          <w:lang w:val="x-none" w:eastAsia="x-none"/>
        </w:rPr>
        <w:t>3</w:t>
      </w:r>
    </w:p>
    <w:p w14:paraId="109C930A" w14:textId="61A05F16"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8C2A2A">
        <w:rPr>
          <w:rStyle w:val="Hyperlink"/>
          <w:noProof/>
          <w:webHidden/>
          <w:color w:val="auto"/>
          <w:u w:val="none"/>
          <w:lang w:val="x-none" w:eastAsia="x-none"/>
        </w:rPr>
        <w:t>4</w:t>
      </w:r>
    </w:p>
    <w:p w14:paraId="61C1A413" w14:textId="43A9E425"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8C2A2A">
        <w:rPr>
          <w:rStyle w:val="Hyperlink"/>
          <w:noProof/>
          <w:webHidden/>
          <w:color w:val="auto"/>
          <w:u w:val="none"/>
          <w:lang w:val="x-none" w:eastAsia="x-none"/>
        </w:rPr>
        <w:t>6</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022108DC"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8C2A2A">
        <w:rPr>
          <w:webHidden/>
        </w:rPr>
        <w:t>6</w:t>
      </w:r>
    </w:p>
    <w:p w14:paraId="26854C7B" w14:textId="4B4266D4"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r>
      <w:r w:rsidR="008C2A2A">
        <w:rPr>
          <w:rStyle w:val="Hyperlink"/>
          <w:webHidden/>
          <w:color w:val="auto"/>
          <w:u w:val="none"/>
        </w:rPr>
        <w:t>6</w:t>
      </w:r>
    </w:p>
    <w:p w14:paraId="62D3CA25" w14:textId="51AE6F10" w:rsidR="00A847C5" w:rsidRPr="0097215E" w:rsidRDefault="00A847C5" w:rsidP="0097215E">
      <w:pPr>
        <w:pStyle w:val="TOC4"/>
        <w:rPr>
          <w:rStyle w:val="Hyperlink"/>
          <w:webHidden/>
          <w:color w:val="auto"/>
          <w:u w:val="none"/>
        </w:rPr>
      </w:pPr>
      <w:r w:rsidRPr="0097215E">
        <w:rPr>
          <w:rStyle w:val="Hyperlink"/>
          <w:color w:val="auto"/>
          <w:u w:val="none"/>
        </w:rPr>
        <w:lastRenderedPageBreak/>
        <w:t>4.1.1.5</w:t>
      </w:r>
      <w:r w:rsidRPr="0097215E">
        <w:rPr>
          <w:rStyle w:val="Hyperlink"/>
          <w:color w:val="auto"/>
          <w:u w:val="none"/>
        </w:rPr>
        <w:tab/>
        <w:t>Transient Voltage Response Criteria</w:t>
      </w:r>
      <w:r w:rsidRPr="0097215E">
        <w:rPr>
          <w:rStyle w:val="Hyperlink"/>
          <w:webHidden/>
          <w:color w:val="auto"/>
          <w:u w:val="none"/>
        </w:rPr>
        <w:tab/>
      </w:r>
      <w:r w:rsidR="008C2A2A">
        <w:rPr>
          <w:rStyle w:val="Hyperlink"/>
          <w:webHidden/>
          <w:color w:val="auto"/>
          <w:u w:val="none"/>
        </w:rPr>
        <w:t>7</w:t>
      </w:r>
    </w:p>
    <w:p w14:paraId="71FEE7DF" w14:textId="712ADD38" w:rsidR="00A847C5" w:rsidRDefault="00A847C5" w:rsidP="0097215E">
      <w:pPr>
        <w:pStyle w:val="TOC4"/>
        <w:rPr>
          <w:rStyle w:val="Hyperlink"/>
          <w:webHidden/>
          <w:color w:val="auto"/>
          <w:u w:val="none"/>
        </w:rPr>
      </w:pPr>
      <w:r w:rsidRPr="0097215E">
        <w:rPr>
          <w:rStyle w:val="Hyperlink"/>
          <w:color w:val="auto"/>
          <w:u w:val="none"/>
        </w:rPr>
        <w:t>4.1.1.6</w:t>
      </w:r>
      <w:r w:rsidRPr="0097215E">
        <w:rPr>
          <w:rStyle w:val="Hyperlink"/>
          <w:color w:val="auto"/>
          <w:u w:val="none"/>
        </w:rPr>
        <w:tab/>
        <w:t>Damping Criteria</w:t>
      </w:r>
      <w:r w:rsidRPr="0097215E">
        <w:rPr>
          <w:rStyle w:val="Hyperlink"/>
          <w:webHidden/>
          <w:color w:val="auto"/>
          <w:u w:val="none"/>
        </w:rPr>
        <w:tab/>
      </w:r>
      <w:r w:rsidR="008C2A2A">
        <w:rPr>
          <w:rStyle w:val="Hyperlink"/>
          <w:webHidden/>
          <w:color w:val="auto"/>
          <w:u w:val="none"/>
        </w:rPr>
        <w:t>7</w:t>
      </w:r>
    </w:p>
    <w:p w14:paraId="5B124E92" w14:textId="6C8A1C51"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0F79AF">
        <w:rPr>
          <w:rStyle w:val="Hyperlink"/>
          <w:webHidden/>
          <w:color w:val="auto"/>
          <w:u w:val="none"/>
        </w:rPr>
        <w:t>7</w:t>
      </w:r>
    </w:p>
    <w:p w14:paraId="685D1AEB" w14:textId="02787B0F"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8C2A2A">
        <w:rPr>
          <w:rStyle w:val="Hyperlink"/>
          <w:webHidden/>
          <w:color w:val="auto"/>
          <w:u w:val="none"/>
        </w:rPr>
        <w:t>8</w:t>
      </w:r>
    </w:p>
    <w:p w14:paraId="1046DBF7" w14:textId="40B42FFB" w:rsidR="00E60F27" w:rsidRPr="00EA796D" w:rsidRDefault="00EA796D" w:rsidP="00E60F27">
      <w:pPr>
        <w:pStyle w:val="TOC3"/>
        <w:tabs>
          <w:tab w:val="left" w:pos="1200"/>
        </w:tabs>
        <w:rPr>
          <w:rStyle w:val="Hyperlink"/>
          <w:color w:val="auto"/>
          <w:u w:val="none"/>
        </w:rPr>
      </w:pPr>
      <w:r w:rsidRPr="00EA796D">
        <w:rPr>
          <w:rStyle w:val="Hyperlink"/>
          <w:color w:val="auto"/>
          <w:u w:val="none"/>
        </w:rPr>
        <w:t>4.1.2</w:t>
      </w:r>
      <w:r w:rsidRPr="00EA796D">
        <w:rPr>
          <w:rStyle w:val="Hyperlink"/>
          <w:color w:val="auto"/>
          <w:u w:val="none"/>
        </w:rPr>
        <w:tab/>
        <w:t>Resiliency Criteria</w:t>
      </w:r>
      <w:r w:rsidRPr="00EA796D">
        <w:rPr>
          <w:rStyle w:val="Hyperlink"/>
          <w:color w:val="auto"/>
          <w:u w:val="none"/>
        </w:rPr>
        <w:tab/>
        <w:t>8</w:t>
      </w:r>
    </w:p>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5789A9B1"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8C2A2A">
        <w:rPr>
          <w:noProof/>
          <w:webHidden/>
        </w:rPr>
        <w:t>1</w:t>
      </w:r>
    </w:p>
    <w:p w14:paraId="6359B1B0" w14:textId="1B854862"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E727DF">
        <w:rPr>
          <w:webHidden/>
        </w:rPr>
        <w:t>2</w:t>
      </w:r>
    </w:p>
    <w:p w14:paraId="03028582" w14:textId="433F595D"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E727DF">
        <w:rPr>
          <w:noProof/>
          <w:webHidden/>
        </w:rPr>
        <w:t>2</w:t>
      </w:r>
    </w:p>
    <w:p w14:paraId="12C8742B" w14:textId="642DC88E"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E727DF">
        <w:rPr>
          <w:noProof/>
          <w:webHidden/>
        </w:rPr>
        <w:t>4</w:t>
      </w:r>
    </w:p>
    <w:p w14:paraId="2F1D41FB" w14:textId="392D70C8"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E727DF">
        <w:rPr>
          <w:rStyle w:val="Hyperlink"/>
          <w:webHidden/>
          <w:color w:val="auto"/>
          <w:u w:val="none"/>
        </w:rPr>
        <w:t>6</w:t>
      </w:r>
    </w:p>
    <w:p w14:paraId="1079190C" w14:textId="52C47000"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E727DF">
        <w:rPr>
          <w:rStyle w:val="Hyperlink"/>
          <w:webHidden/>
          <w:color w:val="auto"/>
          <w:u w:val="none"/>
        </w:rPr>
        <w:t>7</w:t>
      </w:r>
    </w:p>
    <w:p w14:paraId="10C29331" w14:textId="6C4FB3E0"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E727DF">
        <w:rPr>
          <w:rStyle w:val="Hyperlink"/>
          <w:webHidden/>
          <w:color w:val="auto"/>
          <w:u w:val="none"/>
        </w:rPr>
        <w:t>8</w:t>
      </w:r>
    </w:p>
    <w:p w14:paraId="13956A43" w14:textId="51430F0D"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E727DF">
        <w:rPr>
          <w:rStyle w:val="Hyperlink"/>
          <w:webHidden/>
          <w:color w:val="auto"/>
          <w:u w:val="none"/>
        </w:rPr>
        <w:t>9</w:t>
      </w:r>
    </w:p>
    <w:p w14:paraId="661A4D4D" w14:textId="20E93B7B"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E727DF">
        <w:rPr>
          <w:rStyle w:val="Hyperlink"/>
          <w:webHidden/>
          <w:color w:val="auto"/>
          <w:u w:val="none"/>
        </w:rPr>
        <w:t>9</w:t>
      </w:r>
    </w:p>
    <w:p w14:paraId="1A146F52" w14:textId="27C62DB3"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E727DF">
        <w:rPr>
          <w:rStyle w:val="Hyperlink"/>
          <w:webHidden/>
          <w:color w:val="auto"/>
          <w:u w:val="none"/>
        </w:rPr>
        <w:t>20</w:t>
      </w:r>
    </w:p>
    <w:p w14:paraId="1CFF694B" w14:textId="5346B606"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E727DF">
        <w:rPr>
          <w:rStyle w:val="Hyperlink"/>
          <w:webHidden/>
          <w:color w:val="auto"/>
          <w:u w:val="none"/>
        </w:rPr>
        <w:t>20</w:t>
      </w:r>
    </w:p>
    <w:p w14:paraId="0D77272F" w14:textId="5ABCD3FF"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w:t>
      </w:r>
      <w:r w:rsidR="00E727DF">
        <w:rPr>
          <w:rStyle w:val="Hyperlink"/>
          <w:webHidden/>
          <w:color w:val="auto"/>
          <w:u w:val="none"/>
        </w:rPr>
        <w:t>2</w:t>
      </w:r>
    </w:p>
    <w:p w14:paraId="2F26EDBF" w14:textId="2495EF2D"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E727DF">
        <w:rPr>
          <w:rStyle w:val="Hyperlink"/>
          <w:webHidden/>
          <w:color w:val="auto"/>
          <w:u w:val="none"/>
        </w:rPr>
        <w:t>2</w:t>
      </w:r>
    </w:p>
    <w:p w14:paraId="037B90A8" w14:textId="11113A1C"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E727DF">
        <w:rPr>
          <w:noProof/>
          <w:webHidden/>
        </w:rPr>
        <w:t>3</w:t>
      </w:r>
    </w:p>
    <w:p w14:paraId="36692F75" w14:textId="59822BBD"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E727DF">
        <w:rPr>
          <w:noProof/>
          <w:webHidden/>
        </w:rPr>
        <w:t>4</w:t>
      </w:r>
    </w:p>
    <w:p w14:paraId="7C4E7EB5" w14:textId="0DC045F5"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E727DF">
        <w:rPr>
          <w:noProof/>
          <w:webHidden/>
        </w:rPr>
        <w:t>5</w:t>
      </w:r>
    </w:p>
    <w:p w14:paraId="6A5FD279" w14:textId="108859E5"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E727DF">
        <w:rPr>
          <w:webHidden/>
        </w:rPr>
        <w:t>7</w:t>
      </w:r>
    </w:p>
    <w:p w14:paraId="791A5B5F" w14:textId="041C89B3"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E727DF">
        <w:rPr>
          <w:noProof/>
          <w:webHidden/>
        </w:rPr>
        <w:t>7</w:t>
      </w:r>
    </w:p>
    <w:p w14:paraId="03304F8A" w14:textId="57E11190"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E727DF">
        <w:rPr>
          <w:noProof/>
          <w:webHidden/>
        </w:rPr>
        <w:t>8</w:t>
      </w:r>
    </w:p>
    <w:p w14:paraId="6F6816B4" w14:textId="6B0C5A43"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E727DF">
        <w:rPr>
          <w:noProof/>
          <w:webHidden/>
        </w:rPr>
        <w:t>8</w:t>
      </w:r>
    </w:p>
    <w:p w14:paraId="073BF2BB" w14:textId="2A5E2914"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E727DF">
        <w:rPr>
          <w:noProof/>
          <w:webHidden/>
        </w:rPr>
        <w:t>9</w:t>
      </w:r>
    </w:p>
    <w:p w14:paraId="21DB9360" w14:textId="279B163C"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E727DF">
        <w:rPr>
          <w:webHidden/>
        </w:rPr>
        <w:t>9</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58C1FC66"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E727DF">
        <w:rPr>
          <w:noProof/>
          <w:webHidden/>
        </w:rPr>
        <w:t>7</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679E535B"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3A4522">
        <w:rPr>
          <w:noProof/>
          <w:webHidden/>
        </w:rPr>
        <w:t>8</w:t>
      </w:r>
    </w:p>
    <w:p w14:paraId="02E4EC0A" w14:textId="21A1CA0F"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E727DF">
        <w:rPr>
          <w:webHidden/>
        </w:rPr>
        <w:t>7</w:t>
      </w:r>
    </w:p>
    <w:p w14:paraId="233FF81A" w14:textId="1BF96AEF"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3A4522">
        <w:rPr>
          <w:webHidden/>
        </w:rPr>
        <w:t>10</w:t>
      </w:r>
    </w:p>
    <w:p w14:paraId="681DC753" w14:textId="30C8FD8E"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3A4522">
        <w:rPr>
          <w:noProof/>
          <w:webHidden/>
        </w:rPr>
        <w:t>10</w:t>
      </w:r>
    </w:p>
    <w:p w14:paraId="5974AFBD" w14:textId="76FE9770"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3A4522">
        <w:rPr>
          <w:noProof/>
          <w:webHidden/>
        </w:rPr>
        <w:t>1</w:t>
      </w:r>
    </w:p>
    <w:p w14:paraId="6C86D7C6" w14:textId="6941BF57" w:rsidR="00141E55" w:rsidRPr="0053608E" w:rsidRDefault="00141E55" w:rsidP="00926264">
      <w:pPr>
        <w:pStyle w:val="TOC3"/>
        <w:rPr>
          <w:rFonts w:ascii="Calibri" w:hAnsi="Calibri"/>
          <w:noProof/>
          <w:sz w:val="22"/>
          <w:szCs w:val="22"/>
        </w:rPr>
      </w:pPr>
      <w:r w:rsidRPr="0053608E">
        <w:rPr>
          <w:rStyle w:val="Hyperlink"/>
          <w:noProof/>
          <w:color w:val="auto"/>
          <w:u w:val="none"/>
        </w:rPr>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3A4522">
        <w:rPr>
          <w:noProof/>
          <w:webHidden/>
        </w:rPr>
        <w:t>1</w:t>
      </w:r>
    </w:p>
    <w:p w14:paraId="0C10B946" w14:textId="7D2C5A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3A4522">
        <w:rPr>
          <w:noProof/>
          <w:webHidden/>
        </w:rPr>
        <w:t>1</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539085CC"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3A4522">
        <w:rPr>
          <w:webHidden/>
        </w:rPr>
        <w:t>2</w:t>
      </w:r>
    </w:p>
    <w:p w14:paraId="61808DAF" w14:textId="7922FE2C"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3A4522">
        <w:rPr>
          <w:webHidden/>
        </w:rPr>
        <w:t>3</w:t>
      </w:r>
    </w:p>
    <w:p w14:paraId="1BC84C57" w14:textId="4F6DF5D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3A4522">
        <w:rPr>
          <w:webHidden/>
        </w:rPr>
        <w:t>3</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0132C0C1"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3A4522">
        <w:rPr>
          <w:noProof/>
          <w:webHidden/>
        </w:rPr>
        <w:t>4</w:t>
      </w:r>
    </w:p>
    <w:p w14:paraId="4CDB3978" w14:textId="4F32D881"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3A4522">
        <w:rPr>
          <w:noProof/>
          <w:webHidden/>
        </w:rPr>
        <w:t>5</w:t>
      </w:r>
    </w:p>
    <w:p w14:paraId="11387FDF" w14:textId="1BAD1900"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3A4522">
        <w:rPr>
          <w:webHidden/>
        </w:rPr>
        <w:t>6</w:t>
      </w:r>
    </w:p>
    <w:p w14:paraId="3F8E483B" w14:textId="7F9D3720"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3A4522">
        <w:rPr>
          <w:rStyle w:val="Hyperlink"/>
          <w:webHidden/>
          <w:color w:val="auto"/>
          <w:u w:val="none"/>
        </w:rPr>
        <w:t>8</w:t>
      </w:r>
    </w:p>
    <w:p w14:paraId="5075DE71" w14:textId="619CC71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3A4522">
        <w:rPr>
          <w:bCs/>
        </w:rPr>
        <w:t>8</w:t>
      </w:r>
    </w:p>
    <w:p w14:paraId="54E37B2D" w14:textId="1217DA54"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A4522">
        <w:rPr>
          <w:bCs/>
        </w:rPr>
        <w:t>20</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p w14:paraId="40A9EBC2" w14:textId="77777777" w:rsidR="0096146D" w:rsidRPr="0096146D" w:rsidRDefault="0096146D" w:rsidP="0096146D">
      <w:pPr>
        <w:rPr>
          <w:sz w:val="22"/>
          <w:szCs w:val="22"/>
        </w:rPr>
      </w:pP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646C8A9D" w14:textId="77777777" w:rsidR="0096146D" w:rsidRPr="0096146D" w:rsidRDefault="0096146D" w:rsidP="0096146D">
      <w:pPr>
        <w:rPr>
          <w:sz w:val="22"/>
          <w:szCs w:val="22"/>
        </w:rPr>
      </w:pPr>
    </w:p>
    <w:p w14:paraId="4FB3F20E" w14:textId="77777777" w:rsidR="0096146D" w:rsidRPr="0096146D" w:rsidRDefault="0096146D" w:rsidP="0096146D">
      <w:pPr>
        <w:rPr>
          <w:sz w:val="22"/>
          <w:szCs w:val="22"/>
        </w:rPr>
      </w:pPr>
    </w:p>
    <w:p w14:paraId="22AB6B36" w14:textId="77777777" w:rsidR="0096146D" w:rsidRPr="0096146D" w:rsidRDefault="0096146D" w:rsidP="0096146D">
      <w:pPr>
        <w:rPr>
          <w:sz w:val="22"/>
          <w:szCs w:val="22"/>
        </w:rPr>
      </w:pPr>
    </w:p>
    <w:p w14:paraId="281BD56E" w14:textId="77777777" w:rsidR="0096146D" w:rsidRPr="0096146D" w:rsidRDefault="0096146D" w:rsidP="0096146D">
      <w:pPr>
        <w:rPr>
          <w:sz w:val="22"/>
          <w:szCs w:val="22"/>
        </w:rPr>
      </w:pPr>
    </w:p>
    <w:p w14:paraId="40B8743F" w14:textId="77777777" w:rsidR="0096146D" w:rsidRPr="0096146D" w:rsidRDefault="0096146D" w:rsidP="0096146D">
      <w:pPr>
        <w:rPr>
          <w:sz w:val="22"/>
          <w:szCs w:val="22"/>
        </w:rPr>
      </w:pPr>
    </w:p>
    <w:p w14:paraId="49842076" w14:textId="77777777" w:rsidR="0096146D" w:rsidRPr="0096146D" w:rsidRDefault="0096146D" w:rsidP="0096146D">
      <w:pPr>
        <w:rPr>
          <w:sz w:val="22"/>
          <w:szCs w:val="22"/>
        </w:rPr>
      </w:pPr>
    </w:p>
    <w:p w14:paraId="21707D91" w14:textId="77777777" w:rsidR="0096146D" w:rsidRPr="0096146D" w:rsidRDefault="0096146D" w:rsidP="0096146D">
      <w:pPr>
        <w:rPr>
          <w:sz w:val="22"/>
          <w:szCs w:val="22"/>
        </w:rPr>
      </w:pPr>
    </w:p>
    <w:p w14:paraId="25FC2864" w14:textId="77777777" w:rsidR="0096146D" w:rsidRPr="0096146D" w:rsidRDefault="0096146D" w:rsidP="0096146D">
      <w:pPr>
        <w:rPr>
          <w:sz w:val="22"/>
          <w:szCs w:val="22"/>
        </w:rPr>
      </w:pPr>
    </w:p>
    <w:p w14:paraId="66C893B6" w14:textId="77777777" w:rsidR="0096146D" w:rsidRPr="0096146D" w:rsidRDefault="0096146D" w:rsidP="0096146D">
      <w:pPr>
        <w:rPr>
          <w:sz w:val="22"/>
          <w:szCs w:val="22"/>
        </w:rPr>
      </w:pPr>
    </w:p>
    <w:p w14:paraId="63A8E7EE" w14:textId="77777777" w:rsidR="0096146D" w:rsidRPr="0096146D" w:rsidRDefault="0096146D" w:rsidP="0096146D">
      <w:pPr>
        <w:rPr>
          <w:sz w:val="22"/>
          <w:szCs w:val="22"/>
        </w:rPr>
      </w:pPr>
    </w:p>
    <w:p w14:paraId="7EBCFD7F" w14:textId="77777777" w:rsidR="0096146D" w:rsidRPr="0096146D" w:rsidRDefault="0096146D" w:rsidP="0096146D">
      <w:pPr>
        <w:rPr>
          <w:sz w:val="22"/>
          <w:szCs w:val="22"/>
        </w:rPr>
      </w:pPr>
    </w:p>
    <w:p w14:paraId="040F9D3C" w14:textId="77777777" w:rsidR="0096146D" w:rsidRPr="0096146D" w:rsidRDefault="0096146D" w:rsidP="0096146D">
      <w:pPr>
        <w:rPr>
          <w:sz w:val="22"/>
          <w:szCs w:val="22"/>
        </w:rPr>
      </w:pPr>
    </w:p>
    <w:p w14:paraId="040545A2" w14:textId="77777777" w:rsidR="0096146D" w:rsidRPr="0096146D" w:rsidRDefault="0096146D" w:rsidP="0096146D">
      <w:pPr>
        <w:rPr>
          <w:sz w:val="22"/>
          <w:szCs w:val="22"/>
        </w:rPr>
      </w:pPr>
    </w:p>
    <w:p w14:paraId="7A4597DE" w14:textId="77777777" w:rsidR="0096146D" w:rsidRPr="0096146D" w:rsidRDefault="0096146D" w:rsidP="0096146D">
      <w:pPr>
        <w:rPr>
          <w:sz w:val="22"/>
          <w:szCs w:val="22"/>
        </w:rPr>
      </w:pPr>
    </w:p>
    <w:p w14:paraId="624FAA15" w14:textId="77777777" w:rsidR="0096146D" w:rsidRPr="0096146D" w:rsidRDefault="0096146D" w:rsidP="0096146D">
      <w:pPr>
        <w:rPr>
          <w:sz w:val="22"/>
          <w:szCs w:val="22"/>
        </w:rPr>
      </w:pPr>
    </w:p>
    <w:p w14:paraId="29916AD7" w14:textId="77777777" w:rsidR="0096146D" w:rsidRPr="0096146D" w:rsidRDefault="0096146D" w:rsidP="0096146D">
      <w:pPr>
        <w:rPr>
          <w:sz w:val="22"/>
          <w:szCs w:val="22"/>
        </w:rPr>
      </w:pPr>
    </w:p>
    <w:p w14:paraId="3EDAE437" w14:textId="77777777" w:rsidR="0096146D" w:rsidRPr="0096146D" w:rsidRDefault="0096146D" w:rsidP="0096146D">
      <w:pPr>
        <w:rPr>
          <w:sz w:val="22"/>
          <w:szCs w:val="22"/>
        </w:rPr>
      </w:pPr>
    </w:p>
    <w:p w14:paraId="2550B35E" w14:textId="77777777" w:rsidR="0096146D" w:rsidRPr="0096146D" w:rsidRDefault="0096146D" w:rsidP="0096146D">
      <w:pPr>
        <w:rPr>
          <w:sz w:val="22"/>
          <w:szCs w:val="22"/>
        </w:rPr>
      </w:pPr>
    </w:p>
    <w:p w14:paraId="5B84186F" w14:textId="77777777" w:rsidR="0096146D" w:rsidRPr="0096146D" w:rsidRDefault="0096146D" w:rsidP="0096146D">
      <w:pPr>
        <w:rPr>
          <w:sz w:val="22"/>
          <w:szCs w:val="22"/>
        </w:rPr>
      </w:pPr>
    </w:p>
    <w:p w14:paraId="1EBF7400" w14:textId="77777777" w:rsidR="0096146D" w:rsidRDefault="0096146D" w:rsidP="0096146D">
      <w:pPr>
        <w:rPr>
          <w:b/>
          <w:i/>
          <w:sz w:val="22"/>
          <w:szCs w:val="22"/>
        </w:rPr>
      </w:pPr>
    </w:p>
    <w:p w14:paraId="5BB42470" w14:textId="77777777" w:rsidR="0096146D" w:rsidRPr="0096146D" w:rsidRDefault="0096146D" w:rsidP="0096146D">
      <w:pPr>
        <w:jc w:val="cente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12157" w14:textId="4BE22188"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C413AD">
      <w:rPr>
        <w:smallCaps/>
        <w:sz w:val="20"/>
      </w:rPr>
      <w:t xml:space="preserve">April </w:t>
    </w:r>
    <w:r w:rsidR="008E6A33">
      <w:rPr>
        <w:smallCaps/>
        <w:sz w:val="20"/>
      </w:rPr>
      <w:t>1</w:t>
    </w:r>
    <w:r w:rsidR="00A50ACD">
      <w:rPr>
        <w:smallCaps/>
        <w:sz w:val="20"/>
      </w:rPr>
      <w:t>, 202</w:t>
    </w:r>
    <w:r w:rsidR="008E6A33">
      <w:rPr>
        <w:smallCaps/>
        <w:sz w:val="20"/>
      </w:rPr>
      <w:t>5</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3CEE"/>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4522"/>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2A2A"/>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6A33"/>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1F90"/>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13AD"/>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6A99"/>
    <w:rsid w:val="00CE72F6"/>
    <w:rsid w:val="00CE747F"/>
    <w:rsid w:val="00CF0229"/>
    <w:rsid w:val="00CF1471"/>
    <w:rsid w:val="00CF43C3"/>
    <w:rsid w:val="00CF4BA9"/>
    <w:rsid w:val="00CF4FAC"/>
    <w:rsid w:val="00CF52AB"/>
    <w:rsid w:val="00CF590F"/>
    <w:rsid w:val="00D0100D"/>
    <w:rsid w:val="00D029D5"/>
    <w:rsid w:val="00D04998"/>
    <w:rsid w:val="00D066D7"/>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27E"/>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0F27"/>
    <w:rsid w:val="00E621AF"/>
    <w:rsid w:val="00E62CDA"/>
    <w:rsid w:val="00E63F57"/>
    <w:rsid w:val="00E64501"/>
    <w:rsid w:val="00E65023"/>
    <w:rsid w:val="00E66662"/>
    <w:rsid w:val="00E66C26"/>
    <w:rsid w:val="00E701B6"/>
    <w:rsid w:val="00E70532"/>
    <w:rsid w:val="00E716E7"/>
    <w:rsid w:val="00E71D9F"/>
    <w:rsid w:val="00E71EEF"/>
    <w:rsid w:val="00E727D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A796D"/>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7</cp:revision>
  <cp:lastPrinted>2011-09-30T19:35:00Z</cp:lastPrinted>
  <dcterms:created xsi:type="dcterms:W3CDTF">2025-01-31T16:28:00Z</dcterms:created>
  <dcterms:modified xsi:type="dcterms:W3CDTF">2025-03-28T16:04:00Z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