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8309DF6" w:rsidR="0011691A" w:rsidRDefault="00314ECE" w:rsidP="0011691A">
      <w:pPr>
        <w:pStyle w:val="BodyText"/>
        <w:jc w:val="center"/>
        <w:rPr>
          <w:b/>
          <w:szCs w:val="24"/>
        </w:rPr>
      </w:pPr>
      <w:r>
        <w:rPr>
          <w:b/>
          <w:szCs w:val="24"/>
        </w:rPr>
        <w:t>April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A7671BF" w14:textId="77777777" w:rsidTr="00A668F8">
        <w:trPr>
          <w:trHeight w:val="476"/>
        </w:trPr>
        <w:tc>
          <w:tcPr>
            <w:tcW w:w="9576" w:type="dxa"/>
            <w:shd w:val="clear" w:color="auto" w:fill="E0E0E0"/>
          </w:tcPr>
          <w:p w14:paraId="217F020A" w14:textId="48D76E61"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2C8A334" w14:textId="77777777" w:rsidR="00314ECE" w:rsidRPr="00594775" w:rsidRDefault="00314ECE" w:rsidP="00314ECE">
            <w:pPr>
              <w:keepNext/>
              <w:tabs>
                <w:tab w:val="left" w:pos="900"/>
              </w:tabs>
              <w:spacing w:after="240"/>
              <w:ind w:left="900" w:hanging="900"/>
              <w:outlineLvl w:val="1"/>
              <w:rPr>
                <w:b/>
              </w:rPr>
            </w:pPr>
            <w:r w:rsidRPr="00594775">
              <w:rPr>
                <w:b/>
              </w:rPr>
              <w:t>Blackout</w:t>
            </w:r>
          </w:p>
          <w:p w14:paraId="1D7EF47F" w14:textId="1C8298E7" w:rsidR="00314ECE" w:rsidRPr="00314ECE" w:rsidRDefault="00314ECE" w:rsidP="00A668F8">
            <w:pPr>
              <w:spacing w:after="240"/>
            </w:pPr>
            <w:r w:rsidRPr="00594775">
              <w:t xml:space="preserve">A condition in which frequency for the entire ERCOT System has dropped to zero and Generation Resources </w:t>
            </w:r>
            <w:r>
              <w:t xml:space="preserve">and Energy Storage Resources (ESRs) </w:t>
            </w:r>
            <w:r w:rsidRPr="00594775">
              <w:t>are no longer serving Load.</w:t>
            </w:r>
          </w:p>
        </w:tc>
      </w:tr>
    </w:tbl>
    <w:p w14:paraId="21FF9EEC" w14:textId="77777777" w:rsidR="004954E5" w:rsidRDefault="004954E5" w:rsidP="006E7FD5">
      <w:pPr>
        <w:pStyle w:val="H3"/>
        <w:spacing w:before="480"/>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2C36A6F" w14:textId="77777777" w:rsidTr="00A668F8">
        <w:trPr>
          <w:trHeight w:val="476"/>
        </w:trPr>
        <w:tc>
          <w:tcPr>
            <w:tcW w:w="9576" w:type="dxa"/>
            <w:shd w:val="clear" w:color="auto" w:fill="E0E0E0"/>
          </w:tcPr>
          <w:p w14:paraId="46B47E26" w14:textId="6FAE58CA" w:rsidR="00314ECE" w:rsidRPr="00625E9F" w:rsidRDefault="00314ECE" w:rsidP="00A668F8">
            <w:pPr>
              <w:pStyle w:val="Instructions"/>
              <w:spacing w:before="120"/>
              <w:rPr>
                <w:lang w:val="en-US" w:eastAsia="en-US"/>
              </w:rPr>
            </w:pPr>
            <w:bookmarkStart w:id="100" w:name="_Toc118224403"/>
            <w:bookmarkStart w:id="101" w:name="_Toc118909471"/>
            <w:bookmarkStart w:id="102" w:name="_Toc205190267"/>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Partial 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9C1472" w14:textId="77777777" w:rsidR="00314ECE" w:rsidRPr="00594775" w:rsidRDefault="00314ECE" w:rsidP="00314ECE">
            <w:pPr>
              <w:keepNext/>
              <w:tabs>
                <w:tab w:val="left" w:pos="1080"/>
              </w:tabs>
              <w:spacing w:after="240"/>
              <w:ind w:left="1080" w:hanging="720"/>
              <w:outlineLvl w:val="2"/>
              <w:rPr>
                <w:b/>
                <w:bCs/>
                <w:i/>
                <w:lang w:val="x-none" w:eastAsia="x-none"/>
              </w:rPr>
            </w:pPr>
            <w:r w:rsidRPr="00594775">
              <w:rPr>
                <w:b/>
                <w:bCs/>
                <w:i/>
                <w:iCs/>
                <w:lang w:val="x-none" w:eastAsia="x-none"/>
              </w:rPr>
              <w:t>Partial Blackout</w:t>
            </w:r>
          </w:p>
          <w:p w14:paraId="79B0E80E" w14:textId="75CEA122" w:rsidR="00314ECE" w:rsidRPr="00314ECE" w:rsidRDefault="00314ECE" w:rsidP="00314ECE">
            <w:pPr>
              <w:spacing w:after="240"/>
              <w:ind w:left="360"/>
              <w:rPr>
                <w:iCs/>
              </w:rPr>
            </w:pPr>
            <w:r w:rsidRPr="00594775">
              <w:rPr>
                <w:iCs/>
              </w:rPr>
              <w:t xml:space="preserve">A condition in which an uncontrolled separation of a portion of the ERCOT System occurs and frequency for that portion has dropped to zero and Generation Resources </w:t>
            </w:r>
            <w:r>
              <w:rPr>
                <w:iCs/>
              </w:rPr>
              <w:t xml:space="preserve">and ESRs </w:t>
            </w:r>
            <w:r w:rsidRPr="00594775">
              <w:rPr>
                <w:iCs/>
              </w:rPr>
              <w:t xml:space="preserve">within that portion are no longer serving Load and restoration is dependent on either internal Black Start Plans or assistance for restoration is needed from neighboring </w:t>
            </w:r>
            <w:r w:rsidRPr="00594775">
              <w:rPr>
                <w:iCs/>
              </w:rPr>
              <w:lastRenderedPageBreak/>
              <w:t>Transmission Operator(s) (TO(s)) within the ERCOT System which requires ERCOT coordination.</w:t>
            </w:r>
          </w:p>
        </w:tc>
      </w:tr>
    </w:tbl>
    <w:p w14:paraId="6CF39B8D" w14:textId="77777777" w:rsidR="005D1947" w:rsidRPr="00D5497B" w:rsidRDefault="00A442A0" w:rsidP="006E7FD5">
      <w:pPr>
        <w:pStyle w:val="H2"/>
        <w:spacing w:before="480"/>
        <w:rPr>
          <w:b/>
        </w:rPr>
      </w:pPr>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lastRenderedPageBreak/>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For the purpose of</w:t>
      </w:r>
      <w:proofErr w:type="gramEnd"/>
      <w:r>
        <w:t xml:space="preserve"> the Solar Renewable Portfolio Standard (SRPS) requirements, one Compliance Premium is equal to one SREC.</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13970" w14:paraId="6E81F2B3" w14:textId="77777777" w:rsidTr="00A668F8">
        <w:trPr>
          <w:trHeight w:val="476"/>
        </w:trPr>
        <w:tc>
          <w:tcPr>
            <w:tcW w:w="9576" w:type="dxa"/>
            <w:shd w:val="clear" w:color="auto" w:fill="E0E0E0"/>
          </w:tcPr>
          <w:p w14:paraId="2BE2B1E0" w14:textId="0719079B" w:rsidR="00913970" w:rsidRPr="00625E9F" w:rsidRDefault="00913970"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13970">
              <w:rPr>
                <w:lang w:val="en-US" w:eastAsia="en-US"/>
              </w:rPr>
              <w:t>Compliance Premium</w:t>
            </w:r>
            <w:r>
              <w:rPr>
                <w:lang w:val="en-US" w:eastAsia="en-US"/>
              </w:rPr>
              <w:t>” above with the following on September 1, 2025</w:t>
            </w:r>
            <w:r w:rsidRPr="00625E9F">
              <w:rPr>
                <w:lang w:val="en-US" w:eastAsia="en-US"/>
              </w:rPr>
              <w:t>:]</w:t>
            </w:r>
          </w:p>
          <w:p w14:paraId="4E8DC1B0" w14:textId="77777777" w:rsidR="00913970" w:rsidRPr="00913970" w:rsidRDefault="00913970" w:rsidP="00913970">
            <w:pPr>
              <w:keepNext/>
              <w:tabs>
                <w:tab w:val="left" w:pos="900"/>
              </w:tabs>
              <w:spacing w:after="240"/>
              <w:ind w:left="900" w:hanging="900"/>
              <w:outlineLvl w:val="1"/>
            </w:pPr>
            <w:r w:rsidRPr="00913970">
              <w:rPr>
                <w:b/>
              </w:rPr>
              <w:t>Compliance Premium</w:t>
            </w:r>
          </w:p>
          <w:p w14:paraId="3BD4D1D0" w14:textId="5A976D43" w:rsidR="00913970" w:rsidRPr="00913970" w:rsidRDefault="00913970" w:rsidP="00A668F8">
            <w:pPr>
              <w:spacing w:after="240"/>
              <w:rPr>
                <w:szCs w:val="24"/>
              </w:rPr>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tc>
      </w:tr>
    </w:tbl>
    <w:p w14:paraId="711221A9" w14:textId="1562077C" w:rsidR="008B2FB5" w:rsidRPr="008B2FB5" w:rsidRDefault="008B2FB5" w:rsidP="006E7FD5">
      <w:pPr>
        <w:pStyle w:val="H3"/>
        <w:tabs>
          <w:tab w:val="clear" w:pos="1080"/>
        </w:tabs>
        <w:spacing w:before="480"/>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B49557" w14:textId="77777777" w:rsidTr="00A668F8">
        <w:trPr>
          <w:trHeight w:val="476"/>
        </w:trPr>
        <w:tc>
          <w:tcPr>
            <w:tcW w:w="9576" w:type="dxa"/>
            <w:shd w:val="clear" w:color="auto" w:fill="E0E0E0"/>
          </w:tcPr>
          <w:p w14:paraId="4902C5F3" w14:textId="318CAE65" w:rsidR="00314ECE" w:rsidRPr="00625E9F" w:rsidRDefault="00314ECE" w:rsidP="00A668F8">
            <w:pPr>
              <w:pStyle w:val="Instructions"/>
              <w:spacing w:before="120"/>
              <w:rPr>
                <w:lang w:val="en-US" w:eastAsia="en-US"/>
              </w:rPr>
            </w:pPr>
            <w:bookmarkStart w:id="173" w:name="_Hlk151124448"/>
            <w:bookmarkStart w:id="174" w:name="_Hlk164243853"/>
            <w:bookmarkStart w:id="175" w:name="_Toc118224423"/>
            <w:bookmarkStart w:id="176" w:name="_Toc118909491"/>
            <w:bookmarkStart w:id="177" w:name="_Toc205190299"/>
            <w:bookmarkEnd w:id="171"/>
            <w:bookmarkEnd w:id="17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Credible Single Contingency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25930E1" w14:textId="77777777" w:rsidR="00314ECE" w:rsidRPr="00594775" w:rsidRDefault="00314ECE" w:rsidP="00314ECE">
            <w:pPr>
              <w:keepNext/>
              <w:tabs>
                <w:tab w:val="left" w:pos="900"/>
              </w:tabs>
              <w:spacing w:after="240"/>
              <w:ind w:left="907" w:hanging="907"/>
              <w:outlineLvl w:val="1"/>
              <w:rPr>
                <w:b/>
              </w:rPr>
            </w:pPr>
            <w:r w:rsidRPr="00594775">
              <w:rPr>
                <w:b/>
              </w:rPr>
              <w:t>Credible Single Contingency</w:t>
            </w:r>
          </w:p>
          <w:p w14:paraId="62B51F3F" w14:textId="77777777" w:rsidR="00314ECE" w:rsidRPr="00594775" w:rsidRDefault="00314ECE" w:rsidP="00314ECE">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597CA94C" w14:textId="77777777" w:rsidR="00314ECE" w:rsidRPr="00594775" w:rsidRDefault="00314ECE" w:rsidP="00314ECE">
            <w:pPr>
              <w:spacing w:after="240"/>
              <w:ind w:left="720" w:hanging="720"/>
              <w:rPr>
                <w:iCs/>
              </w:rPr>
            </w:pPr>
            <w:r w:rsidRPr="00594775">
              <w:rPr>
                <w:iCs/>
              </w:rPr>
              <w:t>(2)</w:t>
            </w:r>
            <w:r w:rsidRPr="00594775">
              <w:rPr>
                <w:iCs/>
              </w:rPr>
              <w:tab/>
              <w:t xml:space="preserve">The Forced Outage of a double-circuit transmission line </w:t>
            </w:r>
            <w:proofErr w:type="gramStart"/>
            <w:r w:rsidRPr="00594775">
              <w:rPr>
                <w:iCs/>
              </w:rPr>
              <w:t>in excess of</w:t>
            </w:r>
            <w:proofErr w:type="gramEnd"/>
            <w:r w:rsidRPr="00594775">
              <w:rPr>
                <w:iCs/>
              </w:rPr>
              <w:t xml:space="preserve"> 0.5 miles in length;</w:t>
            </w:r>
          </w:p>
          <w:p w14:paraId="1E77BAA7" w14:textId="77777777" w:rsidR="00314ECE" w:rsidRPr="00594775" w:rsidRDefault="00314ECE" w:rsidP="00314ECE">
            <w:pPr>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turbine if they cannot operate separately as provided in the Resource registration process; or</w:t>
            </w:r>
          </w:p>
          <w:p w14:paraId="27F15773" w14:textId="5BC44384" w:rsidR="00314ECE" w:rsidRPr="00314ECE" w:rsidRDefault="00314ECE" w:rsidP="00A668F8">
            <w:pPr>
              <w:spacing w:after="240"/>
              <w:rPr>
                <w:iCs/>
              </w:rPr>
            </w:pPr>
            <w:r w:rsidRPr="00594775">
              <w:t>(4)</w:t>
            </w:r>
            <w:r w:rsidRPr="00594775">
              <w:tab/>
            </w:r>
            <w:r w:rsidRPr="00594775">
              <w:rPr>
                <w:iCs/>
              </w:rPr>
              <w:t>For transmission planning purposes, contingencies are defined in the Planning Guide.</w:t>
            </w:r>
          </w:p>
        </w:tc>
      </w:tr>
    </w:tbl>
    <w:p w14:paraId="46EC7678" w14:textId="77777777" w:rsidR="002506F6" w:rsidRPr="002506F6" w:rsidRDefault="002506F6" w:rsidP="006E7FD5">
      <w:pPr>
        <w:pStyle w:val="H2"/>
        <w:spacing w:before="480"/>
        <w:ind w:left="907" w:hanging="907"/>
        <w:rPr>
          <w:b/>
          <w:bCs/>
          <w:szCs w:val="24"/>
        </w:rPr>
      </w:pPr>
      <w:r w:rsidRPr="002506F6">
        <w:rPr>
          <w:b/>
        </w:rPr>
        <w:lastRenderedPageBreak/>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lastRenderedPageBreak/>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lastRenderedPageBreak/>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lastRenderedPageBreak/>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xml:space="preserve">, federal power </w:t>
      </w:r>
      <w:r>
        <w:lastRenderedPageBreak/>
        <w:t>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w:t>
      </w:r>
      <w:r>
        <w:lastRenderedPageBreak/>
        <w:t xml:space="preserve">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B132ADC" w14:textId="77777777" w:rsidTr="00A668F8">
        <w:trPr>
          <w:trHeight w:val="476"/>
        </w:trPr>
        <w:tc>
          <w:tcPr>
            <w:tcW w:w="9576" w:type="dxa"/>
            <w:shd w:val="clear" w:color="auto" w:fill="E0E0E0"/>
          </w:tcPr>
          <w:p w14:paraId="02090286" w14:textId="79CDD8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Emergency Response Service (ERS) Generator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6EA534A" w14:textId="77777777" w:rsidR="00314ECE" w:rsidRPr="00594775" w:rsidRDefault="00314ECE" w:rsidP="00314ECE">
            <w:pPr>
              <w:keepNext/>
              <w:tabs>
                <w:tab w:val="left" w:pos="900"/>
              </w:tabs>
              <w:spacing w:after="240"/>
              <w:ind w:left="900" w:hanging="900"/>
              <w:outlineLvl w:val="1"/>
              <w:rPr>
                <w:b/>
              </w:rPr>
            </w:pPr>
            <w:r w:rsidRPr="00594775">
              <w:rPr>
                <w:b/>
              </w:rPr>
              <w:t>Emergency Response Service (ERS) Generator</w:t>
            </w:r>
          </w:p>
          <w:p w14:paraId="6A507130" w14:textId="3987D74A" w:rsidR="00314ECE" w:rsidRPr="00314ECE" w:rsidRDefault="00314ECE" w:rsidP="00A668F8">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tc>
      </w:tr>
    </w:tbl>
    <w:p w14:paraId="67BB3628" w14:textId="77777777" w:rsidR="00C020EA" w:rsidRPr="00C83EFD" w:rsidRDefault="00C020EA" w:rsidP="006E7FD5">
      <w:pPr>
        <w:keepNext/>
        <w:tabs>
          <w:tab w:val="left" w:pos="900"/>
        </w:tabs>
        <w:spacing w:before="48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50" w:name="_Toc80425534"/>
      <w:bookmarkStart w:id="351" w:name="_Toc118224474"/>
      <w:bookmarkStart w:id="352" w:name="_Toc118909542"/>
      <w:bookmarkStart w:id="353" w:name="_Toc205190358"/>
      <w:bookmarkStart w:id="354" w:name="_Toc73847772"/>
      <w:bookmarkEnd w:id="349"/>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458350ED" w:rsidR="005D1947" w:rsidRDefault="00A442A0">
      <w:pPr>
        <w:pStyle w:val="BodyText"/>
      </w:pPr>
      <w:r>
        <w:t xml:space="preserve">The sum of all power flows, in MW, on the </w:t>
      </w:r>
      <w:r w:rsidR="00FC28F3">
        <w:t>Direct Current Ties (</w:t>
      </w:r>
      <w:r>
        <w:t>DC Ties</w:t>
      </w:r>
      <w:r w:rsidR="00FC28F3">
        <w:t>)</w:t>
      </w:r>
      <w:r>
        <w:t xml:space="preserve">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D684D6D" w14:textId="77777777" w:rsidTr="00A668F8">
        <w:trPr>
          <w:trHeight w:val="476"/>
        </w:trPr>
        <w:tc>
          <w:tcPr>
            <w:tcW w:w="9576" w:type="dxa"/>
            <w:shd w:val="clear" w:color="auto" w:fill="E0E0E0"/>
          </w:tcPr>
          <w:p w14:paraId="3F8AAA67" w14:textId="008AF655" w:rsidR="00314ECE" w:rsidRPr="00625E9F" w:rsidRDefault="00314ECE" w:rsidP="00A668F8">
            <w:pPr>
              <w:pStyle w:val="Instructions"/>
              <w:spacing w:before="120"/>
              <w:rPr>
                <w:lang w:val="en-US" w:eastAsia="en-US"/>
              </w:rPr>
            </w:pPr>
            <w:bookmarkStart w:id="365" w:name="_Hlk16424395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ERCOT System Demand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993DA27" w14:textId="77777777" w:rsidR="00314ECE" w:rsidRPr="00594775" w:rsidRDefault="00314ECE" w:rsidP="00314ECE">
            <w:pPr>
              <w:keepNext/>
              <w:tabs>
                <w:tab w:val="left" w:pos="900"/>
              </w:tabs>
              <w:spacing w:after="240"/>
              <w:ind w:left="900" w:hanging="900"/>
              <w:outlineLvl w:val="1"/>
              <w:rPr>
                <w:b/>
              </w:rPr>
            </w:pPr>
            <w:r w:rsidRPr="00594775">
              <w:rPr>
                <w:b/>
              </w:rPr>
              <w:t xml:space="preserve">ERCOT System Demand </w:t>
            </w:r>
          </w:p>
          <w:p w14:paraId="3F94E029" w14:textId="401FD49D" w:rsidR="00314ECE" w:rsidRPr="00314ECE" w:rsidRDefault="00314ECE" w:rsidP="00A668F8">
            <w:pPr>
              <w:spacing w:after="240"/>
              <w:rPr>
                <w:iCs/>
              </w:rPr>
            </w:pPr>
            <w:r w:rsidRPr="00594775">
              <w:rPr>
                <w:iCs/>
              </w:rPr>
              <w:t xml:space="preserve">The sum of all power flows, in MW, on the </w:t>
            </w:r>
            <w:r w:rsidR="00FC28F3">
              <w:rPr>
                <w:iCs/>
              </w:rPr>
              <w:t>Direct Current Ties (</w:t>
            </w:r>
            <w:r w:rsidRPr="00594775">
              <w:rPr>
                <w:iCs/>
              </w:rPr>
              <w:t>DC Ties</w:t>
            </w:r>
            <w:r w:rsidR="00FC28F3">
              <w:rPr>
                <w:iCs/>
              </w:rPr>
              <w:t>)</w:t>
            </w:r>
            <w:r w:rsidRPr="00594775">
              <w:rPr>
                <w:iCs/>
              </w:rPr>
              <w:t xml:space="preserve"> and from Generation Resources</w:t>
            </w:r>
            <w:r w:rsidRPr="00650E5C">
              <w:t xml:space="preserve"> </w:t>
            </w:r>
            <w:r>
              <w:t>and Energy Storage Resources (ESRs) in discharge mode,</w:t>
            </w:r>
            <w:r w:rsidRPr="00594775">
              <w:rPr>
                <w:iCs/>
              </w:rPr>
              <w:t xml:space="preserve"> metered at the points of their interconnections with the ERCOT System at any given time.</w:t>
            </w:r>
          </w:p>
        </w:tc>
      </w:tr>
    </w:tbl>
    <w:p w14:paraId="47F46DBC" w14:textId="77777777" w:rsidR="00741D12" w:rsidRPr="00975A01" w:rsidRDefault="00741D12" w:rsidP="006E7FD5">
      <w:pPr>
        <w:keepNext/>
        <w:tabs>
          <w:tab w:val="left" w:pos="900"/>
        </w:tabs>
        <w:spacing w:before="480" w:after="240"/>
        <w:ind w:left="900" w:hanging="900"/>
        <w:outlineLvl w:val="1"/>
        <w:rPr>
          <w:b/>
          <w:szCs w:val="24"/>
        </w:rPr>
      </w:pPr>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lastRenderedPageBreak/>
        <w:t>F</w:t>
      </w:r>
      <w:bookmarkStart w:id="371" w:name="F"/>
      <w:bookmarkEnd w:id="371"/>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lastRenderedPageBreak/>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10D0807C" w:rsidR="007132B2" w:rsidRPr="00625E9F" w:rsidRDefault="007132B2" w:rsidP="007132B2">
            <w:pPr>
              <w:pStyle w:val="Instructions"/>
              <w:spacing w:before="120"/>
              <w:rPr>
                <w:lang w:val="en-US" w:eastAsia="en-US"/>
              </w:rPr>
            </w:pPr>
            <w:r>
              <w:rPr>
                <w:lang w:val="en-US" w:eastAsia="en-US"/>
              </w:rPr>
              <w:t>[NPRR1013</w:t>
            </w:r>
            <w:r w:rsidR="00314ECE">
              <w:rPr>
                <w:lang w:val="en-US" w:eastAsia="en-US"/>
              </w:rPr>
              <w:t xml:space="preserve"> and NPRR1246</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08A040E5" w:rsidR="007132B2" w:rsidRPr="007132B2" w:rsidRDefault="007132B2" w:rsidP="00EE7B76">
            <w:pPr>
              <w:spacing w:after="240"/>
              <w:rPr>
                <w:iCs/>
              </w:rPr>
            </w:pPr>
            <w:r>
              <w:rPr>
                <w:iCs/>
              </w:rPr>
              <w:t xml:space="preserve">The telemetered portion of </w:t>
            </w:r>
            <w:r w:rsidR="00314ECE">
              <w:rPr>
                <w:iCs/>
              </w:rPr>
              <w:t>the</w:t>
            </w:r>
            <w:r>
              <w:rPr>
                <w:iCs/>
              </w:rPr>
              <w:t xml:space="preserve"> total </w:t>
            </w:r>
            <w:r w:rsidR="00314ECE">
              <w:rPr>
                <w:iCs/>
              </w:rPr>
              <w:t xml:space="preserve">MW </w:t>
            </w:r>
            <w:r>
              <w:rPr>
                <w:iCs/>
              </w:rPr>
              <w:t xml:space="preserve">output </w:t>
            </w:r>
            <w:r w:rsidR="00314ECE">
              <w:rPr>
                <w:iCs/>
              </w:rPr>
              <w:t xml:space="preserve">of a Generation Resource or Energy Storage Resource (ESR) </w:t>
            </w:r>
            <w:r>
              <w:rPr>
                <w:iCs/>
              </w:rPr>
              <w:t xml:space="preserve">that represents the fraction of the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37EF7FF0"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Pr>
                <w:b/>
                <w:i/>
                <w:iCs/>
              </w:rPr>
              <w:t>Generation Entity</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2" w:name="H"/>
      <w:bookmarkEnd w:id="422"/>
    </w:p>
    <w:p w14:paraId="416FBECD" w14:textId="77777777" w:rsidR="00B75513" w:rsidRDefault="00842B9A">
      <w:pPr>
        <w:pStyle w:val="ListIntroduction"/>
        <w:keepNext w:val="0"/>
      </w:pPr>
      <w:hyperlink w:anchor="_DEFINITIONS" w:history="1">
        <w:r>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lastRenderedPageBreak/>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158EA543"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Energization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65ACFE9"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Synchronization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lastRenderedPageBreak/>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842B9A">
      <w:pPr>
        <w:pStyle w:val="ListIntroduction"/>
        <w:keepNext w:val="0"/>
      </w:pPr>
      <w:hyperlink w:anchor="_DEFINITIONS" w:history="1">
        <w:r>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E080E96" w14:textId="77777777" w:rsidTr="00A668F8">
        <w:trPr>
          <w:trHeight w:val="476"/>
        </w:trPr>
        <w:tc>
          <w:tcPr>
            <w:tcW w:w="9576" w:type="dxa"/>
            <w:shd w:val="clear" w:color="auto" w:fill="E0E0E0"/>
          </w:tcPr>
          <w:p w14:paraId="236A57FF" w14:textId="57533572" w:rsidR="00314ECE" w:rsidRPr="00625E9F" w:rsidRDefault="00314ECE" w:rsidP="00A668F8">
            <w:pPr>
              <w:pStyle w:val="Instructions"/>
              <w:spacing w:before="120"/>
              <w:rPr>
                <w:lang w:val="en-US" w:eastAsia="en-US"/>
              </w:rPr>
            </w:pPr>
            <w:bookmarkStart w:id="491" w:name="_Toc118224503"/>
            <w:bookmarkStart w:id="492" w:name="_Toc118909571"/>
            <w:bookmarkStart w:id="493" w:name="_Toc20519039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Load Frequency Control (LFC)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A99692F" w14:textId="77777777" w:rsidR="00314ECE" w:rsidRPr="00314ECE" w:rsidRDefault="00314ECE" w:rsidP="00314ECE">
            <w:pPr>
              <w:keepNext/>
              <w:tabs>
                <w:tab w:val="left" w:pos="900"/>
              </w:tabs>
              <w:spacing w:after="240"/>
              <w:outlineLvl w:val="1"/>
            </w:pPr>
            <w:bookmarkStart w:id="494" w:name="_Hlk193957695"/>
            <w:r w:rsidRPr="00314ECE">
              <w:rPr>
                <w:b/>
              </w:rPr>
              <w:t>Load Frequency Control (LFC)</w:t>
            </w:r>
          </w:p>
          <w:p w14:paraId="4555F796" w14:textId="08E995CE" w:rsidR="00314ECE" w:rsidRPr="00314ECE" w:rsidRDefault="00314ECE" w:rsidP="00A668F8">
            <w:pPr>
              <w:spacing w:after="240"/>
              <w:rPr>
                <w:szCs w:val="24"/>
              </w:rPr>
            </w:pPr>
            <w:r w:rsidRPr="00314ECE">
              <w:rPr>
                <w:szCs w:val="24"/>
              </w:rPr>
              <w:t>The deployment of those Controllable Load Resources</w:t>
            </w:r>
            <w:r w:rsidR="00FC28F3">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w:t>
            </w:r>
            <w:r w:rsidRPr="00314ECE">
              <w:rPr>
                <w:szCs w:val="24"/>
              </w:rPr>
              <w:lastRenderedPageBreak/>
              <w:t xml:space="preserve">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sidR="00FC28F3">
              <w:rPr>
                <w:szCs w:val="24"/>
              </w:rPr>
              <w:t>CLRs</w:t>
            </w:r>
            <w:r w:rsidRPr="00314ECE">
              <w:rPr>
                <w:szCs w:val="24"/>
              </w:rPr>
              <w:t>, and ESRs.  LFC does not include the deployment of ECRS or RRS by Load Resources when deployed as a block under Energy Emergency Alert (EEA) procedures.</w:t>
            </w:r>
            <w:bookmarkEnd w:id="494"/>
          </w:p>
        </w:tc>
      </w:tr>
    </w:tbl>
    <w:p w14:paraId="01C0789D" w14:textId="77777777" w:rsidR="005D1947" w:rsidRPr="00D5497B" w:rsidRDefault="00A442A0" w:rsidP="006E7FD5">
      <w:pPr>
        <w:pStyle w:val="H2"/>
        <w:spacing w:before="480"/>
        <w:ind w:left="0" w:firstLine="0"/>
        <w:rPr>
          <w:b/>
        </w:rPr>
      </w:pPr>
      <w:r w:rsidRPr="00D5497B">
        <w:rPr>
          <w:b/>
        </w:rPr>
        <w:lastRenderedPageBreak/>
        <w:t>Load Profile</w:t>
      </w:r>
      <w:bookmarkEnd w:id="490"/>
      <w:bookmarkEnd w:id="491"/>
      <w:bookmarkEnd w:id="492"/>
      <w:bookmarkEnd w:id="493"/>
    </w:p>
    <w:p w14:paraId="4FDFC59F" w14:textId="77777777" w:rsidR="005D1947" w:rsidRDefault="00A442A0">
      <w:pPr>
        <w:pStyle w:val="BodyText"/>
      </w:pPr>
      <w:bookmarkStart w:id="495"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6" w:name="_Toc205190393"/>
      <w:bookmarkStart w:id="497" w:name="_Toc118224504"/>
      <w:bookmarkStart w:id="498"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6"/>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9"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5"/>
      <w:bookmarkEnd w:id="497"/>
      <w:bookmarkEnd w:id="498"/>
      <w:bookmarkEnd w:id="499"/>
    </w:p>
    <w:p w14:paraId="4B6FBB01" w14:textId="77777777" w:rsidR="005D1947" w:rsidRDefault="00A442A0">
      <w:pPr>
        <w:pStyle w:val="BodyText"/>
      </w:pPr>
      <w:bookmarkStart w:id="500"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1" w:name="_Toc118224505"/>
      <w:bookmarkStart w:id="502" w:name="_Toc118909573"/>
      <w:bookmarkStart w:id="503" w:name="_Toc205190395"/>
      <w:r w:rsidRPr="00D5497B">
        <w:rPr>
          <w:b/>
        </w:rPr>
        <w:t>Load Profiling</w:t>
      </w:r>
      <w:bookmarkEnd w:id="500"/>
      <w:bookmarkEnd w:id="501"/>
      <w:bookmarkEnd w:id="502"/>
      <w:bookmarkEnd w:id="503"/>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4" w:name="_Toc73847824"/>
      <w:bookmarkStart w:id="505" w:name="_Toc118224506"/>
      <w:bookmarkStart w:id="506" w:name="_Toc118909574"/>
      <w:bookmarkStart w:id="507"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504"/>
      <w:bookmarkEnd w:id="505"/>
      <w:bookmarkEnd w:id="506"/>
      <w:bookmarkEnd w:id="507"/>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8" w:name="_Toc118224507"/>
      <w:bookmarkStart w:id="509" w:name="_Toc118909575"/>
      <w:bookmarkStart w:id="510"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8"/>
      <w:bookmarkEnd w:id="509"/>
      <w:bookmarkEnd w:id="510"/>
    </w:p>
    <w:p w14:paraId="6E2D39E5" w14:textId="77777777" w:rsidR="005D1947" w:rsidRPr="00D5497B" w:rsidRDefault="00A442A0">
      <w:pPr>
        <w:pStyle w:val="H2"/>
        <w:rPr>
          <w:b/>
        </w:rPr>
      </w:pPr>
      <w:bookmarkStart w:id="511" w:name="_Toc80425596"/>
      <w:bookmarkStart w:id="512" w:name="_Toc118224508"/>
      <w:bookmarkStart w:id="513" w:name="_Toc118909576"/>
      <w:bookmarkStart w:id="514" w:name="_Toc205190398"/>
      <w:bookmarkStart w:id="515" w:name="_Toc73847827"/>
      <w:r w:rsidRPr="00D5497B">
        <w:rPr>
          <w:b/>
        </w:rPr>
        <w:t>Load Serving Entity</w:t>
      </w:r>
      <w:bookmarkEnd w:id="511"/>
      <w:bookmarkEnd w:id="512"/>
      <w:bookmarkEnd w:id="513"/>
      <w:bookmarkEnd w:id="514"/>
      <w:r w:rsidR="00837B78" w:rsidRPr="00D5497B">
        <w:rPr>
          <w:b/>
        </w:rPr>
        <w:t xml:space="preserve"> (LSE)</w:t>
      </w:r>
    </w:p>
    <w:p w14:paraId="581305A5" w14:textId="77777777" w:rsidR="005D1947" w:rsidRDefault="00A442A0">
      <w:pPr>
        <w:pStyle w:val="BodyText"/>
      </w:pPr>
      <w:bookmarkStart w:id="516" w:name="_Toc80425597"/>
      <w:bookmarkStart w:id="517" w:name="_Toc73847830"/>
      <w:bookmarkEnd w:id="515"/>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8" w:name="_Toc118224509"/>
      <w:bookmarkStart w:id="519" w:name="_Toc118909577"/>
      <w:bookmarkStart w:id="520" w:name="_Toc205190399"/>
      <w:r w:rsidRPr="00D5497B">
        <w:rPr>
          <w:b/>
        </w:rPr>
        <w:t>Load Zone</w:t>
      </w:r>
      <w:bookmarkEnd w:id="516"/>
      <w:bookmarkEnd w:id="518"/>
      <w:bookmarkEnd w:id="519"/>
      <w:bookmarkEnd w:id="520"/>
    </w:p>
    <w:p w14:paraId="781AE023" w14:textId="77777777" w:rsidR="007956AB" w:rsidRDefault="007956AB" w:rsidP="007956AB">
      <w:pPr>
        <w:pStyle w:val="BodyTextNumbered"/>
      </w:pPr>
      <w:bookmarkStart w:id="521"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2" w:name="LMP"/>
      <w:bookmarkStart w:id="523" w:name="_Toc118224510"/>
      <w:bookmarkStart w:id="524" w:name="_Toc118909578"/>
      <w:bookmarkStart w:id="525" w:name="_Toc205190400"/>
      <w:bookmarkEnd w:id="517"/>
      <w:bookmarkEnd w:id="521"/>
      <w:bookmarkEnd w:id="522"/>
      <w:r w:rsidRPr="00D5497B">
        <w:rPr>
          <w:b/>
        </w:rPr>
        <w:t>Locational Marginal Price (LMP)</w:t>
      </w:r>
      <w:bookmarkStart w:id="526" w:name="Locational"/>
      <w:bookmarkEnd w:id="523"/>
      <w:bookmarkEnd w:id="524"/>
      <w:bookmarkEnd w:id="525"/>
      <w:bookmarkEnd w:id="526"/>
    </w:p>
    <w:p w14:paraId="61BD2DD1" w14:textId="77777777" w:rsidR="005D1947" w:rsidRDefault="00565A5A" w:rsidP="004E5DF8">
      <w:pPr>
        <w:pStyle w:val="BodyText"/>
        <w:keepNext/>
      </w:pPr>
      <w:bookmarkStart w:id="527"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8" w:name="_Hlk164243973"/>
      <w:bookmarkStart w:id="529" w:name="_Toc118224511"/>
      <w:bookmarkStart w:id="530" w:name="_Toc118909579"/>
      <w:bookmarkStart w:id="531" w:name="_Toc205190401"/>
      <w:r w:rsidRPr="002506F6">
        <w:rPr>
          <w:b/>
        </w:rPr>
        <w:lastRenderedPageBreak/>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2" w:name="_Hlk178063359"/>
      <w:bookmarkEnd w:id="528"/>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2"/>
    <w:p w14:paraId="6582AF9C" w14:textId="221E86F3" w:rsidR="005D1947" w:rsidRPr="004222A1" w:rsidRDefault="00A442A0" w:rsidP="00BE0BB0">
      <w:pPr>
        <w:pStyle w:val="H2"/>
        <w:rPr>
          <w:b/>
        </w:rPr>
      </w:pPr>
      <w:r w:rsidRPr="004222A1">
        <w:rPr>
          <w:b/>
        </w:rPr>
        <w:t>Low Ancillary Service Limit (LASL)</w:t>
      </w:r>
      <w:bookmarkEnd w:id="527"/>
      <w:bookmarkEnd w:id="529"/>
      <w:bookmarkEnd w:id="530"/>
      <w:bookmarkEnd w:id="531"/>
      <w:r w:rsidRPr="004222A1">
        <w:rPr>
          <w:b/>
        </w:rPr>
        <w:t xml:space="preserve">  </w:t>
      </w:r>
    </w:p>
    <w:p w14:paraId="6197F12D" w14:textId="77777777" w:rsidR="005D1947" w:rsidRDefault="00A442A0">
      <w:pPr>
        <w:pStyle w:val="BodyText"/>
      </w:pPr>
      <w:bookmarkStart w:id="53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4" w:name="_Toc118224512"/>
            <w:bookmarkStart w:id="535" w:name="_Toc118909580"/>
            <w:bookmarkStart w:id="536" w:name="_Toc205190402"/>
            <w:bookmarkStart w:id="537" w:name="_Toc73847837"/>
            <w:bookmarkEnd w:id="53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34"/>
      <w:bookmarkEnd w:id="535"/>
      <w:bookmarkEnd w:id="53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8" w:name="_Toc118224513"/>
      <w:bookmarkStart w:id="539" w:name="_Toc118909581"/>
      <w:bookmarkStart w:id="540" w:name="_Toc205190403"/>
      <w:bookmarkStart w:id="541" w:name="_Toc73847841"/>
      <w:bookmarkEnd w:id="537"/>
      <w:r w:rsidRPr="004222A1">
        <w:rPr>
          <w:b/>
        </w:rPr>
        <w:t>Low Power Consumption (LPC)</w:t>
      </w:r>
      <w:bookmarkEnd w:id="538"/>
      <w:bookmarkEnd w:id="539"/>
      <w:bookmarkEnd w:id="54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2" w:name="_Toc74126547"/>
      <w:bookmarkStart w:id="543" w:name="_Toc118224514"/>
      <w:bookmarkStart w:id="544" w:name="_Toc118909582"/>
      <w:bookmarkStart w:id="545" w:name="_Toc205190404"/>
      <w:bookmarkEnd w:id="541"/>
      <w:r w:rsidRPr="004222A1">
        <w:rPr>
          <w:b/>
        </w:rPr>
        <w:t>Low Sustained Limit (LSL</w:t>
      </w:r>
      <w:bookmarkEnd w:id="54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3"/>
      <w:bookmarkEnd w:id="544"/>
      <w:bookmarkEnd w:id="54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6" w:name="M"/>
      <w:bookmarkEnd w:id="546"/>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7" w:name="_Toc73847842"/>
      <w:bookmarkStart w:id="548" w:name="_Toc118224516"/>
      <w:bookmarkStart w:id="549" w:name="_Toc118909584"/>
      <w:bookmarkStart w:id="55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7"/>
      <w:bookmarkEnd w:id="548"/>
      <w:bookmarkEnd w:id="549"/>
      <w:bookmarkEnd w:id="550"/>
    </w:p>
    <w:p w14:paraId="7D8612B0" w14:textId="77777777" w:rsidR="00475BE9" w:rsidRPr="004222A1" w:rsidRDefault="00475BE9" w:rsidP="00475BE9">
      <w:pPr>
        <w:pStyle w:val="H2"/>
        <w:rPr>
          <w:b/>
        </w:rPr>
      </w:pPr>
      <w:bookmarkStart w:id="551" w:name="_Toc118224517"/>
      <w:bookmarkStart w:id="552" w:name="_Toc118909585"/>
      <w:bookmarkStart w:id="553" w:name="_Toc205190407"/>
      <w:bookmarkStart w:id="55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1"/>
      <w:bookmarkEnd w:id="552"/>
      <w:bookmarkEnd w:id="55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6" w:name="_Toc118224519"/>
      <w:bookmarkStart w:id="557" w:name="_Toc118909587"/>
      <w:bookmarkStart w:id="558" w:name="_Toc205190410"/>
      <w:r w:rsidRPr="004222A1">
        <w:rPr>
          <w:b/>
        </w:rPr>
        <w:t>Market Clearing Price for Capacity (MCPC)</w:t>
      </w:r>
      <w:bookmarkEnd w:id="554"/>
      <w:bookmarkEnd w:id="556"/>
      <w:bookmarkEnd w:id="557"/>
      <w:bookmarkEnd w:id="558"/>
    </w:p>
    <w:p w14:paraId="40D70617" w14:textId="6F4A57FD" w:rsidR="005D1947" w:rsidRDefault="00A442A0">
      <w:pPr>
        <w:pStyle w:val="BodyText"/>
      </w:pPr>
      <w:bookmarkStart w:id="559" w:name="_Toc80425619"/>
      <w:bookmarkStart w:id="56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1" w:name="_Toc118224520"/>
            <w:bookmarkStart w:id="562" w:name="_Toc118909588"/>
            <w:bookmarkStart w:id="56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9"/>
      <w:bookmarkEnd w:id="561"/>
      <w:bookmarkEnd w:id="562"/>
      <w:bookmarkEnd w:id="56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4" w:name="_Toc80425620"/>
      <w:bookmarkStart w:id="565" w:name="_Toc118224521"/>
      <w:bookmarkStart w:id="566" w:name="_Toc118909589"/>
      <w:bookmarkStart w:id="56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8" w:name="_Toc80425621"/>
      <w:bookmarkStart w:id="569" w:name="_Toc118224522"/>
      <w:bookmarkStart w:id="570" w:name="_Toc118909590"/>
      <w:bookmarkStart w:id="571" w:name="_Toc205190413"/>
      <w:bookmarkEnd w:id="564"/>
      <w:bookmarkEnd w:id="565"/>
      <w:bookmarkEnd w:id="566"/>
      <w:bookmarkEnd w:id="567"/>
      <w:r>
        <w:t>Market Information System (</w:t>
      </w:r>
      <w:r w:rsidR="00A442A0">
        <w:t>MIS</w:t>
      </w:r>
      <w:r>
        <w:t>)</w:t>
      </w:r>
      <w:r w:rsidR="00A442A0">
        <w:t xml:space="preserve"> Secure Area</w:t>
      </w:r>
      <w:bookmarkEnd w:id="568"/>
      <w:bookmarkEnd w:id="569"/>
      <w:bookmarkEnd w:id="570"/>
      <w:bookmarkEnd w:id="57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2" w:name="_Toc80425623"/>
      <w:bookmarkStart w:id="573" w:name="_Toc118224524"/>
      <w:bookmarkStart w:id="574" w:name="_Toc118909592"/>
      <w:bookmarkStart w:id="575"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w:t>
      </w:r>
      <w:proofErr w:type="gramStart"/>
      <w:r w:rsidRPr="004222A1">
        <w:t>publicly-subscribed</w:t>
      </w:r>
      <w:proofErr w:type="gramEnd"/>
      <w:r w:rsidRPr="004222A1">
        <w:t xml:space="preserve">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72"/>
      <w:bookmarkEnd w:id="573"/>
      <w:bookmarkEnd w:id="574"/>
      <w:bookmarkEnd w:id="57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lastRenderedPageBreak/>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6" w:name="_Toc73847851"/>
            <w:bookmarkStart w:id="577" w:name="_Toc118224525"/>
            <w:bookmarkStart w:id="578" w:name="_Toc118909593"/>
            <w:bookmarkStart w:id="579" w:name="_Toc205190416"/>
            <w:bookmarkEnd w:id="56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80"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80"/>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1"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1"/>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2" w:name="_Toc118224527"/>
      <w:bookmarkStart w:id="583" w:name="_Toc118909595"/>
      <w:bookmarkStart w:id="584" w:name="_Toc205190418"/>
      <w:bookmarkStart w:id="585" w:name="_Toc73847861"/>
      <w:bookmarkStart w:id="586" w:name="_Toc73847852"/>
      <w:bookmarkEnd w:id="576"/>
      <w:bookmarkEnd w:id="577"/>
      <w:bookmarkEnd w:id="578"/>
      <w:bookmarkEnd w:id="579"/>
      <w:r w:rsidRPr="004222A1">
        <w:rPr>
          <w:b/>
        </w:rPr>
        <w:t>Maximum Power Consumption (MPC)</w:t>
      </w:r>
      <w:bookmarkEnd w:id="582"/>
      <w:bookmarkEnd w:id="583"/>
      <w:bookmarkEnd w:id="58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7" w:name="_Toc73847853"/>
      <w:bookmarkStart w:id="588" w:name="_Toc118224528"/>
      <w:bookmarkStart w:id="589" w:name="_Toc118909596"/>
      <w:bookmarkStart w:id="590" w:name="_Toc205190419"/>
      <w:bookmarkEnd w:id="585"/>
      <w:bookmarkEnd w:id="586"/>
      <w:r w:rsidRPr="004222A1">
        <w:rPr>
          <w:b/>
        </w:rPr>
        <w:lastRenderedPageBreak/>
        <w:t>Messaging System</w:t>
      </w:r>
      <w:bookmarkEnd w:id="587"/>
      <w:bookmarkEnd w:id="588"/>
      <w:bookmarkEnd w:id="589"/>
      <w:bookmarkEnd w:id="59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1" w:name="_Toc73847854"/>
      <w:bookmarkStart w:id="592" w:name="_Toc80425630"/>
      <w:bookmarkStart w:id="593" w:name="_Toc118224529"/>
      <w:bookmarkStart w:id="594" w:name="_Toc118909597"/>
      <w:bookmarkStart w:id="595" w:name="_Toc205190420"/>
      <w:r w:rsidRPr="004222A1">
        <w:rPr>
          <w:b/>
          <w:lang w:val="sv-SE"/>
        </w:rPr>
        <w:t>Meter Data Acquisition System</w:t>
      </w:r>
      <w:bookmarkEnd w:id="591"/>
      <w:r w:rsidRPr="004222A1">
        <w:rPr>
          <w:b/>
          <w:lang w:val="sv-SE"/>
        </w:rPr>
        <w:t xml:space="preserve"> (MDAS)</w:t>
      </w:r>
      <w:bookmarkEnd w:id="592"/>
      <w:bookmarkEnd w:id="593"/>
      <w:bookmarkEnd w:id="594"/>
      <w:bookmarkEnd w:id="59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6" w:name="_Toc80425633"/>
      <w:bookmarkStart w:id="597" w:name="_Toc118224530"/>
      <w:bookmarkStart w:id="598" w:name="_Toc118909598"/>
      <w:bookmarkStart w:id="599" w:name="_Toc205190421"/>
      <w:r w:rsidRPr="004222A1">
        <w:rPr>
          <w:b/>
        </w:rPr>
        <w:t>Meter Reading Entity (MRE)</w:t>
      </w:r>
      <w:bookmarkEnd w:id="596"/>
      <w:bookmarkEnd w:id="597"/>
      <w:bookmarkEnd w:id="598"/>
      <w:bookmarkEnd w:id="599"/>
      <w:r w:rsidRPr="004222A1">
        <w:rPr>
          <w:b/>
        </w:rPr>
        <w:t xml:space="preserve"> </w:t>
      </w:r>
    </w:p>
    <w:p w14:paraId="772804B2" w14:textId="0F5F12F0" w:rsidR="005D1947" w:rsidRDefault="00A442A0">
      <w:pPr>
        <w:pStyle w:val="BodyText"/>
      </w:pPr>
      <w:r>
        <w:t xml:space="preserve">A </w:t>
      </w:r>
      <w:r w:rsidR="00FC28F3">
        <w:t>Transmission Service Provider (</w:t>
      </w:r>
      <w:r>
        <w:t>TSP</w:t>
      </w:r>
      <w:r w:rsidR="00FC28F3">
        <w:t>)</w:t>
      </w:r>
      <w:r>
        <w:t xml:space="preserve"> or </w:t>
      </w:r>
      <w:r w:rsidR="00FC28F3">
        <w:t>Distribution Service Provider (</w:t>
      </w:r>
      <w:r>
        <w:t>DSP</w:t>
      </w:r>
      <w:r w:rsidR="00FC28F3">
        <w:t>)</w:t>
      </w:r>
      <w:r>
        <w:t xml:space="preserve"> that is responsible for providing ERCOT with </w:t>
      </w:r>
      <w:r w:rsidR="00FC28F3">
        <w:t>Electric Service Identifier (</w:t>
      </w:r>
      <w:r>
        <w:t>ESI ID</w:t>
      </w:r>
      <w:r w:rsidR="00FC28F3">
        <w:t>)</w:t>
      </w:r>
      <w:r>
        <w:t xml:space="preserve"> level consumption data as defined in Section 19, Texas Standard Electronic Transaction.  In the case of an </w:t>
      </w:r>
      <w:r w:rsidR="00FC28F3">
        <w:t>ERCOT-Polled Settlement (</w:t>
      </w:r>
      <w:r>
        <w:t>EPS</w:t>
      </w:r>
      <w:r w:rsidR="00FC28F3">
        <w:t>)</w:t>
      </w:r>
      <w:r>
        <w:t xml:space="preserve"> Meter or ERCOT</w:t>
      </w:r>
      <w:r w:rsidR="00DE4439">
        <w:t>-</w:t>
      </w:r>
      <w:r>
        <w:t xml:space="preserve">populated ESI ID data (such as Generation Resource site </w:t>
      </w:r>
      <w:r w:rsidR="00DE4439">
        <w:t>L</w:t>
      </w:r>
      <w:r>
        <w:t>oad), ERCOT will be identified as the MRE in ERCOT systems.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E27A49" w14:textId="77777777" w:rsidTr="00A668F8">
        <w:trPr>
          <w:trHeight w:val="476"/>
        </w:trPr>
        <w:tc>
          <w:tcPr>
            <w:tcW w:w="9576" w:type="dxa"/>
            <w:shd w:val="clear" w:color="auto" w:fill="E0E0E0"/>
          </w:tcPr>
          <w:p w14:paraId="286C84A0" w14:textId="28CB81FA" w:rsidR="00314ECE" w:rsidRPr="00625E9F" w:rsidRDefault="00314ECE" w:rsidP="00A668F8">
            <w:pPr>
              <w:pStyle w:val="Instructions"/>
              <w:spacing w:before="120"/>
              <w:rPr>
                <w:lang w:val="en-US" w:eastAsia="en-US"/>
              </w:rPr>
            </w:pPr>
            <w:bookmarkStart w:id="600" w:name="_Toc118224531"/>
            <w:bookmarkStart w:id="601" w:name="_Toc118909599"/>
            <w:bookmarkStart w:id="602" w:name="_Toc205190422"/>
            <w:bookmarkStart w:id="603" w:name="_Toc7384786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222A1">
              <w:t>Meter Reading Entity (MRE)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02B2EC" w14:textId="77777777" w:rsidR="00314ECE" w:rsidRPr="00314ECE" w:rsidRDefault="00314ECE" w:rsidP="00314ECE">
            <w:pPr>
              <w:keepNext/>
              <w:tabs>
                <w:tab w:val="left" w:pos="900"/>
              </w:tabs>
              <w:spacing w:after="240"/>
              <w:ind w:left="900" w:hanging="900"/>
              <w:outlineLvl w:val="1"/>
            </w:pPr>
            <w:r w:rsidRPr="00314ECE">
              <w:rPr>
                <w:b/>
              </w:rPr>
              <w:t xml:space="preserve">Meter Reading Entity (MRE) </w:t>
            </w:r>
          </w:p>
          <w:p w14:paraId="445E4DFB" w14:textId="4D3E32C9" w:rsidR="00314ECE" w:rsidRPr="00314ECE" w:rsidRDefault="00314ECE" w:rsidP="00314ECE">
            <w:pPr>
              <w:spacing w:after="240"/>
              <w:rPr>
                <w:szCs w:val="24"/>
              </w:rPr>
            </w:pPr>
            <w:r w:rsidRPr="00314ECE">
              <w:rPr>
                <w:szCs w:val="24"/>
              </w:rPr>
              <w:t xml:space="preserve">A </w:t>
            </w:r>
            <w:r w:rsidR="00FC28F3">
              <w:rPr>
                <w:szCs w:val="24"/>
              </w:rPr>
              <w:t>Transmission Service Provider (</w:t>
            </w:r>
            <w:r w:rsidRPr="00314ECE">
              <w:rPr>
                <w:szCs w:val="24"/>
              </w:rPr>
              <w:t>TSP</w:t>
            </w:r>
            <w:r w:rsidR="00FC28F3">
              <w:rPr>
                <w:szCs w:val="24"/>
              </w:rPr>
              <w:t>)</w:t>
            </w:r>
            <w:r w:rsidRPr="00314ECE">
              <w:rPr>
                <w:szCs w:val="24"/>
              </w:rPr>
              <w:t xml:space="preserve"> or </w:t>
            </w:r>
            <w:r w:rsidR="00FC28F3">
              <w:rPr>
                <w:szCs w:val="24"/>
              </w:rPr>
              <w:t>Distribution Service Provider (</w:t>
            </w:r>
            <w:r w:rsidRPr="00314ECE">
              <w:rPr>
                <w:szCs w:val="24"/>
              </w:rPr>
              <w:t>DSP</w:t>
            </w:r>
            <w:r w:rsidR="00FC28F3">
              <w:rPr>
                <w:szCs w:val="24"/>
              </w:rPr>
              <w:t>)</w:t>
            </w:r>
            <w:r w:rsidRPr="00314ECE">
              <w:rPr>
                <w:szCs w:val="24"/>
              </w:rPr>
              <w:t xml:space="preserve"> that is responsible for providing ERCOT with </w:t>
            </w:r>
            <w:r w:rsidR="00FC28F3">
              <w:rPr>
                <w:szCs w:val="24"/>
              </w:rPr>
              <w:t>Electric Service Identifier (</w:t>
            </w:r>
            <w:r w:rsidRPr="00314ECE">
              <w:rPr>
                <w:szCs w:val="24"/>
              </w:rPr>
              <w:t>ESI ID</w:t>
            </w:r>
            <w:r w:rsidR="00FC28F3">
              <w:rPr>
                <w:szCs w:val="24"/>
              </w:rPr>
              <w:t>)</w:t>
            </w:r>
            <w:r w:rsidRPr="00314ECE">
              <w:rPr>
                <w:szCs w:val="24"/>
              </w:rPr>
              <w:t xml:space="preserve"> level consumption data as defined in Section 19, Texas Standard Electronic Transaction.  In the case of an </w:t>
            </w:r>
            <w:r w:rsidR="00FC28F3">
              <w:rPr>
                <w:szCs w:val="24"/>
              </w:rPr>
              <w:t>ERCOT-Polled Settlement (</w:t>
            </w:r>
            <w:r w:rsidRPr="00314ECE">
              <w:rPr>
                <w:szCs w:val="24"/>
              </w:rPr>
              <w:t>EPS</w:t>
            </w:r>
            <w:r w:rsidR="00FC28F3">
              <w:rPr>
                <w:szCs w:val="24"/>
              </w:rPr>
              <w:t>)</w:t>
            </w:r>
            <w:r w:rsidRPr="00314ECE">
              <w:rPr>
                <w:szCs w:val="24"/>
              </w:rPr>
              <w:t xml:space="preserve"> Meter or ERCOT-populated ESI ID data, ERCOT will be identified as the MRE in ERCOT systems.</w:t>
            </w:r>
          </w:p>
        </w:tc>
      </w:tr>
    </w:tbl>
    <w:p w14:paraId="5549139A" w14:textId="77777777" w:rsidR="00C44137" w:rsidRPr="004222A1" w:rsidRDefault="00C44137" w:rsidP="006E7FD5">
      <w:pPr>
        <w:pStyle w:val="H2"/>
        <w:spacing w:before="480"/>
        <w:rPr>
          <w:b/>
        </w:rPr>
      </w:pPr>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600"/>
      <w:bookmarkEnd w:id="601"/>
      <w:bookmarkEnd w:id="60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4" w:name="_Toc118224532"/>
      <w:bookmarkStart w:id="605" w:name="_Toc118909600"/>
      <w:bookmarkStart w:id="606" w:name="_Toc205190423"/>
      <w:r w:rsidRPr="004222A1">
        <w:rPr>
          <w:b/>
        </w:rPr>
        <w:t>Minimum Reservation Price</w:t>
      </w:r>
      <w:bookmarkEnd w:id="604"/>
      <w:bookmarkEnd w:id="605"/>
      <w:bookmarkEnd w:id="60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7" w:name="_Toc118224533"/>
      <w:bookmarkStart w:id="608" w:name="_Toc118909601"/>
      <w:bookmarkStart w:id="609" w:name="_Toc205190424"/>
      <w:bookmarkStart w:id="610" w:name="_Toc73847868"/>
      <w:bookmarkStart w:id="611" w:name="_Toc73847867"/>
      <w:bookmarkStart w:id="612" w:name="_Toc80425644"/>
      <w:bookmarkEnd w:id="603"/>
      <w:r w:rsidRPr="004222A1">
        <w:rPr>
          <w:b/>
        </w:rPr>
        <w:t>Mitigated Offer Cap</w:t>
      </w:r>
      <w:bookmarkEnd w:id="607"/>
      <w:bookmarkEnd w:id="608"/>
      <w:bookmarkEnd w:id="60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3" w:name="_Toc118224534"/>
            <w:bookmarkStart w:id="614" w:name="_Toc118909602"/>
            <w:bookmarkStart w:id="61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3"/>
      <w:bookmarkEnd w:id="614"/>
      <w:bookmarkEnd w:id="61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6" w:name="_Toc205190426"/>
      <w:bookmarkStart w:id="617" w:name="_Toc80425647"/>
      <w:bookmarkStart w:id="618" w:name="_Toc118224535"/>
      <w:bookmarkStart w:id="619" w:name="_Toc118909603"/>
      <w:bookmarkEnd w:id="610"/>
      <w:bookmarkEnd w:id="611"/>
      <w:bookmarkEnd w:id="61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2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17"/>
      <w:bookmarkEnd w:id="618"/>
      <w:bookmarkEnd w:id="619"/>
      <w:bookmarkEnd w:id="62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1" w:name="_Toc245284342"/>
      <w:bookmarkStart w:id="622" w:name="_Toc257217482"/>
      <w:bookmarkStart w:id="623" w:name="_Toc260860335"/>
      <w:bookmarkStart w:id="624" w:name="_Toc266801432"/>
      <w:r w:rsidRPr="00911E5B">
        <w:t>ERCOT Specified File Format</w:t>
      </w:r>
      <w:bookmarkEnd w:id="621"/>
      <w:bookmarkEnd w:id="622"/>
      <w:r w:rsidRPr="00911E5B">
        <w:t xml:space="preserve"> for Submission of Interval Data for Advanced Metering Systems</w:t>
      </w:r>
      <w:bookmarkEnd w:id="623"/>
      <w:bookmarkEnd w:id="62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E5EB1BE" w:rsidR="00AE6DA3" w:rsidRPr="004B32CF" w:rsidRDefault="00AE6DA3" w:rsidP="00951681">
            <w:pPr>
              <w:spacing w:before="120" w:after="240"/>
              <w:rPr>
                <w:b/>
                <w:i/>
                <w:iCs/>
              </w:rPr>
            </w:pPr>
            <w:r>
              <w:rPr>
                <w:b/>
                <w:i/>
                <w:iCs/>
              </w:rPr>
              <w:t>[NPRR885</w:t>
            </w:r>
            <w:r w:rsidR="00314ECE">
              <w:rPr>
                <w:b/>
                <w:i/>
                <w:iCs/>
              </w:rPr>
              <w:t>,</w:t>
            </w:r>
            <w:r w:rsidR="0000135B">
              <w:rPr>
                <w:b/>
                <w:i/>
                <w:iCs/>
              </w:rPr>
              <w:t xml:space="preserve"> NPRR995</w:t>
            </w:r>
            <w:r w:rsidR="00314ECE">
              <w:rPr>
                <w:b/>
                <w:i/>
                <w:iCs/>
              </w:rPr>
              <w:t>, and NPRR1246</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r w:rsidR="00314ECE">
              <w:rPr>
                <w:b/>
                <w:i/>
                <w:iCs/>
              </w:rPr>
              <w:t xml:space="preserve"> for NPRR885 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lastRenderedPageBreak/>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5" w:name="N"/>
      <w:bookmarkEnd w:id="625"/>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26" w:name="_Toc118224536"/>
      <w:bookmarkStart w:id="627" w:name="_Toc118909604"/>
      <w:bookmarkStart w:id="628" w:name="_Toc205190428"/>
      <w:bookmarkStart w:id="629" w:name="_Toc73847871"/>
      <w:bookmarkStart w:id="630" w:name="_Toc80425649"/>
      <w:r w:rsidRPr="004222A1">
        <w:rPr>
          <w:b/>
        </w:rPr>
        <w:t>Net Dependable Capability</w:t>
      </w:r>
      <w:bookmarkEnd w:id="626"/>
      <w:bookmarkEnd w:id="627"/>
      <w:bookmarkEnd w:id="62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1" w:name="_Toc118224537"/>
      <w:bookmarkStart w:id="632" w:name="_Toc118909605"/>
      <w:bookmarkStart w:id="633" w:name="_Toc205190429"/>
      <w:r w:rsidRPr="004222A1">
        <w:rPr>
          <w:b/>
        </w:rPr>
        <w:t>Net Generation</w:t>
      </w:r>
      <w:bookmarkEnd w:id="629"/>
      <w:bookmarkEnd w:id="630"/>
      <w:bookmarkEnd w:id="631"/>
      <w:bookmarkEnd w:id="632"/>
      <w:bookmarkEnd w:id="63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4" w:name="_Hlk178063370"/>
      <w:bookmarkStart w:id="635" w:name="_Toc80425650"/>
      <w:bookmarkStart w:id="636" w:name="_Toc118224538"/>
      <w:bookmarkStart w:id="637" w:name="_Toc118909606"/>
      <w:bookmarkStart w:id="638"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4"/>
    <w:p w14:paraId="31141FB2" w14:textId="77777777" w:rsidR="005D1947" w:rsidRPr="004222A1" w:rsidRDefault="00A442A0">
      <w:pPr>
        <w:pStyle w:val="H2"/>
        <w:rPr>
          <w:b/>
        </w:rPr>
      </w:pPr>
      <w:r w:rsidRPr="004222A1">
        <w:rPr>
          <w:b/>
        </w:rPr>
        <w:t>Network Operations Model</w:t>
      </w:r>
      <w:bookmarkEnd w:id="635"/>
      <w:bookmarkEnd w:id="636"/>
      <w:bookmarkEnd w:id="637"/>
      <w:bookmarkEnd w:id="638"/>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9" w:name="_Toc118224539"/>
            <w:bookmarkStart w:id="640" w:name="_Toc118909607"/>
            <w:bookmarkStart w:id="641"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lastRenderedPageBreak/>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39"/>
      <w:bookmarkEnd w:id="640"/>
      <w:bookmarkEnd w:id="641"/>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2" w:name="_Toc73847874"/>
      <w:bookmarkStart w:id="643" w:name="_Toc118224540"/>
      <w:bookmarkStart w:id="644" w:name="_Toc118909608"/>
      <w:bookmarkStart w:id="645" w:name="_Toc205190432"/>
      <w:r w:rsidRPr="004222A1">
        <w:rPr>
          <w:b/>
        </w:rPr>
        <w:t>Non-Competitive Constraint</w:t>
      </w:r>
      <w:bookmarkEnd w:id="642"/>
      <w:bookmarkEnd w:id="643"/>
      <w:bookmarkEnd w:id="644"/>
      <w:bookmarkEnd w:id="645"/>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6" w:name="_Toc205190433"/>
            <w:bookmarkStart w:id="647" w:name="_Toc118224541"/>
            <w:bookmarkStart w:id="648"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6"/>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9"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7"/>
      <w:bookmarkEnd w:id="648"/>
      <w:bookmarkEnd w:id="649"/>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50" w:name="_Toc73847877"/>
      <w:bookmarkStart w:id="651" w:name="_Toc80425660"/>
      <w:bookmarkStart w:id="652" w:name="_Toc118224542"/>
      <w:bookmarkStart w:id="653" w:name="_Toc118909610"/>
      <w:bookmarkStart w:id="654" w:name="_Toc205190435"/>
      <w:bookmarkStart w:id="655"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50"/>
      <w:bookmarkEnd w:id="651"/>
      <w:bookmarkEnd w:id="652"/>
      <w:bookmarkEnd w:id="653"/>
      <w:bookmarkEnd w:id="654"/>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6" w:name="_Toc80425661"/>
      <w:bookmarkStart w:id="657" w:name="_Toc118224543"/>
      <w:bookmarkStart w:id="658" w:name="_Toc118909611"/>
      <w:bookmarkStart w:id="659" w:name="_Toc205190436"/>
      <w:r w:rsidRPr="004222A1">
        <w:rPr>
          <w:b/>
          <w:lang w:val="it-IT"/>
        </w:rPr>
        <w:lastRenderedPageBreak/>
        <w:t>Non-Spinning Reserve (Non-Spin)</w:t>
      </w:r>
      <w:bookmarkEnd w:id="656"/>
      <w:bookmarkEnd w:id="657"/>
      <w:bookmarkEnd w:id="658"/>
      <w:bookmarkEnd w:id="659"/>
      <w:r w:rsidRPr="004222A1">
        <w:rPr>
          <w:b/>
          <w:lang w:val="it-IT"/>
        </w:rPr>
        <w:t xml:space="preserve"> </w:t>
      </w:r>
    </w:p>
    <w:bookmarkEnd w:id="655"/>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60" w:name="_Toc118224544"/>
            <w:bookmarkStart w:id="661" w:name="_Toc118909612"/>
            <w:bookmarkStart w:id="662"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60"/>
      <w:bookmarkEnd w:id="661"/>
      <w:bookmarkEnd w:id="662"/>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3" w:name="_Toc80425664"/>
      <w:bookmarkStart w:id="664" w:name="_Toc118224545"/>
      <w:bookmarkStart w:id="665" w:name="_Toc118909613"/>
      <w:bookmarkStart w:id="666" w:name="_Toc205190438"/>
      <w:r w:rsidRPr="004222A1">
        <w:rPr>
          <w:b/>
        </w:rPr>
        <w:t>Normal Rating</w:t>
      </w:r>
      <w:bookmarkEnd w:id="663"/>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4"/>
      <w:bookmarkEnd w:id="665"/>
      <w:bookmarkEnd w:id="666"/>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lastRenderedPageBreak/>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67" w:name="O"/>
      <w:bookmarkEnd w:id="667"/>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68" w:name="_Toc118224546"/>
      <w:bookmarkStart w:id="669" w:name="_Toc118909614"/>
      <w:bookmarkStart w:id="670" w:name="_Toc205190439"/>
      <w:r w:rsidRPr="004222A1">
        <w:rPr>
          <w:b/>
        </w:rPr>
        <w:t>Off-Line</w:t>
      </w:r>
      <w:bookmarkEnd w:id="668"/>
      <w:bookmarkEnd w:id="669"/>
      <w:bookmarkEnd w:id="670"/>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1" w:name="_Toc118224549"/>
      <w:bookmarkStart w:id="672" w:name="_Toc118909617"/>
      <w:bookmarkStart w:id="673" w:name="_Toc205190442"/>
      <w:r w:rsidRPr="004222A1">
        <w:rPr>
          <w:b/>
        </w:rPr>
        <w:t>On-Line</w:t>
      </w:r>
      <w:bookmarkEnd w:id="671"/>
      <w:bookmarkEnd w:id="672"/>
      <w:bookmarkEnd w:id="67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4" w:name="_Toc80425673"/>
      <w:bookmarkStart w:id="675" w:name="_Toc118224550"/>
      <w:bookmarkStart w:id="676" w:name="_Toc118909618"/>
      <w:bookmarkStart w:id="677" w:name="_Toc205190443"/>
      <w:bookmarkStart w:id="678" w:name="_Toc73847886"/>
      <w:r w:rsidRPr="004222A1">
        <w:rPr>
          <w:b/>
        </w:rPr>
        <w:t>On-Peak</w:t>
      </w:r>
      <w:bookmarkEnd w:id="674"/>
      <w:r w:rsidRPr="004222A1">
        <w:rPr>
          <w:b/>
        </w:rPr>
        <w:t xml:space="preserve"> Hours</w:t>
      </w:r>
      <w:bookmarkEnd w:id="675"/>
      <w:bookmarkEnd w:id="676"/>
      <w:bookmarkEnd w:id="67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9" w:name="_Toc80425675"/>
      <w:bookmarkStart w:id="680" w:name="_Toc118224551"/>
      <w:bookmarkStart w:id="681" w:name="_Toc118909619"/>
      <w:bookmarkStart w:id="682" w:name="_Toc205190444"/>
      <w:bookmarkStart w:id="683" w:name="_Toc73847888"/>
      <w:bookmarkEnd w:id="67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9"/>
      <w:bookmarkEnd w:id="680"/>
      <w:bookmarkEnd w:id="681"/>
      <w:bookmarkEnd w:id="68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4" w:name="_Toc80425677"/>
      <w:bookmarkStart w:id="685" w:name="_Toc118224553"/>
      <w:bookmarkStart w:id="686" w:name="_Toc118909621"/>
      <w:bookmarkStart w:id="687" w:name="_Toc205190446"/>
      <w:bookmarkStart w:id="688" w:name="_Toc73847889"/>
      <w:bookmarkEnd w:id="683"/>
      <w:r w:rsidRPr="004222A1">
        <w:rPr>
          <w:b/>
        </w:rPr>
        <w:t>Operating Hour</w:t>
      </w:r>
      <w:bookmarkEnd w:id="684"/>
      <w:bookmarkEnd w:id="685"/>
      <w:bookmarkEnd w:id="686"/>
      <w:bookmarkEnd w:id="68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9" w:name="_Toc73847890"/>
      <w:bookmarkStart w:id="690" w:name="_Toc118224554"/>
      <w:bookmarkStart w:id="691" w:name="_Toc118909622"/>
      <w:bookmarkStart w:id="692" w:name="_Toc205190447"/>
      <w:bookmarkEnd w:id="688"/>
      <w:r w:rsidRPr="004222A1">
        <w:rPr>
          <w:b/>
        </w:rPr>
        <w:t>Operating Period</w:t>
      </w:r>
      <w:bookmarkEnd w:id="689"/>
      <w:bookmarkEnd w:id="690"/>
      <w:bookmarkEnd w:id="691"/>
      <w:bookmarkEnd w:id="69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3" w:name="_Toc118224555"/>
            <w:bookmarkStart w:id="694" w:name="_Toc118909623"/>
            <w:bookmarkStart w:id="695" w:name="_Toc205190448"/>
            <w:bookmarkStart w:id="696" w:name="_Toc80425682"/>
            <w:bookmarkStart w:id="69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3"/>
      <w:bookmarkEnd w:id="694"/>
      <w:bookmarkEnd w:id="695"/>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8" w:name="_Toc118224556"/>
      <w:bookmarkStart w:id="699" w:name="_Toc118909624"/>
      <w:bookmarkStart w:id="700" w:name="_Toc205190449"/>
      <w:bookmarkStart w:id="70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6"/>
      <w:bookmarkEnd w:id="698"/>
      <w:bookmarkEnd w:id="699"/>
      <w:bookmarkEnd w:id="700"/>
    </w:p>
    <w:bookmarkEnd w:id="70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AEFF0EA" w14:textId="77777777" w:rsidTr="00A668F8">
        <w:trPr>
          <w:trHeight w:val="476"/>
        </w:trPr>
        <w:tc>
          <w:tcPr>
            <w:tcW w:w="9576" w:type="dxa"/>
            <w:shd w:val="clear" w:color="auto" w:fill="E0E0E0"/>
          </w:tcPr>
          <w:p w14:paraId="394105BF" w14:textId="2164104E" w:rsidR="00314ECE" w:rsidRPr="00625E9F" w:rsidRDefault="00314ECE" w:rsidP="00A668F8">
            <w:pPr>
              <w:pStyle w:val="Instructions"/>
              <w:spacing w:before="120"/>
              <w:rPr>
                <w:lang w:val="en-US" w:eastAsia="en-US"/>
              </w:rPr>
            </w:pPr>
            <w:bookmarkStart w:id="702" w:name="_Toc118224557"/>
            <w:bookmarkStart w:id="703" w:name="_Toc118909625"/>
            <w:bookmarkStart w:id="704" w:name="_Toc205190450"/>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E47E84" w14:textId="77777777" w:rsidR="00314ECE" w:rsidRPr="00993160" w:rsidRDefault="00314ECE" w:rsidP="00314ECE">
            <w:pPr>
              <w:keepNext/>
              <w:tabs>
                <w:tab w:val="left" w:pos="900"/>
              </w:tabs>
              <w:spacing w:after="240"/>
              <w:ind w:left="900" w:hanging="900"/>
              <w:outlineLvl w:val="1"/>
              <w:rPr>
                <w:b/>
              </w:rPr>
            </w:pPr>
            <w:r w:rsidRPr="00993160">
              <w:rPr>
                <w:b/>
              </w:rPr>
              <w:t>Outage</w:t>
            </w:r>
          </w:p>
          <w:p w14:paraId="4FC67128" w14:textId="71B2BEA1" w:rsidR="00314ECE" w:rsidRPr="00314ECE" w:rsidRDefault="00314ECE" w:rsidP="00A668F8">
            <w:pPr>
              <w:spacing w:after="240"/>
              <w:rPr>
                <w:iCs/>
              </w:rPr>
            </w:pPr>
            <w:r w:rsidRPr="00993160">
              <w:rPr>
                <w:iCs/>
              </w:rPr>
              <w:t xml:space="preserve">The condition of a Transmission Facility or a portion of a Facility, or Generation Resource </w:t>
            </w:r>
            <w:r>
              <w:rPr>
                <w:iCs/>
              </w:rPr>
              <w:t xml:space="preserve">or </w:t>
            </w:r>
            <w:r>
              <w:t xml:space="preserve">Energy Storage Resource (ESR) </w:t>
            </w:r>
            <w:r w:rsidRPr="00993160">
              <w:rPr>
                <w:iCs/>
              </w:rPr>
              <w:t>that is part of the ERCOT System and defined in the Network Operations Model that has been removed from its normal service, excluding the operations of Transmission Facilities associated with the start-up and shutdown of Resources.</w:t>
            </w:r>
          </w:p>
        </w:tc>
      </w:tr>
    </w:tbl>
    <w:p w14:paraId="612382FB" w14:textId="77777777" w:rsidR="005D1947" w:rsidRDefault="00A442A0" w:rsidP="006E7FD5">
      <w:pPr>
        <w:pStyle w:val="H3"/>
        <w:tabs>
          <w:tab w:val="clear" w:pos="1080"/>
        </w:tabs>
        <w:spacing w:before="480" w:after="120"/>
        <w:ind w:left="360" w:firstLine="0"/>
      </w:pPr>
      <w:r>
        <w:t>Forced Outage</w:t>
      </w:r>
      <w:bookmarkEnd w:id="702"/>
      <w:bookmarkEnd w:id="703"/>
      <w:bookmarkEnd w:id="70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0F2B85F" w14:textId="77777777" w:rsidTr="00A668F8">
        <w:trPr>
          <w:trHeight w:val="476"/>
        </w:trPr>
        <w:tc>
          <w:tcPr>
            <w:tcW w:w="9576" w:type="dxa"/>
            <w:shd w:val="clear" w:color="auto" w:fill="E0E0E0"/>
          </w:tcPr>
          <w:p w14:paraId="7600CD09" w14:textId="58332E95"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Forced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E69B448" w14:textId="77777777" w:rsidR="00314ECE" w:rsidRPr="00993160" w:rsidRDefault="00314ECE" w:rsidP="00314ECE">
            <w:pPr>
              <w:keepNext/>
              <w:spacing w:after="120"/>
              <w:ind w:left="360"/>
              <w:outlineLvl w:val="2"/>
              <w:rPr>
                <w:b/>
                <w:bCs/>
                <w:i/>
                <w:lang w:val="x-none" w:eastAsia="x-none"/>
              </w:rPr>
            </w:pPr>
            <w:r w:rsidRPr="00993160">
              <w:rPr>
                <w:b/>
                <w:bCs/>
                <w:i/>
                <w:lang w:val="x-none" w:eastAsia="x-none"/>
              </w:rPr>
              <w:t>Forced Outage</w:t>
            </w:r>
          </w:p>
          <w:p w14:paraId="4836175B" w14:textId="77777777" w:rsidR="00314ECE" w:rsidRPr="00993160" w:rsidRDefault="00314ECE" w:rsidP="00314ECE">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42E6CDDF" w14:textId="17CC57E1" w:rsidR="00314ECE" w:rsidRPr="00314ECE" w:rsidRDefault="00314ECE" w:rsidP="00314ECE">
            <w:pPr>
              <w:spacing w:after="240"/>
              <w:ind w:left="360"/>
            </w:pPr>
            <w:r w:rsidRPr="00993160">
              <w:t>For a Generation Resource</w:t>
            </w:r>
            <w:r>
              <w:t xml:space="preserve"> or Energy Storage Resource (ESR)</w:t>
            </w:r>
            <w:r w:rsidRPr="00993160">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tc>
      </w:tr>
    </w:tbl>
    <w:p w14:paraId="2302F63F" w14:textId="77777777" w:rsidR="00252EA9" w:rsidRPr="00213BF5" w:rsidRDefault="00252EA9" w:rsidP="006E7FD5">
      <w:pPr>
        <w:pStyle w:val="BodyTextIndent"/>
        <w:spacing w:before="48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5" w:name="_Toc118224558"/>
      <w:bookmarkStart w:id="706" w:name="_Toc118909626"/>
      <w:bookmarkStart w:id="707" w:name="_Toc205190451"/>
      <w:r>
        <w:lastRenderedPageBreak/>
        <w:t>Maintenance Outage</w:t>
      </w:r>
      <w:bookmarkEnd w:id="705"/>
      <w:bookmarkEnd w:id="706"/>
      <w:bookmarkEnd w:id="70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8" w:name="_Toc118224559"/>
      <w:bookmarkStart w:id="709" w:name="_Toc118909627"/>
      <w:bookmarkStart w:id="710" w:name="_Toc205190452"/>
      <w:bookmarkStart w:id="711" w:name="_Toc80425683"/>
      <w:r>
        <w:t>Opportunity Outage</w:t>
      </w:r>
      <w:bookmarkEnd w:id="708"/>
      <w:bookmarkEnd w:id="709"/>
      <w:bookmarkEnd w:id="71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2" w:name="_Toc118224560"/>
      <w:bookmarkStart w:id="713" w:name="_Toc118909628"/>
      <w:bookmarkStart w:id="714" w:name="_Toc205190453"/>
      <w:r>
        <w:t>Planned Outage</w:t>
      </w:r>
      <w:bookmarkEnd w:id="711"/>
      <w:bookmarkEnd w:id="712"/>
      <w:bookmarkEnd w:id="713"/>
      <w:bookmarkEnd w:id="71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5" w:name="_Toc97957528"/>
      <w:bookmarkStart w:id="716" w:name="_Toc118224561"/>
      <w:bookmarkStart w:id="717" w:name="_Toc118909629"/>
      <w:bookmarkStart w:id="718" w:name="_Toc205190454"/>
      <w:r>
        <w:t>Simple Transmission Outage</w:t>
      </w:r>
      <w:bookmarkEnd w:id="715"/>
      <w:bookmarkEnd w:id="716"/>
      <w:bookmarkEnd w:id="717"/>
      <w:bookmarkEnd w:id="718"/>
    </w:p>
    <w:p w14:paraId="0D8B1E41" w14:textId="77777777" w:rsidR="005D1947" w:rsidRDefault="00A442A0">
      <w:pPr>
        <w:pStyle w:val="BodyTextIndent"/>
        <w:ind w:left="360"/>
        <w:rPr>
          <w:b/>
        </w:rPr>
      </w:pPr>
      <w:bookmarkStart w:id="71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9"/>
      <w:r>
        <w:t xml:space="preserve">  </w:t>
      </w:r>
    </w:p>
    <w:p w14:paraId="34E8B7A5" w14:textId="77777777" w:rsidR="002C0A55" w:rsidRPr="00F057BA" w:rsidRDefault="002C0A55" w:rsidP="002C0A55">
      <w:pPr>
        <w:pStyle w:val="BodyText"/>
        <w:spacing w:before="240"/>
        <w:rPr>
          <w:b/>
        </w:rPr>
      </w:pPr>
      <w:bookmarkStart w:id="720" w:name="_Toc73847896"/>
      <w:bookmarkStart w:id="721" w:name="_Toc80425684"/>
      <w:bookmarkStart w:id="722" w:name="_Toc118224563"/>
      <w:bookmarkStart w:id="723" w:name="_Toc118909631"/>
      <w:bookmarkStart w:id="724" w:name="_Toc205190456"/>
      <w:bookmarkEnd w:id="697"/>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w:t>
      </w:r>
      <w:r w:rsidRPr="00F057BA">
        <w:lastRenderedPageBreak/>
        <w:t>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20"/>
      <w:bookmarkEnd w:id="721"/>
      <w:bookmarkEnd w:id="722"/>
      <w:bookmarkEnd w:id="723"/>
      <w:bookmarkEnd w:id="72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25" w:name="P"/>
      <w:bookmarkEnd w:id="725"/>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26" w:name="_Toc205190457"/>
      <w:bookmarkStart w:id="727" w:name="_Toc80425685"/>
      <w:bookmarkStart w:id="728" w:name="_Toc118224564"/>
      <w:bookmarkStart w:id="729" w:name="_Toc118909632"/>
      <w:bookmarkStart w:id="73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7"/>
      </w:hyperlink>
      <w:r w:rsidR="00927819" w:rsidRPr="004222A1">
        <w:rPr>
          <w:b/>
        </w:rPr>
        <w:t>)</w:t>
      </w:r>
      <w:bookmarkEnd w:id="728"/>
      <w:bookmarkEnd w:id="729"/>
      <w:bookmarkEnd w:id="73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lastRenderedPageBreak/>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2" w:name="_Toc118224565"/>
            <w:bookmarkStart w:id="733" w:name="_Toc118909633"/>
            <w:bookmarkStart w:id="734" w:name="_Toc205190459"/>
            <w:bookmarkEnd w:id="73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w:t>
            </w:r>
            <w:r w:rsidR="003B158C" w:rsidRPr="007A6E43">
              <w:rPr>
                <w:b/>
                <w:i/>
                <w:iCs/>
              </w:rPr>
              <w:lastRenderedPageBreak/>
              <w:t xml:space="preserve">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2"/>
      <w:bookmarkEnd w:id="733"/>
      <w:bookmarkEnd w:id="73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F376162" w14:textId="77777777" w:rsidTr="00A668F8">
        <w:trPr>
          <w:trHeight w:val="476"/>
        </w:trPr>
        <w:tc>
          <w:tcPr>
            <w:tcW w:w="9576" w:type="dxa"/>
            <w:shd w:val="clear" w:color="auto" w:fill="E0E0E0"/>
          </w:tcPr>
          <w:p w14:paraId="68F555B7" w14:textId="566608F2"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Power System Stabilizer (PSS)</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470ECC" w14:textId="77777777" w:rsidR="00314ECE" w:rsidRPr="00314ECE" w:rsidRDefault="00314ECE" w:rsidP="00314ECE">
            <w:pPr>
              <w:keepNext/>
              <w:tabs>
                <w:tab w:val="left" w:pos="900"/>
              </w:tabs>
              <w:spacing w:after="240"/>
              <w:ind w:left="900" w:hanging="900"/>
              <w:outlineLvl w:val="1"/>
            </w:pPr>
            <w:r w:rsidRPr="00314ECE">
              <w:rPr>
                <w:b/>
              </w:rPr>
              <w:lastRenderedPageBreak/>
              <w:t>Power System Stabilizer (PSS)</w:t>
            </w:r>
          </w:p>
          <w:p w14:paraId="09C46A87" w14:textId="5E0F73DC" w:rsidR="00314ECE" w:rsidRPr="00314ECE" w:rsidRDefault="00314ECE" w:rsidP="00314ECE">
            <w:pPr>
              <w:pStyle w:val="BodyText"/>
              <w:rPr>
                <w:iCs w:val="0"/>
              </w:rPr>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tc>
      </w:tr>
    </w:tbl>
    <w:p w14:paraId="3ECDB50C" w14:textId="77777777" w:rsidR="00B76B7E" w:rsidRPr="000312C5" w:rsidRDefault="00B76B7E" w:rsidP="006E7FD5">
      <w:pPr>
        <w:pStyle w:val="H2"/>
        <w:spacing w:before="480"/>
        <w:rPr>
          <w:b/>
          <w:u w:val="single"/>
        </w:rPr>
      </w:pPr>
      <w:r w:rsidRPr="000312C5">
        <w:rPr>
          <w:b/>
        </w:rPr>
        <w:lastRenderedPageBreak/>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5" w:name="_Toc73847901"/>
      <w:bookmarkStart w:id="736" w:name="_Toc118224566"/>
      <w:bookmarkStart w:id="737" w:name="_Toc118909634"/>
      <w:bookmarkStart w:id="73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5"/>
      <w:bookmarkEnd w:id="736"/>
      <w:bookmarkEnd w:id="737"/>
      <w:bookmarkEnd w:id="738"/>
    </w:p>
    <w:p w14:paraId="4195A6AD" w14:textId="77777777" w:rsidR="005D1947" w:rsidRDefault="00A442A0">
      <w:pPr>
        <w:pStyle w:val="BodyText"/>
      </w:pPr>
      <w:bookmarkStart w:id="73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40" w:name="_Toc80425694"/>
            <w:bookmarkStart w:id="741" w:name="_Toc118224567"/>
            <w:bookmarkStart w:id="742" w:name="_Toc118909635"/>
            <w:bookmarkStart w:id="743" w:name="_Toc205190463"/>
            <w:bookmarkStart w:id="744" w:name="_Toc73847905"/>
            <w:bookmarkEnd w:id="739"/>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w:t>
            </w:r>
            <w:r w:rsidRPr="00C51B65">
              <w:rPr>
                <w:szCs w:val="24"/>
              </w:rPr>
              <w:lastRenderedPageBreak/>
              <w:t>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40"/>
      <w:bookmarkEnd w:id="741"/>
      <w:bookmarkEnd w:id="742"/>
      <w:bookmarkEnd w:id="74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5" w:name="_Toc205190464"/>
      <w:bookmarkStart w:id="746" w:name="_Toc73847906"/>
      <w:bookmarkStart w:id="747" w:name="_Toc80425696"/>
      <w:bookmarkStart w:id="748" w:name="_Toc118224568"/>
      <w:bookmarkStart w:id="749" w:name="_Toc118909636"/>
      <w:bookmarkStart w:id="750" w:name="_Toc73847907"/>
      <w:bookmarkEnd w:id="74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1" w:name="_Toc205190465"/>
      <w:r w:rsidRPr="004222A1">
        <w:rPr>
          <w:b/>
        </w:rPr>
        <w:t>Program Administrator</w:t>
      </w:r>
      <w:bookmarkEnd w:id="746"/>
      <w:bookmarkEnd w:id="747"/>
      <w:bookmarkEnd w:id="748"/>
      <w:bookmarkEnd w:id="749"/>
      <w:bookmarkEnd w:id="751"/>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2" w:name="_Toc80425699"/>
      <w:bookmarkStart w:id="753" w:name="_Toc118224569"/>
      <w:bookmarkStart w:id="754" w:name="_Toc118909637"/>
      <w:bookmarkStart w:id="755" w:name="_Toc205190466"/>
      <w:bookmarkEnd w:id="750"/>
      <w:r w:rsidRPr="004222A1">
        <w:rPr>
          <w:b/>
        </w:rPr>
        <w:t>Protected Information</w:t>
      </w:r>
      <w:bookmarkEnd w:id="752"/>
      <w:bookmarkEnd w:id="753"/>
      <w:bookmarkEnd w:id="754"/>
      <w:bookmarkEnd w:id="75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6" w:name="_Toc73847911"/>
      <w:bookmarkStart w:id="757" w:name="_Toc80425701"/>
      <w:bookmarkStart w:id="758" w:name="_Toc118224570"/>
      <w:bookmarkStart w:id="759" w:name="_Toc118909638"/>
      <w:bookmarkStart w:id="760" w:name="_Toc205190467"/>
      <w:r w:rsidRPr="004222A1">
        <w:rPr>
          <w:b/>
        </w:rPr>
        <w:t>Provider of Last Resort (POLR)</w:t>
      </w:r>
      <w:bookmarkEnd w:id="756"/>
      <w:bookmarkEnd w:id="757"/>
      <w:bookmarkEnd w:id="758"/>
      <w:bookmarkEnd w:id="759"/>
      <w:bookmarkEnd w:id="76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1" w:name="Q"/>
      <w:bookmarkEnd w:id="761"/>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62" w:name="_Toc73847913"/>
      <w:bookmarkStart w:id="763" w:name="_Toc80425706"/>
      <w:bookmarkStart w:id="764" w:name="_Toc118224573"/>
      <w:bookmarkStart w:id="765" w:name="_Toc118909641"/>
      <w:bookmarkStart w:id="766" w:name="_Toc205190470"/>
      <w:bookmarkStart w:id="767" w:name="QSE"/>
      <w:r w:rsidRPr="004222A1">
        <w:rPr>
          <w:b/>
        </w:rPr>
        <w:lastRenderedPageBreak/>
        <w:t>Qualified Scheduling Entity (QSE)</w:t>
      </w:r>
      <w:bookmarkEnd w:id="762"/>
      <w:bookmarkEnd w:id="763"/>
      <w:bookmarkEnd w:id="764"/>
      <w:bookmarkEnd w:id="765"/>
      <w:bookmarkEnd w:id="766"/>
      <w:bookmarkEnd w:id="76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8" w:name="_Toc73847914"/>
      <w:bookmarkStart w:id="769" w:name="_Toc80425707"/>
      <w:bookmarkStart w:id="770" w:name="_Toc118224574"/>
      <w:bookmarkStart w:id="771" w:name="_Toc118909642"/>
      <w:bookmarkStart w:id="77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8"/>
      <w:r w:rsidRPr="004222A1">
        <w:rPr>
          <w:b/>
        </w:rPr>
        <w:t xml:space="preserve"> (QF)</w:t>
      </w:r>
      <w:bookmarkEnd w:id="769"/>
      <w:bookmarkEnd w:id="770"/>
      <w:bookmarkEnd w:id="771"/>
      <w:bookmarkEnd w:id="77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3" w:name="R"/>
      <w:bookmarkEnd w:id="773"/>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74" w:name="_Toc118224575"/>
      <w:bookmarkStart w:id="775" w:name="_Toc118909643"/>
      <w:bookmarkStart w:id="776" w:name="_Toc205190472"/>
      <w:bookmarkStart w:id="777" w:name="Ratings"/>
      <w:bookmarkStart w:id="778" w:name="_Toc73847915"/>
      <w:r w:rsidRPr="004222A1">
        <w:rPr>
          <w:b/>
        </w:rPr>
        <w:t>Rating</w:t>
      </w:r>
      <w:bookmarkEnd w:id="774"/>
      <w:bookmarkEnd w:id="775"/>
      <w:bookmarkEnd w:id="776"/>
      <w:bookmarkEnd w:id="77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9" w:name="_Toc118224576"/>
      <w:bookmarkStart w:id="780" w:name="_Toc118909644"/>
      <w:bookmarkStart w:id="781" w:name="_Toc205190473"/>
      <w:r>
        <w:t>Emergency Rating</w:t>
      </w:r>
      <w:bookmarkEnd w:id="779"/>
      <w:bookmarkEnd w:id="780"/>
      <w:bookmarkEnd w:id="78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2" w:name="_Toc118224577"/>
      <w:bookmarkStart w:id="783" w:name="_Toc118909645"/>
      <w:bookmarkStart w:id="784" w:name="_Toc205190474"/>
      <w:r>
        <w:t>15-Minute Rating</w:t>
      </w:r>
      <w:bookmarkEnd w:id="782"/>
      <w:bookmarkEnd w:id="783"/>
      <w:bookmarkEnd w:id="78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5" w:name="_Toc118224578"/>
      <w:bookmarkStart w:id="786" w:name="_Toc118909646"/>
      <w:bookmarkStart w:id="787" w:name="_Toc205190475"/>
      <w:r>
        <w:t>Normal Rating</w:t>
      </w:r>
      <w:bookmarkEnd w:id="785"/>
      <w:bookmarkEnd w:id="786"/>
      <w:bookmarkEnd w:id="78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8" w:name="_Toc118224579"/>
      <w:bookmarkStart w:id="789" w:name="_Toc118909647"/>
      <w:bookmarkStart w:id="790" w:name="_Toc205190476"/>
      <w:r>
        <w:lastRenderedPageBreak/>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8"/>
      <w:bookmarkEnd w:id="788"/>
      <w:bookmarkEnd w:id="789"/>
      <w:bookmarkEnd w:id="79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1" w:name="_Toc73847918"/>
      <w:bookmarkStart w:id="792" w:name="_Toc118224580"/>
      <w:bookmarkStart w:id="793" w:name="_Toc118909648"/>
      <w:bookmarkStart w:id="794" w:name="_Toc205190477"/>
      <w:r w:rsidRPr="004222A1">
        <w:rPr>
          <w:b/>
        </w:rPr>
        <w:t>Real-Time</w:t>
      </w:r>
      <w:bookmarkEnd w:id="791"/>
      <w:bookmarkEnd w:id="792"/>
      <w:bookmarkEnd w:id="793"/>
      <w:bookmarkEnd w:id="79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5" w:name="_Toc73847924"/>
      <w:bookmarkStart w:id="796" w:name="_Toc118224582"/>
      <w:bookmarkStart w:id="797" w:name="_Toc118909650"/>
      <w:bookmarkStart w:id="798" w:name="_Toc205190481"/>
      <w:r w:rsidRPr="004222A1">
        <w:rPr>
          <w:b/>
          <w:iCs/>
        </w:rPr>
        <w:t>Regulation</w:t>
      </w:r>
      <w:r w:rsidRPr="004222A1">
        <w:rPr>
          <w:b/>
        </w:rPr>
        <w:t xml:space="preserve"> Down Service (Reg-Down)</w:t>
      </w:r>
      <w:bookmarkEnd w:id="795"/>
      <w:bookmarkEnd w:id="796"/>
      <w:bookmarkEnd w:id="797"/>
      <w:bookmarkEnd w:id="79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9" w:name="_Toc73847925"/>
      <w:bookmarkStart w:id="800" w:name="_Toc118224583"/>
      <w:bookmarkStart w:id="801" w:name="_Toc118909651"/>
      <w:bookmarkStart w:id="802" w:name="_Toc205190482"/>
      <w:r w:rsidRPr="004222A1">
        <w:rPr>
          <w:b/>
        </w:rPr>
        <w:t>Regulation Service</w:t>
      </w:r>
      <w:bookmarkEnd w:id="799"/>
      <w:bookmarkEnd w:id="800"/>
      <w:bookmarkEnd w:id="801"/>
      <w:bookmarkEnd w:id="80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3" w:name="_Toc73847926"/>
            <w:bookmarkStart w:id="804" w:name="_Toc118224584"/>
            <w:bookmarkStart w:id="805" w:name="_Toc118909652"/>
            <w:bookmarkStart w:id="80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3"/>
      <w:bookmarkEnd w:id="804"/>
      <w:bookmarkEnd w:id="805"/>
      <w:bookmarkEnd w:id="80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7" w:name="_Toc80425722"/>
      <w:bookmarkStart w:id="808" w:name="_Toc118224585"/>
      <w:bookmarkStart w:id="809" w:name="_Toc118909653"/>
      <w:bookmarkStart w:id="810" w:name="_Toc205190484"/>
      <w:bookmarkStart w:id="81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7"/>
      <w:bookmarkEnd w:id="808"/>
      <w:bookmarkEnd w:id="809"/>
      <w:bookmarkEnd w:id="81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2" w:name="_Toc73847929"/>
      <w:bookmarkStart w:id="813" w:name="_Toc118224586"/>
      <w:bookmarkStart w:id="814" w:name="_Toc118909654"/>
      <w:bookmarkStart w:id="815" w:name="_Toc205190485"/>
      <w:bookmarkEnd w:id="811"/>
      <w:r w:rsidRPr="004222A1">
        <w:rPr>
          <w:b/>
        </w:rPr>
        <w:t>Reliability Must-Run (RMR) Unit</w:t>
      </w:r>
      <w:bookmarkEnd w:id="812"/>
      <w:bookmarkEnd w:id="813"/>
      <w:bookmarkEnd w:id="814"/>
      <w:bookmarkEnd w:id="815"/>
    </w:p>
    <w:p w14:paraId="6316A9B2" w14:textId="77777777" w:rsidR="005D1947" w:rsidRDefault="00A442A0">
      <w:pPr>
        <w:pStyle w:val="BodyText"/>
      </w:pPr>
      <w:bookmarkStart w:id="816" w:name="_Toc80425724"/>
      <w:bookmarkStart w:id="81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8" w:name="_Toc118224587"/>
      <w:bookmarkStart w:id="819" w:name="_Toc118909655"/>
      <w:bookmarkStart w:id="820" w:name="_Toc205190486"/>
      <w:r w:rsidRPr="004222A1">
        <w:rPr>
          <w:b/>
        </w:rPr>
        <w:t>Reliability Unit Commitment (RUC)</w:t>
      </w:r>
      <w:bookmarkEnd w:id="816"/>
      <w:bookmarkEnd w:id="818"/>
      <w:bookmarkEnd w:id="819"/>
      <w:bookmarkEnd w:id="82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1" w:name="_Toc73847931"/>
      <w:bookmarkStart w:id="822" w:name="_Toc118224588"/>
      <w:bookmarkStart w:id="823" w:name="_Toc118909656"/>
      <w:bookmarkStart w:id="824" w:name="_Toc205190487"/>
      <w:bookmarkEnd w:id="81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1"/>
      <w:bookmarkEnd w:id="822"/>
      <w:bookmarkEnd w:id="823"/>
      <w:bookmarkEnd w:id="82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5" w:name="Remedial"/>
      <w:bookmarkStart w:id="826" w:name="_Toc205190488"/>
      <w:bookmarkStart w:id="827" w:name="_Toc73847932"/>
      <w:bookmarkStart w:id="828" w:name="_Toc118224589"/>
      <w:bookmarkStart w:id="829" w:name="_Toc118909657"/>
      <w:bookmarkEnd w:id="82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6"/>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3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30"/>
    </w:p>
    <w:p w14:paraId="032CC8DA" w14:textId="77777777" w:rsidR="005D1947" w:rsidRPr="004222A1" w:rsidRDefault="00A442A0" w:rsidP="00E81E00">
      <w:pPr>
        <w:pStyle w:val="H2"/>
        <w:rPr>
          <w:b/>
        </w:rPr>
      </w:pPr>
      <w:bookmarkStart w:id="831" w:name="_Toc205190490"/>
      <w:r w:rsidRPr="004222A1">
        <w:rPr>
          <w:b/>
        </w:rPr>
        <w:t>Renewable Production Potential</w:t>
      </w:r>
      <w:bookmarkEnd w:id="827"/>
      <w:r w:rsidRPr="004222A1">
        <w:rPr>
          <w:b/>
        </w:rPr>
        <w:t xml:space="preserve"> (RPP)</w:t>
      </w:r>
      <w:bookmarkEnd w:id="828"/>
      <w:bookmarkEnd w:id="829"/>
      <w:bookmarkEnd w:id="83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2" w:name="_Toc205190491"/>
      <w:bookmarkStart w:id="833" w:name="_Toc73847937"/>
      <w:bookmarkStart w:id="834" w:name="_Toc118224590"/>
      <w:bookmarkStart w:id="835" w:name="_Toc118909658"/>
      <w:r w:rsidRPr="004222A1">
        <w:rPr>
          <w:b/>
        </w:rPr>
        <w:t>Repowered Facility</w:t>
      </w:r>
      <w:bookmarkEnd w:id="832"/>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7" w:name="_Toc205190493"/>
      <w:r w:rsidRPr="004222A1">
        <w:rPr>
          <w:b/>
        </w:rPr>
        <w:t>Resource</w:t>
      </w:r>
      <w:bookmarkStart w:id="838" w:name="Resource"/>
      <w:bookmarkEnd w:id="833"/>
      <w:bookmarkEnd w:id="834"/>
      <w:bookmarkEnd w:id="835"/>
      <w:bookmarkEnd w:id="837"/>
      <w:bookmarkEnd w:id="83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0DB8DAC" w14:textId="77777777" w:rsidTr="00A668F8">
        <w:trPr>
          <w:trHeight w:val="476"/>
        </w:trPr>
        <w:tc>
          <w:tcPr>
            <w:tcW w:w="9576" w:type="dxa"/>
            <w:shd w:val="clear" w:color="auto" w:fill="E0E0E0"/>
          </w:tcPr>
          <w:p w14:paraId="5AA718C7" w14:textId="5B7AC1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14ECE">
              <w:rPr>
                <w:lang w:val="en-US" w:eastAsia="en-US"/>
              </w:rPr>
              <w:t>Transmission Energy Storage Resource (TESR)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32A16C1" w14:textId="77777777" w:rsidR="00314ECE" w:rsidRPr="00CB6668" w:rsidRDefault="00314ECE" w:rsidP="00314ECE">
            <w:pPr>
              <w:keepNext/>
              <w:widowControl w:val="0"/>
              <w:tabs>
                <w:tab w:val="left" w:pos="1260"/>
              </w:tabs>
              <w:spacing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00B78B03" w14:textId="77777777" w:rsidR="00314ECE" w:rsidRDefault="00314ECE" w:rsidP="00314ECE">
            <w:pPr>
              <w:spacing w:after="240"/>
              <w:ind w:left="720"/>
              <w:rPr>
                <w:bCs/>
              </w:rPr>
            </w:pPr>
            <w:r>
              <w:rPr>
                <w:bCs/>
              </w:rPr>
              <w:t>An Energy Storage Resource (ESR) connected to the ERCOT transmission system that is either:</w:t>
            </w:r>
          </w:p>
          <w:p w14:paraId="1C5C9B9B" w14:textId="77777777" w:rsidR="00314ECE" w:rsidRPr="00CB6668" w:rsidRDefault="00314ECE" w:rsidP="00314ECE">
            <w:pPr>
              <w:spacing w:after="240"/>
              <w:ind w:left="1440" w:hanging="720"/>
            </w:pPr>
            <w:r>
              <w:t>(1)</w:t>
            </w:r>
            <w:r>
              <w:tab/>
            </w:r>
            <w:r w:rsidRPr="00CB6668">
              <w:t>Greater than ten MW and not registered with the Public Utility Commission of Texas (PUCT) as a self-generator; or</w:t>
            </w:r>
          </w:p>
          <w:p w14:paraId="430F667C" w14:textId="4DC0424C" w:rsidR="00314ECE" w:rsidRPr="00314ECE" w:rsidRDefault="00314ECE" w:rsidP="00314ECE">
            <w:pPr>
              <w:spacing w:after="240"/>
              <w:ind w:left="1440" w:hanging="720"/>
            </w:pPr>
            <w:r>
              <w:t>(2)</w:t>
            </w:r>
            <w:r>
              <w:tab/>
            </w:r>
            <w:r w:rsidRPr="00CB6668">
              <w:t>Greater than one MW that chooses to register as a Resource with ERCOT to participate in the ERCOT markets.</w:t>
            </w:r>
          </w:p>
        </w:tc>
      </w:tr>
    </w:tbl>
    <w:p w14:paraId="52BF973F" w14:textId="4C6597AF" w:rsidR="00CC0A31" w:rsidRPr="00947983" w:rsidRDefault="00CC0A31" w:rsidP="006E7FD5">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w:t>
      </w:r>
      <w:r w:rsidRPr="00C75670">
        <w:rPr>
          <w:iCs w:val="0"/>
        </w:rPr>
        <w:lastRenderedPageBreak/>
        <w:t>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lastRenderedPageBreak/>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0E61ACF" w14:textId="77777777" w:rsidTr="00A668F8">
        <w:trPr>
          <w:trHeight w:val="476"/>
        </w:trPr>
        <w:tc>
          <w:tcPr>
            <w:tcW w:w="9576" w:type="dxa"/>
            <w:shd w:val="clear" w:color="auto" w:fill="E0E0E0"/>
          </w:tcPr>
          <w:p w14:paraId="01B6158D" w14:textId="431DB851"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C622A">
              <w:rPr>
                <w:lang w:val="en-US" w:eastAsia="en-US"/>
              </w:rPr>
              <w:t>Mothballed Energy Storage Resource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E6EB748" w14:textId="71EBF709" w:rsidR="003C622A" w:rsidRPr="003C622A" w:rsidRDefault="003C622A" w:rsidP="003C622A">
            <w:pPr>
              <w:keepNext/>
              <w:widowControl w:val="0"/>
              <w:tabs>
                <w:tab w:val="left" w:pos="1260"/>
              </w:tabs>
              <w:spacing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025DBB46" w14:textId="0104463F" w:rsidR="003C622A" w:rsidRPr="003C622A" w:rsidRDefault="003C622A" w:rsidP="003C622A">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tc>
      </w:tr>
    </w:tbl>
    <w:p w14:paraId="5F23DCDC" w14:textId="77777777" w:rsidR="00CC0A31" w:rsidRPr="00402446" w:rsidRDefault="00CC0A31" w:rsidP="006E7FD5">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9" w:name="ResourceCategory"/>
      <w:bookmarkStart w:id="840" w:name="_Toc73847941"/>
      <w:bookmarkStart w:id="841" w:name="_Toc118224596"/>
      <w:bookmarkStart w:id="842" w:name="_Toc118909664"/>
      <w:bookmarkStart w:id="843" w:name="_Toc205190503"/>
      <w:bookmarkEnd w:id="83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40"/>
      <w:bookmarkEnd w:id="841"/>
      <w:bookmarkEnd w:id="842"/>
      <w:bookmarkEnd w:id="843"/>
    </w:p>
    <w:p w14:paraId="41CD42B4" w14:textId="3921D85D" w:rsidR="005D1947" w:rsidRDefault="0020238E">
      <w:pPr>
        <w:pStyle w:val="BodyText"/>
      </w:pPr>
      <w:bookmarkStart w:id="844"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5" w:name="_Toc118224597"/>
            <w:bookmarkStart w:id="846" w:name="_Toc118909665"/>
            <w:bookmarkStart w:id="847"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4"/>
      <w:r w:rsidRPr="004222A1">
        <w:rPr>
          <w:b/>
        </w:rPr>
        <w:t xml:space="preserve"> (RID)</w:t>
      </w:r>
      <w:bookmarkEnd w:id="845"/>
      <w:bookmarkEnd w:id="846"/>
      <w:bookmarkEnd w:id="847"/>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8" w:name="_Toc118224598"/>
      <w:bookmarkStart w:id="849" w:name="_Toc118909666"/>
      <w:bookmarkStart w:id="850" w:name="_Toc205190505"/>
      <w:bookmarkStart w:id="851" w:name="_Toc73847943"/>
      <w:bookmarkStart w:id="852" w:name="_Toc80425740"/>
      <w:bookmarkStart w:id="853" w:name="_Toc73847944"/>
      <w:r w:rsidRPr="004222A1">
        <w:rPr>
          <w:b/>
        </w:rPr>
        <w:lastRenderedPageBreak/>
        <w:t>Resource Node</w:t>
      </w:r>
      <w:bookmarkEnd w:id="848"/>
      <w:bookmarkEnd w:id="849"/>
      <w:bookmarkEnd w:id="85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4" w:name="_Toc118224599"/>
            <w:bookmarkStart w:id="855" w:name="_Toc118909667"/>
            <w:bookmarkStart w:id="856" w:name="_Toc205190506"/>
            <w:bookmarkEnd w:id="851"/>
            <w:bookmarkEnd w:id="852"/>
            <w:bookmarkEnd w:id="853"/>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4"/>
      <w:bookmarkEnd w:id="855"/>
      <w:bookmarkEnd w:id="85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7" w:name="_Toc118224600"/>
      <w:bookmarkStart w:id="858" w:name="_Toc118909668"/>
      <w:bookmarkStart w:id="85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7"/>
      <w:bookmarkEnd w:id="858"/>
      <w:bookmarkEnd w:id="85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60" w:name="_Toc73847946"/>
      <w:bookmarkStart w:id="861" w:name="_Toc118224601"/>
      <w:bookmarkStart w:id="862" w:name="_Toc118909669"/>
      <w:bookmarkStart w:id="863" w:name="_Toc205190508"/>
      <w:r w:rsidRPr="004222A1">
        <w:rPr>
          <w:b/>
        </w:rPr>
        <w:lastRenderedPageBreak/>
        <w:t>Responsive Reserve</w:t>
      </w:r>
      <w:bookmarkEnd w:id="860"/>
      <w:bookmarkEnd w:id="861"/>
      <w:bookmarkEnd w:id="862"/>
      <w:bookmarkEnd w:id="86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4" w:name="_Toc205190509"/>
      <w:bookmarkStart w:id="865" w:name="_Toc73847948"/>
      <w:bookmarkStart w:id="866" w:name="_Toc118224602"/>
      <w:bookmarkStart w:id="86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4"/>
    </w:p>
    <w:p w14:paraId="450F530F" w14:textId="77777777" w:rsidR="005D1947" w:rsidRPr="004222A1" w:rsidRDefault="00A442A0">
      <w:pPr>
        <w:pStyle w:val="H2"/>
        <w:spacing w:before="360"/>
        <w:ind w:left="907" w:hanging="907"/>
        <w:rPr>
          <w:b/>
        </w:rPr>
      </w:pPr>
      <w:bookmarkStart w:id="86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5"/>
      <w:r w:rsidRPr="004222A1">
        <w:rPr>
          <w:b/>
        </w:rPr>
        <w:t xml:space="preserve"> (REP)</w:t>
      </w:r>
      <w:bookmarkEnd w:id="866"/>
      <w:bookmarkEnd w:id="867"/>
      <w:bookmarkEnd w:id="86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9" w:name="_Toc205190511"/>
      <w:bookmarkStart w:id="870" w:name="_Toc73847949"/>
      <w:bookmarkStart w:id="871" w:name="_Toc118224603"/>
      <w:bookmarkStart w:id="872" w:name="_Toc118909671"/>
      <w:r w:rsidRPr="004222A1">
        <w:rPr>
          <w:b/>
        </w:rPr>
        <w:t>Retail Entity</w:t>
      </w:r>
      <w:bookmarkEnd w:id="86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3"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70"/>
      <w:bookmarkEnd w:id="871"/>
      <w:bookmarkEnd w:id="872"/>
      <w:bookmarkEnd w:id="87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ESR and </w:t>
            </w:r>
            <w:r w:rsidRPr="0078328F">
              <w:t>energy</w:t>
            </w:r>
            <w:r w:rsidRPr="0078328F">
              <w:rPr>
                <w:szCs w:val="24"/>
              </w:rPr>
              <w:t xml:space="preserve"> </w:t>
            </w:r>
            <w:proofErr w:type="gramStart"/>
            <w:r w:rsidRPr="0078328F">
              <w:rPr>
                <w:szCs w:val="24"/>
              </w:rPr>
              <w:t>returned back</w:t>
            </w:r>
            <w:proofErr w:type="gramEnd"/>
            <w:r w:rsidRPr="0078328F">
              <w:rPr>
                <w:szCs w:val="24"/>
              </w:rPr>
              <w:t xml:space="preserve">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4" w:name="S"/>
      <w:bookmarkEnd w:id="874"/>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75" w:name="_Toc118224607"/>
      <w:bookmarkStart w:id="87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7" w:name="_Toc205190516"/>
      <w:r w:rsidRPr="004222A1">
        <w:rPr>
          <w:b/>
        </w:rPr>
        <w:t>Scheduled Power Consumption Snapshot</w:t>
      </w:r>
      <w:bookmarkEnd w:id="877"/>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8" w:name="_Toc205190517"/>
      <w:r w:rsidRPr="004222A1">
        <w:rPr>
          <w:b/>
        </w:rPr>
        <w:t>Season</w:t>
      </w:r>
      <w:bookmarkEnd w:id="87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F17A311" w14:textId="77777777" w:rsidTr="00A668F8">
        <w:trPr>
          <w:trHeight w:val="476"/>
        </w:trPr>
        <w:tc>
          <w:tcPr>
            <w:tcW w:w="9576" w:type="dxa"/>
            <w:shd w:val="clear" w:color="auto" w:fill="E0E0E0"/>
          </w:tcPr>
          <w:p w14:paraId="008ADFE9" w14:textId="1F39BCBF" w:rsidR="003C622A" w:rsidRPr="00625E9F" w:rsidRDefault="003C622A" w:rsidP="00A668F8">
            <w:pPr>
              <w:pStyle w:val="Instructions"/>
              <w:spacing w:before="120"/>
              <w:rPr>
                <w:lang w:val="en-US" w:eastAsia="en-US"/>
              </w:rPr>
            </w:pPr>
            <w:bookmarkStart w:id="879" w:name="_Hlk117499314"/>
            <w:bookmarkStart w:id="880" w:name="_Hlk147911310"/>
            <w:bookmarkStart w:id="881" w:name="_Hlk85616131"/>
            <w:bookmarkStart w:id="882" w:name="_Toc205190518"/>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Seasonal Operation Period”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BC55D82" w14:textId="77777777" w:rsidR="003C622A" w:rsidRPr="003C622A" w:rsidRDefault="003C622A" w:rsidP="003C622A">
            <w:pPr>
              <w:keepNext/>
              <w:tabs>
                <w:tab w:val="left" w:pos="900"/>
              </w:tabs>
              <w:spacing w:after="240"/>
              <w:ind w:left="900" w:hanging="900"/>
              <w:outlineLvl w:val="1"/>
            </w:pPr>
            <w:r w:rsidRPr="003C622A">
              <w:rPr>
                <w:b/>
              </w:rPr>
              <w:t>Seasonal Operation Period</w:t>
            </w:r>
          </w:p>
          <w:p w14:paraId="61DCCFAA" w14:textId="7A9EA36E" w:rsidR="003C622A" w:rsidRPr="003C622A" w:rsidRDefault="003C622A" w:rsidP="003C622A">
            <w:pPr>
              <w:spacing w:after="240"/>
              <w:rPr>
                <w:iCs/>
                <w:szCs w:val="24"/>
              </w:rPr>
            </w:pPr>
            <w:r w:rsidRPr="003C622A">
              <w:rPr>
                <w:szCs w:val="24"/>
              </w:rPr>
              <w:t>The period in which a Generation Resource or Energy Storage Resource (ESR) has identified it is available for operation.</w:t>
            </w:r>
          </w:p>
        </w:tc>
      </w:tr>
    </w:tbl>
    <w:p w14:paraId="7A5C1C41" w14:textId="77777777" w:rsidR="00D377D8" w:rsidRPr="00D377D8" w:rsidRDefault="00D377D8" w:rsidP="006E7FD5">
      <w:pPr>
        <w:pStyle w:val="H2"/>
        <w:spacing w:before="480"/>
        <w:rPr>
          <w:b/>
        </w:rPr>
      </w:pPr>
      <w:r w:rsidRPr="00D377D8">
        <w:rPr>
          <w:b/>
        </w:rPr>
        <w:t>Secure Private Network (SPN)</w:t>
      </w:r>
      <w:bookmarkEnd w:id="879"/>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80"/>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3"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3"/>
      <w:r w:rsidRPr="00ED3498">
        <w:rPr>
          <w:bCs/>
        </w:rPr>
        <w:t xml:space="preserve"> (PUCT), but which may not exceed $800 million. </w:t>
      </w:r>
    </w:p>
    <w:p w14:paraId="635F4E53" w14:textId="77777777" w:rsidR="00E83DC9" w:rsidRPr="00E83DC9" w:rsidRDefault="00E83DC9" w:rsidP="00E83DC9">
      <w:pPr>
        <w:pStyle w:val="H2"/>
        <w:rPr>
          <w:b/>
        </w:rPr>
      </w:pPr>
      <w:bookmarkStart w:id="884" w:name="_Hlk83969962"/>
      <w:r w:rsidRPr="00E83DC9">
        <w:rPr>
          <w:b/>
        </w:rPr>
        <w:t>Securitization Default Charge</w:t>
      </w:r>
    </w:p>
    <w:bookmarkEnd w:id="884"/>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5" w:name="_Hlk90630914"/>
      <w:bookmarkEnd w:id="881"/>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6" w:name="_Hlk90036153"/>
      <w:r w:rsidRPr="00ED3498">
        <w:rPr>
          <w:bCs/>
        </w:rPr>
        <w:t>Public Utility Commission of Texas (PUCT)</w:t>
      </w:r>
      <w:bookmarkEnd w:id="886"/>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5"/>
    <w:p w14:paraId="14CD0A46" w14:textId="49F0C2B9" w:rsidR="005D1947" w:rsidRPr="004222A1" w:rsidRDefault="00A442A0" w:rsidP="00537A50">
      <w:pPr>
        <w:pStyle w:val="H2"/>
        <w:rPr>
          <w:b/>
        </w:rPr>
      </w:pPr>
      <w:r w:rsidRPr="004222A1">
        <w:rPr>
          <w:b/>
        </w:rPr>
        <w:t>Security-Constrained Economic Dispatch (SCED)</w:t>
      </w:r>
      <w:bookmarkEnd w:id="875"/>
      <w:bookmarkEnd w:id="876"/>
      <w:bookmarkEnd w:id="882"/>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7" w:name="_Toc80425757"/>
            <w:bookmarkStart w:id="888" w:name="_Toc118224608"/>
            <w:bookmarkStart w:id="889" w:name="_Toc118909676"/>
            <w:bookmarkStart w:id="890" w:name="_Toc205190519"/>
            <w:bookmarkStart w:id="891"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7"/>
      <w:r w:rsidRPr="004222A1">
        <w:rPr>
          <w:b/>
        </w:rPr>
        <w:t xml:space="preserve"> Quantity</w:t>
      </w:r>
      <w:bookmarkEnd w:id="888"/>
      <w:bookmarkEnd w:id="889"/>
      <w:bookmarkEnd w:id="890"/>
    </w:p>
    <w:p w14:paraId="10E34D96" w14:textId="6628C545" w:rsidR="005D1947" w:rsidRDefault="00A442A0">
      <w:pPr>
        <w:pStyle w:val="BodyText"/>
      </w:pPr>
      <w:bookmarkStart w:id="892" w:name="_Toc80425758"/>
      <w:bookmarkStart w:id="893" w:name="_Toc73847959"/>
      <w:bookmarkEnd w:id="891"/>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4" w:name="_Toc118224609"/>
            <w:bookmarkStart w:id="895" w:name="_Toc118909677"/>
            <w:bookmarkStart w:id="896" w:name="_Toc205190520"/>
            <w:bookmarkStart w:id="897" w:name="_Toc80425760"/>
            <w:bookmarkStart w:id="898" w:name="_Toc73847963"/>
            <w:bookmarkEnd w:id="892"/>
            <w:bookmarkEnd w:id="893"/>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4"/>
      <w:bookmarkEnd w:id="895"/>
      <w:bookmarkEnd w:id="896"/>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9" w:name="_Toc205190521"/>
      <w:bookmarkStart w:id="900" w:name="_Toc118224610"/>
      <w:bookmarkStart w:id="901" w:name="_Toc118909678"/>
      <w:r w:rsidRPr="004222A1">
        <w:rPr>
          <w:b/>
        </w:rPr>
        <w:lastRenderedPageBreak/>
        <w:t>Service Address</w:t>
      </w:r>
      <w:bookmarkEnd w:id="899"/>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2" w:name="_Toc205190522"/>
      <w:r w:rsidRPr="004222A1">
        <w:rPr>
          <w:b/>
        </w:rPr>
        <w:t>Service Delivery Point</w:t>
      </w:r>
      <w:bookmarkEnd w:id="897"/>
      <w:bookmarkEnd w:id="900"/>
      <w:bookmarkEnd w:id="901"/>
      <w:bookmarkEnd w:id="902"/>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3" w:name="_Toc118224611"/>
      <w:bookmarkStart w:id="904" w:name="_Toc118909679"/>
      <w:bookmarkStart w:id="905" w:name="_Toc205190523"/>
      <w:bookmarkStart w:id="906" w:name="_Toc73847964"/>
      <w:bookmarkStart w:id="907" w:name="_Toc80425764"/>
      <w:bookmarkStart w:id="908" w:name="_Toc73847967"/>
      <w:bookmarkEnd w:id="898"/>
      <w:r w:rsidRPr="004222A1">
        <w:rPr>
          <w:b/>
        </w:rPr>
        <w:t>Settlement</w:t>
      </w:r>
      <w:bookmarkEnd w:id="903"/>
      <w:bookmarkEnd w:id="904"/>
      <w:bookmarkEnd w:id="905"/>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9" w:name="_Toc205190524"/>
      <w:bookmarkStart w:id="910" w:name="_Toc118224612"/>
      <w:bookmarkStart w:id="911" w:name="_Toc118909680"/>
      <w:r w:rsidRPr="004222A1">
        <w:rPr>
          <w:b/>
        </w:rPr>
        <w:t>Settlement Calendar</w:t>
      </w:r>
      <w:bookmarkEnd w:id="909"/>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2" w:name="_Toc205190525"/>
      <w:r w:rsidRPr="004222A1">
        <w:rPr>
          <w:b/>
        </w:rPr>
        <w:t>Settlement Interval</w:t>
      </w:r>
      <w:bookmarkEnd w:id="906"/>
      <w:bookmarkEnd w:id="907"/>
      <w:bookmarkEnd w:id="910"/>
      <w:bookmarkEnd w:id="911"/>
      <w:bookmarkEnd w:id="912"/>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3" w:name="_Toc73847966"/>
      <w:bookmarkStart w:id="914" w:name="_Toc80425766"/>
      <w:bookmarkStart w:id="915" w:name="_Toc118224613"/>
      <w:bookmarkStart w:id="916" w:name="_Toc118909681"/>
      <w:bookmarkStart w:id="917"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3"/>
      <w:bookmarkEnd w:id="914"/>
      <w:bookmarkEnd w:id="915"/>
      <w:bookmarkEnd w:id="916"/>
      <w:bookmarkEnd w:id="917"/>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8" w:name="_Toc80425767"/>
            <w:bookmarkStart w:id="919" w:name="_Toc118224614"/>
            <w:bookmarkStart w:id="920" w:name="_Toc118909682"/>
            <w:bookmarkStart w:id="921" w:name="_Toc205190527"/>
            <w:bookmarkEnd w:id="908"/>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2"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2"/>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3"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3"/>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8"/>
      <w:bookmarkEnd w:id="919"/>
      <w:bookmarkEnd w:id="920"/>
      <w:bookmarkEnd w:id="921"/>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4" w:name="_Toc80425768"/>
      <w:bookmarkStart w:id="925" w:name="_Toc118224615"/>
      <w:bookmarkStart w:id="926" w:name="_Toc118909683"/>
      <w:bookmarkStart w:id="927" w:name="_Toc205190528"/>
      <w:r w:rsidRPr="004222A1">
        <w:rPr>
          <w:b/>
        </w:rPr>
        <w:t>Settlement Point Price</w:t>
      </w:r>
      <w:bookmarkEnd w:id="924"/>
      <w:bookmarkEnd w:id="925"/>
      <w:bookmarkEnd w:id="926"/>
      <w:bookmarkEnd w:id="92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8" w:name="_Toc118224616"/>
      <w:bookmarkStart w:id="929" w:name="_Toc118909684"/>
      <w:bookmarkStart w:id="930" w:name="_Toc205190529"/>
      <w:r w:rsidRPr="004222A1">
        <w:rPr>
          <w:b/>
        </w:rPr>
        <w:t>Settlement Quality Meter Data</w:t>
      </w:r>
      <w:bookmarkEnd w:id="928"/>
      <w:bookmarkEnd w:id="929"/>
      <w:bookmarkEnd w:id="93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1" w:name="_Toc73847972"/>
      <w:bookmarkStart w:id="932" w:name="_Toc118224617"/>
      <w:bookmarkStart w:id="933" w:name="_Toc118909685"/>
      <w:bookmarkStart w:id="934" w:name="_Toc205190530"/>
      <w:r w:rsidRPr="004222A1">
        <w:rPr>
          <w:b/>
        </w:rPr>
        <w:lastRenderedPageBreak/>
        <w:t>Settlement Statement</w:t>
      </w:r>
      <w:bookmarkStart w:id="935" w:name="Settlementstatement"/>
      <w:bookmarkEnd w:id="93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1"/>
      <w:bookmarkEnd w:id="932"/>
      <w:bookmarkEnd w:id="933"/>
      <w:bookmarkEnd w:id="934"/>
    </w:p>
    <w:p w14:paraId="51E37754" w14:textId="77777777" w:rsidR="005D1947" w:rsidRDefault="00A442A0">
      <w:pPr>
        <w:pStyle w:val="BodyText"/>
      </w:pPr>
      <w:bookmarkStart w:id="93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7" w:name="_Toc118224618"/>
      <w:bookmarkStart w:id="938" w:name="_Toc118909686"/>
      <w:bookmarkStart w:id="939" w:name="_Toc205190531"/>
      <w:r w:rsidRPr="004222A1">
        <w:rPr>
          <w:b/>
        </w:rPr>
        <w:lastRenderedPageBreak/>
        <w:t>Shift Factor</w:t>
      </w:r>
      <w:bookmarkEnd w:id="936"/>
      <w:bookmarkEnd w:id="937"/>
      <w:bookmarkEnd w:id="938"/>
      <w:bookmarkEnd w:id="93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40" w:name="_Toc118224619"/>
      <w:bookmarkStart w:id="941" w:name="_Toc118909687"/>
      <w:bookmarkStart w:id="942" w:name="_Toc205190532"/>
      <w:bookmarkStart w:id="943" w:name="_Toc73847975"/>
      <w:bookmarkStart w:id="944" w:name="_Toc80425774"/>
      <w:bookmarkStart w:id="945" w:name="_Toc73847976"/>
      <w:r w:rsidRPr="004222A1">
        <w:rPr>
          <w:b/>
        </w:rPr>
        <w:t>Short-Term Wind Power Forecast</w:t>
      </w:r>
      <w:bookmarkEnd w:id="940"/>
      <w:bookmarkEnd w:id="941"/>
      <w:bookmarkEnd w:id="94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6" w:name="_Toc118224620"/>
      <w:bookmarkStart w:id="947" w:name="_Toc118909688"/>
      <w:bookmarkStart w:id="948" w:name="_Toc205190533"/>
      <w:bookmarkEnd w:id="943"/>
      <w:bookmarkEnd w:id="94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6"/>
      <w:bookmarkEnd w:id="947"/>
      <w:bookmarkEnd w:id="948"/>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17407005" w14:textId="77777777" w:rsidTr="00A668F8">
        <w:trPr>
          <w:trHeight w:val="386"/>
        </w:trPr>
        <w:tc>
          <w:tcPr>
            <w:tcW w:w="9350" w:type="dxa"/>
            <w:shd w:val="pct12" w:color="auto" w:fill="auto"/>
          </w:tcPr>
          <w:p w14:paraId="05C5FB25" w14:textId="4B24B4D6" w:rsidR="00225ED5" w:rsidRPr="005F5E22" w:rsidRDefault="00225ED5" w:rsidP="00A668F8">
            <w:pPr>
              <w:spacing w:before="120" w:after="240"/>
              <w:rPr>
                <w:b/>
                <w:i/>
                <w:iCs/>
              </w:rPr>
            </w:pPr>
            <w:bookmarkStart w:id="949" w:name="_Toc118224622"/>
            <w:bookmarkStart w:id="950" w:name="_Toc118909690"/>
            <w:bookmarkStart w:id="951" w:name="_Toc205190535"/>
            <w:bookmarkStart w:id="952" w:name="_Toc80425775"/>
            <w:bookmarkEnd w:id="945"/>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Energy Credit (SREC)</w:t>
            </w:r>
            <w:r w:rsidRPr="004B32CF">
              <w:rPr>
                <w:b/>
                <w:i/>
                <w:iCs/>
              </w:rPr>
              <w:t xml:space="preserve">” </w:t>
            </w:r>
            <w:r>
              <w:rPr>
                <w:b/>
                <w:i/>
                <w:iCs/>
              </w:rPr>
              <w:t>on September 1, 2025.</w:t>
            </w:r>
            <w:r w:rsidRPr="004B32CF">
              <w:rPr>
                <w:b/>
                <w:i/>
                <w:iCs/>
              </w:rPr>
              <w:t>]</w:t>
            </w:r>
          </w:p>
        </w:tc>
      </w:tr>
    </w:tbl>
    <w:p w14:paraId="41D57FB2" w14:textId="1AC4389E" w:rsidR="009A2C57" w:rsidRPr="004222A1" w:rsidRDefault="009A2C57" w:rsidP="006E7FD5">
      <w:pPr>
        <w:pStyle w:val="H2"/>
        <w:spacing w:before="480"/>
        <w:rPr>
          <w:b/>
        </w:rPr>
      </w:pPr>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44F36C2D" w14:textId="77777777" w:rsidTr="00A668F8">
        <w:trPr>
          <w:trHeight w:val="386"/>
        </w:trPr>
        <w:tc>
          <w:tcPr>
            <w:tcW w:w="9350" w:type="dxa"/>
            <w:shd w:val="pct12" w:color="auto" w:fill="auto"/>
          </w:tcPr>
          <w:p w14:paraId="606CB1F2" w14:textId="37975D74" w:rsidR="00225ED5" w:rsidRPr="005F5E22" w:rsidRDefault="00225ED5" w:rsidP="00A668F8">
            <w:pPr>
              <w:spacing w:before="120" w:after="240"/>
              <w:rPr>
                <w:b/>
                <w:i/>
                <w:iCs/>
              </w:rPr>
            </w:pPr>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Portfolio Standard (SRPS)</w:t>
            </w:r>
            <w:r w:rsidRPr="004B32CF">
              <w:rPr>
                <w:b/>
                <w:i/>
                <w:iCs/>
              </w:rPr>
              <w:t xml:space="preserve">” </w:t>
            </w:r>
            <w:r>
              <w:rPr>
                <w:b/>
                <w:i/>
                <w:iCs/>
              </w:rPr>
              <w:t>on September 1, 2025.</w:t>
            </w:r>
            <w:r w:rsidRPr="004B32CF">
              <w:rPr>
                <w:b/>
                <w:i/>
                <w:iCs/>
              </w:rPr>
              <w:t>]</w:t>
            </w:r>
          </w:p>
        </w:tc>
      </w:tr>
    </w:tbl>
    <w:p w14:paraId="317995E0" w14:textId="3242E2CD" w:rsidR="00B75513" w:rsidRPr="004222A1" w:rsidRDefault="00A442A0" w:rsidP="006E7FD5">
      <w:pPr>
        <w:pStyle w:val="H2"/>
        <w:keepNext w:val="0"/>
        <w:spacing w:before="480"/>
        <w:ind w:left="907" w:hanging="907"/>
        <w:rPr>
          <w:b/>
        </w:rPr>
      </w:pPr>
      <w:r w:rsidRPr="004222A1">
        <w:rPr>
          <w:b/>
        </w:rPr>
        <w:t>Split Generation Resource</w:t>
      </w:r>
      <w:bookmarkEnd w:id="949"/>
      <w:bookmarkEnd w:id="950"/>
      <w:bookmarkEnd w:id="95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3" w:name="_Toc118224623"/>
      <w:bookmarkStart w:id="954" w:name="_Toc118909691"/>
      <w:bookmarkStart w:id="955" w:name="_Toc205190536"/>
      <w:r w:rsidRPr="004222A1">
        <w:rPr>
          <w:b/>
        </w:rPr>
        <w:t>Startup Cost</w:t>
      </w:r>
      <w:bookmarkEnd w:id="953"/>
      <w:bookmarkEnd w:id="954"/>
      <w:bookmarkEnd w:id="955"/>
      <w:r w:rsidRPr="004222A1">
        <w:rPr>
          <w:b/>
        </w:rPr>
        <w:t xml:space="preserve"> </w:t>
      </w:r>
      <w:bookmarkEnd w:id="95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6" w:name="_Toc80425776"/>
      <w:bookmarkStart w:id="957" w:name="_Toc118224624"/>
      <w:bookmarkStart w:id="958" w:name="_Toc118909692"/>
      <w:bookmarkStart w:id="959" w:name="_Toc205190537"/>
      <w:bookmarkStart w:id="960" w:name="_Toc73847977"/>
      <w:r w:rsidRPr="004222A1">
        <w:rPr>
          <w:b/>
        </w:rPr>
        <w:t>Startup Offer</w:t>
      </w:r>
      <w:bookmarkEnd w:id="956"/>
      <w:bookmarkEnd w:id="957"/>
      <w:bookmarkEnd w:id="958"/>
      <w:bookmarkEnd w:id="95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1" w:name="_Toc118224625"/>
      <w:bookmarkStart w:id="962" w:name="_Toc118909693"/>
      <w:bookmarkStart w:id="963" w:name="_Toc205190538"/>
      <w:r w:rsidRPr="004222A1">
        <w:rPr>
          <w:b/>
        </w:rPr>
        <w:t>State Estimator</w:t>
      </w:r>
      <w:bookmarkEnd w:id="960"/>
      <w:bookmarkEnd w:id="961"/>
      <w:bookmarkEnd w:id="962"/>
      <w:bookmarkEnd w:id="963"/>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lastRenderedPageBreak/>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4"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5"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4"/>
      <w:bookmarkEnd w:id="965"/>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17BF9C32" w14:textId="77777777" w:rsidTr="00A668F8">
        <w:trPr>
          <w:trHeight w:val="476"/>
        </w:trPr>
        <w:tc>
          <w:tcPr>
            <w:tcW w:w="9576" w:type="dxa"/>
            <w:shd w:val="clear" w:color="auto" w:fill="E0E0E0"/>
          </w:tcPr>
          <w:p w14:paraId="26650BBB" w14:textId="668982DE" w:rsidR="003C622A" w:rsidRPr="00625E9F" w:rsidRDefault="003C622A" w:rsidP="00A668F8">
            <w:pPr>
              <w:pStyle w:val="Instructions"/>
              <w:spacing w:before="120"/>
              <w:rPr>
                <w:lang w:val="en-US" w:eastAsia="en-US"/>
              </w:rPr>
            </w:pPr>
            <w:bookmarkStart w:id="966" w:name="_Hlk19309669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proofErr w:type="spellStart"/>
            <w:r w:rsidRPr="003C622A">
              <w:rPr>
                <w:lang w:val="en-US" w:eastAsia="en-US"/>
              </w:rPr>
              <w:t>Subsynchronous</w:t>
            </w:r>
            <w:proofErr w:type="spellEnd"/>
            <w:r w:rsidRPr="003C622A">
              <w:rPr>
                <w:lang w:val="en-US" w:eastAsia="en-US"/>
              </w:rPr>
              <w:t xml:space="preserve"> Oscillation (SSO)</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B4DDA92" w14:textId="77777777" w:rsidR="003C622A" w:rsidRPr="00993160" w:rsidRDefault="003C622A" w:rsidP="003C622A">
            <w:pPr>
              <w:spacing w:after="240"/>
              <w:rPr>
                <w:b/>
              </w:rPr>
            </w:pPr>
            <w:proofErr w:type="spellStart"/>
            <w:r w:rsidRPr="00993160">
              <w:rPr>
                <w:b/>
              </w:rPr>
              <w:t>Subsynchronous</w:t>
            </w:r>
            <w:proofErr w:type="spellEnd"/>
            <w:r w:rsidRPr="00993160">
              <w:rPr>
                <w:b/>
              </w:rPr>
              <w:t xml:space="preserve"> Oscillation (SSO)</w:t>
            </w:r>
          </w:p>
          <w:p w14:paraId="7D6145CC" w14:textId="575E72AD" w:rsidR="003C622A" w:rsidRPr="003C622A" w:rsidRDefault="003C622A" w:rsidP="00A668F8">
            <w:pPr>
              <w:spacing w:after="240"/>
            </w:pPr>
            <w:r w:rsidRPr="00993160">
              <w:t>Coincident oscillation occurring between two or more Transmission Elements</w:t>
            </w:r>
            <w:r>
              <w:t>,</w:t>
            </w:r>
            <w:r w:rsidRPr="00993160">
              <w:t xml:space="preserve"> Generation Resources</w:t>
            </w:r>
            <w:r>
              <w:t>,</w:t>
            </w:r>
            <w:r w:rsidRPr="00CA624C">
              <w:t xml:space="preserve"> </w:t>
            </w:r>
            <w:r>
              <w:t>or Energy Storage Resources (ESRs)</w:t>
            </w:r>
            <w:r w:rsidRPr="00993160">
              <w:t xml:space="preserve"> at a natural harmonic frequency lower than the normal operating frequency of the ERCOT System (60 Hz)</w:t>
            </w:r>
            <w:r>
              <w:t>.</w:t>
            </w:r>
          </w:p>
        </w:tc>
      </w:tr>
    </w:tbl>
    <w:bookmarkEnd w:id="966"/>
    <w:p w14:paraId="31CE8D97" w14:textId="77777777" w:rsidR="001E598F" w:rsidRPr="00936C15" w:rsidRDefault="001E598F" w:rsidP="006E7FD5">
      <w:pPr>
        <w:pStyle w:val="H3"/>
        <w:tabs>
          <w:tab w:val="clear" w:pos="1080"/>
        </w:tabs>
        <w:spacing w:before="480" w:after="120"/>
        <w:ind w:left="360" w:firstLine="0"/>
        <w:rPr>
          <w:szCs w:val="24"/>
        </w:rPr>
      </w:pPr>
      <w:proofErr w:type="spellStart"/>
      <w:r w:rsidRPr="00936C15">
        <w:lastRenderedPageBreak/>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500248A8" w14:textId="77777777" w:rsidTr="00A668F8">
        <w:trPr>
          <w:trHeight w:val="476"/>
        </w:trPr>
        <w:tc>
          <w:tcPr>
            <w:tcW w:w="9576" w:type="dxa"/>
            <w:shd w:val="clear" w:color="auto" w:fill="E0E0E0"/>
          </w:tcPr>
          <w:p w14:paraId="59B4C346" w14:textId="0DBA326E"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proofErr w:type="spellStart"/>
            <w:r w:rsidRPr="003C622A">
              <w:rPr>
                <w:lang w:val="en-US" w:eastAsia="en-US"/>
              </w:rPr>
              <w:t>Subsynchronous</w:t>
            </w:r>
            <w:proofErr w:type="spellEnd"/>
            <w:r w:rsidRPr="003C622A">
              <w:rPr>
                <w:lang w:val="en-US" w:eastAsia="en-US"/>
              </w:rPr>
              <w:t xml:space="preserve"> Resonance (SSR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1FB41F7" w14:textId="77777777" w:rsidR="003C622A" w:rsidRPr="00993160" w:rsidRDefault="003C622A" w:rsidP="003C622A">
            <w:pPr>
              <w:keepNext/>
              <w:spacing w:after="120"/>
              <w:ind w:left="360"/>
              <w:outlineLvl w:val="2"/>
              <w:rPr>
                <w:b/>
                <w:bCs/>
                <w:i/>
                <w:lang w:val="x-none" w:eastAsia="x-none"/>
              </w:rPr>
            </w:pPr>
            <w:proofErr w:type="spellStart"/>
            <w:r w:rsidRPr="00993160">
              <w:rPr>
                <w:b/>
                <w:bCs/>
                <w:i/>
                <w:lang w:val="x-none" w:eastAsia="x-none"/>
              </w:rPr>
              <w:t>Subsynchronous</w:t>
            </w:r>
            <w:proofErr w:type="spellEnd"/>
            <w:r w:rsidRPr="00993160">
              <w:rPr>
                <w:b/>
                <w:bCs/>
                <w:i/>
                <w:lang w:val="x-none" w:eastAsia="x-none"/>
              </w:rPr>
              <w:t xml:space="preserve"> Resonance (SSR)</w:t>
            </w:r>
          </w:p>
          <w:p w14:paraId="4D36F282" w14:textId="1EFE6773" w:rsidR="003C622A" w:rsidRPr="003C622A" w:rsidRDefault="003C622A" w:rsidP="003C622A">
            <w:pPr>
              <w:spacing w:after="240"/>
              <w:ind w:left="360"/>
            </w:pPr>
            <w:r w:rsidRPr="00993160">
              <w:t xml:space="preserve">Coincident oscillation occurring between Generation Resources </w:t>
            </w:r>
            <w:r>
              <w:t xml:space="preserve">or Energy Storage Resources (ESRs) </w:t>
            </w:r>
            <w:r w:rsidRPr="00993160">
              <w:t>and a series capacitor compensated transmission system at a natural harmonic frequency lower than the normal operating frequency of the ERCOT System (60 Hz), including the following types of interactions:</w:t>
            </w:r>
          </w:p>
        </w:tc>
      </w:tr>
    </w:tbl>
    <w:p w14:paraId="03F16D6E" w14:textId="77777777" w:rsidR="001E598F" w:rsidRPr="00936C15" w:rsidRDefault="001E598F" w:rsidP="006E7FD5">
      <w:pPr>
        <w:keepNext/>
        <w:widowControl w:val="0"/>
        <w:spacing w:before="48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subsynchronous frequency.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4AB21F62" w14:textId="77777777" w:rsidTr="00A668F8">
        <w:trPr>
          <w:trHeight w:val="476"/>
        </w:trPr>
        <w:tc>
          <w:tcPr>
            <w:tcW w:w="9576" w:type="dxa"/>
            <w:shd w:val="clear" w:color="auto" w:fill="E0E0E0"/>
          </w:tcPr>
          <w:p w14:paraId="6F4956FB" w14:textId="77D293A7" w:rsidR="000F3DCF" w:rsidRPr="00625E9F" w:rsidRDefault="000F3DCF"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36C15">
              <w:rPr>
                <w:bCs/>
                <w:snapToGrid w:val="0"/>
              </w:rPr>
              <w:t>Induction Generator Effect (IGE)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3464D6" w14:textId="77777777" w:rsidR="000F3DCF" w:rsidRPr="00993160" w:rsidRDefault="000F3DCF" w:rsidP="000F3DCF">
            <w:pPr>
              <w:keepNext/>
              <w:widowControl w:val="0"/>
              <w:spacing w:after="120"/>
              <w:ind w:left="720"/>
              <w:outlineLvl w:val="3"/>
              <w:rPr>
                <w:b/>
                <w:bCs/>
                <w:i/>
                <w:snapToGrid w:val="0"/>
                <w:lang w:val="x-none" w:eastAsia="x-none"/>
              </w:rPr>
            </w:pPr>
            <w:r w:rsidRPr="00993160">
              <w:rPr>
                <w:b/>
                <w:bCs/>
                <w:i/>
                <w:snapToGrid w:val="0"/>
                <w:lang w:val="x-none" w:eastAsia="x-none"/>
              </w:rPr>
              <w:t>Induction Generator Effect (IGE)</w:t>
            </w:r>
          </w:p>
          <w:p w14:paraId="2BB49B2F" w14:textId="6D5C011F" w:rsidR="000F3DCF" w:rsidRPr="003C622A" w:rsidRDefault="000F3DCF" w:rsidP="000F3DCF">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r>
              <w:t xml:space="preserve">or Energy Storage Resource (ESR) </w:t>
            </w:r>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tc>
      </w:tr>
    </w:tbl>
    <w:p w14:paraId="673203DF" w14:textId="77777777" w:rsidR="001E598F" w:rsidRPr="00936C15" w:rsidRDefault="001E598F" w:rsidP="006E7FD5">
      <w:pPr>
        <w:keepNext/>
        <w:widowControl w:val="0"/>
        <w:spacing w:before="48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776E83F7" w14:textId="77777777" w:rsidTr="00A668F8">
        <w:trPr>
          <w:trHeight w:val="476"/>
        </w:trPr>
        <w:tc>
          <w:tcPr>
            <w:tcW w:w="9576" w:type="dxa"/>
            <w:shd w:val="clear" w:color="auto" w:fill="E0E0E0"/>
          </w:tcPr>
          <w:p w14:paraId="21091124" w14:textId="12D6A771" w:rsidR="000F3DCF" w:rsidRPr="00625E9F" w:rsidRDefault="000F3DCF" w:rsidP="00A668F8">
            <w:pPr>
              <w:pStyle w:val="Instructions"/>
              <w:spacing w:before="120"/>
              <w:rPr>
                <w:lang w:val="en-US" w:eastAsia="en-US"/>
              </w:rPr>
            </w:pPr>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Torque Amplification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EC43696" w14:textId="77777777" w:rsidR="000F3DCF" w:rsidRPr="00993160" w:rsidRDefault="000F3DCF" w:rsidP="000F3DCF">
            <w:pPr>
              <w:keepNext/>
              <w:widowControl w:val="0"/>
              <w:spacing w:after="120"/>
              <w:ind w:left="720"/>
              <w:outlineLvl w:val="3"/>
              <w:rPr>
                <w:b/>
                <w:bCs/>
                <w:i/>
                <w:snapToGrid w:val="0"/>
                <w:lang w:val="x-none" w:eastAsia="x-none"/>
              </w:rPr>
            </w:pPr>
            <w:r w:rsidRPr="00993160">
              <w:rPr>
                <w:b/>
                <w:bCs/>
                <w:i/>
                <w:snapToGrid w:val="0"/>
                <w:lang w:val="x-none" w:eastAsia="x-none"/>
              </w:rPr>
              <w:t>Torque Amplification</w:t>
            </w:r>
          </w:p>
          <w:p w14:paraId="73574E94" w14:textId="55544234" w:rsidR="000F3DCF" w:rsidRPr="003C622A" w:rsidRDefault="000F3DCF" w:rsidP="000F3DCF">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tc>
      </w:tr>
    </w:tbl>
    <w:p w14:paraId="09DFDCBD" w14:textId="77777777" w:rsidR="001E598F" w:rsidRPr="00936C15" w:rsidRDefault="001E598F" w:rsidP="006E7FD5">
      <w:pPr>
        <w:keepNext/>
        <w:widowControl w:val="0"/>
        <w:spacing w:before="48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3B1D7F41" w14:textId="77777777" w:rsidTr="00A668F8">
        <w:trPr>
          <w:trHeight w:val="476"/>
        </w:trPr>
        <w:tc>
          <w:tcPr>
            <w:tcW w:w="9576" w:type="dxa"/>
            <w:shd w:val="clear" w:color="auto" w:fill="E0E0E0"/>
          </w:tcPr>
          <w:p w14:paraId="4FDF913F" w14:textId="1B3E68EA" w:rsidR="000F3DCF" w:rsidRPr="00625E9F" w:rsidRDefault="000F3DCF" w:rsidP="00A668F8">
            <w:pPr>
              <w:pStyle w:val="Instructions"/>
              <w:spacing w:before="120"/>
              <w:rPr>
                <w:lang w:val="en-US" w:eastAsia="en-US"/>
              </w:rPr>
            </w:pPr>
            <w:bookmarkStart w:id="967" w:name="_Hlk19309414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proofErr w:type="spellStart"/>
            <w:r w:rsidRPr="000F3DCF">
              <w:rPr>
                <w:lang w:val="en-US" w:eastAsia="en-US"/>
              </w:rPr>
              <w:t>Subsynchronous</w:t>
            </w:r>
            <w:proofErr w:type="spellEnd"/>
            <w:r w:rsidRPr="000F3DCF">
              <w:rPr>
                <w:lang w:val="en-US" w:eastAsia="en-US"/>
              </w:rPr>
              <w:t xml:space="preserve"> Control Interaction (SSCI)</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7BACC0" w14:textId="77777777" w:rsidR="000F3DCF" w:rsidRPr="00993160" w:rsidRDefault="000F3DCF" w:rsidP="000F3DCF">
            <w:pPr>
              <w:keepNext/>
              <w:widowControl w:val="0"/>
              <w:spacing w:after="120"/>
              <w:ind w:left="720"/>
              <w:outlineLvl w:val="3"/>
              <w:rPr>
                <w:b/>
                <w:bCs/>
                <w:i/>
                <w:snapToGrid w:val="0"/>
                <w:lang w:val="x-none" w:eastAsia="x-none"/>
              </w:rPr>
            </w:pPr>
            <w:proofErr w:type="spellStart"/>
            <w:r w:rsidRPr="00993160">
              <w:rPr>
                <w:b/>
                <w:bCs/>
                <w:i/>
                <w:snapToGrid w:val="0"/>
                <w:lang w:val="x-none" w:eastAsia="x-none"/>
              </w:rPr>
              <w:t>Subsynchronous</w:t>
            </w:r>
            <w:proofErr w:type="spellEnd"/>
            <w:r w:rsidRPr="00993160">
              <w:rPr>
                <w:b/>
                <w:bCs/>
                <w:i/>
                <w:snapToGrid w:val="0"/>
                <w:lang w:val="x-none" w:eastAsia="x-none"/>
              </w:rPr>
              <w:t xml:space="preserve"> Control Interaction (SSCI)</w:t>
            </w:r>
          </w:p>
          <w:p w14:paraId="3862A33F" w14:textId="13663008" w:rsidR="000F3DCF" w:rsidRPr="003C622A" w:rsidRDefault="000F3DCF" w:rsidP="000F3DCF">
            <w:pPr>
              <w:spacing w:after="240"/>
              <w:ind w:left="720"/>
            </w:pPr>
            <w:r w:rsidRPr="00993160">
              <w:t>The interaction between a series capacitor compensated transmission system and the control system of Generation Resources</w:t>
            </w:r>
            <w:r>
              <w:t xml:space="preserve"> or Energy Storage Resources (ESRs)</w:t>
            </w:r>
            <w:r w:rsidRPr="00993160">
              <w:t>.</w:t>
            </w:r>
          </w:p>
        </w:tc>
      </w:tr>
    </w:tbl>
    <w:bookmarkEnd w:id="967"/>
    <w:p w14:paraId="3C76FE95" w14:textId="77777777" w:rsidR="001E598F" w:rsidRPr="00227BDD" w:rsidRDefault="001E598F" w:rsidP="006E7FD5">
      <w:pPr>
        <w:spacing w:before="48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732AD757" w14:textId="77777777" w:rsidTr="00A668F8">
        <w:trPr>
          <w:trHeight w:val="476"/>
        </w:trPr>
        <w:tc>
          <w:tcPr>
            <w:tcW w:w="9576" w:type="dxa"/>
            <w:shd w:val="clear" w:color="auto" w:fill="E0E0E0"/>
          </w:tcPr>
          <w:p w14:paraId="55B3057E" w14:textId="2BACC94A" w:rsidR="000F3DCF" w:rsidRPr="00625E9F" w:rsidRDefault="000F3DCF"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proofErr w:type="spellStart"/>
            <w:r w:rsidRPr="00936C15">
              <w:t>Subsynchronous</w:t>
            </w:r>
            <w:proofErr w:type="spellEnd"/>
            <w:r w:rsidRPr="00227BDD">
              <w:t xml:space="preserve"> Resonance</w:t>
            </w:r>
            <w:r w:rsidRPr="00227BDD">
              <w:rPr>
                <w:i w:val="0"/>
              </w:rPr>
              <w:t xml:space="preserve"> (</w:t>
            </w:r>
            <w:r w:rsidRPr="00227BDD">
              <w:rPr>
                <w:snapToGrid w:val="0"/>
              </w:rPr>
              <w:t>SSR) Protection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A3BE215" w14:textId="77777777" w:rsidR="000F3DCF" w:rsidRPr="00993160" w:rsidRDefault="000F3DCF" w:rsidP="000F3DCF">
            <w:pPr>
              <w:keepNext/>
              <w:spacing w:after="120"/>
              <w:ind w:left="360"/>
              <w:outlineLvl w:val="2"/>
              <w:rPr>
                <w:bCs/>
                <w:lang w:val="x-none" w:eastAsia="x-none"/>
              </w:rPr>
            </w:pPr>
            <w:proofErr w:type="spellStart"/>
            <w:r w:rsidRPr="00993160">
              <w:rPr>
                <w:b/>
                <w:bCs/>
                <w:i/>
                <w:lang w:val="x-none" w:eastAsia="x-none"/>
              </w:rPr>
              <w:t>Subsynchronous</w:t>
            </w:r>
            <w:proofErr w:type="spellEnd"/>
            <w:r w:rsidRPr="00993160">
              <w:rPr>
                <w:b/>
                <w:bCs/>
                <w:i/>
                <w:lang w:val="x-none" w:eastAsia="x-none"/>
              </w:rPr>
              <w:t xml:space="preserve"> Resonance</w:t>
            </w:r>
            <w:r w:rsidRPr="00993160">
              <w:rPr>
                <w:b/>
                <w:bCs/>
                <w:lang w:val="x-none" w:eastAsia="x-none"/>
              </w:rPr>
              <w:t xml:space="preserve"> (</w:t>
            </w:r>
            <w:r w:rsidRPr="00993160">
              <w:rPr>
                <w:b/>
                <w:bCs/>
                <w:i/>
                <w:snapToGrid w:val="0"/>
                <w:lang w:val="x-none" w:eastAsia="x-none"/>
              </w:rPr>
              <w:t>SSR) Protection</w:t>
            </w:r>
            <w:r w:rsidRPr="00993160">
              <w:rPr>
                <w:bCs/>
                <w:lang w:val="x-none" w:eastAsia="x-none"/>
              </w:rPr>
              <w:t xml:space="preserve"> </w:t>
            </w:r>
          </w:p>
          <w:p w14:paraId="59D59E68" w14:textId="665D45AC" w:rsidR="000F3DCF" w:rsidRPr="003C622A" w:rsidRDefault="000F3DCF" w:rsidP="000F3DCF">
            <w:pPr>
              <w:spacing w:after="240"/>
              <w:ind w:left="360"/>
            </w:pPr>
            <w:r w:rsidRPr="00993160">
              <w:t>A countermeasure that includes, but is not limited to, disconnecting the affected Generation Resource</w:t>
            </w:r>
            <w:r w:rsidRPr="00CA624C">
              <w:t xml:space="preserve"> </w:t>
            </w:r>
            <w:r>
              <w:t>or Energy Storage Resource (ESR)</w:t>
            </w:r>
            <w:r w:rsidRPr="00993160">
              <w:t>.</w:t>
            </w:r>
          </w:p>
        </w:tc>
      </w:tr>
    </w:tbl>
    <w:p w14:paraId="286D547F" w14:textId="77777777" w:rsidR="001E598F" w:rsidRPr="00227BDD" w:rsidRDefault="001E598F" w:rsidP="006E7FD5">
      <w:pPr>
        <w:pStyle w:val="H3"/>
        <w:tabs>
          <w:tab w:val="clear" w:pos="1080"/>
        </w:tabs>
        <w:spacing w:before="480"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16CD6939" w14:textId="77777777" w:rsidTr="00A668F8">
        <w:trPr>
          <w:trHeight w:val="476"/>
        </w:trPr>
        <w:tc>
          <w:tcPr>
            <w:tcW w:w="9576" w:type="dxa"/>
            <w:shd w:val="clear" w:color="auto" w:fill="E0E0E0"/>
          </w:tcPr>
          <w:p w14:paraId="71C7E943" w14:textId="6E3BD0B7" w:rsidR="000F3DCF" w:rsidRPr="00625E9F" w:rsidRDefault="000F3DCF" w:rsidP="00A668F8">
            <w:pPr>
              <w:pStyle w:val="Instructions"/>
              <w:spacing w:before="120"/>
              <w:rPr>
                <w:lang w:val="en-US" w:eastAsia="en-US"/>
              </w:rPr>
            </w:pPr>
            <w:bookmarkStart w:id="968" w:name="_Hlk178063135"/>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proofErr w:type="spellStart"/>
            <w:r w:rsidRPr="00936C15">
              <w:t>Subsynchronous</w:t>
            </w:r>
            <w:proofErr w:type="spellEnd"/>
            <w:r w:rsidRPr="00227BDD">
              <w:t xml:space="preserve"> Resonance</w:t>
            </w:r>
            <w:r w:rsidRPr="00227BDD">
              <w:rPr>
                <w:i w:val="0"/>
              </w:rPr>
              <w:t xml:space="preserve"> (</w:t>
            </w:r>
            <w:r w:rsidRPr="00227BDD">
              <w:rPr>
                <w:snapToGrid w:val="0"/>
              </w:rPr>
              <w:t xml:space="preserve">SSR) </w:t>
            </w:r>
            <w:r>
              <w:rPr>
                <w:snapToGrid w:val="0"/>
              </w:rPr>
              <w:t>Mitigation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8CD7D9C" w14:textId="77777777" w:rsidR="000F3DCF" w:rsidRPr="00993160" w:rsidRDefault="000F3DCF" w:rsidP="000F3DCF">
            <w:pPr>
              <w:keepNext/>
              <w:spacing w:after="120"/>
              <w:ind w:left="360"/>
              <w:outlineLvl w:val="2"/>
              <w:rPr>
                <w:bCs/>
                <w:lang w:val="x-none" w:eastAsia="x-none"/>
              </w:rPr>
            </w:pPr>
            <w:proofErr w:type="spellStart"/>
            <w:r w:rsidRPr="00993160">
              <w:rPr>
                <w:b/>
                <w:bCs/>
                <w:i/>
                <w:lang w:val="x-none" w:eastAsia="x-none"/>
              </w:rPr>
              <w:t>Subsynchronous</w:t>
            </w:r>
            <w:proofErr w:type="spellEnd"/>
            <w:r w:rsidRPr="00993160">
              <w:rPr>
                <w:b/>
                <w:bCs/>
                <w:i/>
                <w:lang w:val="x-none" w:eastAsia="x-none"/>
              </w:rPr>
              <w:t xml:space="preserve"> Resonance</w:t>
            </w:r>
            <w:r w:rsidRPr="00993160">
              <w:rPr>
                <w:b/>
                <w:bCs/>
                <w:lang w:val="x-none" w:eastAsia="x-none"/>
              </w:rPr>
              <w:t xml:space="preserve"> (</w:t>
            </w:r>
            <w:r w:rsidRPr="00993160">
              <w:rPr>
                <w:b/>
                <w:bCs/>
                <w:i/>
                <w:snapToGrid w:val="0"/>
                <w:lang w:val="x-none" w:eastAsia="x-none"/>
              </w:rPr>
              <w:t>SSR) Mitigation</w:t>
            </w:r>
            <w:r w:rsidRPr="00993160">
              <w:rPr>
                <w:bCs/>
                <w:lang w:val="x-none" w:eastAsia="x-none"/>
              </w:rPr>
              <w:t xml:space="preserve"> </w:t>
            </w:r>
          </w:p>
          <w:p w14:paraId="20988906" w14:textId="284157F6" w:rsidR="000F3DCF" w:rsidRPr="003C622A" w:rsidRDefault="000F3DCF" w:rsidP="000F3DCF">
            <w:pPr>
              <w:spacing w:after="240"/>
              <w:ind w:left="360"/>
            </w:pPr>
            <w:r w:rsidRPr="00993160">
              <w:t>A countermeasure that includes, but is not limited to, equipment installation, controller adjustment, or a procedure to mitigate the SSR vulnerability without disconnecting the affected Generation Resources</w:t>
            </w:r>
            <w:r>
              <w:t xml:space="preserve"> or Energy Storage Resources (ESRs)</w:t>
            </w:r>
            <w:r w:rsidRPr="00993160">
              <w:t>.</w:t>
            </w:r>
          </w:p>
        </w:tc>
      </w:tr>
    </w:tbl>
    <w:p w14:paraId="4FB21464" w14:textId="77777777" w:rsidR="00A27A60" w:rsidRPr="004222A1" w:rsidRDefault="00A27A60" w:rsidP="006E7FD5">
      <w:pPr>
        <w:pStyle w:val="H2"/>
        <w:spacing w:before="480"/>
        <w:rPr>
          <w:b/>
        </w:rPr>
      </w:pPr>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9" w:name="_Toc205190539"/>
      <w:bookmarkStart w:id="970" w:name="_Toc73847983"/>
      <w:bookmarkStart w:id="971" w:name="_Toc118224626"/>
      <w:bookmarkStart w:id="972" w:name="_Toc118909694"/>
      <w:bookmarkEnd w:id="968"/>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9"/>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3" w:name="_Toc205190540"/>
      <w:r w:rsidRPr="004222A1">
        <w:rPr>
          <w:b/>
        </w:rPr>
        <w:t>System-Wide Offer Cap (SWC</w:t>
      </w:r>
      <w:r w:rsidR="00EF4BE7" w:rsidRPr="004222A1">
        <w:rPr>
          <w:b/>
        </w:rPr>
        <w:t>A</w:t>
      </w:r>
      <w:r w:rsidRPr="004222A1">
        <w:rPr>
          <w:b/>
        </w:rPr>
        <w:t>P)</w:t>
      </w:r>
      <w:bookmarkEnd w:id="973"/>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70"/>
          <w:bookmarkEnd w:id="971"/>
          <w:bookmarkEnd w:id="972"/>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4" w:name="T"/>
      <w:bookmarkEnd w:id="974"/>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75" w:name="_Toc73847986"/>
      <w:bookmarkStart w:id="976" w:name="_Toc118224627"/>
      <w:bookmarkStart w:id="977" w:name="_Toc118909695"/>
      <w:bookmarkStart w:id="978" w:name="_Toc205190541"/>
      <w:r w:rsidRPr="004222A1">
        <w:rPr>
          <w:b/>
        </w:rPr>
        <w:t>T</w:t>
      </w:r>
      <w:r w:rsidR="00EF4BE7" w:rsidRPr="004222A1">
        <w:rPr>
          <w:b/>
        </w:rPr>
        <w:t xml:space="preserve">SP and </w:t>
      </w:r>
      <w:r w:rsidRPr="004222A1">
        <w:rPr>
          <w:b/>
        </w:rPr>
        <w:t>DSP Metered Entity</w:t>
      </w:r>
      <w:bookmarkEnd w:id="975"/>
      <w:bookmarkEnd w:id="976"/>
      <w:bookmarkEnd w:id="977"/>
      <w:bookmarkEnd w:id="978"/>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9" w:name="_Toc80425787"/>
      <w:bookmarkStart w:id="980" w:name="_Toc118224629"/>
      <w:bookmarkStart w:id="981" w:name="_Toc118909697"/>
      <w:bookmarkStart w:id="982" w:name="_Toc205190543"/>
      <w:bookmarkStart w:id="983"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9"/>
      <w:bookmarkEnd w:id="980"/>
      <w:bookmarkEnd w:id="981"/>
      <w:bookmarkEnd w:id="982"/>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4" w:name="_Toc118224630"/>
      <w:bookmarkStart w:id="985" w:name="_Toc118909698"/>
      <w:bookmarkStart w:id="986" w:name="_Toc205190544"/>
      <w:r w:rsidRPr="004222A1">
        <w:rPr>
          <w:b/>
        </w:rPr>
        <w:lastRenderedPageBreak/>
        <w:t xml:space="preserve">Texas </w:t>
      </w:r>
      <w:r w:rsidR="00EF4BE7" w:rsidRPr="004222A1">
        <w:rPr>
          <w:b/>
        </w:rPr>
        <w:t xml:space="preserve">Standard Electronic Transaction (TX </w:t>
      </w:r>
      <w:r w:rsidRPr="004222A1">
        <w:rPr>
          <w:b/>
        </w:rPr>
        <w:t>SET</w:t>
      </w:r>
      <w:bookmarkEnd w:id="983"/>
      <w:bookmarkEnd w:id="984"/>
      <w:bookmarkEnd w:id="985"/>
      <w:bookmarkEnd w:id="986"/>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7" w:name="_Toc118224631"/>
      <w:bookmarkStart w:id="988" w:name="_Toc118909699"/>
      <w:bookmarkStart w:id="989" w:name="_Toc205190545"/>
      <w:bookmarkStart w:id="990" w:name="_Toc80425796"/>
      <w:r w:rsidRPr="004222A1">
        <w:rPr>
          <w:b/>
        </w:rPr>
        <w:t>Three-Part Supply Offer</w:t>
      </w:r>
      <w:bookmarkEnd w:id="987"/>
      <w:bookmarkEnd w:id="988"/>
      <w:bookmarkEnd w:id="989"/>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91" w:name="_Toc118224632"/>
      <w:bookmarkStart w:id="992" w:name="_Toc118909700"/>
      <w:bookmarkStart w:id="993"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90"/>
      <w:bookmarkEnd w:id="991"/>
      <w:bookmarkEnd w:id="992"/>
      <w:bookmarkEnd w:id="993"/>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4" w:name="_Toc73848000"/>
      <w:bookmarkStart w:id="995" w:name="_Toc118224633"/>
      <w:bookmarkStart w:id="996" w:name="_Toc118909701"/>
      <w:bookmarkStart w:id="997" w:name="_Toc205190547"/>
      <w:r w:rsidRPr="004222A1">
        <w:rPr>
          <w:b/>
        </w:rPr>
        <w:t>Transmission and/or Distribution Service Provider (TDSP)</w:t>
      </w:r>
      <w:bookmarkEnd w:id="994"/>
      <w:bookmarkEnd w:id="995"/>
      <w:bookmarkEnd w:id="996"/>
      <w:bookmarkEnd w:id="997"/>
    </w:p>
    <w:p w14:paraId="0F29D92C" w14:textId="77777777" w:rsidR="0011691A" w:rsidRDefault="0011691A" w:rsidP="0011691A">
      <w:pPr>
        <w:pStyle w:val="BodyText"/>
      </w:pPr>
      <w:bookmarkStart w:id="998" w:name="_Toc118224634"/>
      <w:bookmarkStart w:id="999" w:name="_Toc118909702"/>
      <w:bookmarkStart w:id="1000"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1001"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8"/>
      <w:bookmarkEnd w:id="999"/>
      <w:bookmarkEnd w:id="1000"/>
    </w:p>
    <w:bookmarkEnd w:id="1001"/>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1002" w:name="_Toc80425802"/>
      <w:bookmarkStart w:id="1003" w:name="_Toc118224635"/>
      <w:bookmarkStart w:id="1004" w:name="_Toc118909703"/>
      <w:bookmarkStart w:id="1005" w:name="_Toc205190549"/>
      <w:bookmarkStart w:id="1006" w:name="_Toc73848001"/>
      <w:r w:rsidRPr="004222A1">
        <w:rPr>
          <w:b/>
        </w:rPr>
        <w:t>Transmission Facilities</w:t>
      </w:r>
      <w:bookmarkEnd w:id="1002"/>
      <w:bookmarkEnd w:id="1003"/>
      <w:bookmarkEnd w:id="1004"/>
      <w:bookmarkEnd w:id="1005"/>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7" w:name="_Toc80425803"/>
            <w:bookmarkStart w:id="1008" w:name="_Toc118224636"/>
            <w:bookmarkStart w:id="1009" w:name="_Toc118909704"/>
            <w:bookmarkStart w:id="1010" w:name="_Toc205190550"/>
            <w:bookmarkStart w:id="1011" w:name="_Toc73848002"/>
            <w:bookmarkEnd w:id="1006"/>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7"/>
      <w:bookmarkEnd w:id="1008"/>
      <w:bookmarkEnd w:id="1009"/>
      <w:bookmarkEnd w:id="1010"/>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12" w:name="_Toc73848003"/>
      <w:bookmarkStart w:id="1013" w:name="_Toc80425804"/>
      <w:bookmarkStart w:id="1014" w:name="_Toc118224637"/>
      <w:bookmarkStart w:id="1015" w:name="_Toc118909705"/>
      <w:bookmarkStart w:id="1016" w:name="_Toc205190551"/>
      <w:bookmarkStart w:id="1017" w:name="_Toc73848004"/>
      <w:bookmarkEnd w:id="1011"/>
      <w:r w:rsidRPr="004222A1">
        <w:rPr>
          <w:b/>
        </w:rPr>
        <w:lastRenderedPageBreak/>
        <w:t>Transmission Losses</w:t>
      </w:r>
      <w:bookmarkEnd w:id="1012"/>
      <w:bookmarkEnd w:id="1013"/>
      <w:bookmarkEnd w:id="1014"/>
      <w:bookmarkEnd w:id="1015"/>
      <w:bookmarkEnd w:id="1016"/>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8" w:name="_Toc118224638"/>
      <w:bookmarkStart w:id="1019" w:name="_Toc118909706"/>
      <w:bookmarkStart w:id="1020"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7"/>
      <w:bookmarkEnd w:id="1018"/>
      <w:bookmarkEnd w:id="1019"/>
      <w:bookmarkEnd w:id="1020"/>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21" w:name="_Toc73848005"/>
      <w:bookmarkStart w:id="1022" w:name="_Toc118224639"/>
      <w:bookmarkStart w:id="1023" w:name="_Toc118909707"/>
      <w:bookmarkStart w:id="1024" w:name="_Toc205190553"/>
      <w:r w:rsidRPr="004222A1">
        <w:rPr>
          <w:b/>
        </w:rPr>
        <w:t>Transmission Service Provider</w:t>
      </w:r>
      <w:bookmarkEnd w:id="1021"/>
      <w:r w:rsidRPr="004222A1">
        <w:rPr>
          <w:b/>
        </w:rPr>
        <w:t xml:space="preserve"> (TSP)</w:t>
      </w:r>
      <w:bookmarkEnd w:id="1022"/>
      <w:bookmarkEnd w:id="1023"/>
      <w:bookmarkEnd w:id="1024"/>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5" w:name="U"/>
      <w:bookmarkEnd w:id="1025"/>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26" w:name="_Toc73848008"/>
      <w:bookmarkStart w:id="1027" w:name="_Toc80425809"/>
      <w:bookmarkStart w:id="1028" w:name="_Toc118224640"/>
      <w:bookmarkStart w:id="1029" w:name="_Toc118909708"/>
      <w:bookmarkStart w:id="1030" w:name="_Toc205190554"/>
      <w:bookmarkStart w:id="1031" w:name="_Toc73848010"/>
      <w:r w:rsidRPr="004222A1">
        <w:rPr>
          <w:b/>
        </w:rPr>
        <w:t>Unaccounted for Energy (UFE)</w:t>
      </w:r>
      <w:bookmarkEnd w:id="1026"/>
      <w:bookmarkEnd w:id="1027"/>
      <w:bookmarkEnd w:id="1028"/>
      <w:bookmarkEnd w:id="1029"/>
      <w:bookmarkEnd w:id="1030"/>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32" w:name="_Toc118224641"/>
      <w:bookmarkStart w:id="1033" w:name="_Toc118909709"/>
      <w:bookmarkStart w:id="1034" w:name="_Toc205190555"/>
      <w:bookmarkStart w:id="1035" w:name="_Toc73848014"/>
      <w:bookmarkEnd w:id="1031"/>
      <w:r w:rsidRPr="004222A1">
        <w:rPr>
          <w:b/>
        </w:rPr>
        <w:lastRenderedPageBreak/>
        <w:t>Unit Reactive Limit</w:t>
      </w:r>
      <w:bookmarkEnd w:id="1032"/>
      <w:bookmarkEnd w:id="1033"/>
      <w:bookmarkEnd w:id="1034"/>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634A4E87" w14:textId="77777777" w:rsidTr="00A668F8">
        <w:trPr>
          <w:trHeight w:val="476"/>
        </w:trPr>
        <w:tc>
          <w:tcPr>
            <w:tcW w:w="9576" w:type="dxa"/>
            <w:shd w:val="clear" w:color="auto" w:fill="E0E0E0"/>
          </w:tcPr>
          <w:p w14:paraId="2B812F75" w14:textId="5782B40F" w:rsidR="000F3DCF" w:rsidRPr="00625E9F" w:rsidRDefault="000F3DCF" w:rsidP="00A668F8">
            <w:pPr>
              <w:pStyle w:val="Instructions"/>
              <w:spacing w:before="120"/>
              <w:rPr>
                <w:lang w:val="en-US" w:eastAsia="en-US"/>
              </w:rPr>
            </w:pPr>
            <w:bookmarkStart w:id="1036" w:name="_Toc205190556"/>
            <w:bookmarkStart w:id="1037" w:name="_Toc118224642"/>
            <w:bookmarkStart w:id="1038" w:name="_Toc11890971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Unit Reactive Limit (URL)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B0D2D0" w14:textId="77777777" w:rsidR="000F3DCF" w:rsidRPr="000F3DCF" w:rsidRDefault="000F3DCF" w:rsidP="000F3DCF">
            <w:pPr>
              <w:keepNext/>
              <w:tabs>
                <w:tab w:val="left" w:pos="900"/>
              </w:tabs>
              <w:spacing w:after="240"/>
              <w:ind w:left="900" w:hanging="900"/>
              <w:outlineLvl w:val="1"/>
            </w:pPr>
            <w:r w:rsidRPr="000F3DCF">
              <w:rPr>
                <w:b/>
              </w:rPr>
              <w:t>Unit Reactive Limit (URL)</w:t>
            </w:r>
          </w:p>
          <w:p w14:paraId="10DC0220" w14:textId="6879DFC5" w:rsidR="000F3DCF" w:rsidRPr="000F3DCF" w:rsidRDefault="000F3DCF" w:rsidP="000F3DCF">
            <w:pPr>
              <w:spacing w:after="240"/>
              <w:rPr>
                <w:szCs w:val="24"/>
              </w:rPr>
            </w:pPr>
            <w:r w:rsidRPr="000F3DCF">
              <w:rPr>
                <w:szCs w:val="24"/>
              </w:rPr>
              <w:t xml:space="preserve">The maximum quantity of Reactive Power that a Generation Resource or Energy Storage Resource (ESR) </w:t>
            </w:r>
            <w:proofErr w:type="gramStart"/>
            <w:r w:rsidRPr="000F3DCF">
              <w:rPr>
                <w:szCs w:val="24"/>
              </w:rPr>
              <w:t>is capable of providing</w:t>
            </w:r>
            <w:proofErr w:type="gramEnd"/>
            <w:r w:rsidRPr="000F3DCF">
              <w:rPr>
                <w:szCs w:val="24"/>
              </w:rPr>
              <w:t xml:space="preserve"> at a 0.95 power factor at its maximum real power capability.</w:t>
            </w:r>
          </w:p>
        </w:tc>
      </w:tr>
    </w:tbl>
    <w:p w14:paraId="181271B2" w14:textId="77777777" w:rsidR="00552DF8" w:rsidRPr="00552DF8" w:rsidRDefault="00552DF8" w:rsidP="006E7FD5">
      <w:pPr>
        <w:pStyle w:val="BodyTextNumbered"/>
        <w:spacing w:before="480"/>
        <w:rPr>
          <w:b/>
          <w:iCs w:val="0"/>
        </w:rPr>
      </w:pPr>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t>Updated Desired Base Point</w:t>
      </w:r>
      <w:bookmarkEnd w:id="1036"/>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9"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37"/>
      <w:bookmarkEnd w:id="1038"/>
      <w:bookmarkEnd w:id="1039"/>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5"/>
    <w:p w14:paraId="2421C9E7" w14:textId="77777777" w:rsidR="005D1947" w:rsidRDefault="00A442A0">
      <w:pPr>
        <w:pStyle w:val="BodyText"/>
        <w:keepNext/>
        <w:rPr>
          <w:b/>
          <w:sz w:val="40"/>
          <w:szCs w:val="40"/>
        </w:rPr>
      </w:pPr>
      <w:r>
        <w:rPr>
          <w:b/>
          <w:sz w:val="40"/>
          <w:szCs w:val="40"/>
        </w:rPr>
        <w:t>V</w:t>
      </w:r>
      <w:bookmarkStart w:id="1040" w:name="V"/>
      <w:bookmarkEnd w:id="1040"/>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41" w:name="_Toc80425818"/>
      <w:bookmarkStart w:id="1042" w:name="_Toc118224645"/>
      <w:bookmarkStart w:id="1043" w:name="_Toc118909713"/>
      <w:bookmarkStart w:id="1044" w:name="_Toc205190560"/>
      <w:r w:rsidRPr="004222A1">
        <w:rPr>
          <w:b/>
        </w:rPr>
        <w:t>Verbal Dispatch Instruction (VDI)</w:t>
      </w:r>
      <w:bookmarkEnd w:id="1041"/>
      <w:bookmarkEnd w:id="1042"/>
      <w:bookmarkEnd w:id="1043"/>
      <w:bookmarkEnd w:id="1044"/>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5" w:name="_Toc205190561"/>
      <w:bookmarkStart w:id="1046" w:name="_Toc73848017"/>
      <w:bookmarkStart w:id="1047" w:name="_Toc118224646"/>
      <w:bookmarkStart w:id="1048" w:name="_Toc118909714"/>
      <w:r w:rsidRPr="004222A1">
        <w:rPr>
          <w:b/>
        </w:rPr>
        <w:t>Voltage Profile</w:t>
      </w:r>
      <w:bookmarkEnd w:id="1045"/>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9"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6"/>
      <w:bookmarkEnd w:id="1047"/>
      <w:bookmarkEnd w:id="1048"/>
      <w:bookmarkEnd w:id="1049"/>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50" w:name="W"/>
      <w:bookmarkEnd w:id="1050"/>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51" w:name="_Toc73848019"/>
      <w:bookmarkStart w:id="1052" w:name="_Toc118224647"/>
      <w:bookmarkStart w:id="1053" w:name="_Toc118909715"/>
      <w:bookmarkStart w:id="1054"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lastRenderedPageBreak/>
        <w:t>Weather Zone</w:t>
      </w:r>
      <w:bookmarkEnd w:id="1051"/>
      <w:bookmarkEnd w:id="1052"/>
      <w:bookmarkEnd w:id="1053"/>
      <w:bookmarkEnd w:id="1054"/>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5" w:name="_Toc73848020"/>
      <w:bookmarkStart w:id="1056" w:name="_Toc80425825"/>
      <w:bookmarkStart w:id="1057" w:name="_Toc118224648"/>
      <w:bookmarkStart w:id="1058" w:name="_Toc118909716"/>
      <w:bookmarkStart w:id="1059" w:name="_Toc205190564"/>
      <w:r w:rsidRPr="004222A1">
        <w:rPr>
          <w:b/>
        </w:rPr>
        <w:t>Wholesale Customer</w:t>
      </w:r>
      <w:bookmarkEnd w:id="1055"/>
      <w:bookmarkEnd w:id="1056"/>
      <w:bookmarkEnd w:id="1057"/>
      <w:bookmarkEnd w:id="1058"/>
      <w:bookmarkEnd w:id="1059"/>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60"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61"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61"/>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60"/>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62" w:name="_Toc205190566"/>
      <w:r w:rsidRPr="004222A1">
        <w:rPr>
          <w:b/>
        </w:rPr>
        <w:lastRenderedPageBreak/>
        <w:t>Wind-powered Generation Resource Production Potential (WGRPP)</w:t>
      </w:r>
      <w:bookmarkEnd w:id="1062"/>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3" w:name="X"/>
      <w:bookmarkEnd w:id="1063"/>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64" w:name="Y"/>
      <w:bookmarkEnd w:id="1064"/>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65" w:name="_ACRONYMS_AND_ABBREVIATIONS"/>
      <w:bookmarkStart w:id="1066" w:name="_Toc118224650"/>
      <w:bookmarkStart w:id="1067" w:name="_Toc118909718"/>
      <w:bookmarkStart w:id="1068" w:name="_Toc205190567"/>
      <w:bookmarkEnd w:id="1065"/>
      <w:r>
        <w:t>2.2</w:t>
      </w:r>
      <w:r>
        <w:tab/>
      </w:r>
      <w:r w:rsidR="00A442A0">
        <w:t>ACRONYMS AND ABBREVIATIONS</w:t>
      </w:r>
      <w:bookmarkEnd w:id="1066"/>
      <w:bookmarkEnd w:id="1067"/>
      <w:bookmarkEnd w:id="1068"/>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6E7FD5">
      <w:pPr>
        <w:pStyle w:val="Acronym"/>
        <w:tabs>
          <w:tab w:val="clear" w:pos="1440"/>
          <w:tab w:val="left" w:pos="2160"/>
        </w:tabs>
        <w:spacing w:after="240"/>
      </w:pPr>
      <w:r w:rsidRPr="00B4380F">
        <w:rPr>
          <w:b/>
        </w:rPr>
        <w:t>ARR</w:t>
      </w:r>
      <w:r>
        <w:tab/>
        <w:t xml:space="preserve">Adjusted </w:t>
      </w:r>
      <w:r w:rsidR="0058795B">
        <w:t>S</w:t>
      </w:r>
      <w:r>
        <w:t>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0503C4C" w14:textId="77777777" w:rsidTr="00A668F8">
        <w:trPr>
          <w:trHeight w:val="476"/>
        </w:trPr>
        <w:tc>
          <w:tcPr>
            <w:tcW w:w="9350" w:type="dxa"/>
            <w:shd w:val="clear" w:color="auto" w:fill="E0E0E0"/>
          </w:tcPr>
          <w:p w14:paraId="0B8249A7" w14:textId="70E484E1" w:rsidR="00225ED5" w:rsidRPr="00975A01" w:rsidRDefault="00225ED5" w:rsidP="00A668F8">
            <w:pPr>
              <w:pStyle w:val="Instructions"/>
              <w:spacing w:before="120"/>
              <w:rPr>
                <w:lang w:val="en-US" w:eastAsia="en-US"/>
              </w:rPr>
            </w:pPr>
            <w:r>
              <w:rPr>
                <w:lang w:val="en-US" w:eastAsia="en-US"/>
              </w:rPr>
              <w:lastRenderedPageBreak/>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ARR”</w:t>
            </w:r>
            <w:r w:rsidRPr="00625E9F">
              <w:rPr>
                <w:lang w:val="en-US" w:eastAsia="en-US"/>
              </w:rPr>
              <w:t xml:space="preserve"> </w:t>
            </w:r>
            <w:r>
              <w:rPr>
                <w:lang w:val="en-US" w:eastAsia="en-US"/>
              </w:rPr>
              <w:t>above on September 1, 2025.</w:t>
            </w:r>
            <w:r w:rsidRPr="00625E9F">
              <w:rPr>
                <w:lang w:val="en-US" w:eastAsia="en-US"/>
              </w:rPr>
              <w:t>]</w:t>
            </w:r>
          </w:p>
        </w:tc>
      </w:tr>
    </w:tbl>
    <w:p w14:paraId="40472D2B" w14:textId="77777777" w:rsidR="00303344" w:rsidRPr="00745E79" w:rsidRDefault="00303344" w:rsidP="006E7FD5">
      <w:pPr>
        <w:tabs>
          <w:tab w:val="left" w:pos="2160"/>
        </w:tabs>
        <w:spacing w:before="240"/>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lastRenderedPageBreak/>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lastRenderedPageBreak/>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6E7FD5">
      <w:pPr>
        <w:pStyle w:val="Acronym"/>
        <w:tabs>
          <w:tab w:val="clear" w:pos="1440"/>
          <w:tab w:val="left" w:pos="2160"/>
        </w:tabs>
        <w:spacing w:before="240" w:after="240"/>
      </w:pPr>
      <w:r w:rsidRPr="00B4380F">
        <w:rPr>
          <w:b/>
        </w:rPr>
        <w:t>F</w:t>
      </w:r>
      <w:r>
        <w:rPr>
          <w:b/>
        </w:rPr>
        <w:t>S</w:t>
      </w:r>
      <w:r w:rsidRPr="00B4380F">
        <w:rPr>
          <w:b/>
        </w:rPr>
        <w:t>RR</w:t>
      </w:r>
      <w:r>
        <w:tab/>
        <w:t>Final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107F06B" w14:textId="77777777" w:rsidTr="00A668F8">
        <w:trPr>
          <w:trHeight w:val="476"/>
        </w:trPr>
        <w:tc>
          <w:tcPr>
            <w:tcW w:w="9350" w:type="dxa"/>
            <w:shd w:val="clear" w:color="auto" w:fill="E0E0E0"/>
          </w:tcPr>
          <w:p w14:paraId="63933292" w14:textId="0B12CD37"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FSRR”</w:t>
            </w:r>
            <w:r w:rsidRPr="00625E9F">
              <w:rPr>
                <w:lang w:val="en-US" w:eastAsia="en-US"/>
              </w:rPr>
              <w:t xml:space="preserve"> </w:t>
            </w:r>
            <w:r>
              <w:rPr>
                <w:lang w:val="en-US" w:eastAsia="en-US"/>
              </w:rPr>
              <w:t>above on September 1, 2025.</w:t>
            </w:r>
            <w:r w:rsidRPr="00625E9F">
              <w:rPr>
                <w:lang w:val="en-US" w:eastAsia="en-US"/>
              </w:rPr>
              <w:t>]</w:t>
            </w:r>
          </w:p>
        </w:tc>
      </w:tr>
    </w:tbl>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lastRenderedPageBreak/>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lastRenderedPageBreak/>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lastRenderedPageBreak/>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6E7FD5">
      <w:pPr>
        <w:tabs>
          <w:tab w:val="left" w:pos="2160"/>
        </w:tabs>
        <w:spacing w:after="240"/>
      </w:pPr>
      <w:r w:rsidRPr="0058795B">
        <w:rPr>
          <w:b/>
          <w:bCs/>
        </w:rPr>
        <w:t>SREC</w:t>
      </w:r>
      <w:r>
        <w:tab/>
        <w:t>Solar Renewable Energy Credit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2D42D9A" w14:textId="77777777" w:rsidTr="00A668F8">
        <w:trPr>
          <w:trHeight w:val="476"/>
        </w:trPr>
        <w:tc>
          <w:tcPr>
            <w:tcW w:w="9350" w:type="dxa"/>
            <w:shd w:val="clear" w:color="auto" w:fill="E0E0E0"/>
          </w:tcPr>
          <w:p w14:paraId="6863AC41" w14:textId="6154F115"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SREC”</w:t>
            </w:r>
            <w:r w:rsidRPr="00625E9F">
              <w:rPr>
                <w:lang w:val="en-US" w:eastAsia="en-US"/>
              </w:rPr>
              <w:t xml:space="preserve"> </w:t>
            </w:r>
            <w:r>
              <w:rPr>
                <w:lang w:val="en-US" w:eastAsia="en-US"/>
              </w:rPr>
              <w:t>above on September 1, 2025.</w:t>
            </w:r>
            <w:r w:rsidRPr="00625E9F">
              <w:rPr>
                <w:lang w:val="en-US" w:eastAsia="en-US"/>
              </w:rPr>
              <w:t>]</w:t>
            </w:r>
          </w:p>
        </w:tc>
      </w:tr>
    </w:tbl>
    <w:p w14:paraId="075A4E8F" w14:textId="626E59EB" w:rsidR="0058795B" w:rsidRDefault="0058795B" w:rsidP="006E7FD5">
      <w:pPr>
        <w:tabs>
          <w:tab w:val="left" w:pos="2160"/>
        </w:tabs>
        <w:spacing w:before="240" w:after="240"/>
      </w:pPr>
      <w:r>
        <w:rPr>
          <w:b/>
        </w:rPr>
        <w:t>SRPS</w:t>
      </w:r>
      <w:r>
        <w:tab/>
        <w:t>Solar Renewable Portfolio Standard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0C0711F" w14:textId="77777777" w:rsidTr="00A668F8">
        <w:trPr>
          <w:trHeight w:val="476"/>
        </w:trPr>
        <w:tc>
          <w:tcPr>
            <w:tcW w:w="9350" w:type="dxa"/>
            <w:shd w:val="clear" w:color="auto" w:fill="E0E0E0"/>
          </w:tcPr>
          <w:p w14:paraId="32A0754A" w14:textId="076316D6" w:rsidR="00225ED5" w:rsidRPr="00975A01" w:rsidRDefault="00225ED5" w:rsidP="00A668F8">
            <w:pPr>
              <w:pStyle w:val="Instructions"/>
              <w:spacing w:before="120"/>
              <w:rPr>
                <w:lang w:val="en-US" w:eastAsia="en-US"/>
              </w:rPr>
            </w:pPr>
            <w:r>
              <w:rPr>
                <w:lang w:val="en-US" w:eastAsia="en-US"/>
              </w:rPr>
              <w:lastRenderedPageBreak/>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SRPS”</w:t>
            </w:r>
            <w:r w:rsidRPr="00625E9F">
              <w:rPr>
                <w:lang w:val="en-US" w:eastAsia="en-US"/>
              </w:rPr>
              <w:t xml:space="preserve"> </w:t>
            </w:r>
            <w:r>
              <w:rPr>
                <w:lang w:val="en-US" w:eastAsia="en-US"/>
              </w:rPr>
              <w:t>above on September 1, 2025.</w:t>
            </w:r>
            <w:r w:rsidRPr="00625E9F">
              <w:rPr>
                <w:lang w:val="en-US" w:eastAsia="en-US"/>
              </w:rPr>
              <w:t>]</w:t>
            </w:r>
          </w:p>
        </w:tc>
      </w:tr>
    </w:tbl>
    <w:p w14:paraId="4E815607" w14:textId="77777777" w:rsidR="004908FA" w:rsidRPr="004908FA" w:rsidRDefault="004908FA" w:rsidP="006E7FD5">
      <w:pPr>
        <w:tabs>
          <w:tab w:val="left" w:pos="2160"/>
        </w:tabs>
        <w:spacing w:before="240"/>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6E7FD5">
      <w:pPr>
        <w:tabs>
          <w:tab w:val="left" w:pos="2160"/>
        </w:tabs>
        <w:spacing w:after="240"/>
      </w:pPr>
      <w:r w:rsidRPr="00B4380F">
        <w:rPr>
          <w:b/>
        </w:rPr>
        <w:t>S</w:t>
      </w:r>
      <w:r>
        <w:rPr>
          <w:b/>
        </w:rPr>
        <w:t>S</w:t>
      </w:r>
      <w:r w:rsidRPr="00B4380F">
        <w:rPr>
          <w:b/>
        </w:rPr>
        <w:t>RR</w:t>
      </w:r>
      <w:r>
        <w:tab/>
        <w:t>Statewide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4C51C287" w14:textId="77777777" w:rsidTr="00A668F8">
        <w:trPr>
          <w:trHeight w:val="476"/>
        </w:trPr>
        <w:tc>
          <w:tcPr>
            <w:tcW w:w="9350" w:type="dxa"/>
            <w:shd w:val="clear" w:color="auto" w:fill="E0E0E0"/>
          </w:tcPr>
          <w:p w14:paraId="71A1193A" w14:textId="60B11776"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SSRR”</w:t>
            </w:r>
            <w:r w:rsidRPr="00625E9F">
              <w:rPr>
                <w:lang w:val="en-US" w:eastAsia="en-US"/>
              </w:rPr>
              <w:t xml:space="preserve"> </w:t>
            </w:r>
            <w:r>
              <w:rPr>
                <w:lang w:val="en-US" w:eastAsia="en-US"/>
              </w:rPr>
              <w:t>above on September 1, 2025.</w:t>
            </w:r>
            <w:r w:rsidRPr="00625E9F">
              <w:rPr>
                <w:lang w:val="en-US" w:eastAsia="en-US"/>
              </w:rPr>
              <w:t>]</w:t>
            </w:r>
          </w:p>
        </w:tc>
      </w:tr>
    </w:tbl>
    <w:p w14:paraId="3A9A2E71" w14:textId="77777777" w:rsidR="00831914" w:rsidRDefault="00831914" w:rsidP="006E7FD5">
      <w:pPr>
        <w:tabs>
          <w:tab w:val="left" w:pos="2160"/>
        </w:tabs>
        <w:spacing w:before="240"/>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 xml:space="preserve">Total ERCOT </w:t>
      </w:r>
      <w:proofErr w:type="spellStart"/>
      <w:r w:rsidRPr="0078079C">
        <w:t>PhotoVoltaic</w:t>
      </w:r>
      <w:proofErr w:type="spellEnd"/>
      <w:r w:rsidRPr="0078079C">
        <w:t xml:space="preserve">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lastRenderedPageBreak/>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427F963D" w:rsidR="003109F8" w:rsidRPr="00F909A2" w:rsidRDefault="003109F8">
    <w:pPr>
      <w:pStyle w:val="Footer"/>
      <w:tabs>
        <w:tab w:val="clear" w:pos="4680"/>
      </w:tabs>
      <w:spacing w:before="0" w:after="0"/>
    </w:pPr>
    <w:r w:rsidRPr="00F909A2">
      <w:t>ERCOT Nodal Protocols –</w:t>
    </w:r>
    <w:r w:rsidR="007A6E43">
      <w:t xml:space="preserve"> </w:t>
    </w:r>
    <w:r w:rsidR="00314ECE">
      <w:t>April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3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1F3"/>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3A97"/>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315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132</Pages>
  <Words>33811</Words>
  <Characters>200098</Characters>
  <Application>Microsoft Office Word</Application>
  <DocSecurity>0</DocSecurity>
  <Lines>1667</Lines>
  <Paragraphs>466</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233443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Joint Sponsors</cp:lastModifiedBy>
  <cp:revision>2</cp:revision>
  <cp:lastPrinted>2006-04-19T19:09:00Z</cp:lastPrinted>
  <dcterms:created xsi:type="dcterms:W3CDTF">2025-03-27T20:37:00Z</dcterms:created>
  <dcterms:modified xsi:type="dcterms:W3CDTF">2025-03-27T20:37:00Z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