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5C19530" w14:textId="77777777">
        <w:tc>
          <w:tcPr>
            <w:tcW w:w="1620" w:type="dxa"/>
            <w:tcBorders>
              <w:bottom w:val="single" w:sz="4" w:space="0" w:color="auto"/>
            </w:tcBorders>
            <w:shd w:val="clear" w:color="auto" w:fill="FFFFFF"/>
            <w:vAlign w:val="center"/>
          </w:tcPr>
          <w:p w14:paraId="7FB2AF43" w14:textId="77777777" w:rsidR="00152993" w:rsidRDefault="00EE6681" w:rsidP="009747A2">
            <w:pPr>
              <w:pStyle w:val="Header"/>
              <w:spacing w:before="120" w:after="120"/>
              <w:rPr>
                <w:rFonts w:ascii="Verdana" w:hAnsi="Verdana"/>
                <w:sz w:val="22"/>
              </w:rPr>
            </w:pPr>
            <w:r>
              <w:t>N</w:t>
            </w:r>
            <w:r w:rsidR="00152993">
              <w:t>PRR Number</w:t>
            </w:r>
          </w:p>
        </w:tc>
        <w:tc>
          <w:tcPr>
            <w:tcW w:w="1260" w:type="dxa"/>
            <w:tcBorders>
              <w:bottom w:val="single" w:sz="4" w:space="0" w:color="auto"/>
            </w:tcBorders>
            <w:vAlign w:val="center"/>
          </w:tcPr>
          <w:p w14:paraId="04FA875E" w14:textId="2A80E3EF" w:rsidR="00152993" w:rsidRDefault="009747A2" w:rsidP="009747A2">
            <w:pPr>
              <w:pStyle w:val="Header"/>
              <w:spacing w:before="120" w:after="120"/>
              <w:jc w:val="center"/>
            </w:pPr>
            <w:hyperlink r:id="rId7" w:history="1">
              <w:r w:rsidRPr="008571AB">
                <w:rPr>
                  <w:rStyle w:val="Hyperlink"/>
                </w:rPr>
                <w:t>1266</w:t>
              </w:r>
            </w:hyperlink>
          </w:p>
        </w:tc>
        <w:tc>
          <w:tcPr>
            <w:tcW w:w="900" w:type="dxa"/>
            <w:tcBorders>
              <w:bottom w:val="single" w:sz="4" w:space="0" w:color="auto"/>
            </w:tcBorders>
            <w:shd w:val="clear" w:color="auto" w:fill="FFFFFF"/>
            <w:vAlign w:val="center"/>
          </w:tcPr>
          <w:p w14:paraId="1A27D587" w14:textId="77777777" w:rsidR="00152993" w:rsidRDefault="00EE6681" w:rsidP="009747A2">
            <w:pPr>
              <w:pStyle w:val="Header"/>
              <w:spacing w:before="120" w:after="120"/>
            </w:pPr>
            <w:r>
              <w:t>N</w:t>
            </w:r>
            <w:r w:rsidR="00152993">
              <w:t>PRR Title</w:t>
            </w:r>
          </w:p>
        </w:tc>
        <w:tc>
          <w:tcPr>
            <w:tcW w:w="6660" w:type="dxa"/>
            <w:tcBorders>
              <w:bottom w:val="single" w:sz="4" w:space="0" w:color="auto"/>
            </w:tcBorders>
            <w:vAlign w:val="center"/>
          </w:tcPr>
          <w:p w14:paraId="05374E40" w14:textId="77777777" w:rsidR="00152993" w:rsidRDefault="002C6AD8" w:rsidP="009747A2">
            <w:pPr>
              <w:pStyle w:val="Header"/>
              <w:spacing w:before="120" w:after="120"/>
            </w:pPr>
            <w:r>
              <w:t>Opt-Out Status Held by a Transmission-Voltage Customer Cannot be Transferred</w:t>
            </w:r>
          </w:p>
        </w:tc>
      </w:tr>
      <w:tr w:rsidR="00152993" w14:paraId="5DEC7001" w14:textId="77777777">
        <w:trPr>
          <w:trHeight w:val="413"/>
        </w:trPr>
        <w:tc>
          <w:tcPr>
            <w:tcW w:w="2880" w:type="dxa"/>
            <w:gridSpan w:val="2"/>
            <w:tcBorders>
              <w:top w:val="nil"/>
              <w:left w:val="nil"/>
              <w:bottom w:val="single" w:sz="4" w:space="0" w:color="auto"/>
              <w:right w:val="nil"/>
            </w:tcBorders>
            <w:vAlign w:val="center"/>
          </w:tcPr>
          <w:p w14:paraId="5E85252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4EF5DC0" w14:textId="77777777" w:rsidR="00152993" w:rsidRDefault="00152993">
            <w:pPr>
              <w:pStyle w:val="NormalArial"/>
            </w:pPr>
          </w:p>
        </w:tc>
      </w:tr>
      <w:tr w:rsidR="00152993" w14:paraId="6C79429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91CDB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8E199C" w14:textId="299A56E7" w:rsidR="00152993" w:rsidRDefault="009747A2">
            <w:pPr>
              <w:pStyle w:val="NormalArial"/>
            </w:pPr>
            <w:r>
              <w:t>March 31, 2025</w:t>
            </w:r>
          </w:p>
        </w:tc>
      </w:tr>
      <w:tr w:rsidR="00152993" w14:paraId="3062FE07" w14:textId="77777777">
        <w:trPr>
          <w:trHeight w:val="467"/>
        </w:trPr>
        <w:tc>
          <w:tcPr>
            <w:tcW w:w="2880" w:type="dxa"/>
            <w:gridSpan w:val="2"/>
            <w:tcBorders>
              <w:top w:val="single" w:sz="4" w:space="0" w:color="auto"/>
              <w:left w:val="nil"/>
              <w:bottom w:val="nil"/>
              <w:right w:val="nil"/>
            </w:tcBorders>
            <w:shd w:val="clear" w:color="auto" w:fill="FFFFFF"/>
            <w:vAlign w:val="center"/>
          </w:tcPr>
          <w:p w14:paraId="02FDBC83" w14:textId="77777777" w:rsidR="00152993" w:rsidRDefault="00152993">
            <w:pPr>
              <w:pStyle w:val="NormalArial"/>
            </w:pPr>
          </w:p>
        </w:tc>
        <w:tc>
          <w:tcPr>
            <w:tcW w:w="7560" w:type="dxa"/>
            <w:gridSpan w:val="2"/>
            <w:tcBorders>
              <w:top w:val="nil"/>
              <w:left w:val="nil"/>
              <w:bottom w:val="nil"/>
              <w:right w:val="nil"/>
            </w:tcBorders>
            <w:vAlign w:val="center"/>
          </w:tcPr>
          <w:p w14:paraId="5B358CAF" w14:textId="77777777" w:rsidR="00152993" w:rsidRDefault="00152993">
            <w:pPr>
              <w:pStyle w:val="NormalArial"/>
            </w:pPr>
          </w:p>
        </w:tc>
      </w:tr>
      <w:tr w:rsidR="00152993" w14:paraId="136EEA14" w14:textId="77777777">
        <w:trPr>
          <w:trHeight w:val="440"/>
        </w:trPr>
        <w:tc>
          <w:tcPr>
            <w:tcW w:w="10440" w:type="dxa"/>
            <w:gridSpan w:val="4"/>
            <w:tcBorders>
              <w:top w:val="single" w:sz="4" w:space="0" w:color="auto"/>
            </w:tcBorders>
            <w:shd w:val="clear" w:color="auto" w:fill="FFFFFF"/>
            <w:vAlign w:val="center"/>
          </w:tcPr>
          <w:p w14:paraId="60B824F6" w14:textId="77777777" w:rsidR="00152993" w:rsidRDefault="00152993" w:rsidP="009747A2">
            <w:pPr>
              <w:pStyle w:val="Header"/>
              <w:spacing w:before="120" w:after="120"/>
              <w:jc w:val="center"/>
            </w:pPr>
            <w:r>
              <w:t>Submitter’s Information</w:t>
            </w:r>
          </w:p>
        </w:tc>
      </w:tr>
      <w:tr w:rsidR="00152993" w14:paraId="0D98AF2E" w14:textId="77777777">
        <w:trPr>
          <w:trHeight w:val="350"/>
        </w:trPr>
        <w:tc>
          <w:tcPr>
            <w:tcW w:w="2880" w:type="dxa"/>
            <w:gridSpan w:val="2"/>
            <w:shd w:val="clear" w:color="auto" w:fill="FFFFFF"/>
            <w:vAlign w:val="center"/>
          </w:tcPr>
          <w:p w14:paraId="2116CCA5" w14:textId="77777777" w:rsidR="00152993" w:rsidRPr="00EC55B3" w:rsidRDefault="00152993" w:rsidP="009747A2">
            <w:pPr>
              <w:pStyle w:val="Header"/>
              <w:spacing w:before="120" w:after="120"/>
            </w:pPr>
            <w:r w:rsidRPr="00EC55B3">
              <w:t>Name</w:t>
            </w:r>
          </w:p>
        </w:tc>
        <w:tc>
          <w:tcPr>
            <w:tcW w:w="7560" w:type="dxa"/>
            <w:gridSpan w:val="2"/>
            <w:vAlign w:val="center"/>
          </w:tcPr>
          <w:p w14:paraId="02B5A572" w14:textId="77777777" w:rsidR="00152993" w:rsidRDefault="002C6AD8" w:rsidP="009747A2">
            <w:pPr>
              <w:pStyle w:val="NormalArial"/>
              <w:spacing w:before="120" w:after="120"/>
            </w:pPr>
            <w:r>
              <w:t xml:space="preserve">Nabaraj Pokharel / Eric Goff </w:t>
            </w:r>
          </w:p>
        </w:tc>
      </w:tr>
      <w:tr w:rsidR="00152993" w14:paraId="7E20A85A" w14:textId="77777777">
        <w:trPr>
          <w:trHeight w:val="350"/>
        </w:trPr>
        <w:tc>
          <w:tcPr>
            <w:tcW w:w="2880" w:type="dxa"/>
            <w:gridSpan w:val="2"/>
            <w:shd w:val="clear" w:color="auto" w:fill="FFFFFF"/>
            <w:vAlign w:val="center"/>
          </w:tcPr>
          <w:p w14:paraId="358523FF" w14:textId="77777777" w:rsidR="00152993" w:rsidRPr="00EC55B3" w:rsidRDefault="00152993" w:rsidP="009747A2">
            <w:pPr>
              <w:pStyle w:val="Header"/>
              <w:spacing w:before="120" w:after="120"/>
            </w:pPr>
            <w:r w:rsidRPr="00EC55B3">
              <w:t>E-mail Address</w:t>
            </w:r>
          </w:p>
        </w:tc>
        <w:tc>
          <w:tcPr>
            <w:tcW w:w="7560" w:type="dxa"/>
            <w:gridSpan w:val="2"/>
            <w:vAlign w:val="center"/>
          </w:tcPr>
          <w:p w14:paraId="4FC2C587" w14:textId="77777777" w:rsidR="00152993" w:rsidRDefault="002C6AD8" w:rsidP="009747A2">
            <w:pPr>
              <w:pStyle w:val="NormalArial"/>
              <w:spacing w:before="120" w:after="120"/>
            </w:pPr>
            <w:hyperlink r:id="rId8" w:history="1">
              <w:r w:rsidRPr="00104336">
                <w:rPr>
                  <w:rStyle w:val="Hyperlink"/>
                </w:rPr>
                <w:t>nabaraj.pokharel@opuc.texas.gov</w:t>
              </w:r>
            </w:hyperlink>
            <w:r>
              <w:rPr>
                <w:rStyle w:val="Hyperlink"/>
              </w:rPr>
              <w:t xml:space="preserve"> / </w:t>
            </w:r>
            <w:hyperlink r:id="rId9" w:history="1">
              <w:r w:rsidRPr="00BF5ACC">
                <w:rPr>
                  <w:rStyle w:val="Hyperlink"/>
                </w:rPr>
                <w:t>eric@goffpolicy.com</w:t>
              </w:r>
            </w:hyperlink>
          </w:p>
        </w:tc>
      </w:tr>
      <w:tr w:rsidR="00152993" w14:paraId="0C883F94" w14:textId="77777777">
        <w:trPr>
          <w:trHeight w:val="350"/>
        </w:trPr>
        <w:tc>
          <w:tcPr>
            <w:tcW w:w="2880" w:type="dxa"/>
            <w:gridSpan w:val="2"/>
            <w:shd w:val="clear" w:color="auto" w:fill="FFFFFF"/>
            <w:vAlign w:val="center"/>
          </w:tcPr>
          <w:p w14:paraId="45E77C81" w14:textId="77777777" w:rsidR="00152993" w:rsidRPr="00EC55B3" w:rsidRDefault="00152993" w:rsidP="009747A2">
            <w:pPr>
              <w:pStyle w:val="Header"/>
              <w:spacing w:before="120" w:after="120"/>
            </w:pPr>
            <w:r w:rsidRPr="00EC55B3">
              <w:t>Company</w:t>
            </w:r>
          </w:p>
        </w:tc>
        <w:tc>
          <w:tcPr>
            <w:tcW w:w="7560" w:type="dxa"/>
            <w:gridSpan w:val="2"/>
            <w:vAlign w:val="center"/>
          </w:tcPr>
          <w:p w14:paraId="5CA04BC9" w14:textId="2A368E0E" w:rsidR="00152993" w:rsidRDefault="002C6AD8" w:rsidP="009747A2">
            <w:pPr>
              <w:pStyle w:val="NormalArial"/>
              <w:spacing w:before="120" w:after="120"/>
            </w:pPr>
            <w:r>
              <w:t>Office of Public Utility Counsel (OPUC)</w:t>
            </w:r>
            <w:r w:rsidR="008F478D">
              <w:t xml:space="preserve"> / Residential Consumer </w:t>
            </w:r>
            <w:r>
              <w:t>(“Joint Consumers”)</w:t>
            </w:r>
          </w:p>
        </w:tc>
      </w:tr>
      <w:tr w:rsidR="00152993" w14:paraId="2E8277C9" w14:textId="77777777">
        <w:trPr>
          <w:trHeight w:val="350"/>
        </w:trPr>
        <w:tc>
          <w:tcPr>
            <w:tcW w:w="2880" w:type="dxa"/>
            <w:gridSpan w:val="2"/>
            <w:tcBorders>
              <w:bottom w:val="single" w:sz="4" w:space="0" w:color="auto"/>
            </w:tcBorders>
            <w:shd w:val="clear" w:color="auto" w:fill="FFFFFF"/>
            <w:vAlign w:val="center"/>
          </w:tcPr>
          <w:p w14:paraId="61FBD745" w14:textId="77777777" w:rsidR="00152993" w:rsidRPr="00EC55B3" w:rsidRDefault="00152993" w:rsidP="009747A2">
            <w:pPr>
              <w:pStyle w:val="Header"/>
              <w:spacing w:before="120" w:after="120"/>
            </w:pPr>
            <w:r w:rsidRPr="00EC55B3">
              <w:t>Phone Number</w:t>
            </w:r>
          </w:p>
        </w:tc>
        <w:tc>
          <w:tcPr>
            <w:tcW w:w="7560" w:type="dxa"/>
            <w:gridSpan w:val="2"/>
            <w:tcBorders>
              <w:bottom w:val="single" w:sz="4" w:space="0" w:color="auto"/>
            </w:tcBorders>
            <w:vAlign w:val="center"/>
          </w:tcPr>
          <w:p w14:paraId="157E6F59" w14:textId="77777777" w:rsidR="00152993" w:rsidRDefault="00152993" w:rsidP="009747A2">
            <w:pPr>
              <w:pStyle w:val="NormalArial"/>
              <w:spacing w:before="120" w:after="120"/>
            </w:pPr>
          </w:p>
        </w:tc>
      </w:tr>
      <w:tr w:rsidR="002C6AD8" w14:paraId="6D288CA3" w14:textId="77777777">
        <w:trPr>
          <w:trHeight w:val="350"/>
        </w:trPr>
        <w:tc>
          <w:tcPr>
            <w:tcW w:w="2880" w:type="dxa"/>
            <w:gridSpan w:val="2"/>
            <w:shd w:val="clear" w:color="auto" w:fill="FFFFFF"/>
            <w:vAlign w:val="center"/>
          </w:tcPr>
          <w:p w14:paraId="5E3A1450" w14:textId="77777777" w:rsidR="002C6AD8" w:rsidRPr="00EC55B3" w:rsidRDefault="002C6AD8" w:rsidP="009747A2">
            <w:pPr>
              <w:pStyle w:val="Header"/>
              <w:spacing w:before="120" w:after="120"/>
            </w:pPr>
            <w:r>
              <w:t>Cell</w:t>
            </w:r>
            <w:r w:rsidRPr="00EC55B3">
              <w:t xml:space="preserve"> Number</w:t>
            </w:r>
          </w:p>
        </w:tc>
        <w:tc>
          <w:tcPr>
            <w:tcW w:w="7560" w:type="dxa"/>
            <w:gridSpan w:val="2"/>
            <w:vAlign w:val="center"/>
          </w:tcPr>
          <w:p w14:paraId="752A2709" w14:textId="77777777" w:rsidR="002C6AD8" w:rsidRDefault="002C6AD8" w:rsidP="009747A2">
            <w:pPr>
              <w:pStyle w:val="NormalArial"/>
              <w:spacing w:before="120" w:after="120"/>
            </w:pPr>
            <w:r>
              <w:t xml:space="preserve">512-825-7656 / 512-632-7013 </w:t>
            </w:r>
          </w:p>
        </w:tc>
      </w:tr>
      <w:tr w:rsidR="002C6AD8" w14:paraId="62B25FEF" w14:textId="77777777">
        <w:trPr>
          <w:trHeight w:val="350"/>
        </w:trPr>
        <w:tc>
          <w:tcPr>
            <w:tcW w:w="2880" w:type="dxa"/>
            <w:gridSpan w:val="2"/>
            <w:tcBorders>
              <w:bottom w:val="single" w:sz="4" w:space="0" w:color="auto"/>
            </w:tcBorders>
            <w:shd w:val="clear" w:color="auto" w:fill="FFFFFF"/>
            <w:vAlign w:val="center"/>
          </w:tcPr>
          <w:p w14:paraId="47A83988" w14:textId="77777777" w:rsidR="002C6AD8" w:rsidRPr="00EC55B3" w:rsidDel="00075A94" w:rsidRDefault="002C6AD8" w:rsidP="009747A2">
            <w:pPr>
              <w:pStyle w:val="Header"/>
              <w:spacing w:before="120" w:after="120"/>
            </w:pPr>
            <w:r>
              <w:t>Market Segment</w:t>
            </w:r>
          </w:p>
        </w:tc>
        <w:tc>
          <w:tcPr>
            <w:tcW w:w="7560" w:type="dxa"/>
            <w:gridSpan w:val="2"/>
            <w:tcBorders>
              <w:bottom w:val="single" w:sz="4" w:space="0" w:color="auto"/>
            </w:tcBorders>
            <w:vAlign w:val="center"/>
          </w:tcPr>
          <w:p w14:paraId="1BB3FB0A" w14:textId="77777777" w:rsidR="002C6AD8" w:rsidRDefault="002C6AD8" w:rsidP="009747A2">
            <w:pPr>
              <w:pStyle w:val="NormalArial"/>
              <w:spacing w:before="120" w:after="120"/>
            </w:pPr>
            <w:r>
              <w:t xml:space="preserve">OPUC/ Residential Consumer </w:t>
            </w:r>
          </w:p>
        </w:tc>
      </w:tr>
    </w:tbl>
    <w:p w14:paraId="473C4207" w14:textId="77777777" w:rsidR="00075A94" w:rsidRDefault="00075A94" w:rsidP="009747A2">
      <w:pPr>
        <w:pStyle w:val="NormalArial"/>
        <w:spacing w:before="120" w:after="120"/>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075A94" w:rsidRPr="00B5080A" w14:paraId="2AB745DC" w14:textId="77777777" w:rsidTr="009747A2">
        <w:trPr>
          <w:trHeight w:val="422"/>
          <w:jc w:val="center"/>
        </w:trPr>
        <w:tc>
          <w:tcPr>
            <w:tcW w:w="10525" w:type="dxa"/>
            <w:vAlign w:val="center"/>
          </w:tcPr>
          <w:p w14:paraId="6DBDF044" w14:textId="77777777" w:rsidR="00075A94" w:rsidRPr="00075A94" w:rsidRDefault="00075A94" w:rsidP="00B5080A">
            <w:pPr>
              <w:pStyle w:val="Header"/>
              <w:jc w:val="center"/>
            </w:pPr>
            <w:r w:rsidRPr="00075A94">
              <w:t>Comments</w:t>
            </w:r>
          </w:p>
        </w:tc>
      </w:tr>
    </w:tbl>
    <w:p w14:paraId="162D583F" w14:textId="4031F047" w:rsidR="002C6AD8" w:rsidRPr="009747A2" w:rsidRDefault="002C6AD8" w:rsidP="009747A2">
      <w:pPr>
        <w:pStyle w:val="NormalArial"/>
        <w:spacing w:before="120" w:after="120"/>
        <w:jc w:val="both"/>
        <w:rPr>
          <w:rFonts w:eastAsia="Arial" w:cs="Arial"/>
          <w:color w:val="000000"/>
        </w:rPr>
      </w:pPr>
      <w:r w:rsidRPr="009747A2">
        <w:rPr>
          <w:rFonts w:cs="Arial"/>
        </w:rPr>
        <w:t>The Office of Public Utility Counsel (</w:t>
      </w:r>
      <w:r w:rsidR="009D1DA0" w:rsidRPr="009747A2">
        <w:rPr>
          <w:rFonts w:cs="Arial"/>
        </w:rPr>
        <w:t>“</w:t>
      </w:r>
      <w:r w:rsidRPr="009747A2">
        <w:rPr>
          <w:rFonts w:cs="Arial"/>
        </w:rPr>
        <w:t>OPUC”) and Residential Consumer in the Technical Advisory Committee (TAC) collectively appreciate the Electric Reliability Council of Texas (ERCOT’s) efforts in developing</w:t>
      </w:r>
      <w:r w:rsidRPr="009747A2">
        <w:rPr>
          <w:rFonts w:eastAsia="Arial" w:cs="Arial"/>
          <w:color w:val="000000"/>
        </w:rPr>
        <w:t xml:space="preserve"> Nodal Protocol Revision Request (NPRR) 1266.</w:t>
      </w:r>
    </w:p>
    <w:p w14:paraId="649F1AB6" w14:textId="473B4C29" w:rsidR="00EE08BC" w:rsidRPr="009747A2" w:rsidRDefault="00F40494" w:rsidP="009747A2">
      <w:pPr>
        <w:pStyle w:val="NormalArial"/>
        <w:spacing w:before="120" w:after="120"/>
        <w:jc w:val="both"/>
        <w:rPr>
          <w:rFonts w:cs="Arial"/>
        </w:rPr>
      </w:pPr>
      <w:r w:rsidRPr="009747A2">
        <w:rPr>
          <w:rFonts w:eastAsia="Arial" w:cs="Arial"/>
          <w:color w:val="000000"/>
        </w:rPr>
        <w:t xml:space="preserve">On February 7, 2025, ERCOT filed a comment </w:t>
      </w:r>
      <w:r w:rsidRPr="009747A2">
        <w:rPr>
          <w:rFonts w:cs="Arial"/>
        </w:rPr>
        <w:t xml:space="preserve">which will allow for </w:t>
      </w:r>
      <w:r w:rsidR="00DF5A17" w:rsidRPr="009747A2">
        <w:rPr>
          <w:rFonts w:cs="Arial"/>
        </w:rPr>
        <w:t>C</w:t>
      </w:r>
      <w:r w:rsidRPr="009747A2">
        <w:rPr>
          <w:rFonts w:cs="Arial"/>
        </w:rPr>
        <w:t xml:space="preserve">ustomer notice and a process for removal in those cases where it seems that there has been a </w:t>
      </w:r>
      <w:r w:rsidR="00DF5A17" w:rsidRPr="009747A2">
        <w:rPr>
          <w:rFonts w:cs="Arial"/>
        </w:rPr>
        <w:t>C</w:t>
      </w:r>
      <w:r w:rsidRPr="009747A2">
        <w:rPr>
          <w:rFonts w:cs="Arial"/>
        </w:rPr>
        <w:t>ustomer change at the Electric Service Identifier (ESI ID) associated with a transmission-voltage Customer that is a Securitization Uplift Charge Opt-Out Entity.  ERCOT highlighted that the Public Utility Commission of Texas (PUCT) will make the final determination as to whether the Customer should be removed from the list of Opt-Out Customers. OPUC agrees with ERCOT’s statement</w:t>
      </w:r>
      <w:r w:rsidR="00C45DB0" w:rsidRPr="009747A2">
        <w:rPr>
          <w:rFonts w:cs="Arial"/>
        </w:rPr>
        <w:t xml:space="preserve"> and</w:t>
      </w:r>
      <w:r w:rsidR="00745FFF" w:rsidRPr="009747A2">
        <w:rPr>
          <w:rFonts w:cs="Arial"/>
        </w:rPr>
        <w:t xml:space="preserve"> agree</w:t>
      </w:r>
      <w:r w:rsidR="000807F3" w:rsidRPr="009747A2">
        <w:rPr>
          <w:rFonts w:cs="Arial"/>
        </w:rPr>
        <w:t>s</w:t>
      </w:r>
      <w:r w:rsidR="00745FFF" w:rsidRPr="009747A2">
        <w:rPr>
          <w:rFonts w:cs="Arial"/>
        </w:rPr>
        <w:t xml:space="preserve"> that Opt-Out should not be </w:t>
      </w:r>
      <w:r w:rsidR="000807F3" w:rsidRPr="009747A2">
        <w:rPr>
          <w:rFonts w:cs="Arial"/>
        </w:rPr>
        <w:t>transferable</w:t>
      </w:r>
      <w:r w:rsidR="002D3111" w:rsidRPr="009747A2">
        <w:rPr>
          <w:rFonts w:cs="Arial"/>
        </w:rPr>
        <w:t>.</w:t>
      </w:r>
    </w:p>
    <w:p w14:paraId="46D0B04D" w14:textId="77777777" w:rsidR="002D3111" w:rsidRPr="009747A2" w:rsidRDefault="00EE08BC" w:rsidP="009747A2">
      <w:pPr>
        <w:pStyle w:val="NormalArial"/>
        <w:spacing w:before="120" w:after="120"/>
        <w:jc w:val="both"/>
        <w:rPr>
          <w:rFonts w:cs="Arial"/>
        </w:rPr>
      </w:pPr>
      <w:r w:rsidRPr="009747A2">
        <w:rPr>
          <w:rFonts w:cs="Arial"/>
        </w:rPr>
        <w:t>OPUC opposes the use of the CBCI file for any purpose that isn’t strictly necessary, and it isn’t clear that it is necessary for this NPRR.</w:t>
      </w:r>
      <w:r w:rsidR="000807F3" w:rsidRPr="009747A2">
        <w:rPr>
          <w:rFonts w:cs="Arial"/>
        </w:rPr>
        <w:t xml:space="preserve"> </w:t>
      </w:r>
    </w:p>
    <w:p w14:paraId="4F08614C" w14:textId="72F721D7" w:rsidR="00F40494" w:rsidRPr="009747A2" w:rsidRDefault="004953C1" w:rsidP="009747A2">
      <w:pPr>
        <w:pStyle w:val="NormalArial"/>
        <w:spacing w:before="120" w:after="120"/>
        <w:jc w:val="both"/>
        <w:rPr>
          <w:rFonts w:cs="Arial"/>
        </w:rPr>
      </w:pPr>
      <w:r w:rsidRPr="009747A2">
        <w:rPr>
          <w:rFonts w:cs="Arial"/>
        </w:rPr>
        <w:t>A</w:t>
      </w:r>
      <w:r w:rsidR="00C6015F" w:rsidRPr="009747A2">
        <w:rPr>
          <w:rFonts w:cs="Arial"/>
        </w:rPr>
        <w:t xml:space="preserve"> </w:t>
      </w:r>
      <w:r w:rsidR="00194766" w:rsidRPr="009747A2">
        <w:rPr>
          <w:rFonts w:cs="Arial"/>
        </w:rPr>
        <w:t>re</w:t>
      </w:r>
      <w:r w:rsidR="00C6015F" w:rsidRPr="009747A2">
        <w:rPr>
          <w:rFonts w:cs="Arial"/>
        </w:rPr>
        <w:t>new</w:t>
      </w:r>
      <w:r w:rsidR="00194766" w:rsidRPr="009747A2">
        <w:rPr>
          <w:rFonts w:cs="Arial"/>
        </w:rPr>
        <w:t>ed</w:t>
      </w:r>
      <w:r w:rsidR="00C6015F" w:rsidRPr="009747A2">
        <w:rPr>
          <w:rFonts w:cs="Arial"/>
        </w:rPr>
        <w:t xml:space="preserve"> effort focused on </w:t>
      </w:r>
      <w:r w:rsidR="00DF5A17" w:rsidRPr="009747A2">
        <w:rPr>
          <w:rFonts w:cs="Arial"/>
        </w:rPr>
        <w:t>C</w:t>
      </w:r>
      <w:r w:rsidR="00C6015F" w:rsidRPr="009747A2">
        <w:rPr>
          <w:rFonts w:cs="Arial"/>
        </w:rPr>
        <w:t xml:space="preserve">ustomer data </w:t>
      </w:r>
      <w:r w:rsidR="00EC4005" w:rsidRPr="009747A2">
        <w:rPr>
          <w:rFonts w:cs="Arial"/>
        </w:rPr>
        <w:t>security and</w:t>
      </w:r>
      <w:r w:rsidR="00AE0E8B" w:rsidRPr="009747A2">
        <w:rPr>
          <w:rFonts w:cs="Arial"/>
        </w:rPr>
        <w:t xml:space="preserve"> privacy protection is vital to ensure that personal data is not misused and does not fall into the wrong hands</w:t>
      </w:r>
      <w:r w:rsidR="00EC4005" w:rsidRPr="009747A2">
        <w:rPr>
          <w:rFonts w:cs="Arial"/>
        </w:rPr>
        <w:t xml:space="preserve">. </w:t>
      </w:r>
      <w:r w:rsidR="00C6015F" w:rsidRPr="009747A2">
        <w:rPr>
          <w:rFonts w:cs="Arial"/>
        </w:rPr>
        <w:t>I</w:t>
      </w:r>
      <w:r w:rsidR="002D3111" w:rsidRPr="009747A2">
        <w:rPr>
          <w:rFonts w:cs="Arial"/>
        </w:rPr>
        <w:t xml:space="preserve">ncreasing uses of </w:t>
      </w:r>
      <w:r w:rsidR="00DF5A17" w:rsidRPr="009747A2">
        <w:rPr>
          <w:rFonts w:cs="Arial"/>
        </w:rPr>
        <w:t>C</w:t>
      </w:r>
      <w:r w:rsidR="002D3111" w:rsidRPr="009747A2">
        <w:rPr>
          <w:rFonts w:cs="Arial"/>
        </w:rPr>
        <w:t xml:space="preserve">ustomer data as contemplated by this NPRR and </w:t>
      </w:r>
      <w:r w:rsidR="00C6015F" w:rsidRPr="009747A2">
        <w:rPr>
          <w:rFonts w:cs="Arial"/>
        </w:rPr>
        <w:t xml:space="preserve">in other </w:t>
      </w:r>
      <w:r w:rsidR="00FD7150" w:rsidRPr="009747A2">
        <w:rPr>
          <w:rFonts w:cs="Arial"/>
        </w:rPr>
        <w:t>v</w:t>
      </w:r>
      <w:r w:rsidR="00C6015F" w:rsidRPr="009747A2">
        <w:rPr>
          <w:rFonts w:cs="Arial"/>
        </w:rPr>
        <w:t>enues</w:t>
      </w:r>
      <w:r w:rsidR="002D3111" w:rsidRPr="009747A2">
        <w:rPr>
          <w:rFonts w:cs="Arial"/>
        </w:rPr>
        <w:t xml:space="preserve"> gives us reason to call for further safeguards for </w:t>
      </w:r>
      <w:r w:rsidR="00DF5A17" w:rsidRPr="009747A2">
        <w:rPr>
          <w:rFonts w:cs="Arial"/>
        </w:rPr>
        <w:t>C</w:t>
      </w:r>
      <w:r w:rsidR="002D3111" w:rsidRPr="009747A2">
        <w:rPr>
          <w:rFonts w:cs="Arial"/>
        </w:rPr>
        <w:t xml:space="preserve">ustomer data </w:t>
      </w:r>
      <w:r w:rsidR="00FD7150" w:rsidRPr="009747A2">
        <w:rPr>
          <w:rFonts w:cs="Arial"/>
        </w:rPr>
        <w:t>so that it is</w:t>
      </w:r>
      <w:r w:rsidR="002D3111" w:rsidRPr="009747A2">
        <w:rPr>
          <w:rFonts w:cs="Arial"/>
        </w:rPr>
        <w:t xml:space="preserve"> not just </w:t>
      </w:r>
      <w:r w:rsidR="00C6015F" w:rsidRPr="009747A2">
        <w:rPr>
          <w:rFonts w:cs="Arial"/>
        </w:rPr>
        <w:t>kept</w:t>
      </w:r>
      <w:r w:rsidR="002D3111" w:rsidRPr="009747A2">
        <w:rPr>
          <w:rFonts w:cs="Arial"/>
        </w:rPr>
        <w:t xml:space="preserve"> </w:t>
      </w:r>
      <w:proofErr w:type="gramStart"/>
      <w:r w:rsidR="002D3111" w:rsidRPr="009747A2">
        <w:rPr>
          <w:rFonts w:cs="Arial"/>
        </w:rPr>
        <w:t>confidential, but</w:t>
      </w:r>
      <w:proofErr w:type="gramEnd"/>
      <w:r w:rsidR="002D3111" w:rsidRPr="009747A2">
        <w:rPr>
          <w:rFonts w:cs="Arial"/>
        </w:rPr>
        <w:t xml:space="preserve"> </w:t>
      </w:r>
      <w:r w:rsidR="00C6015F" w:rsidRPr="009747A2">
        <w:rPr>
          <w:rFonts w:cs="Arial"/>
        </w:rPr>
        <w:t>also</w:t>
      </w:r>
      <w:r w:rsidR="002D3111" w:rsidRPr="009747A2">
        <w:rPr>
          <w:rFonts w:cs="Arial"/>
        </w:rPr>
        <w:t xml:space="preserve"> </w:t>
      </w:r>
      <w:r w:rsidR="00C6015F" w:rsidRPr="009747A2">
        <w:rPr>
          <w:rFonts w:cs="Arial"/>
        </w:rPr>
        <w:t xml:space="preserve">using </w:t>
      </w:r>
      <w:r w:rsidR="002D3111" w:rsidRPr="009747A2">
        <w:rPr>
          <w:rFonts w:cs="Arial"/>
        </w:rPr>
        <w:t xml:space="preserve">security best practices. </w:t>
      </w:r>
    </w:p>
    <w:p w14:paraId="0F898CF5" w14:textId="2DF53C54" w:rsidR="00FD7150" w:rsidRPr="009747A2" w:rsidRDefault="00FD7150" w:rsidP="009747A2">
      <w:pPr>
        <w:pStyle w:val="NormalArial"/>
        <w:spacing w:before="120" w:after="120"/>
        <w:jc w:val="both"/>
        <w:rPr>
          <w:rFonts w:cs="Arial"/>
        </w:rPr>
      </w:pPr>
      <w:r w:rsidRPr="009747A2">
        <w:rPr>
          <w:rFonts w:cs="Arial"/>
        </w:rPr>
        <w:lastRenderedPageBreak/>
        <w:t xml:space="preserve">We appreciate that ERCOT, the </w:t>
      </w:r>
      <w:r w:rsidR="009D1DA0" w:rsidRPr="009747A2">
        <w:rPr>
          <w:rFonts w:cs="Arial"/>
        </w:rPr>
        <w:t>Transmission and Distribution Service Providers (</w:t>
      </w:r>
      <w:r w:rsidRPr="009747A2">
        <w:rPr>
          <w:rFonts w:cs="Arial"/>
        </w:rPr>
        <w:t>TDSPs</w:t>
      </w:r>
      <w:r w:rsidR="009D1DA0" w:rsidRPr="009747A2">
        <w:rPr>
          <w:rFonts w:cs="Arial"/>
        </w:rPr>
        <w:t>)</w:t>
      </w:r>
      <w:r w:rsidRPr="009747A2">
        <w:rPr>
          <w:rFonts w:cs="Arial"/>
        </w:rPr>
        <w:t xml:space="preserve">, and retailers already have extensive measures to protect Customer data in place today. </w:t>
      </w:r>
    </w:p>
    <w:p w14:paraId="08E9C32A" w14:textId="2F7945F2" w:rsidR="00BD7258" w:rsidRPr="009747A2" w:rsidRDefault="00C6015F" w:rsidP="009747A2">
      <w:pPr>
        <w:pStyle w:val="NormalArial"/>
        <w:spacing w:before="120" w:after="120"/>
        <w:jc w:val="both"/>
        <w:rPr>
          <w:rFonts w:cs="Arial"/>
        </w:rPr>
      </w:pPr>
      <w:r w:rsidRPr="009747A2">
        <w:rPr>
          <w:rFonts w:cs="Arial"/>
        </w:rPr>
        <w:t xml:space="preserve">Increasingly, digital records of </w:t>
      </w:r>
      <w:r w:rsidR="00FD7150" w:rsidRPr="009747A2">
        <w:rPr>
          <w:rFonts w:cs="Arial"/>
        </w:rPr>
        <w:t>C</w:t>
      </w:r>
      <w:r w:rsidRPr="009747A2">
        <w:rPr>
          <w:rFonts w:cs="Arial"/>
        </w:rPr>
        <w:t xml:space="preserve">ustomer data are the target not just of criminals, but also foreign hostile powers. As ERCOT, retailers, and utilities consider the </w:t>
      </w:r>
      <w:r w:rsidR="00DF5A17" w:rsidRPr="009747A2">
        <w:rPr>
          <w:rFonts w:cs="Arial"/>
        </w:rPr>
        <w:t>expansion of</w:t>
      </w:r>
      <w:r w:rsidRPr="009747A2">
        <w:rPr>
          <w:rFonts w:cs="Arial"/>
        </w:rPr>
        <w:t xml:space="preserve"> the </w:t>
      </w:r>
      <w:r w:rsidR="00BF40B9" w:rsidRPr="009747A2">
        <w:rPr>
          <w:rFonts w:cs="Arial"/>
        </w:rPr>
        <w:t xml:space="preserve">collection and transmittal of </w:t>
      </w:r>
      <w:r w:rsidR="00FD7150" w:rsidRPr="009747A2">
        <w:rPr>
          <w:rFonts w:cs="Arial"/>
        </w:rPr>
        <w:t>C</w:t>
      </w:r>
      <w:r w:rsidR="00BF40B9" w:rsidRPr="009747A2">
        <w:rPr>
          <w:rFonts w:cs="Arial"/>
        </w:rPr>
        <w:t>ustomer data</w:t>
      </w:r>
      <w:r w:rsidRPr="009747A2">
        <w:rPr>
          <w:rFonts w:cs="Arial"/>
        </w:rPr>
        <w:t>, n</w:t>
      </w:r>
      <w:r w:rsidR="00BF40B9" w:rsidRPr="009747A2">
        <w:rPr>
          <w:rFonts w:cs="Arial"/>
        </w:rPr>
        <w:t>ew opportunities for mishandling and misuse of that data</w:t>
      </w:r>
      <w:r w:rsidRPr="009747A2">
        <w:rPr>
          <w:rFonts w:cs="Arial"/>
        </w:rPr>
        <w:t xml:space="preserve"> may be inadvertently introduced.</w:t>
      </w:r>
      <w:r w:rsidR="00BF40B9" w:rsidRPr="009747A2">
        <w:rPr>
          <w:rFonts w:cs="Arial"/>
        </w:rPr>
        <w:t xml:space="preserve"> </w:t>
      </w:r>
      <w:r w:rsidR="000807F3" w:rsidRPr="009747A2">
        <w:rPr>
          <w:rFonts w:cs="Arial"/>
        </w:rPr>
        <w:t>OPUC</w:t>
      </w:r>
      <w:r w:rsidR="00F40494" w:rsidRPr="009747A2">
        <w:rPr>
          <w:rFonts w:cs="Arial"/>
        </w:rPr>
        <w:t xml:space="preserve">, therefore, </w:t>
      </w:r>
      <w:r w:rsidR="000807F3" w:rsidRPr="009747A2">
        <w:rPr>
          <w:rFonts w:cs="Arial"/>
        </w:rPr>
        <w:t xml:space="preserve">would like to ensure that </w:t>
      </w:r>
      <w:r w:rsidRPr="009747A2">
        <w:rPr>
          <w:rFonts w:cs="Arial"/>
        </w:rPr>
        <w:t>C</w:t>
      </w:r>
      <w:r w:rsidR="000807F3" w:rsidRPr="009747A2">
        <w:rPr>
          <w:rFonts w:cs="Arial"/>
        </w:rPr>
        <w:t>onsumer</w:t>
      </w:r>
      <w:r w:rsidRPr="009747A2">
        <w:rPr>
          <w:rFonts w:cs="Arial"/>
        </w:rPr>
        <w:t>s</w:t>
      </w:r>
      <w:r w:rsidR="000807F3" w:rsidRPr="009747A2">
        <w:rPr>
          <w:rFonts w:cs="Arial"/>
        </w:rPr>
        <w:t xml:space="preserve"> </w:t>
      </w:r>
      <w:r w:rsidRPr="009747A2">
        <w:rPr>
          <w:rFonts w:cs="Arial"/>
        </w:rPr>
        <w:t xml:space="preserve">are </w:t>
      </w:r>
      <w:r w:rsidR="00FD7150" w:rsidRPr="009747A2">
        <w:rPr>
          <w:rFonts w:cs="Arial"/>
        </w:rPr>
        <w:t xml:space="preserve">proactively protected.  </w:t>
      </w:r>
      <w:r w:rsidR="002D3111" w:rsidRPr="009747A2">
        <w:rPr>
          <w:rFonts w:cs="Arial"/>
        </w:rPr>
        <w:t xml:space="preserve">As such, we encourage the transfer of Customer data proposed by this NPRR be limited so that it is done only to the extent necessary to accomplish the specific purposes herein. </w:t>
      </w:r>
    </w:p>
    <w:p w14:paraId="0AF0D9EF" w14:textId="3AE1ED85" w:rsidR="002D3111" w:rsidRPr="009747A2" w:rsidRDefault="00FD7150" w:rsidP="009747A2">
      <w:pPr>
        <w:pStyle w:val="NormalArial"/>
        <w:spacing w:before="120" w:after="120"/>
        <w:jc w:val="both"/>
        <w:rPr>
          <w:rFonts w:cs="Arial"/>
        </w:rPr>
      </w:pPr>
      <w:r w:rsidRPr="009747A2">
        <w:rPr>
          <w:rFonts w:cs="Arial"/>
        </w:rPr>
        <w:t xml:space="preserve">More broadly, </w:t>
      </w:r>
      <w:r w:rsidR="002D3111" w:rsidRPr="009747A2">
        <w:rPr>
          <w:rFonts w:cs="Arial"/>
        </w:rPr>
        <w:t xml:space="preserve">OPUC encourages ERCOT staff </w:t>
      </w:r>
      <w:r w:rsidRPr="009747A2">
        <w:rPr>
          <w:rFonts w:cs="Arial"/>
        </w:rPr>
        <w:t xml:space="preserve">and the members of the Retail Market Subcommittee to evaluate and implement </w:t>
      </w:r>
      <w:r w:rsidR="002D3111" w:rsidRPr="009747A2">
        <w:rPr>
          <w:rFonts w:cs="Arial"/>
        </w:rPr>
        <w:t xml:space="preserve">best practices for protecting </w:t>
      </w:r>
      <w:r w:rsidR="00194766" w:rsidRPr="009747A2">
        <w:rPr>
          <w:rFonts w:cs="Arial"/>
        </w:rPr>
        <w:t>C</w:t>
      </w:r>
      <w:r w:rsidR="002D3111" w:rsidRPr="009747A2">
        <w:rPr>
          <w:rFonts w:cs="Arial"/>
        </w:rPr>
        <w:t xml:space="preserve">ustomer data, including, at least, limiting who may access the data, using best practices for encryption, routine purging of data that is no longer up to date instead of storing it, </w:t>
      </w:r>
      <w:r w:rsidRPr="009747A2">
        <w:rPr>
          <w:rFonts w:cs="Arial"/>
        </w:rPr>
        <w:t xml:space="preserve">and </w:t>
      </w:r>
      <w:r w:rsidR="002D3111" w:rsidRPr="009747A2">
        <w:rPr>
          <w:rFonts w:cs="Arial"/>
        </w:rPr>
        <w:t xml:space="preserve">routine audits of access, encryption, and other </w:t>
      </w:r>
      <w:r w:rsidRPr="009747A2">
        <w:rPr>
          <w:rFonts w:cs="Arial"/>
        </w:rPr>
        <w:t xml:space="preserve">security </w:t>
      </w:r>
      <w:r w:rsidR="002D3111" w:rsidRPr="009747A2">
        <w:rPr>
          <w:rFonts w:cs="Arial"/>
        </w:rPr>
        <w:t>measures.</w:t>
      </w:r>
      <w:r w:rsidRPr="009747A2">
        <w:rPr>
          <w:rFonts w:cs="Arial"/>
        </w:rPr>
        <w:t xml:space="preserve"> </w:t>
      </w:r>
    </w:p>
    <w:p w14:paraId="54E557BA" w14:textId="404FDA19" w:rsidR="002D3111" w:rsidRPr="009747A2" w:rsidRDefault="002D3111" w:rsidP="009747A2">
      <w:pPr>
        <w:pStyle w:val="NormalArial"/>
        <w:spacing w:before="120" w:after="120"/>
        <w:jc w:val="both"/>
        <w:rPr>
          <w:rFonts w:cs="Arial"/>
        </w:rPr>
      </w:pPr>
      <w:r w:rsidRPr="009747A2">
        <w:rPr>
          <w:rFonts w:cs="Arial"/>
        </w:rPr>
        <w:t xml:space="preserve">From a utility perspective, </w:t>
      </w:r>
      <w:r w:rsidR="00C6015F" w:rsidRPr="009747A2">
        <w:rPr>
          <w:rFonts w:cs="Arial"/>
        </w:rPr>
        <w:t>TDSPs should consider retain</w:t>
      </w:r>
      <w:r w:rsidR="00FD7150" w:rsidRPr="009747A2">
        <w:rPr>
          <w:rFonts w:cs="Arial"/>
        </w:rPr>
        <w:t>ing</w:t>
      </w:r>
      <w:r w:rsidR="00C6015F" w:rsidRPr="009747A2">
        <w:rPr>
          <w:rFonts w:cs="Arial"/>
        </w:rPr>
        <w:t xml:space="preserve"> data for no longer than is necessary to meet a specific need, since they are not in the business of </w:t>
      </w:r>
      <w:r w:rsidR="009D1DA0" w:rsidRPr="009747A2">
        <w:rPr>
          <w:rFonts w:cs="Arial"/>
        </w:rPr>
        <w:t>C</w:t>
      </w:r>
      <w:r w:rsidR="00C6015F" w:rsidRPr="009747A2">
        <w:rPr>
          <w:rFonts w:cs="Arial"/>
        </w:rPr>
        <w:t xml:space="preserve">ustomer interactions in the normal course of their business in Texas. </w:t>
      </w:r>
    </w:p>
    <w:p w14:paraId="7D63535B" w14:textId="21E09BBE" w:rsidR="00C6015F" w:rsidRPr="009747A2" w:rsidRDefault="00C6015F" w:rsidP="009747A2">
      <w:pPr>
        <w:pStyle w:val="NormalArial"/>
        <w:spacing w:before="120" w:after="120"/>
        <w:jc w:val="both"/>
        <w:rPr>
          <w:rFonts w:cs="Arial"/>
        </w:rPr>
      </w:pPr>
      <w:r w:rsidRPr="009747A2">
        <w:rPr>
          <w:rFonts w:cs="Arial"/>
        </w:rPr>
        <w:t xml:space="preserve">The Commission may want to consider additional rules (or at least the development of best practices) for </w:t>
      </w:r>
      <w:r w:rsidR="009D1DA0" w:rsidRPr="009747A2">
        <w:rPr>
          <w:rFonts w:cs="Arial"/>
        </w:rPr>
        <w:t>C</w:t>
      </w:r>
      <w:r w:rsidRPr="009747A2">
        <w:rPr>
          <w:rFonts w:cs="Arial"/>
        </w:rPr>
        <w:t>ustomer protection of data by retailers.</w:t>
      </w:r>
    </w:p>
    <w:p w14:paraId="77148D85" w14:textId="34D6B27A" w:rsidR="00BD7258" w:rsidRPr="009747A2" w:rsidRDefault="00FD7150" w:rsidP="009747A2">
      <w:pPr>
        <w:pStyle w:val="NormalArial"/>
        <w:spacing w:before="120" w:after="120"/>
        <w:jc w:val="both"/>
        <w:rPr>
          <w:rFonts w:cs="Arial"/>
        </w:rPr>
      </w:pPr>
      <w:r w:rsidRPr="009747A2">
        <w:rPr>
          <w:rFonts w:cs="Arial"/>
        </w:rPr>
        <w:t>A</w:t>
      </w:r>
      <w:r w:rsidR="00C6015F" w:rsidRPr="009747A2">
        <w:rPr>
          <w:rFonts w:cs="Arial"/>
        </w:rPr>
        <w:t xml:space="preserve"> fresh look at these matters may be warranted, and we request that the Retail Market Subcommittee and ERCOT Staff consider </w:t>
      </w:r>
      <w:r w:rsidR="009D1DA0" w:rsidRPr="009747A2">
        <w:rPr>
          <w:rFonts w:cs="Arial"/>
        </w:rPr>
        <w:t xml:space="preserve">taking them up for discussion.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9747A2" w14:paraId="34C70C2C" w14:textId="77777777" w:rsidTr="00B5080A">
        <w:trPr>
          <w:trHeight w:val="350"/>
        </w:trPr>
        <w:tc>
          <w:tcPr>
            <w:tcW w:w="10440" w:type="dxa"/>
            <w:tcBorders>
              <w:bottom w:val="single" w:sz="4" w:space="0" w:color="auto"/>
            </w:tcBorders>
            <w:shd w:val="clear" w:color="auto" w:fill="FFFFFF"/>
            <w:vAlign w:val="center"/>
          </w:tcPr>
          <w:p w14:paraId="6A861456" w14:textId="77777777" w:rsidR="00BD7258" w:rsidRPr="009747A2" w:rsidRDefault="00BD7258" w:rsidP="009747A2">
            <w:pPr>
              <w:pStyle w:val="Header"/>
              <w:spacing w:before="120" w:after="120"/>
              <w:jc w:val="center"/>
              <w:rPr>
                <w:rFonts w:cs="Arial"/>
              </w:rPr>
            </w:pPr>
            <w:r w:rsidRPr="009747A2">
              <w:rPr>
                <w:rFonts w:cs="Arial"/>
              </w:rPr>
              <w:t>Revised Cover Page Language</w:t>
            </w:r>
          </w:p>
        </w:tc>
      </w:tr>
    </w:tbl>
    <w:p w14:paraId="532AC129" w14:textId="25C2DB13" w:rsidR="00152993" w:rsidRPr="009747A2" w:rsidRDefault="009747A2" w:rsidP="009747A2">
      <w:pPr>
        <w:pStyle w:val="BodyText"/>
        <w:rPr>
          <w:rFonts w:ascii="Arial" w:hAnsi="Arial" w:cs="Arial"/>
        </w:rPr>
      </w:pPr>
      <w:r w:rsidRPr="009747A2">
        <w:rPr>
          <w:rFonts w:ascii="Arial" w:hAnsi="Arial" w:cs="Arial"/>
        </w:rPr>
        <w:t>None</w:t>
      </w:r>
    </w:p>
    <w:sectPr w:rsidR="00152993" w:rsidRPr="009747A2" w:rsidSect="0074209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C043" w14:textId="77777777" w:rsidR="000D2A83" w:rsidRDefault="000D2A83">
      <w:r>
        <w:separator/>
      </w:r>
    </w:p>
  </w:endnote>
  <w:endnote w:type="continuationSeparator" w:id="0">
    <w:p w14:paraId="01EABA3D" w14:textId="77777777" w:rsidR="000D2A83" w:rsidRDefault="000D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BE24" w14:textId="77777777" w:rsidR="009747A2" w:rsidRDefault="00974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5737" w14:textId="1013B5F6" w:rsidR="00EE6681" w:rsidRDefault="009747A2" w:rsidP="0074209E">
    <w:pPr>
      <w:pStyle w:val="Footer"/>
      <w:tabs>
        <w:tab w:val="clear" w:pos="4320"/>
        <w:tab w:val="clear" w:pos="8640"/>
        <w:tab w:val="right" w:pos="9360"/>
      </w:tabs>
      <w:rPr>
        <w:rFonts w:ascii="Arial" w:hAnsi="Arial"/>
        <w:sz w:val="18"/>
      </w:rPr>
    </w:pPr>
    <w:r>
      <w:rPr>
        <w:rFonts w:ascii="Arial" w:hAnsi="Arial"/>
        <w:sz w:val="18"/>
      </w:rPr>
      <w:t>1266NPRR-09 Joint Consumers Comments 033125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E7E9DB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A340" w14:textId="77777777" w:rsidR="009747A2" w:rsidRDefault="00974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A890" w14:textId="77777777" w:rsidR="000D2A83" w:rsidRDefault="000D2A83">
      <w:r>
        <w:separator/>
      </w:r>
    </w:p>
  </w:footnote>
  <w:footnote w:type="continuationSeparator" w:id="0">
    <w:p w14:paraId="12554372" w14:textId="77777777" w:rsidR="000D2A83" w:rsidRDefault="000D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A7EC" w14:textId="77777777" w:rsidR="009747A2" w:rsidRDefault="00974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5BB8" w14:textId="77777777" w:rsidR="00EE6681" w:rsidRDefault="00EE6681">
    <w:pPr>
      <w:pStyle w:val="Header"/>
      <w:jc w:val="center"/>
      <w:rPr>
        <w:sz w:val="32"/>
      </w:rPr>
    </w:pPr>
    <w:r>
      <w:rPr>
        <w:sz w:val="32"/>
      </w:rPr>
      <w:t>NPRR Comments</w:t>
    </w:r>
  </w:p>
  <w:p w14:paraId="0C8DA978" w14:textId="77777777" w:rsidR="00EE6681" w:rsidRDefault="00EE6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2CF3" w14:textId="77777777" w:rsidR="009747A2" w:rsidRDefault="00974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41547607">
    <w:abstractNumId w:val="0"/>
  </w:num>
  <w:num w:numId="2" w16cid:durableId="88880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807F3"/>
    <w:rsid w:val="000D2A83"/>
    <w:rsid w:val="00132855"/>
    <w:rsid w:val="00152993"/>
    <w:rsid w:val="00170297"/>
    <w:rsid w:val="00194766"/>
    <w:rsid w:val="001A227D"/>
    <w:rsid w:val="001E2032"/>
    <w:rsid w:val="00265E0E"/>
    <w:rsid w:val="002734BF"/>
    <w:rsid w:val="002C6AD8"/>
    <w:rsid w:val="002D3111"/>
    <w:rsid w:val="002D61B8"/>
    <w:rsid w:val="003010C0"/>
    <w:rsid w:val="00332A97"/>
    <w:rsid w:val="00350C00"/>
    <w:rsid w:val="003609DD"/>
    <w:rsid w:val="00366113"/>
    <w:rsid w:val="003C270C"/>
    <w:rsid w:val="003D0994"/>
    <w:rsid w:val="003D4AB2"/>
    <w:rsid w:val="00423824"/>
    <w:rsid w:val="0043567D"/>
    <w:rsid w:val="004953C1"/>
    <w:rsid w:val="004B7B90"/>
    <w:rsid w:val="004E2C19"/>
    <w:rsid w:val="00511D84"/>
    <w:rsid w:val="00581767"/>
    <w:rsid w:val="005D284C"/>
    <w:rsid w:val="00604512"/>
    <w:rsid w:val="00633E23"/>
    <w:rsid w:val="0063486E"/>
    <w:rsid w:val="00673B94"/>
    <w:rsid w:val="00680AC6"/>
    <w:rsid w:val="006835D8"/>
    <w:rsid w:val="006C316E"/>
    <w:rsid w:val="006D0F7C"/>
    <w:rsid w:val="007269C4"/>
    <w:rsid w:val="0074209E"/>
    <w:rsid w:val="00745FFF"/>
    <w:rsid w:val="007D2619"/>
    <w:rsid w:val="007F2CA8"/>
    <w:rsid w:val="007F7161"/>
    <w:rsid w:val="00855517"/>
    <w:rsid w:val="0085559E"/>
    <w:rsid w:val="00872679"/>
    <w:rsid w:val="00896B1B"/>
    <w:rsid w:val="008E559E"/>
    <w:rsid w:val="008F478D"/>
    <w:rsid w:val="00916080"/>
    <w:rsid w:val="00921A68"/>
    <w:rsid w:val="009747A2"/>
    <w:rsid w:val="009C0DFE"/>
    <w:rsid w:val="009C2CB7"/>
    <w:rsid w:val="009D1DA0"/>
    <w:rsid w:val="00A015C4"/>
    <w:rsid w:val="00A15172"/>
    <w:rsid w:val="00A32ADB"/>
    <w:rsid w:val="00AE0E8B"/>
    <w:rsid w:val="00B5080A"/>
    <w:rsid w:val="00B8783B"/>
    <w:rsid w:val="00B943AE"/>
    <w:rsid w:val="00BD7258"/>
    <w:rsid w:val="00BF40B9"/>
    <w:rsid w:val="00C0598D"/>
    <w:rsid w:val="00C11956"/>
    <w:rsid w:val="00C45DB0"/>
    <w:rsid w:val="00C6015F"/>
    <w:rsid w:val="00C602E5"/>
    <w:rsid w:val="00C748FD"/>
    <w:rsid w:val="00CA2217"/>
    <w:rsid w:val="00D3562E"/>
    <w:rsid w:val="00D4046E"/>
    <w:rsid w:val="00D4362F"/>
    <w:rsid w:val="00D5442D"/>
    <w:rsid w:val="00DD4739"/>
    <w:rsid w:val="00DE5F33"/>
    <w:rsid w:val="00DF5A17"/>
    <w:rsid w:val="00E07B54"/>
    <w:rsid w:val="00E11F78"/>
    <w:rsid w:val="00E621E1"/>
    <w:rsid w:val="00E72F59"/>
    <w:rsid w:val="00EC4005"/>
    <w:rsid w:val="00EC55B3"/>
    <w:rsid w:val="00EE08BC"/>
    <w:rsid w:val="00EE6681"/>
    <w:rsid w:val="00F40494"/>
    <w:rsid w:val="00F44335"/>
    <w:rsid w:val="00F96FB2"/>
    <w:rsid w:val="00FB51D8"/>
    <w:rsid w:val="00FD08E8"/>
    <w:rsid w:val="00FD7150"/>
    <w:rsid w:val="00FE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005CE"/>
  <w15:chartTrackingRefBased/>
  <w15:docId w15:val="{6D856C97-068E-482E-A418-C0217F03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C6AD8"/>
    <w:rPr>
      <w:color w:val="605E5C"/>
      <w:shd w:val="clear" w:color="auto" w:fill="E1DFDD"/>
    </w:rPr>
  </w:style>
  <w:style w:type="character" w:customStyle="1" w:styleId="NormalArialChar">
    <w:name w:val="Normal+Arial Char"/>
    <w:link w:val="NormalArial"/>
    <w:rsid w:val="002C6AD8"/>
    <w:rPr>
      <w:rFonts w:ascii="Arial" w:hAnsi="Arial"/>
      <w:sz w:val="24"/>
      <w:szCs w:val="24"/>
    </w:rPr>
  </w:style>
  <w:style w:type="paragraph" w:styleId="Revision">
    <w:name w:val="Revision"/>
    <w:hidden/>
    <w:uiPriority w:val="99"/>
    <w:semiHidden/>
    <w:rsid w:val="002D3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araj.pokharel@opuc.texa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rcot.com/mktrules/issues/NPRR126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c@goffpolic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3731</CharactersWithSpaces>
  <SharedDoc>false</SharedDoc>
  <HLinks>
    <vt:vector size="12" baseType="variant">
      <vt:variant>
        <vt:i4>5636196</vt:i4>
      </vt:variant>
      <vt:variant>
        <vt:i4>3</vt:i4>
      </vt:variant>
      <vt:variant>
        <vt:i4>0</vt:i4>
      </vt:variant>
      <vt:variant>
        <vt:i4>5</vt:i4>
      </vt:variant>
      <vt:variant>
        <vt:lpwstr>mailto:eric@goffpolicy.com</vt:lpwstr>
      </vt:variant>
      <vt:variant>
        <vt:lpwstr/>
      </vt:variant>
      <vt:variant>
        <vt:i4>5505133</vt:i4>
      </vt:variant>
      <vt:variant>
        <vt:i4>0</vt:i4>
      </vt:variant>
      <vt:variant>
        <vt:i4>0</vt:i4>
      </vt:variant>
      <vt:variant>
        <vt:i4>5</vt:i4>
      </vt:variant>
      <vt:variant>
        <vt:lpwstr>mailto:nabaraj.pokharel@opuc.texas.gov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2</cp:revision>
  <cp:lastPrinted>2001-06-20T16:28:00Z</cp:lastPrinted>
  <dcterms:created xsi:type="dcterms:W3CDTF">2025-03-31T16:10:00Z</dcterms:created>
  <dcterms:modified xsi:type="dcterms:W3CDTF">2025-03-31T16:10:00Z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2025-03-31T16:05:45Z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51086155-ec7d-4889-8392-6ee0c785ec92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