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9B3976E" w14:textId="77777777">
        <w:tc>
          <w:tcPr>
            <w:tcW w:w="1620" w:type="dxa"/>
            <w:tcBorders>
              <w:bottom w:val="single" w:sz="4" w:space="0" w:color="auto"/>
            </w:tcBorders>
            <w:shd w:val="clear" w:color="auto" w:fill="FFFFFF"/>
            <w:vAlign w:val="center"/>
          </w:tcPr>
          <w:p w14:paraId="249260A4"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E92360B" w14:textId="4DBF9D77" w:rsidR="00152993" w:rsidRDefault="00506923">
            <w:pPr>
              <w:pStyle w:val="Header"/>
            </w:pPr>
            <w:hyperlink r:id="rId11" w:history="1">
              <w:r w:rsidRPr="00C35D8A">
                <w:rPr>
                  <w:rStyle w:val="Hyperlink"/>
                </w:rPr>
                <w:t>1269</w:t>
              </w:r>
            </w:hyperlink>
          </w:p>
        </w:tc>
        <w:tc>
          <w:tcPr>
            <w:tcW w:w="900" w:type="dxa"/>
            <w:tcBorders>
              <w:bottom w:val="single" w:sz="4" w:space="0" w:color="auto"/>
            </w:tcBorders>
            <w:shd w:val="clear" w:color="auto" w:fill="FFFFFF"/>
            <w:vAlign w:val="center"/>
          </w:tcPr>
          <w:p w14:paraId="6A2FFBE4" w14:textId="77777777" w:rsidR="00152993" w:rsidRDefault="00EE6681">
            <w:pPr>
              <w:pStyle w:val="Header"/>
            </w:pPr>
            <w:r>
              <w:t>N</w:t>
            </w:r>
            <w:r w:rsidR="00152993">
              <w:t>PRR Title</w:t>
            </w:r>
          </w:p>
        </w:tc>
        <w:tc>
          <w:tcPr>
            <w:tcW w:w="6660" w:type="dxa"/>
            <w:tcBorders>
              <w:bottom w:val="single" w:sz="4" w:space="0" w:color="auto"/>
            </w:tcBorders>
            <w:vAlign w:val="center"/>
          </w:tcPr>
          <w:p w14:paraId="4DDF4700" w14:textId="77777777" w:rsidR="00152993" w:rsidRDefault="00506923">
            <w:pPr>
              <w:pStyle w:val="Header"/>
            </w:pPr>
            <w:r w:rsidRPr="00236DC8">
              <w:t>RTC+B Three Parameters Policy Issues</w:t>
            </w:r>
          </w:p>
        </w:tc>
      </w:tr>
      <w:tr w:rsidR="00152993" w14:paraId="02505782" w14:textId="77777777">
        <w:trPr>
          <w:trHeight w:val="413"/>
        </w:trPr>
        <w:tc>
          <w:tcPr>
            <w:tcW w:w="2880" w:type="dxa"/>
            <w:gridSpan w:val="2"/>
            <w:tcBorders>
              <w:top w:val="nil"/>
              <w:left w:val="nil"/>
              <w:bottom w:val="single" w:sz="4" w:space="0" w:color="auto"/>
              <w:right w:val="nil"/>
            </w:tcBorders>
            <w:vAlign w:val="center"/>
          </w:tcPr>
          <w:p w14:paraId="49C514E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8C0AA41" w14:textId="77777777" w:rsidR="00152993" w:rsidRDefault="00152993">
            <w:pPr>
              <w:pStyle w:val="NormalArial"/>
            </w:pPr>
          </w:p>
        </w:tc>
      </w:tr>
      <w:tr w:rsidR="00152993" w14:paraId="7C7D8C9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F39CC2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5AABCC" w14:textId="51C74BCD" w:rsidR="00152993" w:rsidRDefault="00506923">
            <w:pPr>
              <w:pStyle w:val="NormalArial"/>
            </w:pPr>
            <w:r>
              <w:t xml:space="preserve">March </w:t>
            </w:r>
            <w:r w:rsidR="00837B63">
              <w:t>31</w:t>
            </w:r>
            <w:r>
              <w:t>, 2025</w:t>
            </w:r>
          </w:p>
        </w:tc>
      </w:tr>
      <w:tr w:rsidR="00152993" w14:paraId="0C06AEE3" w14:textId="77777777">
        <w:trPr>
          <w:trHeight w:val="467"/>
        </w:trPr>
        <w:tc>
          <w:tcPr>
            <w:tcW w:w="2880" w:type="dxa"/>
            <w:gridSpan w:val="2"/>
            <w:tcBorders>
              <w:top w:val="single" w:sz="4" w:space="0" w:color="auto"/>
              <w:left w:val="nil"/>
              <w:bottom w:val="nil"/>
              <w:right w:val="nil"/>
            </w:tcBorders>
            <w:shd w:val="clear" w:color="auto" w:fill="FFFFFF"/>
            <w:vAlign w:val="center"/>
          </w:tcPr>
          <w:p w14:paraId="77879B1A" w14:textId="77777777" w:rsidR="00152993" w:rsidRDefault="00152993">
            <w:pPr>
              <w:pStyle w:val="NormalArial"/>
            </w:pPr>
          </w:p>
        </w:tc>
        <w:tc>
          <w:tcPr>
            <w:tcW w:w="7560" w:type="dxa"/>
            <w:gridSpan w:val="2"/>
            <w:tcBorders>
              <w:top w:val="nil"/>
              <w:left w:val="nil"/>
              <w:bottom w:val="nil"/>
              <w:right w:val="nil"/>
            </w:tcBorders>
            <w:vAlign w:val="center"/>
          </w:tcPr>
          <w:p w14:paraId="28562643" w14:textId="77777777" w:rsidR="00152993" w:rsidRDefault="00152993">
            <w:pPr>
              <w:pStyle w:val="NormalArial"/>
            </w:pPr>
          </w:p>
        </w:tc>
      </w:tr>
      <w:tr w:rsidR="00152993" w14:paraId="1ADA35CE" w14:textId="77777777">
        <w:trPr>
          <w:trHeight w:val="440"/>
        </w:trPr>
        <w:tc>
          <w:tcPr>
            <w:tcW w:w="10440" w:type="dxa"/>
            <w:gridSpan w:val="4"/>
            <w:tcBorders>
              <w:top w:val="single" w:sz="4" w:space="0" w:color="auto"/>
            </w:tcBorders>
            <w:shd w:val="clear" w:color="auto" w:fill="FFFFFF"/>
            <w:vAlign w:val="center"/>
          </w:tcPr>
          <w:p w14:paraId="776FE612" w14:textId="77777777" w:rsidR="00152993" w:rsidRDefault="00152993">
            <w:pPr>
              <w:pStyle w:val="Header"/>
              <w:jc w:val="center"/>
            </w:pPr>
            <w:r>
              <w:t>Submitter’s Information</w:t>
            </w:r>
          </w:p>
        </w:tc>
      </w:tr>
      <w:tr w:rsidR="00152993" w14:paraId="305F9B99" w14:textId="77777777">
        <w:trPr>
          <w:trHeight w:val="350"/>
        </w:trPr>
        <w:tc>
          <w:tcPr>
            <w:tcW w:w="2880" w:type="dxa"/>
            <w:gridSpan w:val="2"/>
            <w:shd w:val="clear" w:color="auto" w:fill="FFFFFF"/>
            <w:vAlign w:val="center"/>
          </w:tcPr>
          <w:p w14:paraId="404EDDA7" w14:textId="77777777" w:rsidR="00152993" w:rsidRPr="00EC55B3" w:rsidRDefault="00152993" w:rsidP="00EC55B3">
            <w:pPr>
              <w:pStyle w:val="Header"/>
            </w:pPr>
            <w:r w:rsidRPr="00EC55B3">
              <w:t>Name</w:t>
            </w:r>
          </w:p>
        </w:tc>
        <w:tc>
          <w:tcPr>
            <w:tcW w:w="7560" w:type="dxa"/>
            <w:gridSpan w:val="2"/>
            <w:vAlign w:val="center"/>
          </w:tcPr>
          <w:p w14:paraId="2C9A23E4" w14:textId="65256518" w:rsidR="00152993" w:rsidRDefault="00C622C6">
            <w:pPr>
              <w:pStyle w:val="NormalArial"/>
            </w:pPr>
            <w:r>
              <w:t xml:space="preserve">Keith Collins </w:t>
            </w:r>
            <w:r w:rsidR="00D96341">
              <w:t>/</w:t>
            </w:r>
            <w:r>
              <w:t xml:space="preserve"> David Maggio</w:t>
            </w:r>
          </w:p>
        </w:tc>
      </w:tr>
      <w:tr w:rsidR="00152993" w14:paraId="41046728" w14:textId="77777777">
        <w:trPr>
          <w:trHeight w:val="350"/>
        </w:trPr>
        <w:tc>
          <w:tcPr>
            <w:tcW w:w="2880" w:type="dxa"/>
            <w:gridSpan w:val="2"/>
            <w:shd w:val="clear" w:color="auto" w:fill="FFFFFF"/>
            <w:vAlign w:val="center"/>
          </w:tcPr>
          <w:p w14:paraId="5EE11825" w14:textId="77777777" w:rsidR="00152993" w:rsidRPr="00EC55B3" w:rsidRDefault="00152993" w:rsidP="00EC55B3">
            <w:pPr>
              <w:pStyle w:val="Header"/>
            </w:pPr>
            <w:r w:rsidRPr="00EC55B3">
              <w:t>E-mail Address</w:t>
            </w:r>
          </w:p>
        </w:tc>
        <w:tc>
          <w:tcPr>
            <w:tcW w:w="7560" w:type="dxa"/>
            <w:gridSpan w:val="2"/>
            <w:vAlign w:val="center"/>
          </w:tcPr>
          <w:p w14:paraId="7C681BEE" w14:textId="4CED7363" w:rsidR="00152993" w:rsidRDefault="00C622C6">
            <w:pPr>
              <w:pStyle w:val="NormalArial"/>
            </w:pPr>
            <w:hyperlink r:id="rId12" w:history="1">
              <w:r w:rsidRPr="001B6740">
                <w:rPr>
                  <w:rStyle w:val="Hyperlink"/>
                </w:rPr>
                <w:t>Keith.Collins@ercot.com</w:t>
              </w:r>
            </w:hyperlink>
            <w:r w:rsidR="00D96341">
              <w:t xml:space="preserve"> / </w:t>
            </w:r>
            <w:hyperlink r:id="rId13" w:history="1">
              <w:r w:rsidR="00D96341" w:rsidRPr="00182005">
                <w:rPr>
                  <w:rStyle w:val="Hyperlink"/>
                </w:rPr>
                <w:t>David.Maggio@ercot.com</w:t>
              </w:r>
            </w:hyperlink>
          </w:p>
        </w:tc>
      </w:tr>
      <w:tr w:rsidR="00506923" w14:paraId="2ACD09D7" w14:textId="77777777">
        <w:trPr>
          <w:trHeight w:val="350"/>
        </w:trPr>
        <w:tc>
          <w:tcPr>
            <w:tcW w:w="2880" w:type="dxa"/>
            <w:gridSpan w:val="2"/>
            <w:shd w:val="clear" w:color="auto" w:fill="FFFFFF"/>
            <w:vAlign w:val="center"/>
          </w:tcPr>
          <w:p w14:paraId="60F6405F" w14:textId="77777777" w:rsidR="00506923" w:rsidRPr="00EC55B3" w:rsidRDefault="00506923" w:rsidP="00506923">
            <w:pPr>
              <w:pStyle w:val="Header"/>
            </w:pPr>
            <w:r w:rsidRPr="00EC55B3">
              <w:t>Company</w:t>
            </w:r>
          </w:p>
        </w:tc>
        <w:tc>
          <w:tcPr>
            <w:tcW w:w="7560" w:type="dxa"/>
            <w:gridSpan w:val="2"/>
            <w:vAlign w:val="center"/>
          </w:tcPr>
          <w:p w14:paraId="62106A5B" w14:textId="30BB6171" w:rsidR="00506923" w:rsidRDefault="005B30B2" w:rsidP="00506923">
            <w:pPr>
              <w:pStyle w:val="NormalArial"/>
            </w:pPr>
            <w:r>
              <w:t>ERCOT</w:t>
            </w:r>
          </w:p>
        </w:tc>
      </w:tr>
      <w:tr w:rsidR="00506923" w14:paraId="1469A3B3" w14:textId="77777777">
        <w:trPr>
          <w:trHeight w:val="350"/>
        </w:trPr>
        <w:tc>
          <w:tcPr>
            <w:tcW w:w="2880" w:type="dxa"/>
            <w:gridSpan w:val="2"/>
            <w:tcBorders>
              <w:bottom w:val="single" w:sz="4" w:space="0" w:color="auto"/>
            </w:tcBorders>
            <w:shd w:val="clear" w:color="auto" w:fill="FFFFFF"/>
            <w:vAlign w:val="center"/>
          </w:tcPr>
          <w:p w14:paraId="16FF3C59" w14:textId="77777777" w:rsidR="00506923" w:rsidRPr="00EC55B3" w:rsidRDefault="00506923" w:rsidP="00506923">
            <w:pPr>
              <w:pStyle w:val="Header"/>
            </w:pPr>
            <w:r w:rsidRPr="00EC55B3">
              <w:t>Phone Number</w:t>
            </w:r>
          </w:p>
        </w:tc>
        <w:tc>
          <w:tcPr>
            <w:tcW w:w="7560" w:type="dxa"/>
            <w:gridSpan w:val="2"/>
            <w:tcBorders>
              <w:bottom w:val="single" w:sz="4" w:space="0" w:color="auto"/>
            </w:tcBorders>
            <w:vAlign w:val="center"/>
          </w:tcPr>
          <w:p w14:paraId="58BAE17F" w14:textId="6D973165" w:rsidR="00506923" w:rsidRDefault="00D96341" w:rsidP="00506923">
            <w:pPr>
              <w:pStyle w:val="NormalArial"/>
            </w:pPr>
            <w:r w:rsidRPr="00D96341">
              <w:t>512-248-6707</w:t>
            </w:r>
            <w:r>
              <w:t xml:space="preserve"> / </w:t>
            </w:r>
            <w:r w:rsidRPr="00D96341">
              <w:t>512-248-6998</w:t>
            </w:r>
          </w:p>
        </w:tc>
      </w:tr>
      <w:tr w:rsidR="00506923" w14:paraId="50466342" w14:textId="77777777">
        <w:trPr>
          <w:trHeight w:val="350"/>
        </w:trPr>
        <w:tc>
          <w:tcPr>
            <w:tcW w:w="2880" w:type="dxa"/>
            <w:gridSpan w:val="2"/>
            <w:shd w:val="clear" w:color="auto" w:fill="FFFFFF"/>
            <w:vAlign w:val="center"/>
          </w:tcPr>
          <w:p w14:paraId="33B9C658" w14:textId="77777777" w:rsidR="00506923" w:rsidRPr="00EC55B3" w:rsidRDefault="00506923" w:rsidP="00506923">
            <w:pPr>
              <w:pStyle w:val="Header"/>
            </w:pPr>
            <w:r>
              <w:t>Cell</w:t>
            </w:r>
            <w:r w:rsidRPr="00EC55B3">
              <w:t xml:space="preserve"> Number</w:t>
            </w:r>
          </w:p>
        </w:tc>
        <w:tc>
          <w:tcPr>
            <w:tcW w:w="7560" w:type="dxa"/>
            <w:gridSpan w:val="2"/>
            <w:vAlign w:val="center"/>
          </w:tcPr>
          <w:p w14:paraId="78FB0046" w14:textId="77777777" w:rsidR="00506923" w:rsidRDefault="00506923" w:rsidP="00506923">
            <w:pPr>
              <w:pStyle w:val="NormalArial"/>
            </w:pPr>
          </w:p>
        </w:tc>
      </w:tr>
      <w:tr w:rsidR="00506923" w14:paraId="03926249" w14:textId="77777777">
        <w:trPr>
          <w:trHeight w:val="350"/>
        </w:trPr>
        <w:tc>
          <w:tcPr>
            <w:tcW w:w="2880" w:type="dxa"/>
            <w:gridSpan w:val="2"/>
            <w:tcBorders>
              <w:bottom w:val="single" w:sz="4" w:space="0" w:color="auto"/>
            </w:tcBorders>
            <w:shd w:val="clear" w:color="auto" w:fill="FFFFFF"/>
            <w:vAlign w:val="center"/>
          </w:tcPr>
          <w:p w14:paraId="375AAF1F" w14:textId="77777777" w:rsidR="00506923" w:rsidRPr="00EC55B3" w:rsidDel="00075A94" w:rsidRDefault="00506923" w:rsidP="00506923">
            <w:pPr>
              <w:pStyle w:val="Header"/>
            </w:pPr>
            <w:r>
              <w:t>Market Segment</w:t>
            </w:r>
          </w:p>
        </w:tc>
        <w:tc>
          <w:tcPr>
            <w:tcW w:w="7560" w:type="dxa"/>
            <w:gridSpan w:val="2"/>
            <w:tcBorders>
              <w:bottom w:val="single" w:sz="4" w:space="0" w:color="auto"/>
            </w:tcBorders>
            <w:vAlign w:val="center"/>
          </w:tcPr>
          <w:p w14:paraId="2CFD116E" w14:textId="54B1D1CC" w:rsidR="00506923" w:rsidRDefault="00C35D8A" w:rsidP="00506923">
            <w:pPr>
              <w:pStyle w:val="NormalArial"/>
            </w:pPr>
            <w:r>
              <w:t>Not applicable</w:t>
            </w:r>
          </w:p>
        </w:tc>
      </w:tr>
    </w:tbl>
    <w:p w14:paraId="73021448"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9047511" w14:textId="77777777" w:rsidTr="00B5080A">
        <w:trPr>
          <w:trHeight w:val="422"/>
          <w:jc w:val="center"/>
        </w:trPr>
        <w:tc>
          <w:tcPr>
            <w:tcW w:w="10440" w:type="dxa"/>
            <w:vAlign w:val="center"/>
          </w:tcPr>
          <w:p w14:paraId="31D0F99B" w14:textId="77777777" w:rsidR="00075A94" w:rsidRPr="00075A94" w:rsidRDefault="00075A94" w:rsidP="00B5080A">
            <w:pPr>
              <w:pStyle w:val="Header"/>
              <w:jc w:val="center"/>
            </w:pPr>
            <w:r w:rsidRPr="00075A94">
              <w:t>Comments</w:t>
            </w:r>
          </w:p>
        </w:tc>
      </w:tr>
    </w:tbl>
    <w:p w14:paraId="1975FA61" w14:textId="62A8EAFA" w:rsidR="005B30B2" w:rsidRDefault="005B30B2" w:rsidP="00D96341">
      <w:pPr>
        <w:spacing w:before="120" w:after="120" w:line="259" w:lineRule="auto"/>
        <w:jc w:val="both"/>
        <w:rPr>
          <w:rFonts w:ascii="Arial" w:eastAsia="Aptos" w:hAnsi="Arial" w:cs="Arial"/>
          <w:kern w:val="2"/>
        </w:rPr>
      </w:pPr>
      <w:r>
        <w:rPr>
          <w:rFonts w:ascii="Arial" w:eastAsia="Aptos" w:hAnsi="Arial" w:cs="Arial"/>
          <w:kern w:val="2"/>
        </w:rPr>
        <w:t>ERCOT staff</w:t>
      </w:r>
      <w:r w:rsidR="00506923" w:rsidRPr="00506923">
        <w:rPr>
          <w:rFonts w:ascii="Arial" w:eastAsia="Aptos" w:hAnsi="Arial" w:cs="Arial"/>
          <w:kern w:val="2"/>
        </w:rPr>
        <w:t xml:space="preserve"> appreciates the opportunity to </w:t>
      </w:r>
      <w:r>
        <w:rPr>
          <w:rFonts w:ascii="Arial" w:eastAsia="Aptos" w:hAnsi="Arial" w:cs="Arial"/>
          <w:kern w:val="2"/>
        </w:rPr>
        <w:t xml:space="preserve">provide </w:t>
      </w:r>
      <w:r w:rsidR="00506923" w:rsidRPr="00506923">
        <w:rPr>
          <w:rFonts w:ascii="Arial" w:eastAsia="Aptos" w:hAnsi="Arial" w:cs="Arial"/>
          <w:kern w:val="2"/>
        </w:rPr>
        <w:t>comment</w:t>
      </w:r>
      <w:r>
        <w:rPr>
          <w:rFonts w:ascii="Arial" w:eastAsia="Aptos" w:hAnsi="Arial" w:cs="Arial"/>
          <w:kern w:val="2"/>
        </w:rPr>
        <w:t>s</w:t>
      </w:r>
      <w:r w:rsidR="00506923" w:rsidRPr="00506923">
        <w:rPr>
          <w:rFonts w:ascii="Arial" w:eastAsia="Aptos" w:hAnsi="Arial" w:cs="Arial"/>
          <w:kern w:val="2"/>
        </w:rPr>
        <w:t xml:space="preserve"> on </w:t>
      </w:r>
      <w:r w:rsidR="00C35D8A">
        <w:rPr>
          <w:rFonts w:ascii="Arial" w:eastAsia="Aptos" w:hAnsi="Arial" w:cs="Arial"/>
          <w:kern w:val="2"/>
        </w:rPr>
        <w:t>Nodal Protocol Revision Request (</w:t>
      </w:r>
      <w:r w:rsidR="00506923" w:rsidRPr="00506923">
        <w:rPr>
          <w:rFonts w:ascii="Arial" w:eastAsia="Aptos" w:hAnsi="Arial" w:cs="Arial"/>
          <w:kern w:val="2"/>
        </w:rPr>
        <w:t>NPRR</w:t>
      </w:r>
      <w:r w:rsidR="00C35D8A">
        <w:rPr>
          <w:rFonts w:ascii="Arial" w:eastAsia="Aptos" w:hAnsi="Arial" w:cs="Arial"/>
          <w:kern w:val="2"/>
        </w:rPr>
        <w:t>)</w:t>
      </w:r>
      <w:r w:rsidR="00506923" w:rsidRPr="00506923">
        <w:rPr>
          <w:rFonts w:ascii="Arial" w:eastAsia="Aptos" w:hAnsi="Arial" w:cs="Arial"/>
          <w:kern w:val="2"/>
        </w:rPr>
        <w:t xml:space="preserve"> 1269 </w:t>
      </w:r>
      <w:r w:rsidR="00B37C38">
        <w:rPr>
          <w:rFonts w:ascii="Arial" w:eastAsia="Aptos" w:hAnsi="Arial" w:cs="Arial"/>
          <w:kern w:val="2"/>
        </w:rPr>
        <w:t xml:space="preserve">in order </w:t>
      </w:r>
      <w:r w:rsidR="00D01583">
        <w:rPr>
          <w:rFonts w:ascii="Arial" w:eastAsia="Aptos" w:hAnsi="Arial" w:cs="Arial"/>
          <w:kern w:val="2"/>
        </w:rPr>
        <w:t xml:space="preserve">to provide its perspective on the </w:t>
      </w:r>
      <w:r w:rsidR="00B37C38">
        <w:rPr>
          <w:rFonts w:ascii="Arial" w:eastAsia="Aptos" w:hAnsi="Arial" w:cs="Arial"/>
          <w:kern w:val="2"/>
        </w:rPr>
        <w:t xml:space="preserve">discussion at the March 26, 2025 Technical Advisory Committee (TAC) meeting, namely the </w:t>
      </w:r>
      <w:r w:rsidR="00D01583">
        <w:rPr>
          <w:rFonts w:ascii="Arial" w:eastAsia="Aptos" w:hAnsi="Arial" w:cs="Arial"/>
          <w:kern w:val="2"/>
        </w:rPr>
        <w:t xml:space="preserve">concept </w:t>
      </w:r>
      <w:r w:rsidR="00B37C38">
        <w:rPr>
          <w:rFonts w:ascii="Arial" w:eastAsia="Aptos" w:hAnsi="Arial" w:cs="Arial"/>
          <w:kern w:val="2"/>
        </w:rPr>
        <w:t xml:space="preserve">of an Ancillary Service Demand Curve (ASDC) floor in the Day-Ahead Market (DAM) and Real-Time Market (RTM) and the appropriate level for the Ancillary Service (AS) proxy offer floor, </w:t>
      </w:r>
      <w:r w:rsidR="00D01583">
        <w:rPr>
          <w:rFonts w:ascii="Arial" w:eastAsia="Aptos" w:hAnsi="Arial" w:cs="Arial"/>
          <w:kern w:val="2"/>
        </w:rPr>
        <w:t xml:space="preserve">and to summarize </w:t>
      </w:r>
      <w:r w:rsidR="00B37C38">
        <w:rPr>
          <w:rFonts w:ascii="Arial" w:eastAsia="Aptos" w:hAnsi="Arial" w:cs="Arial"/>
          <w:kern w:val="2"/>
        </w:rPr>
        <w:t xml:space="preserve">results of the </w:t>
      </w:r>
      <w:r w:rsidR="00D01583">
        <w:rPr>
          <w:rFonts w:ascii="Arial" w:eastAsia="Aptos" w:hAnsi="Arial" w:cs="Arial"/>
          <w:kern w:val="2"/>
        </w:rPr>
        <w:t xml:space="preserve">analysis </w:t>
      </w:r>
      <w:r w:rsidR="00B37C38">
        <w:rPr>
          <w:rFonts w:ascii="Arial" w:eastAsia="Aptos" w:hAnsi="Arial" w:cs="Arial"/>
          <w:kern w:val="2"/>
        </w:rPr>
        <w:t>of the impact</w:t>
      </w:r>
      <w:r w:rsidR="00D01583">
        <w:rPr>
          <w:rFonts w:ascii="Arial" w:eastAsia="Aptos" w:hAnsi="Arial" w:cs="Arial"/>
          <w:kern w:val="2"/>
        </w:rPr>
        <w:t xml:space="preserve"> </w:t>
      </w:r>
      <w:r w:rsidR="00B37C38">
        <w:rPr>
          <w:rFonts w:ascii="Arial" w:eastAsia="Aptos" w:hAnsi="Arial" w:cs="Arial"/>
          <w:kern w:val="2"/>
        </w:rPr>
        <w:t>of</w:t>
      </w:r>
      <w:r w:rsidR="00D01583">
        <w:rPr>
          <w:rFonts w:ascii="Arial" w:eastAsia="Aptos" w:hAnsi="Arial" w:cs="Arial"/>
          <w:kern w:val="2"/>
        </w:rPr>
        <w:t xml:space="preserve"> the </w:t>
      </w:r>
      <w:r w:rsidR="00DD249E">
        <w:rPr>
          <w:rFonts w:ascii="Arial" w:eastAsia="Aptos" w:hAnsi="Arial" w:cs="Arial"/>
          <w:kern w:val="2"/>
        </w:rPr>
        <w:t>NP</w:t>
      </w:r>
      <w:r w:rsidR="00DD249E">
        <w:rPr>
          <w:rFonts w:ascii="Arial" w:eastAsia="Aptos" w:hAnsi="Arial" w:cs="Arial"/>
          <w:kern w:val="2"/>
        </w:rPr>
        <w:t>R</w:t>
      </w:r>
      <w:r w:rsidR="00DD249E">
        <w:rPr>
          <w:rFonts w:ascii="Arial" w:eastAsia="Aptos" w:hAnsi="Arial" w:cs="Arial"/>
          <w:kern w:val="2"/>
        </w:rPr>
        <w:t>R</w:t>
      </w:r>
      <w:r w:rsidR="00D01583">
        <w:rPr>
          <w:rFonts w:ascii="Arial" w:eastAsia="Aptos" w:hAnsi="Arial" w:cs="Arial"/>
          <w:kern w:val="2"/>
        </w:rPr>
        <w:t xml:space="preserve">.  The analysis </w:t>
      </w:r>
      <w:r w:rsidR="00B37C38">
        <w:rPr>
          <w:rFonts w:ascii="Arial" w:eastAsia="Aptos" w:hAnsi="Arial" w:cs="Arial"/>
          <w:kern w:val="2"/>
        </w:rPr>
        <w:t>assessed the impact of</w:t>
      </w:r>
      <w:r w:rsidR="00D01583">
        <w:rPr>
          <w:rFonts w:ascii="Arial" w:eastAsia="Aptos" w:hAnsi="Arial" w:cs="Arial"/>
          <w:kern w:val="2"/>
        </w:rPr>
        <w:t xml:space="preserve"> </w:t>
      </w:r>
      <w:r w:rsidR="00B37C38">
        <w:rPr>
          <w:rFonts w:ascii="Arial" w:eastAsia="Aptos" w:hAnsi="Arial" w:cs="Arial"/>
          <w:kern w:val="2"/>
        </w:rPr>
        <w:t xml:space="preserve">incorporating </w:t>
      </w:r>
      <w:r w:rsidR="00D01583">
        <w:rPr>
          <w:rFonts w:ascii="Arial" w:eastAsia="Aptos" w:hAnsi="Arial" w:cs="Arial"/>
          <w:kern w:val="2"/>
        </w:rPr>
        <w:t xml:space="preserve">the ASDC floor </w:t>
      </w:r>
      <w:r w:rsidR="00B37C38">
        <w:rPr>
          <w:rFonts w:ascii="Arial" w:eastAsia="Aptos" w:hAnsi="Arial" w:cs="Arial"/>
          <w:kern w:val="2"/>
        </w:rPr>
        <w:t>in</w:t>
      </w:r>
      <w:r w:rsidR="00D01583">
        <w:rPr>
          <w:rFonts w:ascii="Arial" w:eastAsia="Aptos" w:hAnsi="Arial" w:cs="Arial"/>
          <w:kern w:val="2"/>
        </w:rPr>
        <w:t>to the DAM and RTM and quantifies the potential impact to the RTM.</w:t>
      </w:r>
    </w:p>
    <w:p w14:paraId="47BBD3D2" w14:textId="22C79CCB" w:rsidR="00B20E19" w:rsidRPr="00B20E19" w:rsidRDefault="00B20E19" w:rsidP="00BD1E78">
      <w:pPr>
        <w:spacing w:before="120" w:after="120" w:line="259" w:lineRule="auto"/>
        <w:rPr>
          <w:rFonts w:ascii="Arial" w:eastAsia="Aptos" w:hAnsi="Arial" w:cs="Arial"/>
          <w:b/>
          <w:bCs/>
          <w:i/>
          <w:iCs/>
          <w:kern w:val="2"/>
        </w:rPr>
      </w:pPr>
      <w:r>
        <w:rPr>
          <w:rFonts w:ascii="Arial" w:eastAsia="Aptos" w:hAnsi="Arial" w:cs="Arial"/>
          <w:b/>
          <w:bCs/>
          <w:i/>
          <w:iCs/>
          <w:kern w:val="2"/>
        </w:rPr>
        <w:t>ERCOT’s perspective on the ASDC floor in the DAM and RTM</w:t>
      </w:r>
    </w:p>
    <w:p w14:paraId="52028EE0" w14:textId="26105D8D" w:rsidR="00D01583" w:rsidRDefault="00082660" w:rsidP="00D96341">
      <w:pPr>
        <w:spacing w:before="120" w:after="120" w:line="259" w:lineRule="auto"/>
        <w:jc w:val="both"/>
        <w:rPr>
          <w:rFonts w:ascii="Arial" w:eastAsia="Aptos" w:hAnsi="Arial" w:cs="Arial"/>
          <w:kern w:val="2"/>
        </w:rPr>
      </w:pPr>
      <w:r>
        <w:rPr>
          <w:rFonts w:ascii="Arial" w:eastAsia="Aptos" w:hAnsi="Arial" w:cs="Arial"/>
          <w:kern w:val="2"/>
        </w:rPr>
        <w:t xml:space="preserve">ERCOT </w:t>
      </w:r>
      <w:r w:rsidR="000D3201">
        <w:rPr>
          <w:rFonts w:ascii="Arial" w:eastAsia="Aptos" w:hAnsi="Arial" w:cs="Arial"/>
          <w:kern w:val="2"/>
        </w:rPr>
        <w:t>supports</w:t>
      </w:r>
      <w:r>
        <w:rPr>
          <w:rFonts w:ascii="Arial" w:eastAsia="Aptos" w:hAnsi="Arial" w:cs="Arial"/>
          <w:kern w:val="2"/>
        </w:rPr>
        <w:t xml:space="preserve"> the application of the ASDC floor for DAM and RTM, as approved by TAC.  There are several reasons for this:</w:t>
      </w:r>
    </w:p>
    <w:p w14:paraId="6BE4D85A" w14:textId="1F4ACF58" w:rsidR="00082660" w:rsidRDefault="00082660" w:rsidP="00D96341">
      <w:pPr>
        <w:pStyle w:val="ListParagraph"/>
        <w:numPr>
          <w:ilvl w:val="0"/>
          <w:numId w:val="9"/>
        </w:numPr>
        <w:spacing w:before="120" w:after="120" w:line="259" w:lineRule="auto"/>
        <w:jc w:val="both"/>
        <w:rPr>
          <w:rFonts w:ascii="Arial" w:eastAsia="Aptos" w:hAnsi="Arial" w:cs="Arial"/>
          <w:kern w:val="2"/>
        </w:rPr>
      </w:pPr>
      <w:r w:rsidRPr="00082660">
        <w:rPr>
          <w:rFonts w:ascii="Arial" w:eastAsia="Aptos" w:hAnsi="Arial" w:cs="Arial"/>
          <w:kern w:val="2"/>
        </w:rPr>
        <w:t xml:space="preserve">In light of </w:t>
      </w:r>
      <w:r w:rsidR="000D3201">
        <w:rPr>
          <w:rFonts w:ascii="Arial" w:eastAsia="Aptos" w:hAnsi="Arial" w:cs="Arial"/>
          <w:kern w:val="2"/>
        </w:rPr>
        <w:t xml:space="preserve">the </w:t>
      </w:r>
      <w:r w:rsidRPr="00082660">
        <w:rPr>
          <w:rFonts w:ascii="Arial" w:eastAsia="Aptos" w:hAnsi="Arial" w:cs="Arial"/>
          <w:kern w:val="2"/>
        </w:rPr>
        <w:t xml:space="preserve">Ancillary Service quantities </w:t>
      </w:r>
      <w:r w:rsidR="000D3201">
        <w:rPr>
          <w:rFonts w:ascii="Arial" w:eastAsia="Aptos" w:hAnsi="Arial" w:cs="Arial"/>
          <w:kern w:val="2"/>
        </w:rPr>
        <w:t>used currently</w:t>
      </w:r>
      <w:r w:rsidRPr="00082660">
        <w:rPr>
          <w:rFonts w:ascii="Arial" w:eastAsia="Aptos" w:hAnsi="Arial" w:cs="Arial"/>
          <w:kern w:val="2"/>
        </w:rPr>
        <w:t xml:space="preserve"> and </w:t>
      </w:r>
      <w:r w:rsidR="000D3201">
        <w:rPr>
          <w:rFonts w:ascii="Arial" w:eastAsia="Aptos" w:hAnsi="Arial" w:cs="Arial"/>
          <w:kern w:val="2"/>
        </w:rPr>
        <w:t xml:space="preserve">anticipated </w:t>
      </w:r>
      <w:r w:rsidRPr="00082660">
        <w:rPr>
          <w:rFonts w:ascii="Arial" w:eastAsia="Aptos" w:hAnsi="Arial" w:cs="Arial"/>
          <w:kern w:val="2"/>
        </w:rPr>
        <w:t xml:space="preserve">in the near-term, there is a legitimate concern that DAM and RTM pricing may be insufficient to incent self-commitment of Resources for the tail amounts of </w:t>
      </w:r>
      <w:r w:rsidR="003358C0">
        <w:rPr>
          <w:rFonts w:ascii="Arial" w:eastAsia="Aptos" w:hAnsi="Arial" w:cs="Arial"/>
          <w:kern w:val="2"/>
        </w:rPr>
        <w:t>AS</w:t>
      </w:r>
      <w:r w:rsidRPr="00082660">
        <w:rPr>
          <w:rFonts w:ascii="Arial" w:eastAsia="Aptos" w:hAnsi="Arial" w:cs="Arial"/>
          <w:kern w:val="2"/>
        </w:rPr>
        <w:t xml:space="preserve"> and may lead to increased R</w:t>
      </w:r>
      <w:r w:rsidR="00E10425">
        <w:rPr>
          <w:rFonts w:ascii="Arial" w:eastAsia="Aptos" w:hAnsi="Arial" w:cs="Arial"/>
          <w:kern w:val="2"/>
        </w:rPr>
        <w:t>eliability Unit Commitment (R</w:t>
      </w:r>
      <w:r w:rsidRPr="00082660">
        <w:rPr>
          <w:rFonts w:ascii="Arial" w:eastAsia="Aptos" w:hAnsi="Arial" w:cs="Arial"/>
          <w:kern w:val="2"/>
        </w:rPr>
        <w:t>UC</w:t>
      </w:r>
      <w:r w:rsidR="00E10425">
        <w:rPr>
          <w:rFonts w:ascii="Arial" w:eastAsia="Aptos" w:hAnsi="Arial" w:cs="Arial"/>
          <w:kern w:val="2"/>
        </w:rPr>
        <w:t>)</w:t>
      </w:r>
      <w:r w:rsidRPr="00082660">
        <w:rPr>
          <w:rFonts w:ascii="Arial" w:eastAsia="Aptos" w:hAnsi="Arial" w:cs="Arial"/>
          <w:kern w:val="2"/>
        </w:rPr>
        <w:t xml:space="preserve"> instructions, even when there is sufficient Resource capability otherwise</w:t>
      </w:r>
      <w:r>
        <w:rPr>
          <w:rFonts w:ascii="Arial" w:eastAsia="Aptos" w:hAnsi="Arial" w:cs="Arial"/>
          <w:kern w:val="2"/>
        </w:rPr>
        <w:t xml:space="preserve"> to the meet the </w:t>
      </w:r>
      <w:r w:rsidR="00CB7558">
        <w:rPr>
          <w:rFonts w:ascii="Arial" w:eastAsia="Aptos" w:hAnsi="Arial" w:cs="Arial"/>
          <w:kern w:val="2"/>
        </w:rPr>
        <w:t>AS</w:t>
      </w:r>
      <w:r>
        <w:rPr>
          <w:rFonts w:ascii="Arial" w:eastAsia="Aptos" w:hAnsi="Arial" w:cs="Arial"/>
          <w:kern w:val="2"/>
        </w:rPr>
        <w:t xml:space="preserve"> Plan (i.e., </w:t>
      </w:r>
      <w:r w:rsidR="000D3201">
        <w:rPr>
          <w:rFonts w:ascii="Arial" w:eastAsia="Aptos" w:hAnsi="Arial" w:cs="Arial"/>
          <w:kern w:val="2"/>
        </w:rPr>
        <w:t xml:space="preserve">when the system is </w:t>
      </w:r>
      <w:r>
        <w:rPr>
          <w:rFonts w:ascii="Arial" w:eastAsia="Aptos" w:hAnsi="Arial" w:cs="Arial"/>
          <w:kern w:val="2"/>
        </w:rPr>
        <w:t>not in true shortage conditions)</w:t>
      </w:r>
      <w:r w:rsidRPr="00082660">
        <w:rPr>
          <w:rFonts w:ascii="Arial" w:eastAsia="Aptos" w:hAnsi="Arial" w:cs="Arial"/>
          <w:kern w:val="2"/>
        </w:rPr>
        <w:t>.</w:t>
      </w:r>
    </w:p>
    <w:p w14:paraId="5BE17DA6" w14:textId="73040683" w:rsidR="00C77C7B" w:rsidRDefault="00C77C7B" w:rsidP="00D96341">
      <w:pPr>
        <w:pStyle w:val="ListParagraph"/>
        <w:numPr>
          <w:ilvl w:val="0"/>
          <w:numId w:val="9"/>
        </w:numPr>
        <w:spacing w:before="120" w:after="120" w:line="259" w:lineRule="auto"/>
        <w:jc w:val="both"/>
        <w:rPr>
          <w:rFonts w:ascii="Arial" w:eastAsia="Aptos" w:hAnsi="Arial" w:cs="Arial"/>
          <w:kern w:val="2"/>
        </w:rPr>
      </w:pPr>
      <w:r>
        <w:rPr>
          <w:rFonts w:ascii="Arial" w:eastAsia="Aptos" w:hAnsi="Arial" w:cs="Arial"/>
          <w:kern w:val="2"/>
        </w:rPr>
        <w:t xml:space="preserve">Given the importance of price formation and incentives, using the market to signal </w:t>
      </w:r>
      <w:r w:rsidR="000D3201">
        <w:rPr>
          <w:rFonts w:ascii="Arial" w:eastAsia="Aptos" w:hAnsi="Arial" w:cs="Arial"/>
          <w:kern w:val="2"/>
        </w:rPr>
        <w:t xml:space="preserve">conditions sufficient to induce </w:t>
      </w:r>
      <w:r>
        <w:rPr>
          <w:rFonts w:ascii="Arial" w:eastAsia="Aptos" w:hAnsi="Arial" w:cs="Arial"/>
          <w:kern w:val="2"/>
        </w:rPr>
        <w:t xml:space="preserve">self-commitment is preferred to RUC actions.  While ERCOT can ensure operational reliability in the short term through RUC commitments, long term reliability requires proper price signals.  The </w:t>
      </w:r>
      <w:r w:rsidR="000D3201">
        <w:rPr>
          <w:rFonts w:ascii="Arial" w:eastAsia="Aptos" w:hAnsi="Arial" w:cs="Arial"/>
          <w:kern w:val="2"/>
        </w:rPr>
        <w:t>ASDC</w:t>
      </w:r>
      <w:r>
        <w:rPr>
          <w:rFonts w:ascii="Arial" w:eastAsia="Aptos" w:hAnsi="Arial" w:cs="Arial"/>
          <w:kern w:val="2"/>
        </w:rPr>
        <w:t xml:space="preserve"> floor works toward enhancing these price signals.</w:t>
      </w:r>
    </w:p>
    <w:p w14:paraId="73557B70" w14:textId="2912A1D3" w:rsidR="00082660" w:rsidRDefault="00082660" w:rsidP="00D96341">
      <w:pPr>
        <w:pStyle w:val="ListParagraph"/>
        <w:numPr>
          <w:ilvl w:val="0"/>
          <w:numId w:val="9"/>
        </w:numPr>
        <w:spacing w:before="120" w:after="120" w:line="259" w:lineRule="auto"/>
        <w:jc w:val="both"/>
        <w:rPr>
          <w:rFonts w:ascii="Arial" w:eastAsia="Aptos" w:hAnsi="Arial" w:cs="Arial"/>
          <w:kern w:val="2"/>
        </w:rPr>
      </w:pPr>
      <w:r>
        <w:rPr>
          <w:rFonts w:ascii="Arial" w:eastAsia="Aptos" w:hAnsi="Arial" w:cs="Arial"/>
          <w:kern w:val="2"/>
        </w:rPr>
        <w:lastRenderedPageBreak/>
        <w:t xml:space="preserve">The proposed </w:t>
      </w:r>
      <w:r w:rsidRPr="00082660">
        <w:rPr>
          <w:rFonts w:ascii="Arial" w:eastAsia="Aptos" w:hAnsi="Arial" w:cs="Arial"/>
          <w:kern w:val="2"/>
        </w:rPr>
        <w:t xml:space="preserve">$15 per </w:t>
      </w:r>
      <w:r w:rsidR="000D3201">
        <w:rPr>
          <w:rFonts w:ascii="Arial" w:eastAsia="Aptos" w:hAnsi="Arial" w:cs="Arial"/>
          <w:kern w:val="2"/>
        </w:rPr>
        <w:t>megawatt (</w:t>
      </w:r>
      <w:r w:rsidRPr="00082660">
        <w:rPr>
          <w:rFonts w:ascii="Arial" w:eastAsia="Aptos" w:hAnsi="Arial" w:cs="Arial"/>
          <w:kern w:val="2"/>
        </w:rPr>
        <w:t>MW</w:t>
      </w:r>
      <w:r w:rsidR="000D3201">
        <w:rPr>
          <w:rFonts w:ascii="Arial" w:eastAsia="Aptos" w:hAnsi="Arial" w:cs="Arial"/>
          <w:kern w:val="2"/>
        </w:rPr>
        <w:t>)</w:t>
      </w:r>
      <w:r w:rsidRPr="00082660">
        <w:rPr>
          <w:rFonts w:ascii="Arial" w:eastAsia="Aptos" w:hAnsi="Arial" w:cs="Arial"/>
          <w:kern w:val="2"/>
        </w:rPr>
        <w:t xml:space="preserve"> per hour is a relatively modest ASDC price for smaller levels of shortages and well below the minimum prices for Regulation </w:t>
      </w:r>
      <w:r>
        <w:rPr>
          <w:rFonts w:ascii="Arial" w:eastAsia="Aptos" w:hAnsi="Arial" w:cs="Arial"/>
          <w:kern w:val="2"/>
        </w:rPr>
        <w:t xml:space="preserve">Up </w:t>
      </w:r>
      <w:r w:rsidRPr="00082660">
        <w:rPr>
          <w:rFonts w:ascii="Arial" w:eastAsia="Aptos" w:hAnsi="Arial" w:cs="Arial"/>
          <w:kern w:val="2"/>
        </w:rPr>
        <w:t>Service (Reg</w:t>
      </w:r>
      <w:r>
        <w:rPr>
          <w:rFonts w:ascii="Arial" w:eastAsia="Aptos" w:hAnsi="Arial" w:cs="Arial"/>
          <w:kern w:val="2"/>
        </w:rPr>
        <w:t>-Up</w:t>
      </w:r>
      <w:r w:rsidRPr="00082660">
        <w:rPr>
          <w:rFonts w:ascii="Arial" w:eastAsia="Aptos" w:hAnsi="Arial" w:cs="Arial"/>
          <w:kern w:val="2"/>
        </w:rPr>
        <w:t xml:space="preserve">) and Responsive Reserve Service (RRS) already included in NPRR1268. It can also allow Ancillary Service Offers below $15 per MW per hour to clear and support meeting the </w:t>
      </w:r>
      <w:r w:rsidR="00CB7558">
        <w:rPr>
          <w:rFonts w:ascii="Arial" w:eastAsia="Aptos" w:hAnsi="Arial" w:cs="Arial"/>
          <w:kern w:val="2"/>
        </w:rPr>
        <w:t xml:space="preserve">AS </w:t>
      </w:r>
      <w:r w:rsidRPr="00082660">
        <w:rPr>
          <w:rFonts w:ascii="Arial" w:eastAsia="Aptos" w:hAnsi="Arial" w:cs="Arial"/>
          <w:kern w:val="2"/>
        </w:rPr>
        <w:t>Plan when that may not have been possible otherwise.</w:t>
      </w:r>
      <w:r w:rsidR="00D92480">
        <w:rPr>
          <w:rFonts w:ascii="Arial" w:eastAsia="Aptos" w:hAnsi="Arial" w:cs="Arial"/>
          <w:kern w:val="2"/>
        </w:rPr>
        <w:t xml:space="preserve">  </w:t>
      </w:r>
      <w:r w:rsidR="00773770">
        <w:rPr>
          <w:rFonts w:ascii="Arial" w:eastAsia="Aptos" w:hAnsi="Arial" w:cs="Arial"/>
          <w:kern w:val="2"/>
        </w:rPr>
        <w:t>In many hours</w:t>
      </w:r>
      <w:r w:rsidR="000D3201">
        <w:rPr>
          <w:rFonts w:ascii="Arial" w:eastAsia="Aptos" w:hAnsi="Arial" w:cs="Arial"/>
          <w:kern w:val="2"/>
        </w:rPr>
        <w:t>, absent the ASDC floor</w:t>
      </w:r>
      <w:r w:rsidR="00773770">
        <w:rPr>
          <w:rFonts w:ascii="Arial" w:eastAsia="Aptos" w:hAnsi="Arial" w:cs="Arial"/>
          <w:kern w:val="2"/>
        </w:rPr>
        <w:t xml:space="preserve">, the market will be unwilling to procure the AS Plan unless it would be free or </w:t>
      </w:r>
      <w:r w:rsidR="007453E0">
        <w:rPr>
          <w:rFonts w:ascii="Arial" w:eastAsia="Aptos" w:hAnsi="Arial" w:cs="Arial"/>
          <w:kern w:val="2"/>
        </w:rPr>
        <w:t xml:space="preserve">nearly free.  </w:t>
      </w:r>
      <w:r w:rsidR="00BA6E13">
        <w:rPr>
          <w:rFonts w:ascii="Arial" w:eastAsia="Aptos" w:hAnsi="Arial" w:cs="Arial"/>
          <w:kern w:val="2"/>
        </w:rPr>
        <w:t>This is particularly relevant to the ERCOT Contingency Reserve Service (ECRS) and Non-Spinning Reserve Service (Non-Spin).</w:t>
      </w:r>
      <w:r w:rsidR="00D92480">
        <w:rPr>
          <w:rFonts w:ascii="Arial" w:eastAsia="Aptos" w:hAnsi="Arial" w:cs="Arial"/>
          <w:kern w:val="2"/>
        </w:rPr>
        <w:t xml:space="preserve"> </w:t>
      </w:r>
    </w:p>
    <w:p w14:paraId="7EFEA599" w14:textId="70DE49EB" w:rsidR="00082660" w:rsidRDefault="00082660" w:rsidP="00D96341">
      <w:pPr>
        <w:pStyle w:val="ListParagraph"/>
        <w:numPr>
          <w:ilvl w:val="0"/>
          <w:numId w:val="9"/>
        </w:numPr>
        <w:spacing w:before="120" w:after="120" w:line="259" w:lineRule="auto"/>
        <w:jc w:val="both"/>
        <w:rPr>
          <w:rFonts w:ascii="Arial" w:eastAsia="Aptos" w:hAnsi="Arial" w:cs="Arial"/>
          <w:kern w:val="2"/>
        </w:rPr>
      </w:pPr>
      <w:r w:rsidRPr="00082660">
        <w:rPr>
          <w:rFonts w:ascii="Arial" w:eastAsia="Aptos" w:hAnsi="Arial" w:cs="Arial"/>
          <w:kern w:val="2"/>
        </w:rPr>
        <w:t xml:space="preserve">The distinction that this is a floor on the ASDCs and not a floor on the </w:t>
      </w:r>
      <w:r w:rsidRPr="00D96341">
        <w:rPr>
          <w:rFonts w:ascii="Arial" w:eastAsia="Aptos" w:hAnsi="Arial" w:cs="Arial"/>
          <w:i/>
          <w:iCs/>
          <w:kern w:val="2"/>
        </w:rPr>
        <w:t>price</w:t>
      </w:r>
      <w:r w:rsidRPr="00082660">
        <w:rPr>
          <w:rFonts w:ascii="Arial" w:eastAsia="Aptos" w:hAnsi="Arial" w:cs="Arial"/>
          <w:kern w:val="2"/>
        </w:rPr>
        <w:t xml:space="preserve"> for </w:t>
      </w:r>
      <w:r w:rsidR="00C613A7">
        <w:rPr>
          <w:rFonts w:ascii="Arial" w:eastAsia="Aptos" w:hAnsi="Arial" w:cs="Arial"/>
          <w:kern w:val="2"/>
        </w:rPr>
        <w:t>AS</w:t>
      </w:r>
      <w:r w:rsidRPr="00082660">
        <w:rPr>
          <w:rFonts w:ascii="Arial" w:eastAsia="Aptos" w:hAnsi="Arial" w:cs="Arial"/>
          <w:kern w:val="2"/>
        </w:rPr>
        <w:t xml:space="preserve"> is important.  To the degree there are sufficient </w:t>
      </w:r>
      <w:r w:rsidR="00C613A7">
        <w:rPr>
          <w:rFonts w:ascii="Arial" w:eastAsia="Aptos" w:hAnsi="Arial" w:cs="Arial"/>
          <w:kern w:val="2"/>
        </w:rPr>
        <w:t>AS</w:t>
      </w:r>
      <w:r w:rsidRPr="00082660">
        <w:rPr>
          <w:rFonts w:ascii="Arial" w:eastAsia="Aptos" w:hAnsi="Arial" w:cs="Arial"/>
          <w:kern w:val="2"/>
        </w:rPr>
        <w:t xml:space="preserve"> offers and Resource capability, those offers would be setting the price, not the ASDCs.  </w:t>
      </w:r>
      <w:r>
        <w:rPr>
          <w:rFonts w:ascii="Arial" w:eastAsia="Aptos" w:hAnsi="Arial" w:cs="Arial"/>
          <w:kern w:val="2"/>
        </w:rPr>
        <w:t xml:space="preserve">The </w:t>
      </w:r>
      <w:r w:rsidRPr="00082660">
        <w:rPr>
          <w:rFonts w:ascii="Arial" w:eastAsia="Aptos" w:hAnsi="Arial" w:cs="Arial"/>
          <w:kern w:val="2"/>
        </w:rPr>
        <w:t xml:space="preserve">ASDCs and the proposed floors primarily come into play </w:t>
      </w:r>
      <w:r>
        <w:rPr>
          <w:rFonts w:ascii="Arial" w:eastAsia="Aptos" w:hAnsi="Arial" w:cs="Arial"/>
          <w:kern w:val="2"/>
        </w:rPr>
        <w:t xml:space="preserve">only </w:t>
      </w:r>
      <w:r w:rsidRPr="00082660">
        <w:rPr>
          <w:rFonts w:ascii="Arial" w:eastAsia="Aptos" w:hAnsi="Arial" w:cs="Arial"/>
          <w:kern w:val="2"/>
        </w:rPr>
        <w:t xml:space="preserve">when procurement is “short” relative to the </w:t>
      </w:r>
      <w:r w:rsidR="00CB7558">
        <w:rPr>
          <w:rFonts w:ascii="Arial" w:eastAsia="Aptos" w:hAnsi="Arial" w:cs="Arial"/>
          <w:kern w:val="2"/>
        </w:rPr>
        <w:t>AS</w:t>
      </w:r>
      <w:r w:rsidRPr="00082660">
        <w:rPr>
          <w:rFonts w:ascii="Arial" w:eastAsia="Aptos" w:hAnsi="Arial" w:cs="Arial"/>
          <w:kern w:val="2"/>
        </w:rPr>
        <w:t xml:space="preserve"> Plan.</w:t>
      </w:r>
    </w:p>
    <w:p w14:paraId="6B99E7AC" w14:textId="5FD19FB4" w:rsidR="00082660" w:rsidRDefault="00082660" w:rsidP="00D96341">
      <w:pPr>
        <w:pStyle w:val="ListParagraph"/>
        <w:numPr>
          <w:ilvl w:val="0"/>
          <w:numId w:val="9"/>
        </w:numPr>
        <w:spacing w:before="120" w:after="120" w:line="259" w:lineRule="auto"/>
        <w:jc w:val="both"/>
        <w:rPr>
          <w:rFonts w:ascii="Arial" w:eastAsia="Aptos" w:hAnsi="Arial" w:cs="Arial"/>
          <w:kern w:val="2"/>
        </w:rPr>
      </w:pPr>
      <w:r w:rsidRPr="00082660">
        <w:rPr>
          <w:rFonts w:ascii="Arial" w:eastAsia="Aptos" w:hAnsi="Arial" w:cs="Arial"/>
          <w:kern w:val="2"/>
        </w:rPr>
        <w:t xml:space="preserve">The deeper concern for those opposed to the concept </w:t>
      </w:r>
      <w:r w:rsidR="000D3201">
        <w:rPr>
          <w:rFonts w:ascii="Arial" w:eastAsia="Aptos" w:hAnsi="Arial" w:cs="Arial"/>
          <w:kern w:val="2"/>
        </w:rPr>
        <w:t xml:space="preserve">of an ASDC floor in the DAM and RTM </w:t>
      </w:r>
      <w:r w:rsidRPr="00082660">
        <w:rPr>
          <w:rFonts w:ascii="Arial" w:eastAsia="Aptos" w:hAnsi="Arial" w:cs="Arial"/>
          <w:kern w:val="2"/>
        </w:rPr>
        <w:t xml:space="preserve">seems to be the quantities that feed into the </w:t>
      </w:r>
      <w:r w:rsidR="00CB7558">
        <w:rPr>
          <w:rFonts w:ascii="Arial" w:eastAsia="Aptos" w:hAnsi="Arial" w:cs="Arial"/>
          <w:kern w:val="2"/>
        </w:rPr>
        <w:t>AS</w:t>
      </w:r>
      <w:r w:rsidRPr="00082660">
        <w:rPr>
          <w:rFonts w:ascii="Arial" w:eastAsia="Aptos" w:hAnsi="Arial" w:cs="Arial"/>
          <w:kern w:val="2"/>
        </w:rPr>
        <w:t xml:space="preserve"> Plan generally.  A more thorough review of the process for determining these quantities is already underway with the development of a “full statistical” analysis tool and the consideration of “closer to the Operating Day” </w:t>
      </w:r>
      <w:r w:rsidR="00C613A7">
        <w:rPr>
          <w:rFonts w:ascii="Arial" w:eastAsia="Aptos" w:hAnsi="Arial" w:cs="Arial"/>
          <w:kern w:val="2"/>
        </w:rPr>
        <w:t>AS</w:t>
      </w:r>
      <w:r w:rsidRPr="00082660">
        <w:rPr>
          <w:rFonts w:ascii="Arial" w:eastAsia="Aptos" w:hAnsi="Arial" w:cs="Arial"/>
          <w:kern w:val="2"/>
        </w:rPr>
        <w:t xml:space="preserve"> quantity determination.</w:t>
      </w:r>
      <w:r w:rsidR="00D92480">
        <w:rPr>
          <w:rFonts w:ascii="Arial" w:eastAsia="Aptos" w:hAnsi="Arial" w:cs="Arial"/>
          <w:kern w:val="2"/>
        </w:rPr>
        <w:t xml:space="preserve">  </w:t>
      </w:r>
      <w:r w:rsidR="00F566AD">
        <w:rPr>
          <w:rFonts w:ascii="Arial" w:eastAsia="Aptos" w:hAnsi="Arial" w:cs="Arial"/>
          <w:kern w:val="2"/>
        </w:rPr>
        <w:t>As described further below, i</w:t>
      </w:r>
      <w:r w:rsidRPr="00082660">
        <w:rPr>
          <w:rFonts w:ascii="Arial" w:eastAsia="Aptos" w:hAnsi="Arial" w:cs="Arial"/>
          <w:kern w:val="2"/>
        </w:rPr>
        <w:t xml:space="preserve">f there are </w:t>
      </w:r>
      <w:r w:rsidR="00C613A7">
        <w:rPr>
          <w:rFonts w:ascii="Arial" w:eastAsia="Aptos" w:hAnsi="Arial" w:cs="Arial"/>
          <w:kern w:val="2"/>
        </w:rPr>
        <w:t>AS</w:t>
      </w:r>
      <w:r w:rsidRPr="00082660">
        <w:rPr>
          <w:rFonts w:ascii="Arial" w:eastAsia="Aptos" w:hAnsi="Arial" w:cs="Arial"/>
          <w:kern w:val="2"/>
        </w:rPr>
        <w:t xml:space="preserve"> quantity reductions, this concept will automatically adjust to account for </w:t>
      </w:r>
      <w:r>
        <w:rPr>
          <w:rFonts w:ascii="Arial" w:eastAsia="Aptos" w:hAnsi="Arial" w:cs="Arial"/>
          <w:kern w:val="2"/>
        </w:rPr>
        <w:t>such changes</w:t>
      </w:r>
      <w:r w:rsidR="000D3201">
        <w:rPr>
          <w:rFonts w:ascii="Arial" w:eastAsia="Aptos" w:hAnsi="Arial" w:cs="Arial"/>
          <w:kern w:val="2"/>
        </w:rPr>
        <w:t>.</w:t>
      </w:r>
    </w:p>
    <w:p w14:paraId="4E51E33D" w14:textId="77777777" w:rsidR="003A5775" w:rsidRDefault="003A5775" w:rsidP="00D96341">
      <w:pPr>
        <w:spacing w:before="120" w:after="120" w:line="259" w:lineRule="auto"/>
        <w:jc w:val="both"/>
        <w:rPr>
          <w:rFonts w:ascii="Arial" w:eastAsia="Aptos" w:hAnsi="Arial" w:cs="Arial"/>
          <w:b/>
          <w:bCs/>
          <w:i/>
          <w:iCs/>
          <w:kern w:val="2"/>
        </w:rPr>
      </w:pPr>
      <w:r>
        <w:rPr>
          <w:rFonts w:ascii="Arial" w:eastAsia="Aptos" w:hAnsi="Arial" w:cs="Arial"/>
          <w:b/>
          <w:bCs/>
          <w:i/>
          <w:iCs/>
          <w:kern w:val="2"/>
        </w:rPr>
        <w:t>Analysis of the RTM impacts in having an ASDC Floor</w:t>
      </w:r>
    </w:p>
    <w:p w14:paraId="1BDEB8E4" w14:textId="24FA6E6E" w:rsidR="003A5775" w:rsidRDefault="003A5775" w:rsidP="00D96341">
      <w:pPr>
        <w:spacing w:before="120" w:after="120" w:line="259" w:lineRule="auto"/>
        <w:jc w:val="both"/>
        <w:rPr>
          <w:rFonts w:ascii="Arial" w:eastAsia="Aptos" w:hAnsi="Arial" w:cs="Arial"/>
          <w:kern w:val="2"/>
        </w:rPr>
      </w:pPr>
      <w:r>
        <w:rPr>
          <w:rFonts w:ascii="Arial" w:eastAsia="Aptos" w:hAnsi="Arial" w:cs="Arial"/>
          <w:kern w:val="2"/>
        </w:rPr>
        <w:t xml:space="preserve">With the discussion on </w:t>
      </w:r>
      <w:r w:rsidR="000D3201">
        <w:rPr>
          <w:rFonts w:ascii="Arial" w:eastAsia="Aptos" w:hAnsi="Arial" w:cs="Arial"/>
          <w:kern w:val="2"/>
        </w:rPr>
        <w:t>applying</w:t>
      </w:r>
      <w:r>
        <w:rPr>
          <w:rFonts w:ascii="Arial" w:eastAsia="Aptos" w:hAnsi="Arial" w:cs="Arial"/>
          <w:kern w:val="2"/>
        </w:rPr>
        <w:t xml:space="preserve"> the ASDC floor concept to the DAM and RTM, stakeholders were interested in understanding what the impacts to the market </w:t>
      </w:r>
      <w:r w:rsidR="00EC4EEF">
        <w:rPr>
          <w:rFonts w:ascii="Arial" w:eastAsia="Aptos" w:hAnsi="Arial" w:cs="Arial"/>
          <w:kern w:val="2"/>
        </w:rPr>
        <w:t xml:space="preserve">of such a floor </w:t>
      </w:r>
      <w:r>
        <w:rPr>
          <w:rFonts w:ascii="Arial" w:eastAsia="Aptos" w:hAnsi="Arial" w:cs="Arial"/>
          <w:kern w:val="2"/>
        </w:rPr>
        <w:t xml:space="preserve">may be.  To provide this understanding, ERCOT analyzed the RTM impacts looking at various months and hours of the day across periods in 2023 and 2024.  In total, the dataset used consists of approximately 12,000 Security-Constrained Economic Dispatch (SCED) intervals across </w:t>
      </w:r>
      <w:r w:rsidR="00EC4EEF">
        <w:rPr>
          <w:rFonts w:ascii="Arial" w:eastAsia="Aptos" w:hAnsi="Arial" w:cs="Arial"/>
          <w:kern w:val="2"/>
        </w:rPr>
        <w:t>seven</w:t>
      </w:r>
      <w:r>
        <w:rPr>
          <w:rFonts w:ascii="Arial" w:eastAsia="Aptos" w:hAnsi="Arial" w:cs="Arial"/>
          <w:kern w:val="2"/>
        </w:rPr>
        <w:t xml:space="preserve"> different months and 216 different Operating Days, covering both peak and off-peak system conditions.</w:t>
      </w:r>
    </w:p>
    <w:p w14:paraId="0DA86DBE" w14:textId="232AF73E" w:rsidR="00385862" w:rsidRDefault="00385862" w:rsidP="00D96341">
      <w:pPr>
        <w:spacing w:before="120" w:after="120" w:line="259" w:lineRule="auto"/>
        <w:jc w:val="both"/>
        <w:rPr>
          <w:rFonts w:ascii="Arial" w:eastAsia="Aptos" w:hAnsi="Arial" w:cs="Arial"/>
          <w:kern w:val="2"/>
        </w:rPr>
      </w:pPr>
      <w:r>
        <w:rPr>
          <w:rFonts w:ascii="Arial" w:eastAsia="Aptos" w:hAnsi="Arial" w:cs="Arial"/>
          <w:kern w:val="2"/>
        </w:rPr>
        <w:t>ERCOT staff considered three different study cases:</w:t>
      </w:r>
    </w:p>
    <w:p w14:paraId="1B50BDDB" w14:textId="4FC899E2" w:rsidR="005B30B2" w:rsidRDefault="00385862" w:rsidP="00D96341">
      <w:pPr>
        <w:pStyle w:val="ListParagraph"/>
        <w:numPr>
          <w:ilvl w:val="0"/>
          <w:numId w:val="11"/>
        </w:numPr>
        <w:spacing w:before="120" w:after="120" w:line="259" w:lineRule="auto"/>
        <w:jc w:val="both"/>
        <w:rPr>
          <w:rFonts w:ascii="Arial" w:eastAsia="Aptos" w:hAnsi="Arial" w:cs="Arial"/>
          <w:kern w:val="2"/>
        </w:rPr>
      </w:pPr>
      <w:r w:rsidRPr="00385862">
        <w:rPr>
          <w:rFonts w:ascii="Arial" w:eastAsia="Aptos" w:hAnsi="Arial" w:cs="Arial"/>
          <w:kern w:val="2"/>
        </w:rPr>
        <w:t>Real-Time Co-optimization (RTC) without ASDC floors</w:t>
      </w:r>
      <w:r w:rsidR="00EC4EEF">
        <w:rPr>
          <w:rFonts w:ascii="Arial" w:eastAsia="Aptos" w:hAnsi="Arial" w:cs="Arial"/>
          <w:kern w:val="2"/>
        </w:rPr>
        <w:t>;</w:t>
      </w:r>
    </w:p>
    <w:p w14:paraId="59A4EFF6" w14:textId="1B092DA2" w:rsidR="00385862" w:rsidRDefault="00385862" w:rsidP="00D96341">
      <w:pPr>
        <w:pStyle w:val="ListParagraph"/>
        <w:numPr>
          <w:ilvl w:val="0"/>
          <w:numId w:val="11"/>
        </w:numPr>
        <w:spacing w:before="120" w:after="120" w:line="259" w:lineRule="auto"/>
        <w:jc w:val="both"/>
        <w:rPr>
          <w:rFonts w:ascii="Arial" w:eastAsia="Aptos" w:hAnsi="Arial" w:cs="Arial"/>
          <w:kern w:val="2"/>
        </w:rPr>
      </w:pPr>
      <w:r w:rsidRPr="00385862">
        <w:rPr>
          <w:rFonts w:ascii="Arial" w:eastAsia="Aptos" w:hAnsi="Arial" w:cs="Arial"/>
          <w:kern w:val="2"/>
        </w:rPr>
        <w:t>RTC with $15</w:t>
      </w:r>
      <w:r w:rsidR="00EC4EEF">
        <w:rPr>
          <w:rFonts w:ascii="Arial" w:eastAsia="Aptos" w:hAnsi="Arial" w:cs="Arial"/>
          <w:kern w:val="2"/>
        </w:rPr>
        <w:t xml:space="preserve"> per </w:t>
      </w:r>
      <w:r w:rsidRPr="00385862">
        <w:rPr>
          <w:rFonts w:ascii="Arial" w:eastAsia="Aptos" w:hAnsi="Arial" w:cs="Arial"/>
          <w:kern w:val="2"/>
        </w:rPr>
        <w:t>MW per hour ASDC floors</w:t>
      </w:r>
      <w:r w:rsidR="00EC4EEF">
        <w:rPr>
          <w:rFonts w:ascii="Arial" w:eastAsia="Aptos" w:hAnsi="Arial" w:cs="Arial"/>
          <w:kern w:val="2"/>
        </w:rPr>
        <w:t>; and</w:t>
      </w:r>
    </w:p>
    <w:p w14:paraId="2C43C007" w14:textId="5F3FC57A" w:rsidR="00385862" w:rsidRDefault="00385862" w:rsidP="00D96341">
      <w:pPr>
        <w:pStyle w:val="ListParagraph"/>
        <w:numPr>
          <w:ilvl w:val="0"/>
          <w:numId w:val="11"/>
        </w:numPr>
        <w:spacing w:before="120" w:after="120" w:line="259" w:lineRule="auto"/>
        <w:jc w:val="both"/>
        <w:rPr>
          <w:rFonts w:ascii="Arial" w:eastAsia="Aptos" w:hAnsi="Arial" w:cs="Arial"/>
          <w:kern w:val="2"/>
        </w:rPr>
      </w:pPr>
      <w:r>
        <w:rPr>
          <w:rFonts w:ascii="Arial" w:eastAsia="Aptos" w:hAnsi="Arial" w:cs="Arial"/>
          <w:kern w:val="2"/>
        </w:rPr>
        <w:t>A case where prices are d</w:t>
      </w:r>
      <w:r w:rsidRPr="00385862">
        <w:rPr>
          <w:rFonts w:ascii="Arial" w:eastAsia="Aptos" w:hAnsi="Arial" w:cs="Arial"/>
          <w:kern w:val="2"/>
        </w:rPr>
        <w:t xml:space="preserve">erived from </w:t>
      </w:r>
      <w:r w:rsidR="00EC4EEF">
        <w:rPr>
          <w:rFonts w:ascii="Arial" w:eastAsia="Aptos" w:hAnsi="Arial" w:cs="Arial"/>
          <w:kern w:val="2"/>
        </w:rPr>
        <w:t>outputs of C</w:t>
      </w:r>
      <w:r w:rsidRPr="00385862">
        <w:rPr>
          <w:rFonts w:ascii="Arial" w:eastAsia="Aptos" w:hAnsi="Arial" w:cs="Arial"/>
          <w:kern w:val="2"/>
        </w:rPr>
        <w:t>ase</w:t>
      </w:r>
      <w:r w:rsidR="00EC4EEF">
        <w:rPr>
          <w:rFonts w:ascii="Arial" w:eastAsia="Aptos" w:hAnsi="Arial" w:cs="Arial"/>
          <w:kern w:val="2"/>
        </w:rPr>
        <w:t>s</w:t>
      </w:r>
      <w:r w:rsidRPr="00385862">
        <w:rPr>
          <w:rFonts w:ascii="Arial" w:eastAsia="Aptos" w:hAnsi="Arial" w:cs="Arial"/>
          <w:kern w:val="2"/>
        </w:rPr>
        <w:t xml:space="preserve"> 1 and 2 to explicitly isolate the impacts of the ASDC floor and address the lack of Ancillary Service Offer data available for the simulations.</w:t>
      </w:r>
    </w:p>
    <w:p w14:paraId="0E272ACE" w14:textId="0EC414DA" w:rsidR="00385862" w:rsidRDefault="00385862" w:rsidP="00D96341">
      <w:pPr>
        <w:spacing w:before="120" w:after="120" w:line="259" w:lineRule="auto"/>
        <w:jc w:val="both"/>
        <w:rPr>
          <w:rFonts w:ascii="Arial" w:eastAsia="Aptos" w:hAnsi="Arial" w:cs="Arial"/>
          <w:kern w:val="2"/>
        </w:rPr>
      </w:pPr>
      <w:r>
        <w:rPr>
          <w:rFonts w:ascii="Arial" w:eastAsia="Aptos" w:hAnsi="Arial" w:cs="Arial"/>
          <w:kern w:val="2"/>
        </w:rPr>
        <w:t>It</w:t>
      </w:r>
      <w:r w:rsidR="00EC4EEF">
        <w:rPr>
          <w:rFonts w:ascii="Arial" w:eastAsia="Aptos" w:hAnsi="Arial" w:cs="Arial"/>
          <w:kern w:val="2"/>
        </w:rPr>
        <w:t xml:space="preserve"> i</w:t>
      </w:r>
      <w:r>
        <w:rPr>
          <w:rFonts w:ascii="Arial" w:eastAsia="Aptos" w:hAnsi="Arial" w:cs="Arial"/>
          <w:kern w:val="2"/>
        </w:rPr>
        <w:t>s important to note that s</w:t>
      </w:r>
      <w:r w:rsidRPr="00385862">
        <w:rPr>
          <w:rFonts w:ascii="Arial" w:eastAsia="Aptos" w:hAnsi="Arial" w:cs="Arial"/>
          <w:kern w:val="2"/>
        </w:rPr>
        <w:t xml:space="preserve">imulations of historical </w:t>
      </w:r>
      <w:r w:rsidR="00EC4EEF">
        <w:rPr>
          <w:rFonts w:ascii="Arial" w:eastAsia="Aptos" w:hAnsi="Arial" w:cs="Arial"/>
          <w:kern w:val="2"/>
        </w:rPr>
        <w:t>Operating D</w:t>
      </w:r>
      <w:r w:rsidRPr="00385862">
        <w:rPr>
          <w:rFonts w:ascii="Arial" w:eastAsia="Aptos" w:hAnsi="Arial" w:cs="Arial"/>
          <w:kern w:val="2"/>
        </w:rPr>
        <w:t>ays are hampered by a lack of existing Real-Time Ancillary Service Offers</w:t>
      </w:r>
      <w:r>
        <w:rPr>
          <w:rFonts w:ascii="Arial" w:eastAsia="Aptos" w:hAnsi="Arial" w:cs="Arial"/>
          <w:kern w:val="2"/>
        </w:rPr>
        <w:t>, given that the market doesn’t currently operate with RTC</w:t>
      </w:r>
      <w:r w:rsidRPr="00385862">
        <w:rPr>
          <w:rFonts w:ascii="Arial" w:eastAsia="Aptos" w:hAnsi="Arial" w:cs="Arial"/>
          <w:kern w:val="2"/>
        </w:rPr>
        <w:t>.  This means that the simulation results can be dominated by proxy offers.</w:t>
      </w:r>
      <w:r w:rsidRPr="00385862">
        <w:t xml:space="preserve"> </w:t>
      </w:r>
      <w:r w:rsidRPr="00385862">
        <w:rPr>
          <w:rFonts w:ascii="Arial" w:eastAsia="Aptos" w:hAnsi="Arial" w:cs="Arial"/>
          <w:kern w:val="2"/>
        </w:rPr>
        <w:t xml:space="preserve">Combined, </w:t>
      </w:r>
      <w:r w:rsidR="00EC4EEF">
        <w:rPr>
          <w:rFonts w:ascii="Arial" w:eastAsia="Aptos" w:hAnsi="Arial" w:cs="Arial"/>
          <w:kern w:val="2"/>
        </w:rPr>
        <w:t>C</w:t>
      </w:r>
      <w:r w:rsidRPr="00385862">
        <w:rPr>
          <w:rFonts w:ascii="Arial" w:eastAsia="Aptos" w:hAnsi="Arial" w:cs="Arial"/>
          <w:kern w:val="2"/>
        </w:rPr>
        <w:t xml:space="preserve">ases 2 and 3 attempt to address this and provide the range of </w:t>
      </w:r>
      <w:r w:rsidRPr="00385862">
        <w:rPr>
          <w:rFonts w:ascii="Arial" w:eastAsia="Aptos" w:hAnsi="Arial" w:cs="Arial"/>
          <w:kern w:val="2"/>
        </w:rPr>
        <w:lastRenderedPageBreak/>
        <w:t xml:space="preserve">expected pricing outcomes with </w:t>
      </w:r>
      <w:r w:rsidR="00EC4EEF">
        <w:rPr>
          <w:rFonts w:ascii="Arial" w:eastAsia="Aptos" w:hAnsi="Arial" w:cs="Arial"/>
          <w:kern w:val="2"/>
        </w:rPr>
        <w:t>C</w:t>
      </w:r>
      <w:r>
        <w:rPr>
          <w:rFonts w:ascii="Arial" w:eastAsia="Aptos" w:hAnsi="Arial" w:cs="Arial"/>
          <w:kern w:val="2"/>
        </w:rPr>
        <w:t xml:space="preserve">ase 2 providing extreme estimate on the high end and </w:t>
      </w:r>
      <w:r w:rsidRPr="00385862">
        <w:rPr>
          <w:rFonts w:ascii="Arial" w:eastAsia="Aptos" w:hAnsi="Arial" w:cs="Arial"/>
          <w:kern w:val="2"/>
        </w:rPr>
        <w:t xml:space="preserve">actual outcomes falling in between </w:t>
      </w:r>
      <w:r>
        <w:rPr>
          <w:rFonts w:ascii="Arial" w:eastAsia="Aptos" w:hAnsi="Arial" w:cs="Arial"/>
          <w:kern w:val="2"/>
        </w:rPr>
        <w:t xml:space="preserve">the two </w:t>
      </w:r>
      <w:r w:rsidRPr="00385862">
        <w:rPr>
          <w:rFonts w:ascii="Arial" w:eastAsia="Aptos" w:hAnsi="Arial" w:cs="Arial"/>
          <w:kern w:val="2"/>
        </w:rPr>
        <w:t>and being dependent on offer behavior.</w:t>
      </w:r>
      <w:r>
        <w:rPr>
          <w:rFonts w:ascii="Arial" w:eastAsia="Aptos" w:hAnsi="Arial" w:cs="Arial"/>
          <w:kern w:val="2"/>
        </w:rPr>
        <w:t xml:space="preserve">  </w:t>
      </w:r>
    </w:p>
    <w:p w14:paraId="22473046" w14:textId="2B48AA21" w:rsidR="00BA6E13" w:rsidRDefault="00385862" w:rsidP="00D96341">
      <w:pPr>
        <w:spacing w:before="120" w:after="120" w:line="259" w:lineRule="auto"/>
        <w:jc w:val="both"/>
        <w:rPr>
          <w:rFonts w:ascii="Arial" w:eastAsia="Aptos" w:hAnsi="Arial" w:cs="Arial"/>
          <w:kern w:val="2"/>
        </w:rPr>
      </w:pPr>
      <w:r>
        <w:rPr>
          <w:rFonts w:ascii="Arial" w:eastAsia="Aptos" w:hAnsi="Arial" w:cs="Arial"/>
          <w:kern w:val="2"/>
        </w:rPr>
        <w:t xml:space="preserve">As can be seen in </w:t>
      </w:r>
      <w:r w:rsidR="00EC4EEF">
        <w:rPr>
          <w:rFonts w:ascii="Arial" w:eastAsia="Aptos" w:hAnsi="Arial" w:cs="Arial"/>
          <w:kern w:val="2"/>
        </w:rPr>
        <w:t>F</w:t>
      </w:r>
      <w:r>
        <w:rPr>
          <w:rFonts w:ascii="Arial" w:eastAsia="Aptos" w:hAnsi="Arial" w:cs="Arial"/>
          <w:kern w:val="2"/>
        </w:rPr>
        <w:t xml:space="preserve">igure 1, ASDC floors do not set the price </w:t>
      </w:r>
      <w:r w:rsidR="00BA6E13">
        <w:rPr>
          <w:rFonts w:ascii="Arial" w:eastAsia="Aptos" w:hAnsi="Arial" w:cs="Arial"/>
          <w:kern w:val="2"/>
        </w:rPr>
        <w:t xml:space="preserve">for </w:t>
      </w:r>
      <w:r w:rsidR="00C613A7">
        <w:rPr>
          <w:rFonts w:ascii="Arial" w:eastAsia="Aptos" w:hAnsi="Arial" w:cs="Arial"/>
          <w:kern w:val="2"/>
        </w:rPr>
        <w:t>AS</w:t>
      </w:r>
      <w:r w:rsidR="00BA6E13">
        <w:rPr>
          <w:rFonts w:ascii="Arial" w:eastAsia="Aptos" w:hAnsi="Arial" w:cs="Arial"/>
          <w:kern w:val="2"/>
        </w:rPr>
        <w:t xml:space="preserve"> for </w:t>
      </w:r>
      <w:r w:rsidR="001E351C">
        <w:rPr>
          <w:rFonts w:ascii="Arial" w:eastAsia="Aptos" w:hAnsi="Arial" w:cs="Arial"/>
          <w:kern w:val="2"/>
        </w:rPr>
        <w:t>most</w:t>
      </w:r>
      <w:r w:rsidR="00BA6E13">
        <w:rPr>
          <w:rFonts w:ascii="Arial" w:eastAsia="Aptos" w:hAnsi="Arial" w:cs="Arial"/>
          <w:kern w:val="2"/>
        </w:rPr>
        <w:t xml:space="preserve"> intervals.  </w:t>
      </w:r>
      <w:r w:rsidR="00BA6E13" w:rsidRPr="00BA6E13">
        <w:rPr>
          <w:rFonts w:ascii="Arial" w:eastAsia="Aptos" w:hAnsi="Arial" w:cs="Arial"/>
          <w:kern w:val="2"/>
        </w:rPr>
        <w:t>Across the full study window, the ASDC floor for ECRS or Non-Spin set the price for only 177 intervals (1.4%).</w:t>
      </w:r>
      <w:r w:rsidR="00BA6E13">
        <w:rPr>
          <w:rFonts w:ascii="Arial" w:eastAsia="Aptos" w:hAnsi="Arial" w:cs="Arial"/>
          <w:kern w:val="2"/>
        </w:rPr>
        <w:t xml:space="preserve">  For the remainder of intervals, </w:t>
      </w:r>
      <w:r w:rsidR="00C613A7">
        <w:rPr>
          <w:rFonts w:ascii="Arial" w:eastAsia="Aptos" w:hAnsi="Arial" w:cs="Arial"/>
          <w:kern w:val="2"/>
        </w:rPr>
        <w:t>AS</w:t>
      </w:r>
      <w:r w:rsidR="00BA6E13">
        <w:rPr>
          <w:rFonts w:ascii="Arial" w:eastAsia="Aptos" w:hAnsi="Arial" w:cs="Arial"/>
          <w:kern w:val="2"/>
        </w:rPr>
        <w:t xml:space="preserve"> prices are being driven either by market offers or other portions of the ASDC where the floor is not applicable.</w:t>
      </w:r>
    </w:p>
    <w:p w14:paraId="340B5305" w14:textId="2022EC15" w:rsidR="00385862" w:rsidRDefault="00BA6E13" w:rsidP="00BA6E13">
      <w:pPr>
        <w:spacing w:before="120" w:after="120" w:line="259" w:lineRule="auto"/>
        <w:jc w:val="center"/>
        <w:rPr>
          <w:rFonts w:ascii="Arial" w:eastAsia="Aptos" w:hAnsi="Arial" w:cs="Arial"/>
          <w:kern w:val="2"/>
        </w:rPr>
      </w:pPr>
      <w:r>
        <w:rPr>
          <w:noProof/>
        </w:rPr>
        <w:drawing>
          <wp:inline distT="0" distB="0" distL="0" distR="0" wp14:anchorId="76C79AF2" wp14:editId="4582363A">
            <wp:extent cx="4391025" cy="2583949"/>
            <wp:effectExtent l="0" t="0" r="0" b="6985"/>
            <wp:docPr id="205471163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1638" name="Picture 1" descr="Chart, line chart&#10;&#10;AI-generated content may be incorrect."/>
                    <pic:cNvPicPr/>
                  </pic:nvPicPr>
                  <pic:blipFill>
                    <a:blip r:embed="rId14"/>
                    <a:stretch>
                      <a:fillRect/>
                    </a:stretch>
                  </pic:blipFill>
                  <pic:spPr>
                    <a:xfrm>
                      <a:off x="0" y="0"/>
                      <a:ext cx="4407834" cy="2593841"/>
                    </a:xfrm>
                    <a:prstGeom prst="rect">
                      <a:avLst/>
                    </a:prstGeom>
                  </pic:spPr>
                </pic:pic>
              </a:graphicData>
            </a:graphic>
          </wp:inline>
        </w:drawing>
      </w:r>
    </w:p>
    <w:p w14:paraId="21CD5903" w14:textId="7A3AF112" w:rsidR="00BA6E13" w:rsidRPr="00BA6E13" w:rsidRDefault="00BA6E13" w:rsidP="00BA6E13">
      <w:pPr>
        <w:spacing w:before="120" w:after="120" w:line="259" w:lineRule="auto"/>
        <w:jc w:val="center"/>
        <w:rPr>
          <w:rFonts w:ascii="Arial" w:eastAsia="Aptos" w:hAnsi="Arial" w:cs="Arial"/>
          <w:i/>
          <w:iCs/>
          <w:kern w:val="2"/>
          <w:sz w:val="22"/>
          <w:szCs w:val="22"/>
        </w:rPr>
      </w:pPr>
      <w:r w:rsidRPr="00BA6E13">
        <w:rPr>
          <w:rFonts w:ascii="Arial" w:eastAsia="Aptos" w:hAnsi="Arial" w:cs="Arial"/>
          <w:i/>
          <w:iCs/>
          <w:kern w:val="2"/>
          <w:sz w:val="22"/>
          <w:szCs w:val="22"/>
        </w:rPr>
        <w:t>Figure 1</w:t>
      </w:r>
    </w:p>
    <w:p w14:paraId="04C4EF89" w14:textId="75C2131E" w:rsidR="00BA6E13" w:rsidRDefault="00BA6E13" w:rsidP="00D96341">
      <w:pPr>
        <w:spacing w:before="120" w:after="120" w:line="259" w:lineRule="auto"/>
        <w:jc w:val="both"/>
        <w:rPr>
          <w:rFonts w:ascii="Arial" w:eastAsia="Aptos" w:hAnsi="Arial" w:cs="Arial"/>
          <w:kern w:val="2"/>
        </w:rPr>
      </w:pPr>
      <w:r>
        <w:rPr>
          <w:rFonts w:ascii="Arial" w:eastAsia="Aptos" w:hAnsi="Arial" w:cs="Arial"/>
          <w:kern w:val="2"/>
        </w:rPr>
        <w:t xml:space="preserve">With the ASDC floors in place for the RTM, average hourly </w:t>
      </w:r>
      <w:r w:rsidR="00C76590">
        <w:rPr>
          <w:rFonts w:ascii="Arial" w:eastAsia="Aptos" w:hAnsi="Arial" w:cs="Arial"/>
          <w:kern w:val="2"/>
        </w:rPr>
        <w:t xml:space="preserve">procurement of ECRS and Non-Spin increases by approximately 92 MW (2.0%).  </w:t>
      </w:r>
      <w:r w:rsidR="00620C05">
        <w:rPr>
          <w:rFonts w:ascii="Arial" w:eastAsia="Aptos" w:hAnsi="Arial" w:cs="Arial"/>
          <w:kern w:val="2"/>
        </w:rPr>
        <w:t xml:space="preserve">A breakout by study month can be seen in </w:t>
      </w:r>
      <w:r w:rsidR="00EC4EEF">
        <w:rPr>
          <w:rFonts w:ascii="Arial" w:eastAsia="Aptos" w:hAnsi="Arial" w:cs="Arial"/>
          <w:kern w:val="2"/>
        </w:rPr>
        <w:t>F</w:t>
      </w:r>
      <w:r w:rsidR="00620C05">
        <w:rPr>
          <w:rFonts w:ascii="Arial" w:eastAsia="Aptos" w:hAnsi="Arial" w:cs="Arial"/>
          <w:kern w:val="2"/>
        </w:rPr>
        <w:t xml:space="preserve">igure 2.  </w:t>
      </w:r>
      <w:r w:rsidR="00C76590" w:rsidRPr="00C76590">
        <w:rPr>
          <w:rFonts w:ascii="Arial" w:eastAsia="Aptos" w:hAnsi="Arial" w:cs="Arial"/>
          <w:kern w:val="2"/>
        </w:rPr>
        <w:t xml:space="preserve">Procurement increases are for intervals where </w:t>
      </w:r>
      <w:r w:rsidR="00C613A7">
        <w:rPr>
          <w:rFonts w:ascii="Arial" w:eastAsia="Aptos" w:hAnsi="Arial" w:cs="Arial"/>
          <w:kern w:val="2"/>
        </w:rPr>
        <w:t>AS</w:t>
      </w:r>
      <w:r w:rsidR="00C76590">
        <w:rPr>
          <w:rFonts w:ascii="Arial" w:eastAsia="Aptos" w:hAnsi="Arial" w:cs="Arial"/>
          <w:kern w:val="2"/>
        </w:rPr>
        <w:t xml:space="preserve"> </w:t>
      </w:r>
      <w:r w:rsidR="00C76590" w:rsidRPr="00C76590">
        <w:rPr>
          <w:rFonts w:ascii="Arial" w:eastAsia="Aptos" w:hAnsi="Arial" w:cs="Arial"/>
          <w:kern w:val="2"/>
        </w:rPr>
        <w:t xml:space="preserve">shortages </w:t>
      </w:r>
      <w:r w:rsidR="00C76590">
        <w:rPr>
          <w:rFonts w:ascii="Arial" w:eastAsia="Aptos" w:hAnsi="Arial" w:cs="Arial"/>
          <w:kern w:val="2"/>
        </w:rPr>
        <w:t>are</w:t>
      </w:r>
      <w:r w:rsidR="00C76590" w:rsidRPr="00C76590">
        <w:rPr>
          <w:rFonts w:ascii="Arial" w:eastAsia="Aptos" w:hAnsi="Arial" w:cs="Arial"/>
          <w:kern w:val="2"/>
        </w:rPr>
        <w:t xml:space="preserve"> relatively marginal, i.e., not deeper levels of scarcity.</w:t>
      </w:r>
      <w:r w:rsidR="00C76590">
        <w:rPr>
          <w:rFonts w:ascii="Arial" w:eastAsia="Aptos" w:hAnsi="Arial" w:cs="Arial"/>
          <w:kern w:val="2"/>
        </w:rPr>
        <w:t xml:space="preserve">  </w:t>
      </w:r>
      <w:r w:rsidR="00C76590" w:rsidRPr="00C76590">
        <w:rPr>
          <w:rFonts w:ascii="Arial" w:eastAsia="Aptos" w:hAnsi="Arial" w:cs="Arial"/>
          <w:kern w:val="2"/>
        </w:rPr>
        <w:t>ASDC floors improve procurement amounts but shortages are not eliminated, and it should not be expected that all shortages are eliminated</w:t>
      </w:r>
      <w:r w:rsidR="00C76590">
        <w:rPr>
          <w:rFonts w:ascii="Arial" w:eastAsia="Aptos" w:hAnsi="Arial" w:cs="Arial"/>
          <w:kern w:val="2"/>
        </w:rPr>
        <w:t>.</w:t>
      </w:r>
    </w:p>
    <w:p w14:paraId="167CBF57" w14:textId="3A7AFCCE" w:rsidR="00BA6E13" w:rsidRDefault="00BA6E13" w:rsidP="00BA6E13">
      <w:pPr>
        <w:spacing w:before="120" w:after="120" w:line="259" w:lineRule="auto"/>
        <w:jc w:val="center"/>
        <w:rPr>
          <w:rFonts w:ascii="Arial" w:eastAsia="Aptos" w:hAnsi="Arial" w:cs="Arial"/>
          <w:kern w:val="2"/>
        </w:rPr>
      </w:pPr>
      <w:r>
        <w:rPr>
          <w:noProof/>
        </w:rPr>
        <w:lastRenderedPageBreak/>
        <w:drawing>
          <wp:inline distT="0" distB="0" distL="0" distR="0" wp14:anchorId="1B413FBB" wp14:editId="37FA3CD1">
            <wp:extent cx="4333875" cy="2560042"/>
            <wp:effectExtent l="0" t="0" r="0" b="0"/>
            <wp:docPr id="167891442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14428" name="Picture 1" descr="Chart, line chart&#10;&#10;AI-generated content may be incorrect."/>
                    <pic:cNvPicPr/>
                  </pic:nvPicPr>
                  <pic:blipFill>
                    <a:blip r:embed="rId15"/>
                    <a:stretch>
                      <a:fillRect/>
                    </a:stretch>
                  </pic:blipFill>
                  <pic:spPr>
                    <a:xfrm>
                      <a:off x="0" y="0"/>
                      <a:ext cx="4356773" cy="2573568"/>
                    </a:xfrm>
                    <a:prstGeom prst="rect">
                      <a:avLst/>
                    </a:prstGeom>
                  </pic:spPr>
                </pic:pic>
              </a:graphicData>
            </a:graphic>
          </wp:inline>
        </w:drawing>
      </w:r>
    </w:p>
    <w:p w14:paraId="110679C5" w14:textId="60A11014" w:rsidR="00BA6E13" w:rsidRPr="00BA6E13" w:rsidRDefault="00BA6E13" w:rsidP="00BA6E13">
      <w:pPr>
        <w:spacing w:before="120" w:after="120" w:line="259" w:lineRule="auto"/>
        <w:jc w:val="center"/>
        <w:rPr>
          <w:rFonts w:ascii="Arial" w:eastAsia="Aptos" w:hAnsi="Arial" w:cs="Arial"/>
          <w:i/>
          <w:iCs/>
          <w:kern w:val="2"/>
          <w:sz w:val="22"/>
          <w:szCs w:val="22"/>
        </w:rPr>
      </w:pPr>
      <w:r w:rsidRPr="00BA6E13">
        <w:rPr>
          <w:rFonts w:ascii="Arial" w:eastAsia="Aptos" w:hAnsi="Arial" w:cs="Arial"/>
          <w:i/>
          <w:iCs/>
          <w:kern w:val="2"/>
          <w:sz w:val="22"/>
          <w:szCs w:val="22"/>
        </w:rPr>
        <w:t>Figure 2</w:t>
      </w:r>
    </w:p>
    <w:p w14:paraId="128EFE57" w14:textId="5F96FB23" w:rsidR="00BA6E13" w:rsidRDefault="00620C05" w:rsidP="00D96341">
      <w:pPr>
        <w:spacing w:before="120" w:after="120" w:line="259" w:lineRule="auto"/>
        <w:jc w:val="both"/>
        <w:rPr>
          <w:rFonts w:ascii="Arial" w:eastAsia="Aptos" w:hAnsi="Arial" w:cs="Arial"/>
          <w:kern w:val="2"/>
        </w:rPr>
      </w:pPr>
      <w:r>
        <w:rPr>
          <w:rFonts w:ascii="Arial" w:eastAsia="Aptos" w:hAnsi="Arial" w:cs="Arial"/>
          <w:kern w:val="2"/>
        </w:rPr>
        <w:t xml:space="preserve">Figures 3 and 4 summarize prices and “value” impact for energy and each of the </w:t>
      </w:r>
      <w:r w:rsidR="00C613A7">
        <w:rPr>
          <w:rFonts w:ascii="Arial" w:eastAsia="Aptos" w:hAnsi="Arial" w:cs="Arial"/>
          <w:kern w:val="2"/>
        </w:rPr>
        <w:t>AS</w:t>
      </w:r>
      <w:r>
        <w:rPr>
          <w:rFonts w:ascii="Arial" w:eastAsia="Aptos" w:hAnsi="Arial" w:cs="Arial"/>
          <w:kern w:val="2"/>
        </w:rPr>
        <w:t xml:space="preserve"> for the full study period.  For this analysis, “value” is calculated as price multiplied by awards, either Base Points or </w:t>
      </w:r>
      <w:r w:rsidR="00C613A7">
        <w:rPr>
          <w:rFonts w:ascii="Arial" w:eastAsia="Aptos" w:hAnsi="Arial" w:cs="Arial"/>
          <w:kern w:val="2"/>
        </w:rPr>
        <w:t>AS</w:t>
      </w:r>
      <w:r>
        <w:rPr>
          <w:rFonts w:ascii="Arial" w:eastAsia="Aptos" w:hAnsi="Arial" w:cs="Arial"/>
          <w:kern w:val="2"/>
        </w:rPr>
        <w:t xml:space="preserve"> awards.</w:t>
      </w:r>
      <w:r w:rsidR="00AA2CB4">
        <w:rPr>
          <w:rFonts w:ascii="Arial" w:eastAsia="Aptos" w:hAnsi="Arial" w:cs="Arial"/>
          <w:kern w:val="2"/>
        </w:rPr>
        <w:t xml:space="preserve">  </w:t>
      </w:r>
      <w:r>
        <w:rPr>
          <w:rFonts w:ascii="Arial" w:eastAsia="Aptos" w:hAnsi="Arial" w:cs="Arial"/>
          <w:kern w:val="2"/>
        </w:rPr>
        <w:t xml:space="preserve"> </w:t>
      </w:r>
      <w:r w:rsidR="00AA2CB4" w:rsidRPr="00AA2CB4">
        <w:rPr>
          <w:rFonts w:ascii="Arial" w:eastAsia="Aptos" w:hAnsi="Arial" w:cs="Arial"/>
          <w:kern w:val="2"/>
        </w:rPr>
        <w:t xml:space="preserve">With the lack of Real-Time </w:t>
      </w:r>
      <w:r w:rsidR="00C613A7">
        <w:rPr>
          <w:rFonts w:ascii="Arial" w:eastAsia="Aptos" w:hAnsi="Arial" w:cs="Arial"/>
          <w:kern w:val="2"/>
        </w:rPr>
        <w:t>AS</w:t>
      </w:r>
      <w:r w:rsidR="00AA2CB4" w:rsidRPr="00AA2CB4">
        <w:rPr>
          <w:rFonts w:ascii="Arial" w:eastAsia="Aptos" w:hAnsi="Arial" w:cs="Arial"/>
          <w:kern w:val="2"/>
        </w:rPr>
        <w:t xml:space="preserve"> offers, </w:t>
      </w:r>
      <w:r w:rsidR="00326F4A">
        <w:rPr>
          <w:rFonts w:ascii="Arial" w:eastAsia="Aptos" w:hAnsi="Arial" w:cs="Arial"/>
          <w:kern w:val="2"/>
        </w:rPr>
        <w:t>C</w:t>
      </w:r>
      <w:r w:rsidR="00AA2CB4" w:rsidRPr="00AA2CB4">
        <w:rPr>
          <w:rFonts w:ascii="Arial" w:eastAsia="Aptos" w:hAnsi="Arial" w:cs="Arial"/>
          <w:kern w:val="2"/>
        </w:rPr>
        <w:t xml:space="preserve">ase 2 provides a higher-end evaluation of potential price changes.  Case 3 numbers provide the other end of the range of outcomes.  The increase in prices and values between </w:t>
      </w:r>
      <w:r w:rsidR="00326F4A">
        <w:rPr>
          <w:rFonts w:ascii="Arial" w:eastAsia="Aptos" w:hAnsi="Arial" w:cs="Arial"/>
          <w:kern w:val="2"/>
        </w:rPr>
        <w:t>C</w:t>
      </w:r>
      <w:r w:rsidR="00AA2CB4" w:rsidRPr="00AA2CB4">
        <w:rPr>
          <w:rFonts w:ascii="Arial" w:eastAsia="Aptos" w:hAnsi="Arial" w:cs="Arial"/>
          <w:kern w:val="2"/>
        </w:rPr>
        <w:t>ases 1 and 3 is negligible</w:t>
      </w:r>
      <w:r w:rsidR="00AA2CB4">
        <w:rPr>
          <w:rFonts w:ascii="Arial" w:eastAsia="Aptos" w:hAnsi="Arial" w:cs="Arial"/>
          <w:kern w:val="2"/>
        </w:rPr>
        <w:t xml:space="preserve">, with a combined estimated increase in energy and </w:t>
      </w:r>
      <w:r w:rsidR="00C613A7">
        <w:rPr>
          <w:rFonts w:ascii="Arial" w:eastAsia="Aptos" w:hAnsi="Arial" w:cs="Arial"/>
          <w:kern w:val="2"/>
        </w:rPr>
        <w:t>AS</w:t>
      </w:r>
      <w:r w:rsidR="00AA2CB4">
        <w:rPr>
          <w:rFonts w:ascii="Arial" w:eastAsia="Aptos" w:hAnsi="Arial" w:cs="Arial"/>
          <w:kern w:val="2"/>
        </w:rPr>
        <w:t xml:space="preserve"> value of 0.026%</w:t>
      </w:r>
      <w:r w:rsidR="00F651F3">
        <w:rPr>
          <w:rFonts w:ascii="Arial" w:eastAsia="Aptos" w:hAnsi="Arial" w:cs="Arial"/>
          <w:kern w:val="2"/>
        </w:rPr>
        <w:t xml:space="preserve">.  Even with </w:t>
      </w:r>
      <w:r w:rsidR="00326F4A">
        <w:rPr>
          <w:rFonts w:ascii="Arial" w:eastAsia="Aptos" w:hAnsi="Arial" w:cs="Arial"/>
          <w:kern w:val="2"/>
        </w:rPr>
        <w:t>C</w:t>
      </w:r>
      <w:r w:rsidR="00F651F3">
        <w:rPr>
          <w:rFonts w:ascii="Arial" w:eastAsia="Aptos" w:hAnsi="Arial" w:cs="Arial"/>
          <w:kern w:val="2"/>
        </w:rPr>
        <w:t>ase 2 providing a more extreme estimate, t</w:t>
      </w:r>
      <w:r w:rsidR="00F651F3" w:rsidRPr="00F651F3">
        <w:rPr>
          <w:rFonts w:ascii="Arial" w:eastAsia="Aptos" w:hAnsi="Arial" w:cs="Arial"/>
          <w:kern w:val="2"/>
        </w:rPr>
        <w:t>he change in overall prices and values is incremental with the percent increases in average energy prices and total energy value at 0.4% and 0.5%, respectively.</w:t>
      </w:r>
      <w:r w:rsidR="00F651F3">
        <w:rPr>
          <w:rFonts w:ascii="Arial" w:eastAsia="Aptos" w:hAnsi="Arial" w:cs="Arial"/>
          <w:kern w:val="2"/>
        </w:rPr>
        <w:t xml:space="preserve">  Looking at combined energy and </w:t>
      </w:r>
      <w:r w:rsidR="00C613A7">
        <w:rPr>
          <w:rFonts w:ascii="Arial" w:eastAsia="Aptos" w:hAnsi="Arial" w:cs="Arial"/>
          <w:kern w:val="2"/>
        </w:rPr>
        <w:t>AS</w:t>
      </w:r>
      <w:r w:rsidR="00F651F3">
        <w:rPr>
          <w:rFonts w:ascii="Arial" w:eastAsia="Aptos" w:hAnsi="Arial" w:cs="Arial"/>
          <w:kern w:val="2"/>
        </w:rPr>
        <w:t xml:space="preserve">, the </w:t>
      </w:r>
      <w:r w:rsidR="00326F4A">
        <w:rPr>
          <w:rFonts w:ascii="Arial" w:eastAsia="Aptos" w:hAnsi="Arial" w:cs="Arial"/>
          <w:kern w:val="2"/>
        </w:rPr>
        <w:t>C</w:t>
      </w:r>
      <w:r w:rsidR="00F651F3">
        <w:rPr>
          <w:rFonts w:ascii="Arial" w:eastAsia="Aptos" w:hAnsi="Arial" w:cs="Arial"/>
          <w:kern w:val="2"/>
        </w:rPr>
        <w:t>ase 2 estimate of increased value is 1.1%.</w:t>
      </w:r>
    </w:p>
    <w:p w14:paraId="3CCBA58C" w14:textId="4807EA0D" w:rsidR="00BA6E13" w:rsidRDefault="00BA6E13" w:rsidP="00BA6E13">
      <w:pPr>
        <w:spacing w:before="120" w:after="120" w:line="259" w:lineRule="auto"/>
        <w:jc w:val="center"/>
        <w:rPr>
          <w:rFonts w:ascii="Arial" w:eastAsia="Aptos" w:hAnsi="Arial" w:cs="Arial"/>
          <w:kern w:val="2"/>
        </w:rPr>
      </w:pPr>
      <w:r>
        <w:rPr>
          <w:noProof/>
        </w:rPr>
        <w:drawing>
          <wp:inline distT="0" distB="0" distL="0" distR="0" wp14:anchorId="72AADBF9" wp14:editId="699A0B9E">
            <wp:extent cx="3857278" cy="2357226"/>
            <wp:effectExtent l="0" t="0" r="0" b="5080"/>
            <wp:docPr id="1159298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98720" name=""/>
                    <pic:cNvPicPr/>
                  </pic:nvPicPr>
                  <pic:blipFill>
                    <a:blip r:embed="rId16"/>
                    <a:stretch>
                      <a:fillRect/>
                    </a:stretch>
                  </pic:blipFill>
                  <pic:spPr>
                    <a:xfrm>
                      <a:off x="0" y="0"/>
                      <a:ext cx="3866532" cy="2362881"/>
                    </a:xfrm>
                    <a:prstGeom prst="rect">
                      <a:avLst/>
                    </a:prstGeom>
                  </pic:spPr>
                </pic:pic>
              </a:graphicData>
            </a:graphic>
          </wp:inline>
        </w:drawing>
      </w:r>
    </w:p>
    <w:p w14:paraId="3D2E9B8E" w14:textId="37C4B5DA" w:rsidR="00BA6E13" w:rsidRDefault="00BA6E13" w:rsidP="00BA6E13">
      <w:pPr>
        <w:spacing w:before="120" w:after="120" w:line="259" w:lineRule="auto"/>
        <w:jc w:val="center"/>
        <w:rPr>
          <w:rFonts w:ascii="Arial" w:eastAsia="Aptos" w:hAnsi="Arial" w:cs="Arial"/>
          <w:i/>
          <w:iCs/>
          <w:kern w:val="2"/>
          <w:sz w:val="22"/>
          <w:szCs w:val="22"/>
        </w:rPr>
      </w:pPr>
      <w:r w:rsidRPr="00BA6E13">
        <w:rPr>
          <w:rFonts w:ascii="Arial" w:eastAsia="Aptos" w:hAnsi="Arial" w:cs="Arial"/>
          <w:i/>
          <w:iCs/>
          <w:kern w:val="2"/>
          <w:sz w:val="22"/>
          <w:szCs w:val="22"/>
        </w:rPr>
        <w:t>Figure 3</w:t>
      </w:r>
    </w:p>
    <w:p w14:paraId="1AD949F6" w14:textId="3E66AA84" w:rsidR="00BA6E13" w:rsidRDefault="00BA6E13" w:rsidP="00BA6E13">
      <w:pPr>
        <w:spacing w:before="120" w:after="120" w:line="259" w:lineRule="auto"/>
        <w:jc w:val="center"/>
        <w:rPr>
          <w:rFonts w:ascii="Arial" w:eastAsia="Aptos" w:hAnsi="Arial" w:cs="Arial"/>
          <w:kern w:val="2"/>
          <w:sz w:val="22"/>
          <w:szCs w:val="22"/>
        </w:rPr>
      </w:pPr>
      <w:r>
        <w:rPr>
          <w:noProof/>
        </w:rPr>
        <w:lastRenderedPageBreak/>
        <w:drawing>
          <wp:inline distT="0" distB="0" distL="0" distR="0" wp14:anchorId="03A859AE" wp14:editId="6C14AA6C">
            <wp:extent cx="4057650" cy="2425486"/>
            <wp:effectExtent l="0" t="0" r="0" b="0"/>
            <wp:docPr id="1417366022"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66022" name="Picture 1" descr="Chart, bar chart&#10;&#10;AI-generated content may be incorrect."/>
                    <pic:cNvPicPr/>
                  </pic:nvPicPr>
                  <pic:blipFill>
                    <a:blip r:embed="rId17"/>
                    <a:stretch>
                      <a:fillRect/>
                    </a:stretch>
                  </pic:blipFill>
                  <pic:spPr>
                    <a:xfrm>
                      <a:off x="0" y="0"/>
                      <a:ext cx="4079664" cy="2438645"/>
                    </a:xfrm>
                    <a:prstGeom prst="rect">
                      <a:avLst/>
                    </a:prstGeom>
                  </pic:spPr>
                </pic:pic>
              </a:graphicData>
            </a:graphic>
          </wp:inline>
        </w:drawing>
      </w:r>
    </w:p>
    <w:p w14:paraId="3B7EBDAE" w14:textId="3F6EB61F" w:rsidR="00BA6E13" w:rsidRDefault="00BA6E13" w:rsidP="00BA6E13">
      <w:pPr>
        <w:spacing w:before="120" w:after="120" w:line="259" w:lineRule="auto"/>
        <w:jc w:val="center"/>
        <w:rPr>
          <w:rFonts w:ascii="Arial" w:eastAsia="Aptos" w:hAnsi="Arial" w:cs="Arial"/>
          <w:i/>
          <w:iCs/>
          <w:kern w:val="2"/>
          <w:sz w:val="22"/>
          <w:szCs w:val="22"/>
        </w:rPr>
      </w:pPr>
      <w:r w:rsidRPr="00BA6E13">
        <w:rPr>
          <w:rFonts w:ascii="Arial" w:eastAsia="Aptos" w:hAnsi="Arial" w:cs="Arial"/>
          <w:i/>
          <w:iCs/>
          <w:kern w:val="2"/>
          <w:sz w:val="22"/>
          <w:szCs w:val="22"/>
        </w:rPr>
        <w:t>Figure 4</w:t>
      </w:r>
    </w:p>
    <w:p w14:paraId="72604501" w14:textId="28A9EDBF" w:rsidR="00BA6E13" w:rsidRDefault="00BA6E13" w:rsidP="00BA6E13">
      <w:pPr>
        <w:spacing w:before="120" w:after="120" w:line="259" w:lineRule="auto"/>
        <w:rPr>
          <w:rFonts w:ascii="Arial" w:eastAsia="Aptos" w:hAnsi="Arial" w:cs="Arial"/>
          <w:b/>
          <w:bCs/>
          <w:i/>
          <w:iCs/>
          <w:kern w:val="2"/>
        </w:rPr>
      </w:pPr>
      <w:r w:rsidRPr="00BA6E13">
        <w:rPr>
          <w:rFonts w:ascii="Arial" w:eastAsia="Aptos" w:hAnsi="Arial" w:cs="Arial"/>
          <w:b/>
          <w:bCs/>
          <w:i/>
          <w:iCs/>
          <w:kern w:val="2"/>
        </w:rPr>
        <w:t>Conclusions</w:t>
      </w:r>
      <w:r w:rsidR="00946808">
        <w:rPr>
          <w:rFonts w:ascii="Arial" w:eastAsia="Aptos" w:hAnsi="Arial" w:cs="Arial"/>
          <w:b/>
          <w:bCs/>
          <w:i/>
          <w:iCs/>
          <w:kern w:val="2"/>
        </w:rPr>
        <w:t xml:space="preserve"> on having an ASDC </w:t>
      </w:r>
      <w:r w:rsidR="00C84D37">
        <w:rPr>
          <w:rFonts w:ascii="Arial" w:eastAsia="Aptos" w:hAnsi="Arial" w:cs="Arial"/>
          <w:b/>
          <w:bCs/>
          <w:i/>
          <w:iCs/>
          <w:kern w:val="2"/>
        </w:rPr>
        <w:t>f</w:t>
      </w:r>
      <w:r w:rsidR="00946808">
        <w:rPr>
          <w:rFonts w:ascii="Arial" w:eastAsia="Aptos" w:hAnsi="Arial" w:cs="Arial"/>
          <w:b/>
          <w:bCs/>
          <w:i/>
          <w:iCs/>
          <w:kern w:val="2"/>
        </w:rPr>
        <w:t xml:space="preserve">loor in DAM </w:t>
      </w:r>
      <w:r w:rsidR="00E72E56">
        <w:rPr>
          <w:rFonts w:ascii="Arial" w:eastAsia="Aptos" w:hAnsi="Arial" w:cs="Arial"/>
          <w:b/>
          <w:bCs/>
          <w:i/>
          <w:iCs/>
          <w:kern w:val="2"/>
        </w:rPr>
        <w:t>and RTM</w:t>
      </w:r>
    </w:p>
    <w:p w14:paraId="66C3EF4E" w14:textId="78D6FC6A" w:rsidR="00BA6E13" w:rsidRDefault="00F651F3" w:rsidP="00D96341">
      <w:pPr>
        <w:spacing w:before="120" w:after="120" w:line="259" w:lineRule="auto"/>
        <w:jc w:val="both"/>
        <w:rPr>
          <w:rFonts w:ascii="Arial" w:eastAsia="Aptos" w:hAnsi="Arial" w:cs="Arial"/>
          <w:kern w:val="2"/>
        </w:rPr>
      </w:pPr>
      <w:r w:rsidRPr="00F651F3">
        <w:rPr>
          <w:rFonts w:ascii="Arial" w:eastAsia="Aptos" w:hAnsi="Arial" w:cs="Arial"/>
          <w:kern w:val="2"/>
        </w:rPr>
        <w:t xml:space="preserve">There is a legitimate concern that DAM and RTM pricing </w:t>
      </w:r>
      <w:r w:rsidR="006B38F0">
        <w:rPr>
          <w:rFonts w:ascii="Arial" w:eastAsia="Aptos" w:hAnsi="Arial" w:cs="Arial"/>
          <w:kern w:val="2"/>
        </w:rPr>
        <w:t xml:space="preserve">under RTC </w:t>
      </w:r>
      <w:r w:rsidRPr="00F651F3">
        <w:rPr>
          <w:rFonts w:ascii="Arial" w:eastAsia="Aptos" w:hAnsi="Arial" w:cs="Arial"/>
          <w:kern w:val="2"/>
        </w:rPr>
        <w:t>may be insufficient to incent</w:t>
      </w:r>
      <w:r w:rsidR="00326F4A">
        <w:rPr>
          <w:rFonts w:ascii="Arial" w:eastAsia="Aptos" w:hAnsi="Arial" w:cs="Arial"/>
          <w:kern w:val="2"/>
        </w:rPr>
        <w:t>ivize</w:t>
      </w:r>
      <w:r w:rsidRPr="00F651F3">
        <w:rPr>
          <w:rFonts w:ascii="Arial" w:eastAsia="Aptos" w:hAnsi="Arial" w:cs="Arial"/>
          <w:kern w:val="2"/>
        </w:rPr>
        <w:t xml:space="preserve"> self-commitment of Resources for the tail amounts of </w:t>
      </w:r>
      <w:r w:rsidR="00C613A7">
        <w:rPr>
          <w:rFonts w:ascii="Arial" w:eastAsia="Aptos" w:hAnsi="Arial" w:cs="Arial"/>
          <w:kern w:val="2"/>
        </w:rPr>
        <w:t>AS</w:t>
      </w:r>
      <w:r w:rsidRPr="00F651F3">
        <w:rPr>
          <w:rFonts w:ascii="Arial" w:eastAsia="Aptos" w:hAnsi="Arial" w:cs="Arial"/>
          <w:kern w:val="2"/>
        </w:rPr>
        <w:t xml:space="preserve"> </w:t>
      </w:r>
      <w:r w:rsidR="006B38F0">
        <w:rPr>
          <w:rFonts w:ascii="Arial" w:eastAsia="Aptos" w:hAnsi="Arial" w:cs="Arial"/>
          <w:kern w:val="2"/>
        </w:rPr>
        <w:t xml:space="preserve">required </w:t>
      </w:r>
      <w:r w:rsidRPr="00F651F3">
        <w:rPr>
          <w:rFonts w:ascii="Arial" w:eastAsia="Aptos" w:hAnsi="Arial" w:cs="Arial"/>
          <w:kern w:val="2"/>
        </w:rPr>
        <w:t xml:space="preserve">and </w:t>
      </w:r>
      <w:r w:rsidR="006B38F0">
        <w:rPr>
          <w:rFonts w:ascii="Arial" w:eastAsia="Aptos" w:hAnsi="Arial" w:cs="Arial"/>
          <w:kern w:val="2"/>
        </w:rPr>
        <w:t xml:space="preserve">accordingly </w:t>
      </w:r>
      <w:r w:rsidRPr="00F651F3">
        <w:rPr>
          <w:rFonts w:ascii="Arial" w:eastAsia="Aptos" w:hAnsi="Arial" w:cs="Arial"/>
          <w:kern w:val="2"/>
        </w:rPr>
        <w:t>lead to increased RUC instructions, even when there is sufficient Resource capability otherwise.  $15</w:t>
      </w:r>
      <w:r w:rsidR="00326F4A">
        <w:rPr>
          <w:rFonts w:ascii="Arial" w:eastAsia="Aptos" w:hAnsi="Arial" w:cs="Arial"/>
          <w:kern w:val="2"/>
        </w:rPr>
        <w:t xml:space="preserve"> per </w:t>
      </w:r>
      <w:r w:rsidRPr="00F651F3">
        <w:rPr>
          <w:rFonts w:ascii="Arial" w:eastAsia="Aptos" w:hAnsi="Arial" w:cs="Arial"/>
          <w:kern w:val="2"/>
        </w:rPr>
        <w:t xml:space="preserve">MW per hour is a relatively modest ASDC price for smaller levels of shortages and the impact to average overall prices is minimal.  The </w:t>
      </w:r>
      <w:r w:rsidR="00326F4A">
        <w:rPr>
          <w:rFonts w:ascii="Arial" w:eastAsia="Aptos" w:hAnsi="Arial" w:cs="Arial"/>
          <w:kern w:val="2"/>
        </w:rPr>
        <w:t xml:space="preserve">ASDC </w:t>
      </w:r>
      <w:r w:rsidRPr="00F651F3">
        <w:rPr>
          <w:rFonts w:ascii="Arial" w:eastAsia="Aptos" w:hAnsi="Arial" w:cs="Arial"/>
          <w:kern w:val="2"/>
        </w:rPr>
        <w:t xml:space="preserve">floors also help to </w:t>
      </w:r>
      <w:r w:rsidR="006B38F0">
        <w:rPr>
          <w:rFonts w:ascii="Arial" w:eastAsia="Aptos" w:hAnsi="Arial" w:cs="Arial"/>
          <w:kern w:val="2"/>
        </w:rPr>
        <w:t>decrease the</w:t>
      </w:r>
      <w:r w:rsidRPr="00F651F3">
        <w:rPr>
          <w:rFonts w:ascii="Arial" w:eastAsia="Aptos" w:hAnsi="Arial" w:cs="Arial"/>
          <w:kern w:val="2"/>
        </w:rPr>
        <w:t xml:space="preserve"> levels of </w:t>
      </w:r>
      <w:r w:rsidR="00C613A7">
        <w:rPr>
          <w:rFonts w:ascii="Arial" w:eastAsia="Aptos" w:hAnsi="Arial" w:cs="Arial"/>
          <w:kern w:val="2"/>
        </w:rPr>
        <w:t>AS</w:t>
      </w:r>
      <w:r w:rsidRPr="00F651F3">
        <w:rPr>
          <w:rFonts w:ascii="Arial" w:eastAsia="Aptos" w:hAnsi="Arial" w:cs="Arial"/>
          <w:kern w:val="2"/>
        </w:rPr>
        <w:t xml:space="preserve"> shortages when there are sufficient competitive offers.</w:t>
      </w:r>
      <w:r w:rsidRPr="00F651F3">
        <w:t xml:space="preserve"> </w:t>
      </w:r>
      <w:r w:rsidRPr="00F651F3">
        <w:rPr>
          <w:rFonts w:ascii="Arial" w:eastAsia="Aptos" w:hAnsi="Arial" w:cs="Arial"/>
          <w:kern w:val="2"/>
        </w:rPr>
        <w:t xml:space="preserve">For </w:t>
      </w:r>
      <w:r w:rsidR="006B38F0">
        <w:rPr>
          <w:rFonts w:ascii="Arial" w:eastAsia="Aptos" w:hAnsi="Arial" w:cs="Arial"/>
          <w:kern w:val="2"/>
        </w:rPr>
        <w:t>stakeholders</w:t>
      </w:r>
      <w:r w:rsidRPr="00F651F3">
        <w:rPr>
          <w:rFonts w:ascii="Arial" w:eastAsia="Aptos" w:hAnsi="Arial" w:cs="Arial"/>
          <w:kern w:val="2"/>
        </w:rPr>
        <w:t xml:space="preserve"> more concerned about the </w:t>
      </w:r>
      <w:r w:rsidR="00CB7558">
        <w:rPr>
          <w:rFonts w:ascii="Arial" w:eastAsia="Aptos" w:hAnsi="Arial" w:cs="Arial"/>
          <w:kern w:val="2"/>
        </w:rPr>
        <w:t xml:space="preserve">AS </w:t>
      </w:r>
      <w:r w:rsidRPr="00F651F3">
        <w:rPr>
          <w:rFonts w:ascii="Arial" w:eastAsia="Aptos" w:hAnsi="Arial" w:cs="Arial"/>
          <w:kern w:val="2"/>
        </w:rPr>
        <w:t xml:space="preserve">Plan quantities, a more thorough review of the process for determining these quantities is already underway.  </w:t>
      </w:r>
      <w:r w:rsidR="00075C2A">
        <w:rPr>
          <w:rFonts w:ascii="Arial" w:eastAsia="Aptos" w:hAnsi="Arial" w:cs="Arial"/>
          <w:kern w:val="2"/>
        </w:rPr>
        <w:t>In the event of a change to AS quantities,</w:t>
      </w:r>
      <w:r w:rsidR="00075C2A" w:rsidRPr="00F651F3">
        <w:rPr>
          <w:rFonts w:ascii="Arial" w:eastAsia="Aptos" w:hAnsi="Arial" w:cs="Arial"/>
          <w:kern w:val="2"/>
        </w:rPr>
        <w:t xml:space="preserve"> </w:t>
      </w:r>
      <w:r w:rsidR="00075C2A">
        <w:rPr>
          <w:rFonts w:ascii="Arial" w:eastAsia="Aptos" w:hAnsi="Arial" w:cs="Arial"/>
          <w:kern w:val="2"/>
        </w:rPr>
        <w:t>a</w:t>
      </w:r>
      <w:r w:rsidRPr="00F651F3">
        <w:rPr>
          <w:rFonts w:ascii="Arial" w:eastAsia="Aptos" w:hAnsi="Arial" w:cs="Arial"/>
          <w:kern w:val="2"/>
        </w:rPr>
        <w:t>ny ASDC floor that is applied would automatically adjust and have less effect on outcomes overall.</w:t>
      </w:r>
      <w:r>
        <w:rPr>
          <w:rFonts w:ascii="Arial" w:eastAsia="Aptos" w:hAnsi="Arial" w:cs="Arial"/>
          <w:kern w:val="2"/>
        </w:rPr>
        <w:t xml:space="preserve">  </w:t>
      </w:r>
      <w:r w:rsidR="00075C2A">
        <w:rPr>
          <w:rFonts w:ascii="Arial" w:eastAsia="Aptos" w:hAnsi="Arial" w:cs="Arial"/>
          <w:kern w:val="2"/>
        </w:rPr>
        <w:t xml:space="preserve">This is </w:t>
      </w:r>
      <w:r w:rsidR="006B38F0">
        <w:rPr>
          <w:rFonts w:ascii="Arial" w:eastAsia="Aptos" w:hAnsi="Arial" w:cs="Arial"/>
          <w:kern w:val="2"/>
        </w:rPr>
        <w:t>because</w:t>
      </w:r>
      <w:r w:rsidR="0078444E">
        <w:rPr>
          <w:rFonts w:ascii="Arial" w:eastAsia="Aptos" w:hAnsi="Arial" w:cs="Arial"/>
          <w:kern w:val="2"/>
        </w:rPr>
        <w:t xml:space="preserve"> </w:t>
      </w:r>
      <w:r w:rsidR="00075C2A">
        <w:rPr>
          <w:rFonts w:ascii="Arial" w:eastAsia="Aptos" w:hAnsi="Arial" w:cs="Arial"/>
          <w:kern w:val="2"/>
        </w:rPr>
        <w:t xml:space="preserve">the </w:t>
      </w:r>
      <w:r w:rsidR="007755F1">
        <w:rPr>
          <w:rFonts w:ascii="Arial" w:eastAsia="Aptos" w:hAnsi="Arial" w:cs="Arial"/>
          <w:kern w:val="2"/>
        </w:rPr>
        <w:t xml:space="preserve">point on the curve at which the </w:t>
      </w:r>
      <w:r w:rsidR="00075C2A">
        <w:rPr>
          <w:rFonts w:ascii="Arial" w:eastAsia="Aptos" w:hAnsi="Arial" w:cs="Arial"/>
          <w:kern w:val="2"/>
        </w:rPr>
        <w:t>ASDC floor</w:t>
      </w:r>
      <w:r w:rsidR="0078444E">
        <w:rPr>
          <w:rFonts w:ascii="Arial" w:eastAsia="Aptos" w:hAnsi="Arial" w:cs="Arial"/>
          <w:kern w:val="2"/>
        </w:rPr>
        <w:t xml:space="preserve"> </w:t>
      </w:r>
      <w:r w:rsidR="007755F1">
        <w:rPr>
          <w:rFonts w:ascii="Arial" w:eastAsia="Aptos" w:hAnsi="Arial" w:cs="Arial"/>
          <w:kern w:val="2"/>
        </w:rPr>
        <w:t xml:space="preserve">comes into effect </w:t>
      </w:r>
      <w:r w:rsidR="0078444E">
        <w:rPr>
          <w:rFonts w:ascii="Arial" w:eastAsia="Aptos" w:hAnsi="Arial" w:cs="Arial"/>
          <w:kern w:val="2"/>
        </w:rPr>
        <w:t>is a function of the total quantity</w:t>
      </w:r>
      <w:r w:rsidR="00CB7558">
        <w:rPr>
          <w:rFonts w:ascii="Arial" w:eastAsia="Aptos" w:hAnsi="Arial" w:cs="Arial"/>
          <w:kern w:val="2"/>
        </w:rPr>
        <w:t xml:space="preserve"> of the AS Plan</w:t>
      </w:r>
      <w:r w:rsidR="0078444E">
        <w:rPr>
          <w:rFonts w:ascii="Arial" w:eastAsia="Aptos" w:hAnsi="Arial" w:cs="Arial"/>
          <w:kern w:val="2"/>
        </w:rPr>
        <w:t xml:space="preserve">.  If the total </w:t>
      </w:r>
      <w:r w:rsidR="00CB7558">
        <w:rPr>
          <w:rFonts w:ascii="Arial" w:eastAsia="Aptos" w:hAnsi="Arial" w:cs="Arial"/>
          <w:kern w:val="2"/>
        </w:rPr>
        <w:t xml:space="preserve">AS Plan </w:t>
      </w:r>
      <w:r w:rsidR="0078444E">
        <w:rPr>
          <w:rFonts w:ascii="Arial" w:eastAsia="Aptos" w:hAnsi="Arial" w:cs="Arial"/>
          <w:kern w:val="2"/>
        </w:rPr>
        <w:t xml:space="preserve">quantity required </w:t>
      </w:r>
      <w:r w:rsidR="006B38F0">
        <w:rPr>
          <w:rFonts w:ascii="Arial" w:eastAsia="Aptos" w:hAnsi="Arial" w:cs="Arial"/>
          <w:kern w:val="2"/>
        </w:rPr>
        <w:t>decreases</w:t>
      </w:r>
      <w:r w:rsidR="0078444E">
        <w:rPr>
          <w:rFonts w:ascii="Arial" w:eastAsia="Aptos" w:hAnsi="Arial" w:cs="Arial"/>
          <w:kern w:val="2"/>
        </w:rPr>
        <w:t>, then the price floor will automatically reflect the new requirement level</w:t>
      </w:r>
      <w:r w:rsidR="007755F1">
        <w:rPr>
          <w:rFonts w:ascii="Arial" w:eastAsia="Aptos" w:hAnsi="Arial" w:cs="Arial"/>
          <w:kern w:val="2"/>
        </w:rPr>
        <w:t xml:space="preserve"> because th</w:t>
      </w:r>
      <w:r w:rsidR="00B37C38">
        <w:rPr>
          <w:rFonts w:ascii="Arial" w:eastAsia="Aptos" w:hAnsi="Arial" w:cs="Arial"/>
          <w:kern w:val="2"/>
        </w:rPr>
        <w:t>at point may meet the curve at a point at which the floor does not apply</w:t>
      </w:r>
      <w:r w:rsidR="0078444E">
        <w:rPr>
          <w:rFonts w:ascii="Arial" w:eastAsia="Aptos" w:hAnsi="Arial" w:cs="Arial"/>
          <w:kern w:val="2"/>
        </w:rPr>
        <w:t>.</w:t>
      </w:r>
      <w:r w:rsidR="00137007">
        <w:rPr>
          <w:rFonts w:ascii="Arial" w:eastAsia="Aptos" w:hAnsi="Arial" w:cs="Arial"/>
          <w:kern w:val="2"/>
        </w:rPr>
        <w:t xml:space="preserve">  For instance, if the </w:t>
      </w:r>
      <w:r w:rsidR="00CB7558">
        <w:rPr>
          <w:rFonts w:ascii="Arial" w:eastAsia="Aptos" w:hAnsi="Arial" w:cs="Arial"/>
          <w:kern w:val="2"/>
        </w:rPr>
        <w:t xml:space="preserve">AS Plan </w:t>
      </w:r>
      <w:r w:rsidR="00137007">
        <w:rPr>
          <w:rFonts w:ascii="Arial" w:eastAsia="Aptos" w:hAnsi="Arial" w:cs="Arial"/>
          <w:kern w:val="2"/>
        </w:rPr>
        <w:t>quantity of reserves were adjust</w:t>
      </w:r>
      <w:r w:rsidR="006B38F0">
        <w:rPr>
          <w:rFonts w:ascii="Arial" w:eastAsia="Aptos" w:hAnsi="Arial" w:cs="Arial"/>
          <w:kern w:val="2"/>
        </w:rPr>
        <w:t>ed</w:t>
      </w:r>
      <w:r w:rsidR="00137007">
        <w:rPr>
          <w:rFonts w:ascii="Arial" w:eastAsia="Aptos" w:hAnsi="Arial" w:cs="Arial"/>
          <w:kern w:val="2"/>
        </w:rPr>
        <w:t xml:space="preserve"> down from 10,000 MW to 9,250 MW, the ASDC floor would not go beyond a quantity of 9,250 MW.</w:t>
      </w:r>
      <w:r w:rsidR="0078444E">
        <w:rPr>
          <w:rFonts w:ascii="Arial" w:eastAsia="Aptos" w:hAnsi="Arial" w:cs="Arial"/>
          <w:kern w:val="2"/>
        </w:rPr>
        <w:t xml:space="preserve">  </w:t>
      </w:r>
      <w:r>
        <w:rPr>
          <w:rFonts w:ascii="Arial" w:eastAsia="Aptos" w:hAnsi="Arial" w:cs="Arial"/>
          <w:kern w:val="2"/>
        </w:rPr>
        <w:t>For these reasons, ERCOT staff supports the version of NPRR</w:t>
      </w:r>
      <w:r w:rsidR="006B38F0">
        <w:rPr>
          <w:rFonts w:ascii="Arial" w:eastAsia="Aptos" w:hAnsi="Arial" w:cs="Arial"/>
          <w:kern w:val="2"/>
        </w:rPr>
        <w:t>12</w:t>
      </w:r>
      <w:r>
        <w:rPr>
          <w:rFonts w:ascii="Arial" w:eastAsia="Aptos" w:hAnsi="Arial" w:cs="Arial"/>
          <w:kern w:val="2"/>
        </w:rPr>
        <w:t>69 passed by TAC, specifically the concept of applying the ASDC floor of $15</w:t>
      </w:r>
      <w:r w:rsidR="006B38F0">
        <w:rPr>
          <w:rFonts w:ascii="Arial" w:eastAsia="Aptos" w:hAnsi="Arial" w:cs="Arial"/>
          <w:kern w:val="2"/>
        </w:rPr>
        <w:t xml:space="preserve"> per </w:t>
      </w:r>
      <w:r>
        <w:rPr>
          <w:rFonts w:ascii="Arial" w:eastAsia="Aptos" w:hAnsi="Arial" w:cs="Arial"/>
          <w:kern w:val="2"/>
        </w:rPr>
        <w:t xml:space="preserve">MW per hour to the DAM and RTM.  </w:t>
      </w:r>
    </w:p>
    <w:p w14:paraId="76186FE4" w14:textId="2F16A9FB" w:rsidR="00C622C6" w:rsidRPr="00B20E19" w:rsidRDefault="00C622C6" w:rsidP="00D96341">
      <w:pPr>
        <w:spacing w:before="120" w:after="120" w:line="259" w:lineRule="auto"/>
        <w:jc w:val="both"/>
        <w:rPr>
          <w:rFonts w:ascii="Arial" w:eastAsia="Aptos" w:hAnsi="Arial" w:cs="Arial"/>
          <w:b/>
          <w:bCs/>
          <w:i/>
          <w:iCs/>
          <w:kern w:val="2"/>
        </w:rPr>
      </w:pPr>
      <w:r>
        <w:rPr>
          <w:rFonts w:ascii="Arial" w:eastAsia="Aptos" w:hAnsi="Arial" w:cs="Arial"/>
          <w:b/>
          <w:bCs/>
          <w:i/>
          <w:iCs/>
          <w:kern w:val="2"/>
        </w:rPr>
        <w:t xml:space="preserve">ERCOT’s perspective on the AS </w:t>
      </w:r>
      <w:r w:rsidR="00C84D37">
        <w:rPr>
          <w:rFonts w:ascii="Arial" w:eastAsia="Aptos" w:hAnsi="Arial" w:cs="Arial"/>
          <w:b/>
          <w:bCs/>
          <w:i/>
          <w:iCs/>
          <w:kern w:val="2"/>
        </w:rPr>
        <w:t>p</w:t>
      </w:r>
      <w:r>
        <w:rPr>
          <w:rFonts w:ascii="Arial" w:eastAsia="Aptos" w:hAnsi="Arial" w:cs="Arial"/>
          <w:b/>
          <w:bCs/>
          <w:i/>
          <w:iCs/>
          <w:kern w:val="2"/>
        </w:rPr>
        <w:t xml:space="preserve">roxy floor </w:t>
      </w:r>
    </w:p>
    <w:p w14:paraId="1A93D2C4" w14:textId="6C05C4C7" w:rsidR="00C622C6" w:rsidRDefault="00C622C6" w:rsidP="00D96341">
      <w:pPr>
        <w:spacing w:before="120" w:after="120" w:line="259" w:lineRule="auto"/>
        <w:jc w:val="both"/>
        <w:rPr>
          <w:rFonts w:ascii="Arial" w:eastAsia="Aptos" w:hAnsi="Arial" w:cs="Arial"/>
          <w:kern w:val="2"/>
        </w:rPr>
      </w:pPr>
      <w:r>
        <w:rPr>
          <w:rFonts w:ascii="Arial" w:eastAsia="Aptos" w:hAnsi="Arial" w:cs="Arial"/>
          <w:kern w:val="2"/>
        </w:rPr>
        <w:t>P</w:t>
      </w:r>
      <w:r w:rsidRPr="00C622C6">
        <w:rPr>
          <w:rFonts w:ascii="Arial" w:eastAsia="Aptos" w:hAnsi="Arial" w:cs="Arial"/>
          <w:kern w:val="2"/>
        </w:rPr>
        <w:t xml:space="preserve">roxy offer </w:t>
      </w:r>
      <w:r>
        <w:rPr>
          <w:rFonts w:ascii="Arial" w:eastAsia="Aptos" w:hAnsi="Arial" w:cs="Arial"/>
          <w:kern w:val="2"/>
        </w:rPr>
        <w:t>floors are</w:t>
      </w:r>
      <w:r w:rsidRPr="00C622C6">
        <w:rPr>
          <w:rFonts w:ascii="Arial" w:eastAsia="Aptos" w:hAnsi="Arial" w:cs="Arial"/>
          <w:kern w:val="2"/>
        </w:rPr>
        <w:t xml:space="preserve"> needed when an offer is missing</w:t>
      </w:r>
      <w:r w:rsidR="008B5947">
        <w:rPr>
          <w:rFonts w:ascii="Arial" w:eastAsia="Aptos" w:hAnsi="Arial" w:cs="Arial"/>
          <w:kern w:val="2"/>
        </w:rPr>
        <w:t xml:space="preserve"> or does not cover the full capability of a Resource</w:t>
      </w:r>
      <w:r w:rsidRPr="00C622C6">
        <w:rPr>
          <w:rFonts w:ascii="Arial" w:eastAsia="Aptos" w:hAnsi="Arial" w:cs="Arial"/>
          <w:kern w:val="2"/>
        </w:rPr>
        <w:t>.</w:t>
      </w:r>
      <w:r>
        <w:rPr>
          <w:rFonts w:ascii="Arial" w:eastAsia="Aptos" w:hAnsi="Arial" w:cs="Arial"/>
          <w:kern w:val="2"/>
        </w:rPr>
        <w:t xml:space="preserve">  The concept of a proxy offer exists in </w:t>
      </w:r>
      <w:r w:rsidR="00C84D37">
        <w:rPr>
          <w:rFonts w:ascii="Arial" w:eastAsia="Aptos" w:hAnsi="Arial" w:cs="Arial"/>
          <w:kern w:val="2"/>
        </w:rPr>
        <w:t>the current RTM</w:t>
      </w:r>
      <w:r>
        <w:rPr>
          <w:rFonts w:ascii="Arial" w:eastAsia="Aptos" w:hAnsi="Arial" w:cs="Arial"/>
          <w:kern w:val="2"/>
        </w:rPr>
        <w:t xml:space="preserve"> and is used when an </w:t>
      </w:r>
      <w:r w:rsidR="00C84D37">
        <w:rPr>
          <w:rFonts w:ascii="Arial" w:eastAsia="Aptos" w:hAnsi="Arial" w:cs="Arial"/>
          <w:kern w:val="2"/>
        </w:rPr>
        <w:t>E</w:t>
      </w:r>
      <w:r>
        <w:rPr>
          <w:rFonts w:ascii="Arial" w:eastAsia="Aptos" w:hAnsi="Arial" w:cs="Arial"/>
          <w:kern w:val="2"/>
        </w:rPr>
        <w:t xml:space="preserve">nergy </w:t>
      </w:r>
      <w:r w:rsidR="00C84D37">
        <w:rPr>
          <w:rFonts w:ascii="Arial" w:eastAsia="Aptos" w:hAnsi="Arial" w:cs="Arial"/>
          <w:kern w:val="2"/>
        </w:rPr>
        <w:t>O</w:t>
      </w:r>
      <w:r>
        <w:rPr>
          <w:rFonts w:ascii="Arial" w:eastAsia="Aptos" w:hAnsi="Arial" w:cs="Arial"/>
          <w:kern w:val="2"/>
        </w:rPr>
        <w:t xml:space="preserve">ffer </w:t>
      </w:r>
      <w:r w:rsidR="00C84D37">
        <w:rPr>
          <w:rFonts w:ascii="Arial" w:eastAsia="Aptos" w:hAnsi="Arial" w:cs="Arial"/>
          <w:kern w:val="2"/>
        </w:rPr>
        <w:t>C</w:t>
      </w:r>
      <w:r>
        <w:rPr>
          <w:rFonts w:ascii="Arial" w:eastAsia="Aptos" w:hAnsi="Arial" w:cs="Arial"/>
          <w:kern w:val="2"/>
        </w:rPr>
        <w:t xml:space="preserve">urve is missing or incomplete </w:t>
      </w:r>
      <w:r w:rsidRPr="00C622C6">
        <w:rPr>
          <w:rFonts w:ascii="Arial" w:eastAsia="Aptos" w:hAnsi="Arial" w:cs="Arial"/>
          <w:kern w:val="2"/>
        </w:rPr>
        <w:t>due to human or technical issues.</w:t>
      </w:r>
      <w:r>
        <w:rPr>
          <w:rFonts w:ascii="Arial" w:eastAsia="Aptos" w:hAnsi="Arial" w:cs="Arial"/>
          <w:kern w:val="2"/>
        </w:rPr>
        <w:t xml:space="preserve"> </w:t>
      </w:r>
      <w:r w:rsidRPr="00C622C6">
        <w:rPr>
          <w:rFonts w:ascii="Arial" w:eastAsia="Aptos" w:hAnsi="Arial" w:cs="Arial"/>
          <w:kern w:val="2"/>
        </w:rPr>
        <w:t xml:space="preserve">The </w:t>
      </w:r>
      <w:r w:rsidR="006A5212">
        <w:rPr>
          <w:rFonts w:ascii="Arial" w:eastAsia="Aptos" w:hAnsi="Arial" w:cs="Arial"/>
          <w:kern w:val="2"/>
        </w:rPr>
        <w:t>Independent Market Monitor (</w:t>
      </w:r>
      <w:r w:rsidRPr="00C622C6">
        <w:rPr>
          <w:rFonts w:ascii="Arial" w:eastAsia="Aptos" w:hAnsi="Arial" w:cs="Arial"/>
          <w:kern w:val="2"/>
        </w:rPr>
        <w:t>IMM</w:t>
      </w:r>
      <w:r w:rsidR="006A5212">
        <w:rPr>
          <w:rFonts w:ascii="Arial" w:eastAsia="Aptos" w:hAnsi="Arial" w:cs="Arial"/>
          <w:kern w:val="2"/>
        </w:rPr>
        <w:t>)</w:t>
      </w:r>
      <w:r w:rsidRPr="00C622C6">
        <w:rPr>
          <w:rFonts w:ascii="Arial" w:eastAsia="Aptos" w:hAnsi="Arial" w:cs="Arial"/>
          <w:kern w:val="2"/>
        </w:rPr>
        <w:t xml:space="preserve"> noted that missing offers generally have </w:t>
      </w:r>
      <w:r>
        <w:rPr>
          <w:rFonts w:ascii="Arial" w:eastAsia="Aptos" w:hAnsi="Arial" w:cs="Arial"/>
          <w:kern w:val="2"/>
        </w:rPr>
        <w:t xml:space="preserve">historically </w:t>
      </w:r>
      <w:r w:rsidRPr="00C622C6">
        <w:rPr>
          <w:rFonts w:ascii="Arial" w:eastAsia="Aptos" w:hAnsi="Arial" w:cs="Arial"/>
          <w:kern w:val="2"/>
        </w:rPr>
        <w:t xml:space="preserve">been a limited issue and has agreed to </w:t>
      </w:r>
      <w:r>
        <w:rPr>
          <w:rFonts w:ascii="Arial" w:eastAsia="Aptos" w:hAnsi="Arial" w:cs="Arial"/>
          <w:kern w:val="2"/>
        </w:rPr>
        <w:t xml:space="preserve">report on </w:t>
      </w:r>
      <w:r w:rsidRPr="00C622C6">
        <w:rPr>
          <w:rFonts w:ascii="Arial" w:eastAsia="Aptos" w:hAnsi="Arial" w:cs="Arial"/>
          <w:kern w:val="2"/>
        </w:rPr>
        <w:t>missing offers.</w:t>
      </w:r>
      <w:r>
        <w:rPr>
          <w:rFonts w:ascii="Arial" w:eastAsia="Aptos" w:hAnsi="Arial" w:cs="Arial"/>
          <w:kern w:val="2"/>
        </w:rPr>
        <w:t xml:space="preserve">  </w:t>
      </w:r>
    </w:p>
    <w:p w14:paraId="4F160680" w14:textId="6E147317" w:rsidR="00C622C6" w:rsidRPr="00C622C6" w:rsidRDefault="00C622C6" w:rsidP="00D96341">
      <w:pPr>
        <w:spacing w:before="120" w:after="120" w:line="259" w:lineRule="auto"/>
        <w:jc w:val="both"/>
        <w:rPr>
          <w:rFonts w:ascii="Arial" w:eastAsia="Aptos" w:hAnsi="Arial" w:cs="Arial"/>
          <w:kern w:val="2"/>
        </w:rPr>
      </w:pPr>
      <w:r w:rsidRPr="00C622C6">
        <w:rPr>
          <w:rFonts w:ascii="Arial" w:eastAsia="Aptos" w:hAnsi="Arial" w:cs="Arial"/>
          <w:kern w:val="2"/>
        </w:rPr>
        <w:lastRenderedPageBreak/>
        <w:t xml:space="preserve">The proposed </w:t>
      </w:r>
      <w:r w:rsidR="00BF5CEC">
        <w:rPr>
          <w:rFonts w:ascii="Arial" w:eastAsia="Aptos" w:hAnsi="Arial" w:cs="Arial"/>
          <w:kern w:val="2"/>
        </w:rPr>
        <w:t xml:space="preserve">AS </w:t>
      </w:r>
      <w:r w:rsidRPr="00C622C6">
        <w:rPr>
          <w:rFonts w:ascii="Arial" w:eastAsia="Aptos" w:hAnsi="Arial" w:cs="Arial"/>
          <w:kern w:val="2"/>
        </w:rPr>
        <w:t xml:space="preserve">proxy </w:t>
      </w:r>
      <w:r>
        <w:rPr>
          <w:rFonts w:ascii="Arial" w:eastAsia="Aptos" w:hAnsi="Arial" w:cs="Arial"/>
          <w:kern w:val="2"/>
        </w:rPr>
        <w:t xml:space="preserve">offer floor </w:t>
      </w:r>
      <w:r w:rsidRPr="00C622C6">
        <w:rPr>
          <w:rFonts w:ascii="Arial" w:eastAsia="Aptos" w:hAnsi="Arial" w:cs="Arial"/>
          <w:kern w:val="2"/>
        </w:rPr>
        <w:t xml:space="preserve">in NPRR 1269 </w:t>
      </w:r>
      <w:r>
        <w:rPr>
          <w:rFonts w:ascii="Arial" w:eastAsia="Aptos" w:hAnsi="Arial" w:cs="Arial"/>
          <w:kern w:val="2"/>
        </w:rPr>
        <w:t xml:space="preserve">as approved by TAC is </w:t>
      </w:r>
      <w:r w:rsidRPr="00C622C6">
        <w:rPr>
          <w:rFonts w:ascii="Arial" w:eastAsia="Aptos" w:hAnsi="Arial" w:cs="Arial"/>
          <w:kern w:val="2"/>
        </w:rPr>
        <w:t>a compromise that strike</w:t>
      </w:r>
      <w:r>
        <w:rPr>
          <w:rFonts w:ascii="Arial" w:eastAsia="Aptos" w:hAnsi="Arial" w:cs="Arial"/>
          <w:kern w:val="2"/>
        </w:rPr>
        <w:t>s</w:t>
      </w:r>
      <w:r w:rsidRPr="00C622C6">
        <w:rPr>
          <w:rFonts w:ascii="Arial" w:eastAsia="Aptos" w:hAnsi="Arial" w:cs="Arial"/>
          <w:kern w:val="2"/>
        </w:rPr>
        <w:t xml:space="preserve"> a balance between concerns raised by </w:t>
      </w:r>
      <w:r w:rsidR="00C84D37">
        <w:rPr>
          <w:rFonts w:ascii="Arial" w:eastAsia="Aptos" w:hAnsi="Arial" w:cs="Arial"/>
          <w:kern w:val="2"/>
        </w:rPr>
        <w:t>various</w:t>
      </w:r>
      <w:r w:rsidRPr="00C622C6">
        <w:rPr>
          <w:rFonts w:ascii="Arial" w:eastAsia="Aptos" w:hAnsi="Arial" w:cs="Arial"/>
          <w:kern w:val="2"/>
        </w:rPr>
        <w:t xml:space="preserve"> stakeholders.</w:t>
      </w:r>
      <w:r w:rsidR="00C84D37">
        <w:rPr>
          <w:rFonts w:ascii="Arial" w:eastAsia="Aptos" w:hAnsi="Arial" w:cs="Arial"/>
          <w:kern w:val="2"/>
        </w:rPr>
        <w:t xml:space="preserve">  For context:</w:t>
      </w:r>
    </w:p>
    <w:p w14:paraId="1B043A2A" w14:textId="36B5CF7D" w:rsidR="00C622C6" w:rsidRPr="00C622C6" w:rsidRDefault="00C622C6" w:rsidP="00D96341">
      <w:pPr>
        <w:pStyle w:val="ListParagraph"/>
        <w:numPr>
          <w:ilvl w:val="0"/>
          <w:numId w:val="12"/>
        </w:numPr>
        <w:spacing w:before="120" w:after="120" w:line="259" w:lineRule="auto"/>
        <w:jc w:val="both"/>
        <w:rPr>
          <w:rFonts w:ascii="Arial" w:eastAsia="Aptos" w:hAnsi="Arial" w:cs="Arial"/>
          <w:kern w:val="2"/>
        </w:rPr>
      </w:pPr>
      <w:r w:rsidRPr="00C622C6">
        <w:rPr>
          <w:rFonts w:ascii="Arial" w:eastAsia="Aptos" w:hAnsi="Arial" w:cs="Arial"/>
          <w:kern w:val="2"/>
        </w:rPr>
        <w:t>ERCOT staff originally proposed a</w:t>
      </w:r>
      <w:r w:rsidR="00DE30E5">
        <w:rPr>
          <w:rFonts w:ascii="Arial" w:eastAsia="Aptos" w:hAnsi="Arial" w:cs="Arial"/>
          <w:kern w:val="2"/>
        </w:rPr>
        <w:t>n AS</w:t>
      </w:r>
      <w:r w:rsidRPr="00C622C6">
        <w:rPr>
          <w:rFonts w:ascii="Arial" w:eastAsia="Aptos" w:hAnsi="Arial" w:cs="Arial"/>
          <w:kern w:val="2"/>
        </w:rPr>
        <w:t xml:space="preserve"> proxy offer of $0</w:t>
      </w:r>
      <w:r w:rsidR="00C84D37">
        <w:rPr>
          <w:rFonts w:ascii="Arial" w:eastAsia="Aptos" w:hAnsi="Arial" w:cs="Arial"/>
          <w:kern w:val="2"/>
        </w:rPr>
        <w:t xml:space="preserve"> per </w:t>
      </w:r>
      <w:r w:rsidRPr="00C622C6">
        <w:rPr>
          <w:rFonts w:ascii="Arial" w:eastAsia="Aptos" w:hAnsi="Arial" w:cs="Arial"/>
          <w:kern w:val="2"/>
        </w:rPr>
        <w:t>MW</w:t>
      </w:r>
      <w:r w:rsidR="00782503">
        <w:rPr>
          <w:rFonts w:ascii="Arial" w:eastAsia="Aptos" w:hAnsi="Arial" w:cs="Arial"/>
          <w:kern w:val="2"/>
        </w:rPr>
        <w:t xml:space="preserve"> per hour</w:t>
      </w:r>
      <w:r w:rsidRPr="00C622C6">
        <w:rPr>
          <w:rFonts w:ascii="Arial" w:eastAsia="Aptos" w:hAnsi="Arial" w:cs="Arial"/>
          <w:kern w:val="2"/>
        </w:rPr>
        <w:t>.</w:t>
      </w:r>
    </w:p>
    <w:p w14:paraId="0C3812AF" w14:textId="0DC51E17" w:rsidR="00C622C6" w:rsidRPr="00C622C6" w:rsidRDefault="00C84D37" w:rsidP="00D96341">
      <w:pPr>
        <w:pStyle w:val="ListParagraph"/>
        <w:numPr>
          <w:ilvl w:val="0"/>
          <w:numId w:val="12"/>
        </w:numPr>
        <w:spacing w:before="120" w:after="120" w:line="259" w:lineRule="auto"/>
        <w:jc w:val="both"/>
        <w:rPr>
          <w:rFonts w:ascii="Arial" w:eastAsia="Aptos" w:hAnsi="Arial" w:cs="Arial"/>
          <w:kern w:val="2"/>
        </w:rPr>
      </w:pPr>
      <w:r>
        <w:rPr>
          <w:rFonts w:ascii="Arial" w:eastAsia="Aptos" w:hAnsi="Arial" w:cs="Arial"/>
          <w:kern w:val="2"/>
        </w:rPr>
        <w:t>Certain stakeholders</w:t>
      </w:r>
      <w:r w:rsidR="00C622C6" w:rsidRPr="00C622C6">
        <w:rPr>
          <w:rFonts w:ascii="Arial" w:eastAsia="Aptos" w:hAnsi="Arial" w:cs="Arial"/>
          <w:kern w:val="2"/>
        </w:rPr>
        <w:t xml:space="preserve"> proposed a proxy offer of $2,000</w:t>
      </w:r>
      <w:r>
        <w:rPr>
          <w:rFonts w:ascii="Arial" w:eastAsia="Aptos" w:hAnsi="Arial" w:cs="Arial"/>
          <w:kern w:val="2"/>
        </w:rPr>
        <w:t xml:space="preserve"> per </w:t>
      </w:r>
      <w:r w:rsidR="00C622C6" w:rsidRPr="00C622C6">
        <w:rPr>
          <w:rFonts w:ascii="Arial" w:eastAsia="Aptos" w:hAnsi="Arial" w:cs="Arial"/>
          <w:kern w:val="2"/>
        </w:rPr>
        <w:t>MW</w:t>
      </w:r>
      <w:r w:rsidR="00782503">
        <w:rPr>
          <w:rFonts w:ascii="Arial" w:eastAsia="Aptos" w:hAnsi="Arial" w:cs="Arial"/>
          <w:kern w:val="2"/>
        </w:rPr>
        <w:t xml:space="preserve"> per hour</w:t>
      </w:r>
      <w:r w:rsidR="00C622C6" w:rsidRPr="00C622C6">
        <w:rPr>
          <w:rFonts w:ascii="Arial" w:eastAsia="Aptos" w:hAnsi="Arial" w:cs="Arial"/>
          <w:kern w:val="2"/>
        </w:rPr>
        <w:t>.</w:t>
      </w:r>
    </w:p>
    <w:p w14:paraId="5E318A9B" w14:textId="59AC5CAA" w:rsidR="00C622C6" w:rsidRPr="00C622C6" w:rsidRDefault="00C622C6" w:rsidP="00D96341">
      <w:pPr>
        <w:pStyle w:val="ListParagraph"/>
        <w:numPr>
          <w:ilvl w:val="0"/>
          <w:numId w:val="12"/>
        </w:numPr>
        <w:spacing w:before="120" w:after="120" w:line="259" w:lineRule="auto"/>
        <w:jc w:val="both"/>
        <w:rPr>
          <w:rFonts w:ascii="Arial" w:eastAsia="Aptos" w:hAnsi="Arial" w:cs="Arial"/>
          <w:kern w:val="2"/>
        </w:rPr>
      </w:pPr>
      <w:r w:rsidRPr="00C622C6">
        <w:rPr>
          <w:rFonts w:ascii="Arial" w:eastAsia="Aptos" w:hAnsi="Arial" w:cs="Arial"/>
          <w:kern w:val="2"/>
        </w:rPr>
        <w:t xml:space="preserve">The compromise </w:t>
      </w:r>
      <w:r w:rsidR="00DE30E5">
        <w:rPr>
          <w:rFonts w:ascii="Arial" w:eastAsia="Aptos" w:hAnsi="Arial" w:cs="Arial"/>
          <w:kern w:val="2"/>
        </w:rPr>
        <w:t xml:space="preserve">proxy offer floor reached </w:t>
      </w:r>
      <w:r w:rsidRPr="00C622C6">
        <w:rPr>
          <w:rFonts w:ascii="Arial" w:eastAsia="Aptos" w:hAnsi="Arial" w:cs="Arial"/>
          <w:kern w:val="2"/>
        </w:rPr>
        <w:t>is the lesser value of:</w:t>
      </w:r>
    </w:p>
    <w:p w14:paraId="2D9F3DA4" w14:textId="7A4F09BD" w:rsidR="00C622C6" w:rsidRPr="00C622C6" w:rsidRDefault="00C622C6" w:rsidP="00D96341">
      <w:pPr>
        <w:pStyle w:val="ListParagraph"/>
        <w:numPr>
          <w:ilvl w:val="1"/>
          <w:numId w:val="12"/>
        </w:numPr>
        <w:spacing w:before="120" w:after="120" w:line="259" w:lineRule="auto"/>
        <w:jc w:val="both"/>
        <w:rPr>
          <w:rFonts w:ascii="Arial" w:eastAsia="Aptos" w:hAnsi="Arial" w:cs="Arial"/>
          <w:kern w:val="2"/>
        </w:rPr>
      </w:pPr>
      <w:r w:rsidRPr="00C622C6">
        <w:rPr>
          <w:rFonts w:ascii="Arial" w:eastAsia="Aptos" w:hAnsi="Arial" w:cs="Arial"/>
          <w:kern w:val="2"/>
        </w:rPr>
        <w:t>$2,000</w:t>
      </w:r>
      <w:r w:rsidR="00C84D37">
        <w:rPr>
          <w:rFonts w:ascii="Arial" w:eastAsia="Aptos" w:hAnsi="Arial" w:cs="Arial"/>
          <w:kern w:val="2"/>
        </w:rPr>
        <w:t xml:space="preserve"> per </w:t>
      </w:r>
      <w:r w:rsidRPr="00C622C6">
        <w:rPr>
          <w:rFonts w:ascii="Arial" w:eastAsia="Aptos" w:hAnsi="Arial" w:cs="Arial"/>
          <w:kern w:val="2"/>
        </w:rPr>
        <w:t>MW</w:t>
      </w:r>
      <w:r w:rsidR="00782503">
        <w:rPr>
          <w:rFonts w:ascii="Arial" w:eastAsia="Aptos" w:hAnsi="Arial" w:cs="Arial"/>
          <w:kern w:val="2"/>
        </w:rPr>
        <w:t xml:space="preserve"> per hour</w:t>
      </w:r>
      <w:r w:rsidRPr="00C622C6">
        <w:rPr>
          <w:rFonts w:ascii="Arial" w:eastAsia="Aptos" w:hAnsi="Arial" w:cs="Arial"/>
          <w:kern w:val="2"/>
        </w:rPr>
        <w:t>; or</w:t>
      </w:r>
    </w:p>
    <w:p w14:paraId="510C948B" w14:textId="0834C46A" w:rsidR="00C622C6" w:rsidRPr="00C622C6" w:rsidRDefault="00D96341" w:rsidP="00D96341">
      <w:pPr>
        <w:pStyle w:val="ListParagraph"/>
        <w:numPr>
          <w:ilvl w:val="1"/>
          <w:numId w:val="12"/>
        </w:numPr>
        <w:spacing w:before="120" w:after="120" w:line="259" w:lineRule="auto"/>
        <w:jc w:val="both"/>
        <w:rPr>
          <w:rFonts w:ascii="Arial" w:eastAsia="Aptos" w:hAnsi="Arial" w:cs="Arial"/>
          <w:kern w:val="2"/>
        </w:rPr>
      </w:pPr>
      <w:r>
        <w:rPr>
          <w:rFonts w:ascii="Arial" w:eastAsia="Aptos" w:hAnsi="Arial" w:cs="Arial"/>
          <w:kern w:val="2"/>
        </w:rPr>
        <w:t>T</w:t>
      </w:r>
      <w:r w:rsidR="00C622C6" w:rsidRPr="00C622C6">
        <w:rPr>
          <w:rFonts w:ascii="Arial" w:eastAsia="Aptos" w:hAnsi="Arial" w:cs="Arial"/>
          <w:kern w:val="2"/>
        </w:rPr>
        <w:t xml:space="preserve">he point on the ASDC for the </w:t>
      </w:r>
      <w:r w:rsidR="00C613A7">
        <w:rPr>
          <w:rFonts w:ascii="Arial" w:eastAsia="Aptos" w:hAnsi="Arial" w:cs="Arial"/>
          <w:kern w:val="2"/>
        </w:rPr>
        <w:t>AS</w:t>
      </w:r>
      <w:r w:rsidR="00C622C6" w:rsidRPr="00C622C6">
        <w:rPr>
          <w:rFonts w:ascii="Arial" w:eastAsia="Aptos" w:hAnsi="Arial" w:cs="Arial"/>
          <w:kern w:val="2"/>
        </w:rPr>
        <w:t xml:space="preserve"> that intersects with a quantity that is 95% of the </w:t>
      </w:r>
      <w:r w:rsidR="00C613A7">
        <w:rPr>
          <w:rFonts w:ascii="Arial" w:eastAsia="Aptos" w:hAnsi="Arial" w:cs="Arial"/>
          <w:kern w:val="2"/>
        </w:rPr>
        <w:t>AS</w:t>
      </w:r>
      <w:r w:rsidR="00C622C6" w:rsidRPr="00C622C6">
        <w:rPr>
          <w:rFonts w:ascii="Arial" w:eastAsia="Aptos" w:hAnsi="Arial" w:cs="Arial"/>
          <w:kern w:val="2"/>
        </w:rPr>
        <w:t xml:space="preserve"> Plan for that </w:t>
      </w:r>
      <w:r w:rsidR="00C613A7">
        <w:rPr>
          <w:rFonts w:ascii="Arial" w:eastAsia="Aptos" w:hAnsi="Arial" w:cs="Arial"/>
          <w:kern w:val="2"/>
        </w:rPr>
        <w:t>AS product</w:t>
      </w:r>
      <w:r w:rsidR="00C622C6" w:rsidRPr="00C622C6">
        <w:rPr>
          <w:rFonts w:ascii="Arial" w:eastAsia="Aptos" w:hAnsi="Arial" w:cs="Arial"/>
          <w:kern w:val="2"/>
        </w:rPr>
        <w:t>.</w:t>
      </w:r>
    </w:p>
    <w:p w14:paraId="6D398F5F" w14:textId="7D87C827" w:rsidR="00C77C7B" w:rsidRDefault="00C77C7B" w:rsidP="00D96341">
      <w:pPr>
        <w:spacing w:before="120" w:after="120" w:line="259" w:lineRule="auto"/>
        <w:jc w:val="both"/>
        <w:rPr>
          <w:rFonts w:ascii="Arial" w:eastAsia="Aptos" w:hAnsi="Arial" w:cs="Arial"/>
          <w:kern w:val="2"/>
        </w:rPr>
      </w:pPr>
      <w:r>
        <w:rPr>
          <w:rFonts w:ascii="Arial" w:eastAsia="Aptos" w:hAnsi="Arial" w:cs="Arial"/>
          <w:kern w:val="2"/>
        </w:rPr>
        <w:t>ERCOT’s original proposed proxy offer</w:t>
      </w:r>
      <w:r w:rsidR="009A40CB">
        <w:rPr>
          <w:rFonts w:ascii="Arial" w:eastAsia="Aptos" w:hAnsi="Arial" w:cs="Arial"/>
          <w:kern w:val="2"/>
        </w:rPr>
        <w:t xml:space="preserve"> floor</w:t>
      </w:r>
      <w:r>
        <w:rPr>
          <w:rFonts w:ascii="Arial" w:eastAsia="Aptos" w:hAnsi="Arial" w:cs="Arial"/>
          <w:kern w:val="2"/>
        </w:rPr>
        <w:t xml:space="preserve"> of $0</w:t>
      </w:r>
      <w:r w:rsidR="00C84D37">
        <w:rPr>
          <w:rFonts w:ascii="Arial" w:eastAsia="Aptos" w:hAnsi="Arial" w:cs="Arial"/>
          <w:kern w:val="2"/>
        </w:rPr>
        <w:t xml:space="preserve"> per </w:t>
      </w:r>
      <w:r>
        <w:rPr>
          <w:rFonts w:ascii="Arial" w:eastAsia="Aptos" w:hAnsi="Arial" w:cs="Arial"/>
          <w:kern w:val="2"/>
        </w:rPr>
        <w:t>MW</w:t>
      </w:r>
      <w:r w:rsidR="002110F9">
        <w:rPr>
          <w:rFonts w:ascii="Arial" w:eastAsia="Aptos" w:hAnsi="Arial" w:cs="Arial"/>
          <w:kern w:val="2"/>
        </w:rPr>
        <w:t xml:space="preserve"> per hour</w:t>
      </w:r>
      <w:r>
        <w:rPr>
          <w:rFonts w:ascii="Arial" w:eastAsia="Aptos" w:hAnsi="Arial" w:cs="Arial"/>
          <w:kern w:val="2"/>
        </w:rPr>
        <w:t xml:space="preserve"> accomplished two of three objectives.  First, it allowed the software </w:t>
      </w:r>
      <w:r w:rsidR="001F73FE">
        <w:rPr>
          <w:rFonts w:ascii="Arial" w:eastAsia="Aptos" w:hAnsi="Arial" w:cs="Arial"/>
          <w:kern w:val="2"/>
        </w:rPr>
        <w:t xml:space="preserve">to </w:t>
      </w:r>
      <w:r w:rsidR="009665CD">
        <w:rPr>
          <w:rFonts w:ascii="Arial" w:eastAsia="Aptos" w:hAnsi="Arial" w:cs="Arial"/>
          <w:kern w:val="2"/>
        </w:rPr>
        <w:t>solve</w:t>
      </w:r>
      <w:r w:rsidR="00B344C0">
        <w:rPr>
          <w:rFonts w:ascii="Arial" w:eastAsia="Aptos" w:hAnsi="Arial" w:cs="Arial"/>
          <w:kern w:val="2"/>
        </w:rPr>
        <w:t xml:space="preserve"> without observing unwarrante</w:t>
      </w:r>
      <w:r w:rsidR="009A40CB">
        <w:rPr>
          <w:rFonts w:ascii="Arial" w:eastAsia="Aptos" w:hAnsi="Arial" w:cs="Arial"/>
          <w:kern w:val="2"/>
        </w:rPr>
        <w:t>d</w:t>
      </w:r>
      <w:r w:rsidR="00B344C0">
        <w:rPr>
          <w:rFonts w:ascii="Arial" w:eastAsia="Aptos" w:hAnsi="Arial" w:cs="Arial"/>
          <w:kern w:val="2"/>
        </w:rPr>
        <w:t xml:space="preserve"> shortages in AS awards</w:t>
      </w:r>
      <w:r w:rsidR="00E03E5D">
        <w:rPr>
          <w:rFonts w:ascii="Arial" w:eastAsia="Aptos" w:hAnsi="Arial" w:cs="Arial"/>
          <w:kern w:val="2"/>
        </w:rPr>
        <w:t>.</w:t>
      </w:r>
      <w:r w:rsidR="009665CD">
        <w:rPr>
          <w:rFonts w:ascii="Arial" w:eastAsia="Aptos" w:hAnsi="Arial" w:cs="Arial"/>
          <w:kern w:val="2"/>
        </w:rPr>
        <w:t xml:space="preserve"> </w:t>
      </w:r>
      <w:r w:rsidR="00E03E5D">
        <w:rPr>
          <w:rFonts w:ascii="Arial" w:eastAsia="Aptos" w:hAnsi="Arial" w:cs="Arial"/>
          <w:kern w:val="2"/>
        </w:rPr>
        <w:t xml:space="preserve"> S</w:t>
      </w:r>
      <w:r w:rsidR="009665CD">
        <w:rPr>
          <w:rFonts w:ascii="Arial" w:eastAsia="Aptos" w:hAnsi="Arial" w:cs="Arial"/>
          <w:kern w:val="2"/>
        </w:rPr>
        <w:t xml:space="preserve">econd, it ensured that any </w:t>
      </w:r>
      <w:r w:rsidR="00E74099">
        <w:rPr>
          <w:rFonts w:ascii="Arial" w:eastAsia="Aptos" w:hAnsi="Arial" w:cs="Arial"/>
          <w:kern w:val="2"/>
        </w:rPr>
        <w:t>Market P</w:t>
      </w:r>
      <w:r w:rsidR="009665CD">
        <w:rPr>
          <w:rFonts w:ascii="Arial" w:eastAsia="Aptos" w:hAnsi="Arial" w:cs="Arial"/>
          <w:kern w:val="2"/>
        </w:rPr>
        <w:t xml:space="preserve">articipant that may strategically withhold their offers </w:t>
      </w:r>
      <w:r w:rsidR="00E03E5D">
        <w:rPr>
          <w:rFonts w:ascii="Arial" w:eastAsia="Aptos" w:hAnsi="Arial" w:cs="Arial"/>
          <w:kern w:val="2"/>
        </w:rPr>
        <w:t xml:space="preserve">to benefit from a higher proxy offer price </w:t>
      </w:r>
      <w:r w:rsidR="009665CD">
        <w:rPr>
          <w:rFonts w:ascii="Arial" w:eastAsia="Aptos" w:hAnsi="Arial" w:cs="Arial"/>
          <w:kern w:val="2"/>
        </w:rPr>
        <w:t xml:space="preserve">would not benefit inappropriately.  However, the initial ERCOT proxy offer did not reflect marginal costs across a wide range of </w:t>
      </w:r>
      <w:r w:rsidR="005908F4">
        <w:rPr>
          <w:rFonts w:ascii="Arial" w:eastAsia="Aptos" w:hAnsi="Arial" w:cs="Arial"/>
          <w:kern w:val="2"/>
        </w:rPr>
        <w:t>R</w:t>
      </w:r>
      <w:r w:rsidR="009665CD">
        <w:rPr>
          <w:rFonts w:ascii="Arial" w:eastAsia="Aptos" w:hAnsi="Arial" w:cs="Arial"/>
          <w:kern w:val="2"/>
        </w:rPr>
        <w:t>esource technologies, a third objective</w:t>
      </w:r>
      <w:r w:rsidR="00E03E5D">
        <w:rPr>
          <w:rFonts w:ascii="Arial" w:eastAsia="Aptos" w:hAnsi="Arial" w:cs="Arial"/>
          <w:kern w:val="2"/>
        </w:rPr>
        <w:t>.</w:t>
      </w:r>
      <w:r w:rsidR="001D0F67">
        <w:rPr>
          <w:rFonts w:ascii="Arial" w:eastAsia="Aptos" w:hAnsi="Arial" w:cs="Arial"/>
          <w:kern w:val="2"/>
        </w:rPr>
        <w:t xml:space="preserve"> </w:t>
      </w:r>
      <w:r w:rsidR="00E03E5D">
        <w:rPr>
          <w:rFonts w:ascii="Arial" w:eastAsia="Aptos" w:hAnsi="Arial" w:cs="Arial"/>
          <w:kern w:val="2"/>
        </w:rPr>
        <w:t xml:space="preserve"> Furthermore, the initial proxy offer floor </w:t>
      </w:r>
      <w:r w:rsidR="001D0F67">
        <w:rPr>
          <w:rFonts w:ascii="Arial" w:eastAsia="Aptos" w:hAnsi="Arial" w:cs="Arial"/>
          <w:kern w:val="2"/>
        </w:rPr>
        <w:t xml:space="preserve">was viewed by </w:t>
      </w:r>
      <w:r w:rsidR="002511D4">
        <w:rPr>
          <w:rFonts w:ascii="Arial" w:eastAsia="Aptos" w:hAnsi="Arial" w:cs="Arial"/>
          <w:kern w:val="2"/>
        </w:rPr>
        <w:t xml:space="preserve">many stakeholders as </w:t>
      </w:r>
      <w:r w:rsidR="006C016F">
        <w:rPr>
          <w:rFonts w:ascii="Arial" w:eastAsia="Aptos" w:hAnsi="Arial" w:cs="Arial"/>
          <w:kern w:val="2"/>
        </w:rPr>
        <w:t xml:space="preserve">punitive to those Market Participants who do </w:t>
      </w:r>
      <w:r w:rsidR="001F73FE">
        <w:rPr>
          <w:rFonts w:ascii="Arial" w:eastAsia="Aptos" w:hAnsi="Arial" w:cs="Arial"/>
          <w:kern w:val="2"/>
        </w:rPr>
        <w:t>properly submit offers</w:t>
      </w:r>
      <w:r w:rsidR="005908F4">
        <w:rPr>
          <w:rFonts w:ascii="Arial" w:eastAsia="Aptos" w:hAnsi="Arial" w:cs="Arial"/>
          <w:kern w:val="2"/>
        </w:rPr>
        <w:t xml:space="preserve"> to cover the capability of their Resources</w:t>
      </w:r>
      <w:r w:rsidR="00A90BE3">
        <w:rPr>
          <w:rFonts w:ascii="Arial" w:eastAsia="Aptos" w:hAnsi="Arial" w:cs="Arial"/>
          <w:kern w:val="2"/>
        </w:rPr>
        <w:t xml:space="preserve"> </w:t>
      </w:r>
      <w:r w:rsidR="00C84D37">
        <w:rPr>
          <w:rFonts w:ascii="Arial" w:eastAsia="Aptos" w:hAnsi="Arial" w:cs="Arial"/>
          <w:kern w:val="2"/>
        </w:rPr>
        <w:t>because</w:t>
      </w:r>
      <w:r w:rsidR="00A90BE3">
        <w:rPr>
          <w:rFonts w:ascii="Arial" w:eastAsia="Aptos" w:hAnsi="Arial" w:cs="Arial"/>
          <w:kern w:val="2"/>
        </w:rPr>
        <w:t xml:space="preserve"> the proxy offer </w:t>
      </w:r>
      <w:r w:rsidR="0043002F">
        <w:rPr>
          <w:rFonts w:ascii="Arial" w:eastAsia="Aptos" w:hAnsi="Arial" w:cs="Arial"/>
          <w:kern w:val="2"/>
        </w:rPr>
        <w:t>could be awarded ahead of competitive offers</w:t>
      </w:r>
      <w:r w:rsidR="009665CD">
        <w:rPr>
          <w:rFonts w:ascii="Arial" w:eastAsia="Aptos" w:hAnsi="Arial" w:cs="Arial"/>
          <w:kern w:val="2"/>
        </w:rPr>
        <w:t xml:space="preserve">.  </w:t>
      </w:r>
    </w:p>
    <w:p w14:paraId="4C8FAF1E" w14:textId="3BC80C57" w:rsidR="009665CD" w:rsidRDefault="009665CD" w:rsidP="00D96341">
      <w:pPr>
        <w:spacing w:before="120" w:after="120" w:line="259" w:lineRule="auto"/>
        <w:jc w:val="both"/>
        <w:rPr>
          <w:rFonts w:ascii="Arial" w:eastAsia="Aptos" w:hAnsi="Arial" w:cs="Arial"/>
          <w:kern w:val="2"/>
        </w:rPr>
      </w:pPr>
      <w:r>
        <w:rPr>
          <w:rFonts w:ascii="Arial" w:eastAsia="Aptos" w:hAnsi="Arial" w:cs="Arial"/>
          <w:kern w:val="2"/>
        </w:rPr>
        <w:t xml:space="preserve">The </w:t>
      </w:r>
      <w:r w:rsidR="00E74099">
        <w:rPr>
          <w:rFonts w:ascii="Arial" w:eastAsia="Aptos" w:hAnsi="Arial" w:cs="Arial"/>
          <w:kern w:val="2"/>
        </w:rPr>
        <w:t>stakeholder-</w:t>
      </w:r>
      <w:r>
        <w:rPr>
          <w:rFonts w:ascii="Arial" w:eastAsia="Aptos" w:hAnsi="Arial" w:cs="Arial"/>
          <w:kern w:val="2"/>
        </w:rPr>
        <w:t xml:space="preserve">proposed </w:t>
      </w:r>
      <w:r w:rsidR="00E74099">
        <w:rPr>
          <w:rFonts w:ascii="Arial" w:eastAsia="Aptos" w:hAnsi="Arial" w:cs="Arial"/>
          <w:kern w:val="2"/>
        </w:rPr>
        <w:t xml:space="preserve">AS </w:t>
      </w:r>
      <w:r>
        <w:rPr>
          <w:rFonts w:ascii="Arial" w:eastAsia="Aptos" w:hAnsi="Arial" w:cs="Arial"/>
          <w:kern w:val="2"/>
        </w:rPr>
        <w:t>proxy offer</w:t>
      </w:r>
      <w:r w:rsidR="009A40CB">
        <w:rPr>
          <w:rFonts w:ascii="Arial" w:eastAsia="Aptos" w:hAnsi="Arial" w:cs="Arial"/>
          <w:kern w:val="2"/>
        </w:rPr>
        <w:t xml:space="preserve"> floor</w:t>
      </w:r>
      <w:r>
        <w:rPr>
          <w:rFonts w:ascii="Arial" w:eastAsia="Aptos" w:hAnsi="Arial" w:cs="Arial"/>
          <w:kern w:val="2"/>
        </w:rPr>
        <w:t xml:space="preserve"> of $2,000</w:t>
      </w:r>
      <w:r w:rsidR="00E74099">
        <w:rPr>
          <w:rFonts w:ascii="Arial" w:eastAsia="Aptos" w:hAnsi="Arial" w:cs="Arial"/>
          <w:kern w:val="2"/>
        </w:rPr>
        <w:t xml:space="preserve"> per </w:t>
      </w:r>
      <w:r>
        <w:rPr>
          <w:rFonts w:ascii="Arial" w:eastAsia="Aptos" w:hAnsi="Arial" w:cs="Arial"/>
          <w:kern w:val="2"/>
        </w:rPr>
        <w:t>MW</w:t>
      </w:r>
      <w:r w:rsidR="00782503">
        <w:rPr>
          <w:rFonts w:ascii="Arial" w:eastAsia="Aptos" w:hAnsi="Arial" w:cs="Arial"/>
          <w:kern w:val="2"/>
        </w:rPr>
        <w:t xml:space="preserve"> per hour</w:t>
      </w:r>
      <w:r w:rsidR="00D96341">
        <w:rPr>
          <w:rFonts w:ascii="Arial" w:eastAsia="Aptos" w:hAnsi="Arial" w:cs="Arial"/>
          <w:kern w:val="2"/>
        </w:rPr>
        <w:t xml:space="preserve"> </w:t>
      </w:r>
      <w:r>
        <w:rPr>
          <w:rFonts w:ascii="Arial" w:eastAsia="Aptos" w:hAnsi="Arial" w:cs="Arial"/>
          <w:kern w:val="2"/>
        </w:rPr>
        <w:t>allowed the software to solve</w:t>
      </w:r>
      <w:r w:rsidR="006B4ACF">
        <w:rPr>
          <w:rFonts w:ascii="Arial" w:eastAsia="Aptos" w:hAnsi="Arial" w:cs="Arial"/>
          <w:kern w:val="2"/>
        </w:rPr>
        <w:t>, but raised other concerns</w:t>
      </w:r>
      <w:r>
        <w:rPr>
          <w:rFonts w:ascii="Arial" w:eastAsia="Aptos" w:hAnsi="Arial" w:cs="Arial"/>
          <w:kern w:val="2"/>
        </w:rPr>
        <w:t xml:space="preserve">.  </w:t>
      </w:r>
      <w:r w:rsidR="006B4ACF">
        <w:rPr>
          <w:rFonts w:ascii="Arial" w:eastAsia="Aptos" w:hAnsi="Arial" w:cs="Arial"/>
          <w:kern w:val="2"/>
        </w:rPr>
        <w:t>First</w:t>
      </w:r>
      <w:r>
        <w:rPr>
          <w:rFonts w:ascii="Arial" w:eastAsia="Aptos" w:hAnsi="Arial" w:cs="Arial"/>
          <w:kern w:val="2"/>
        </w:rPr>
        <w:t xml:space="preserve">, it </w:t>
      </w:r>
      <w:r w:rsidR="006B4ACF">
        <w:rPr>
          <w:rFonts w:ascii="Arial" w:eastAsia="Aptos" w:hAnsi="Arial" w:cs="Arial"/>
          <w:kern w:val="2"/>
        </w:rPr>
        <w:t>would not prevent</w:t>
      </w:r>
      <w:r w:rsidR="00E74099">
        <w:rPr>
          <w:rFonts w:ascii="Arial" w:eastAsia="Aptos" w:hAnsi="Arial" w:cs="Arial"/>
          <w:kern w:val="2"/>
        </w:rPr>
        <w:t xml:space="preserve"> Market P</w:t>
      </w:r>
      <w:r>
        <w:rPr>
          <w:rFonts w:ascii="Arial" w:eastAsia="Aptos" w:hAnsi="Arial" w:cs="Arial"/>
          <w:kern w:val="2"/>
        </w:rPr>
        <w:t xml:space="preserve">articipants </w:t>
      </w:r>
      <w:r w:rsidR="00E74099">
        <w:rPr>
          <w:rFonts w:ascii="Arial" w:eastAsia="Aptos" w:hAnsi="Arial" w:cs="Arial"/>
          <w:kern w:val="2"/>
        </w:rPr>
        <w:t>that may be</w:t>
      </w:r>
      <w:r>
        <w:rPr>
          <w:rFonts w:ascii="Arial" w:eastAsia="Aptos" w:hAnsi="Arial" w:cs="Arial"/>
          <w:kern w:val="2"/>
        </w:rPr>
        <w:t xml:space="preserve"> strategically withholding their offers from benefiting inappropriately.  Also, it </w:t>
      </w:r>
      <w:r w:rsidR="006B4ACF">
        <w:rPr>
          <w:rFonts w:ascii="Arial" w:eastAsia="Aptos" w:hAnsi="Arial" w:cs="Arial"/>
          <w:kern w:val="2"/>
        </w:rPr>
        <w:t xml:space="preserve">would </w:t>
      </w:r>
      <w:r>
        <w:rPr>
          <w:rFonts w:ascii="Arial" w:eastAsia="Aptos" w:hAnsi="Arial" w:cs="Arial"/>
          <w:kern w:val="2"/>
        </w:rPr>
        <w:t xml:space="preserve">ensure that under most circumstances </w:t>
      </w:r>
      <w:r w:rsidR="006B4ACF">
        <w:rPr>
          <w:rFonts w:ascii="Arial" w:eastAsia="Aptos" w:hAnsi="Arial" w:cs="Arial"/>
          <w:kern w:val="2"/>
        </w:rPr>
        <w:t>for most Resource</w:t>
      </w:r>
      <w:r>
        <w:rPr>
          <w:rFonts w:ascii="Arial" w:eastAsia="Aptos" w:hAnsi="Arial" w:cs="Arial"/>
          <w:kern w:val="2"/>
        </w:rPr>
        <w:t xml:space="preserve"> technologies, the proxy offer would be larger than </w:t>
      </w:r>
      <w:r w:rsidR="0078444E">
        <w:rPr>
          <w:rFonts w:ascii="Arial" w:eastAsia="Aptos" w:hAnsi="Arial" w:cs="Arial"/>
          <w:kern w:val="2"/>
        </w:rPr>
        <w:t>a</w:t>
      </w:r>
      <w:r>
        <w:rPr>
          <w:rFonts w:ascii="Arial" w:eastAsia="Aptos" w:hAnsi="Arial" w:cs="Arial"/>
          <w:kern w:val="2"/>
        </w:rPr>
        <w:t xml:space="preserve"> </w:t>
      </w:r>
      <w:r w:rsidR="00E82CF5">
        <w:rPr>
          <w:rFonts w:ascii="Arial" w:eastAsia="Aptos" w:hAnsi="Arial" w:cs="Arial"/>
          <w:kern w:val="2"/>
        </w:rPr>
        <w:t>R</w:t>
      </w:r>
      <w:r>
        <w:rPr>
          <w:rFonts w:ascii="Arial" w:eastAsia="Aptos" w:hAnsi="Arial" w:cs="Arial"/>
          <w:kern w:val="2"/>
        </w:rPr>
        <w:t>esource</w:t>
      </w:r>
      <w:r w:rsidR="0078444E">
        <w:rPr>
          <w:rFonts w:ascii="Arial" w:eastAsia="Aptos" w:hAnsi="Arial" w:cs="Arial"/>
          <w:kern w:val="2"/>
        </w:rPr>
        <w:t>’</w:t>
      </w:r>
      <w:r>
        <w:rPr>
          <w:rFonts w:ascii="Arial" w:eastAsia="Aptos" w:hAnsi="Arial" w:cs="Arial"/>
          <w:kern w:val="2"/>
        </w:rPr>
        <w:t>s marginal costs.</w:t>
      </w:r>
      <w:r w:rsidR="00E82CF5">
        <w:rPr>
          <w:rFonts w:ascii="Arial" w:eastAsia="Aptos" w:hAnsi="Arial" w:cs="Arial"/>
          <w:kern w:val="2"/>
        </w:rPr>
        <w:t xml:space="preserve">  The most concerni</w:t>
      </w:r>
      <w:r w:rsidR="0011096E">
        <w:rPr>
          <w:rFonts w:ascii="Arial" w:eastAsia="Aptos" w:hAnsi="Arial" w:cs="Arial"/>
          <w:kern w:val="2"/>
        </w:rPr>
        <w:t xml:space="preserve">ng aspect of </w:t>
      </w:r>
      <w:r w:rsidR="006B4ACF">
        <w:rPr>
          <w:rFonts w:ascii="Arial" w:eastAsia="Aptos" w:hAnsi="Arial" w:cs="Arial"/>
          <w:kern w:val="2"/>
        </w:rPr>
        <w:t>that</w:t>
      </w:r>
      <w:r w:rsidR="0011096E">
        <w:rPr>
          <w:rFonts w:ascii="Arial" w:eastAsia="Aptos" w:hAnsi="Arial" w:cs="Arial"/>
          <w:kern w:val="2"/>
        </w:rPr>
        <w:t xml:space="preserve"> proposal is that it </w:t>
      </w:r>
      <w:r w:rsidR="006A53BE">
        <w:rPr>
          <w:rFonts w:ascii="Arial" w:eastAsia="Aptos" w:hAnsi="Arial" w:cs="Arial"/>
          <w:kern w:val="2"/>
        </w:rPr>
        <w:t>could result in</w:t>
      </w:r>
      <w:r w:rsidR="0011096E">
        <w:rPr>
          <w:rFonts w:ascii="Arial" w:eastAsia="Aptos" w:hAnsi="Arial" w:cs="Arial"/>
          <w:kern w:val="2"/>
        </w:rPr>
        <w:t xml:space="preserve"> increased reliability risk </w:t>
      </w:r>
      <w:r w:rsidR="00E0492F">
        <w:rPr>
          <w:rFonts w:ascii="Arial" w:eastAsia="Aptos" w:hAnsi="Arial" w:cs="Arial"/>
          <w:kern w:val="2"/>
        </w:rPr>
        <w:t>by creating shortage</w:t>
      </w:r>
      <w:r w:rsidR="00E74099">
        <w:rPr>
          <w:rFonts w:ascii="Arial" w:eastAsia="Aptos" w:hAnsi="Arial" w:cs="Arial"/>
          <w:kern w:val="2"/>
        </w:rPr>
        <w:t>s</w:t>
      </w:r>
      <w:r w:rsidR="00E0492F">
        <w:rPr>
          <w:rFonts w:ascii="Arial" w:eastAsia="Aptos" w:hAnsi="Arial" w:cs="Arial"/>
          <w:kern w:val="2"/>
        </w:rPr>
        <w:t xml:space="preserve"> in AS awards when</w:t>
      </w:r>
      <w:r w:rsidR="006A53BE">
        <w:rPr>
          <w:rFonts w:ascii="Arial" w:eastAsia="Aptos" w:hAnsi="Arial" w:cs="Arial"/>
          <w:kern w:val="2"/>
        </w:rPr>
        <w:t xml:space="preserve"> a reserve shortage </w:t>
      </w:r>
      <w:r w:rsidR="00E74099">
        <w:rPr>
          <w:rFonts w:ascii="Arial" w:eastAsia="Aptos" w:hAnsi="Arial" w:cs="Arial"/>
          <w:kern w:val="2"/>
        </w:rPr>
        <w:t>does</w:t>
      </w:r>
      <w:r w:rsidR="006A53BE">
        <w:rPr>
          <w:rFonts w:ascii="Arial" w:eastAsia="Aptos" w:hAnsi="Arial" w:cs="Arial"/>
          <w:kern w:val="2"/>
        </w:rPr>
        <w:t xml:space="preserve"> not truly exist.</w:t>
      </w:r>
    </w:p>
    <w:p w14:paraId="1344952C" w14:textId="3A81ADB7" w:rsidR="009665CD" w:rsidRDefault="009665CD" w:rsidP="00D96341">
      <w:pPr>
        <w:spacing w:before="120" w:after="120" w:line="259" w:lineRule="auto"/>
        <w:jc w:val="both"/>
        <w:rPr>
          <w:rFonts w:ascii="Arial" w:eastAsia="Aptos" w:hAnsi="Arial" w:cs="Arial"/>
          <w:kern w:val="2"/>
        </w:rPr>
      </w:pPr>
      <w:r>
        <w:rPr>
          <w:rFonts w:ascii="Arial" w:eastAsia="Aptos" w:hAnsi="Arial" w:cs="Arial"/>
          <w:kern w:val="2"/>
        </w:rPr>
        <w:t xml:space="preserve">The </w:t>
      </w:r>
      <w:r w:rsidR="0078444E">
        <w:rPr>
          <w:rFonts w:ascii="Arial" w:eastAsia="Aptos" w:hAnsi="Arial" w:cs="Arial"/>
          <w:kern w:val="2"/>
        </w:rPr>
        <w:t xml:space="preserve">proposed </w:t>
      </w:r>
      <w:r>
        <w:rPr>
          <w:rFonts w:ascii="Arial" w:eastAsia="Aptos" w:hAnsi="Arial" w:cs="Arial"/>
          <w:kern w:val="2"/>
        </w:rPr>
        <w:t xml:space="preserve">compromise </w:t>
      </w:r>
      <w:r w:rsidR="00E74099">
        <w:rPr>
          <w:rFonts w:ascii="Arial" w:eastAsia="Aptos" w:hAnsi="Arial" w:cs="Arial"/>
          <w:kern w:val="2"/>
        </w:rPr>
        <w:t xml:space="preserve">AS </w:t>
      </w:r>
      <w:r>
        <w:rPr>
          <w:rFonts w:ascii="Arial" w:eastAsia="Aptos" w:hAnsi="Arial" w:cs="Arial"/>
          <w:kern w:val="2"/>
        </w:rPr>
        <w:t xml:space="preserve">proxy </w:t>
      </w:r>
      <w:proofErr w:type="gramStart"/>
      <w:r>
        <w:rPr>
          <w:rFonts w:ascii="Arial" w:eastAsia="Aptos" w:hAnsi="Arial" w:cs="Arial"/>
          <w:kern w:val="2"/>
        </w:rPr>
        <w:t>offer</w:t>
      </w:r>
      <w:proofErr w:type="gramEnd"/>
      <w:r>
        <w:rPr>
          <w:rFonts w:ascii="Arial" w:eastAsia="Aptos" w:hAnsi="Arial" w:cs="Arial"/>
          <w:kern w:val="2"/>
        </w:rPr>
        <w:t xml:space="preserve"> </w:t>
      </w:r>
      <w:r w:rsidR="00FB2B54">
        <w:rPr>
          <w:rFonts w:ascii="Arial" w:eastAsia="Aptos" w:hAnsi="Arial" w:cs="Arial"/>
          <w:kern w:val="2"/>
        </w:rPr>
        <w:t>floor</w:t>
      </w:r>
      <w:r w:rsidR="006A53BE">
        <w:rPr>
          <w:rFonts w:ascii="Arial" w:eastAsia="Aptos" w:hAnsi="Arial" w:cs="Arial"/>
          <w:kern w:val="2"/>
        </w:rPr>
        <w:t xml:space="preserve"> </w:t>
      </w:r>
      <w:r>
        <w:rPr>
          <w:rFonts w:ascii="Arial" w:eastAsia="Aptos" w:hAnsi="Arial" w:cs="Arial"/>
          <w:kern w:val="2"/>
        </w:rPr>
        <w:t xml:space="preserve">attempts to address concerns with strategic withholding and </w:t>
      </w:r>
      <w:r w:rsidR="006B4ACF">
        <w:rPr>
          <w:rFonts w:ascii="Arial" w:eastAsia="Aptos" w:hAnsi="Arial" w:cs="Arial"/>
          <w:kern w:val="2"/>
        </w:rPr>
        <w:t xml:space="preserve">also </w:t>
      </w:r>
      <w:r w:rsidR="0078444E">
        <w:rPr>
          <w:rFonts w:ascii="Arial" w:eastAsia="Aptos" w:hAnsi="Arial" w:cs="Arial"/>
          <w:kern w:val="2"/>
        </w:rPr>
        <w:t>reflect</w:t>
      </w:r>
      <w:r>
        <w:rPr>
          <w:rFonts w:ascii="Arial" w:eastAsia="Aptos" w:hAnsi="Arial" w:cs="Arial"/>
          <w:kern w:val="2"/>
        </w:rPr>
        <w:t xml:space="preserve"> the value of the </w:t>
      </w:r>
      <w:r w:rsidR="000603E5">
        <w:rPr>
          <w:rFonts w:ascii="Arial" w:eastAsia="Aptos" w:hAnsi="Arial" w:cs="Arial"/>
          <w:kern w:val="2"/>
        </w:rPr>
        <w:t>AS</w:t>
      </w:r>
      <w:r>
        <w:rPr>
          <w:rFonts w:ascii="Arial" w:eastAsia="Aptos" w:hAnsi="Arial" w:cs="Arial"/>
          <w:kern w:val="2"/>
        </w:rPr>
        <w:t xml:space="preserve"> </w:t>
      </w:r>
      <w:r w:rsidR="0078444E">
        <w:rPr>
          <w:rFonts w:ascii="Arial" w:eastAsia="Aptos" w:hAnsi="Arial" w:cs="Arial"/>
          <w:kern w:val="2"/>
        </w:rPr>
        <w:t xml:space="preserve">at the </w:t>
      </w:r>
      <w:r>
        <w:rPr>
          <w:rFonts w:ascii="Arial" w:eastAsia="Aptos" w:hAnsi="Arial" w:cs="Arial"/>
          <w:kern w:val="2"/>
        </w:rPr>
        <w:t>95% of quantity</w:t>
      </w:r>
      <w:r w:rsidR="0078444E">
        <w:rPr>
          <w:rFonts w:ascii="Arial" w:eastAsia="Aptos" w:hAnsi="Arial" w:cs="Arial"/>
          <w:kern w:val="2"/>
        </w:rPr>
        <w:t xml:space="preserve"> in most circumstances</w:t>
      </w:r>
      <w:r w:rsidR="006B4ACF">
        <w:rPr>
          <w:rFonts w:ascii="Arial" w:eastAsia="Aptos" w:hAnsi="Arial" w:cs="Arial"/>
          <w:kern w:val="2"/>
        </w:rPr>
        <w:t>.</w:t>
      </w:r>
      <w:r w:rsidR="0078444E">
        <w:rPr>
          <w:rFonts w:ascii="Arial" w:eastAsia="Aptos" w:hAnsi="Arial" w:cs="Arial"/>
          <w:kern w:val="2"/>
        </w:rPr>
        <w:t xml:space="preserve"> </w:t>
      </w:r>
      <w:r w:rsidR="006B4ACF">
        <w:rPr>
          <w:rFonts w:ascii="Arial" w:eastAsia="Aptos" w:hAnsi="Arial" w:cs="Arial"/>
          <w:kern w:val="2"/>
        </w:rPr>
        <w:t xml:space="preserve"> It </w:t>
      </w:r>
      <w:r w:rsidR="0078444E">
        <w:rPr>
          <w:rFonts w:ascii="Arial" w:eastAsia="Aptos" w:hAnsi="Arial" w:cs="Arial"/>
          <w:kern w:val="2"/>
        </w:rPr>
        <w:t xml:space="preserve">would </w:t>
      </w:r>
      <w:r w:rsidR="006B4ACF">
        <w:rPr>
          <w:rFonts w:ascii="Arial" w:eastAsia="Aptos" w:hAnsi="Arial" w:cs="Arial"/>
          <w:kern w:val="2"/>
        </w:rPr>
        <w:t xml:space="preserve">only </w:t>
      </w:r>
      <w:r w:rsidR="0078444E">
        <w:rPr>
          <w:rFonts w:ascii="Arial" w:eastAsia="Aptos" w:hAnsi="Arial" w:cs="Arial"/>
          <w:kern w:val="2"/>
        </w:rPr>
        <w:t>be $2,000</w:t>
      </w:r>
      <w:r w:rsidR="006B4ACF">
        <w:rPr>
          <w:rFonts w:ascii="Arial" w:eastAsia="Aptos" w:hAnsi="Arial" w:cs="Arial"/>
          <w:kern w:val="2"/>
        </w:rPr>
        <w:t xml:space="preserve"> per </w:t>
      </w:r>
      <w:r w:rsidR="000603E5">
        <w:rPr>
          <w:rFonts w:ascii="Arial" w:eastAsia="Aptos" w:hAnsi="Arial" w:cs="Arial"/>
          <w:kern w:val="2"/>
        </w:rPr>
        <w:t>MW</w:t>
      </w:r>
      <w:r w:rsidR="00782503">
        <w:rPr>
          <w:rFonts w:ascii="Arial" w:eastAsia="Aptos" w:hAnsi="Arial" w:cs="Arial"/>
          <w:kern w:val="2"/>
        </w:rPr>
        <w:t xml:space="preserve"> per </w:t>
      </w:r>
      <w:r w:rsidR="000603E5">
        <w:rPr>
          <w:rFonts w:ascii="Arial" w:eastAsia="Aptos" w:hAnsi="Arial" w:cs="Arial"/>
          <w:kern w:val="2"/>
        </w:rPr>
        <w:t>h</w:t>
      </w:r>
      <w:r w:rsidR="00782503">
        <w:rPr>
          <w:rFonts w:ascii="Arial" w:eastAsia="Aptos" w:hAnsi="Arial" w:cs="Arial"/>
          <w:kern w:val="2"/>
        </w:rPr>
        <w:t>our</w:t>
      </w:r>
      <w:r w:rsidR="0078444E">
        <w:rPr>
          <w:rFonts w:ascii="Arial" w:eastAsia="Aptos" w:hAnsi="Arial" w:cs="Arial"/>
          <w:kern w:val="2"/>
        </w:rPr>
        <w:t xml:space="preserve"> when the 95% quantity value </w:t>
      </w:r>
      <w:r w:rsidR="007755F1">
        <w:rPr>
          <w:rFonts w:ascii="Arial" w:eastAsia="Aptos" w:hAnsi="Arial" w:cs="Arial"/>
          <w:kern w:val="2"/>
        </w:rPr>
        <w:t>is</w:t>
      </w:r>
      <w:r w:rsidR="0078444E">
        <w:rPr>
          <w:rFonts w:ascii="Arial" w:eastAsia="Aptos" w:hAnsi="Arial" w:cs="Arial"/>
          <w:kern w:val="2"/>
        </w:rPr>
        <w:t xml:space="preserve"> higher</w:t>
      </w:r>
      <w:r>
        <w:rPr>
          <w:rFonts w:ascii="Arial" w:eastAsia="Aptos" w:hAnsi="Arial" w:cs="Arial"/>
          <w:kern w:val="2"/>
        </w:rPr>
        <w:t xml:space="preserve">.  </w:t>
      </w:r>
      <w:r w:rsidR="00871ABC">
        <w:rPr>
          <w:rFonts w:ascii="Arial" w:eastAsia="Aptos" w:hAnsi="Arial" w:cs="Arial"/>
          <w:kern w:val="2"/>
        </w:rPr>
        <w:t xml:space="preserve">This ultimately will be a better reflection of cost across </w:t>
      </w:r>
      <w:r w:rsidR="00E03E5D">
        <w:rPr>
          <w:rFonts w:ascii="Arial" w:eastAsia="Aptos" w:hAnsi="Arial" w:cs="Arial"/>
          <w:kern w:val="2"/>
        </w:rPr>
        <w:t xml:space="preserve">a </w:t>
      </w:r>
      <w:r w:rsidR="00871ABC">
        <w:rPr>
          <w:rFonts w:ascii="Arial" w:eastAsia="Aptos" w:hAnsi="Arial" w:cs="Arial"/>
          <w:kern w:val="2"/>
        </w:rPr>
        <w:t xml:space="preserve">range of </w:t>
      </w:r>
      <w:r w:rsidR="00E03E5D">
        <w:rPr>
          <w:rFonts w:ascii="Arial" w:eastAsia="Aptos" w:hAnsi="Arial" w:cs="Arial"/>
          <w:kern w:val="2"/>
        </w:rPr>
        <w:t xml:space="preserve">Resource </w:t>
      </w:r>
      <w:r w:rsidR="00871ABC">
        <w:rPr>
          <w:rFonts w:ascii="Arial" w:eastAsia="Aptos" w:hAnsi="Arial" w:cs="Arial"/>
          <w:kern w:val="2"/>
        </w:rPr>
        <w:t>technologies, but at the same time mitigate</w:t>
      </w:r>
      <w:r w:rsidR="00E03E5D">
        <w:rPr>
          <w:rFonts w:ascii="Arial" w:eastAsia="Aptos" w:hAnsi="Arial" w:cs="Arial"/>
          <w:kern w:val="2"/>
        </w:rPr>
        <w:t>s</w:t>
      </w:r>
      <w:r w:rsidR="00871ABC">
        <w:rPr>
          <w:rFonts w:ascii="Arial" w:eastAsia="Aptos" w:hAnsi="Arial" w:cs="Arial"/>
          <w:kern w:val="2"/>
        </w:rPr>
        <w:t xml:space="preserve"> improper strategic withholding of offers.</w:t>
      </w:r>
      <w:r w:rsidR="000A5D9E">
        <w:rPr>
          <w:rFonts w:ascii="Arial" w:eastAsia="Aptos" w:hAnsi="Arial" w:cs="Arial"/>
          <w:kern w:val="2"/>
        </w:rPr>
        <w:t xml:space="preserve">  Most importantly, </w:t>
      </w:r>
      <w:r w:rsidR="00782503">
        <w:rPr>
          <w:rFonts w:ascii="Arial" w:eastAsia="Aptos" w:hAnsi="Arial" w:cs="Arial"/>
          <w:kern w:val="2"/>
        </w:rPr>
        <w:t>it mitigates the reliability risk of using $2,000</w:t>
      </w:r>
      <w:r w:rsidR="00E03E5D">
        <w:rPr>
          <w:rFonts w:ascii="Arial" w:eastAsia="Aptos" w:hAnsi="Arial" w:cs="Arial"/>
          <w:kern w:val="2"/>
        </w:rPr>
        <w:t xml:space="preserve"> per </w:t>
      </w:r>
      <w:r w:rsidR="00782503">
        <w:rPr>
          <w:rFonts w:ascii="Arial" w:eastAsia="Aptos" w:hAnsi="Arial" w:cs="Arial"/>
          <w:kern w:val="2"/>
        </w:rPr>
        <w:t>MW per hour in all cases.</w:t>
      </w:r>
    </w:p>
    <w:p w14:paraId="33EF2743" w14:textId="60482529" w:rsidR="00385862" w:rsidRPr="00385862" w:rsidRDefault="00C622C6" w:rsidP="00D96341">
      <w:pPr>
        <w:spacing w:before="120" w:after="120" w:line="259" w:lineRule="auto"/>
        <w:jc w:val="both"/>
        <w:rPr>
          <w:rFonts w:ascii="Arial" w:eastAsia="Aptos" w:hAnsi="Arial" w:cs="Arial"/>
          <w:kern w:val="2"/>
        </w:rPr>
      </w:pPr>
      <w:r w:rsidRPr="00C622C6">
        <w:rPr>
          <w:rFonts w:ascii="Arial" w:eastAsia="Aptos" w:hAnsi="Arial" w:cs="Arial"/>
          <w:kern w:val="2"/>
        </w:rPr>
        <w:t xml:space="preserve">The </w:t>
      </w:r>
      <w:r w:rsidR="00E74099">
        <w:rPr>
          <w:rFonts w:ascii="Arial" w:eastAsia="Aptos" w:hAnsi="Arial" w:cs="Arial"/>
          <w:kern w:val="2"/>
        </w:rPr>
        <w:t xml:space="preserve">compromise AS </w:t>
      </w:r>
      <w:r>
        <w:rPr>
          <w:rFonts w:ascii="Arial" w:eastAsia="Aptos" w:hAnsi="Arial" w:cs="Arial"/>
          <w:kern w:val="2"/>
        </w:rPr>
        <w:t xml:space="preserve">proxy offer floor </w:t>
      </w:r>
      <w:r w:rsidR="00557A6D">
        <w:rPr>
          <w:rFonts w:ascii="Arial" w:eastAsia="Aptos" w:hAnsi="Arial" w:cs="Arial"/>
          <w:kern w:val="2"/>
        </w:rPr>
        <w:t xml:space="preserve">as described </w:t>
      </w:r>
      <w:r>
        <w:rPr>
          <w:rFonts w:ascii="Arial" w:eastAsia="Aptos" w:hAnsi="Arial" w:cs="Arial"/>
          <w:kern w:val="2"/>
        </w:rPr>
        <w:t xml:space="preserve">has been </w:t>
      </w:r>
      <w:r w:rsidRPr="00C622C6">
        <w:rPr>
          <w:rFonts w:ascii="Arial" w:eastAsia="Aptos" w:hAnsi="Arial" w:cs="Arial"/>
          <w:kern w:val="2"/>
        </w:rPr>
        <w:t xml:space="preserve">used in </w:t>
      </w:r>
      <w:proofErr w:type="gramStart"/>
      <w:r>
        <w:rPr>
          <w:rFonts w:ascii="Arial" w:eastAsia="Aptos" w:hAnsi="Arial" w:cs="Arial"/>
          <w:kern w:val="2"/>
        </w:rPr>
        <w:t>all of</w:t>
      </w:r>
      <w:proofErr w:type="gramEnd"/>
      <w:r>
        <w:rPr>
          <w:rFonts w:ascii="Arial" w:eastAsia="Aptos" w:hAnsi="Arial" w:cs="Arial"/>
          <w:kern w:val="2"/>
        </w:rPr>
        <w:t xml:space="preserve"> </w:t>
      </w:r>
      <w:r w:rsidRPr="00C622C6">
        <w:rPr>
          <w:rFonts w:ascii="Arial" w:eastAsia="Aptos" w:hAnsi="Arial" w:cs="Arial"/>
          <w:kern w:val="2"/>
        </w:rPr>
        <w:t>ERCOT’s ASDC analysis</w:t>
      </w:r>
      <w:r>
        <w:rPr>
          <w:rFonts w:ascii="Arial" w:eastAsia="Aptos" w:hAnsi="Arial" w:cs="Arial"/>
          <w:kern w:val="2"/>
        </w:rPr>
        <w:t xml:space="preserve"> to date and </w:t>
      </w:r>
      <w:r w:rsidRPr="00C622C6">
        <w:rPr>
          <w:rFonts w:ascii="Arial" w:eastAsia="Aptos" w:hAnsi="Arial" w:cs="Arial"/>
          <w:kern w:val="2"/>
        </w:rPr>
        <w:t>ERCOT did not identify any concerns with th</w:t>
      </w:r>
      <w:r>
        <w:rPr>
          <w:rFonts w:ascii="Arial" w:eastAsia="Aptos" w:hAnsi="Arial" w:cs="Arial"/>
          <w:kern w:val="2"/>
        </w:rPr>
        <w:t xml:space="preserve">ese values </w:t>
      </w:r>
      <w:r w:rsidRPr="00C622C6">
        <w:rPr>
          <w:rFonts w:ascii="Arial" w:eastAsia="Aptos" w:hAnsi="Arial" w:cs="Arial"/>
          <w:kern w:val="2"/>
        </w:rPr>
        <w:t xml:space="preserve">in </w:t>
      </w:r>
      <w:r w:rsidR="00E74099">
        <w:rPr>
          <w:rFonts w:ascii="Arial" w:eastAsia="Aptos" w:hAnsi="Arial" w:cs="Arial"/>
          <w:kern w:val="2"/>
        </w:rPr>
        <w:t>this</w:t>
      </w:r>
      <w:r w:rsidRPr="00C622C6">
        <w:rPr>
          <w:rFonts w:ascii="Arial" w:eastAsia="Aptos" w:hAnsi="Arial" w:cs="Arial"/>
          <w:kern w:val="2"/>
        </w:rPr>
        <w:t xml:space="preserve"> analysis.</w:t>
      </w:r>
      <w:r>
        <w:rPr>
          <w:rFonts w:ascii="Arial" w:eastAsia="Aptos" w:hAnsi="Arial" w:cs="Arial"/>
          <w:kern w:val="2"/>
        </w:rPr>
        <w:t xml:space="preserve">  </w:t>
      </w:r>
      <w:r w:rsidR="00660218">
        <w:rPr>
          <w:rFonts w:ascii="Arial" w:eastAsia="Aptos" w:hAnsi="Arial" w:cs="Arial"/>
          <w:kern w:val="2"/>
        </w:rPr>
        <w:t xml:space="preserve">Ultimately, the values represented a balance between the ERCOT and Market Participant proposals.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FCA" w14:paraId="1D8D2186" w14:textId="77777777" w:rsidTr="00866179">
        <w:trPr>
          <w:trHeight w:val="350"/>
        </w:trPr>
        <w:tc>
          <w:tcPr>
            <w:tcW w:w="10440" w:type="dxa"/>
            <w:tcBorders>
              <w:bottom w:val="single" w:sz="4" w:space="0" w:color="auto"/>
            </w:tcBorders>
            <w:shd w:val="clear" w:color="auto" w:fill="FFFFFF"/>
            <w:vAlign w:val="center"/>
          </w:tcPr>
          <w:p w14:paraId="56B29F11" w14:textId="77777777" w:rsidR="00060FCA" w:rsidRDefault="00060FCA" w:rsidP="00866179">
            <w:pPr>
              <w:pStyle w:val="Header"/>
              <w:jc w:val="center"/>
            </w:pPr>
            <w:r>
              <w:t>Revised Cover Page Language</w:t>
            </w:r>
          </w:p>
        </w:tc>
      </w:tr>
    </w:tbl>
    <w:p w14:paraId="25C79D69" w14:textId="4704BC73" w:rsidR="00060FCA" w:rsidRDefault="00060FCA" w:rsidP="00060FCA">
      <w:pPr>
        <w:spacing w:before="120" w:after="120" w:line="259" w:lineRule="auto"/>
        <w:rPr>
          <w:rFonts w:ascii="Arial" w:eastAsia="Aptos" w:hAnsi="Arial" w:cs="Arial"/>
          <w:kern w:val="2"/>
        </w:rPr>
      </w:pPr>
      <w:r>
        <w:rPr>
          <w:rFonts w:ascii="Arial" w:eastAsia="Aptos" w:hAnsi="Arial" w:cs="Arial"/>
          <w:kern w:val="2"/>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FCA" w14:paraId="1C87BC2A" w14:textId="77777777" w:rsidTr="00866179">
        <w:trPr>
          <w:trHeight w:val="350"/>
        </w:trPr>
        <w:tc>
          <w:tcPr>
            <w:tcW w:w="10440" w:type="dxa"/>
            <w:tcBorders>
              <w:bottom w:val="single" w:sz="4" w:space="0" w:color="auto"/>
            </w:tcBorders>
            <w:shd w:val="clear" w:color="auto" w:fill="FFFFFF"/>
            <w:vAlign w:val="center"/>
          </w:tcPr>
          <w:p w14:paraId="0E1025D3" w14:textId="77777777" w:rsidR="00060FCA" w:rsidRDefault="00060FCA" w:rsidP="00866179">
            <w:pPr>
              <w:pStyle w:val="Header"/>
              <w:jc w:val="center"/>
            </w:pPr>
            <w:r>
              <w:lastRenderedPageBreak/>
              <w:t>Revised Proposed Protocol Language</w:t>
            </w:r>
          </w:p>
        </w:tc>
      </w:tr>
    </w:tbl>
    <w:p w14:paraId="3DB20067" w14:textId="41D4E307" w:rsidR="00060FCA" w:rsidRPr="00506923" w:rsidRDefault="00060FCA" w:rsidP="00060FCA">
      <w:pPr>
        <w:spacing w:before="120" w:after="120" w:line="259" w:lineRule="auto"/>
        <w:rPr>
          <w:rFonts w:ascii="Arial" w:eastAsia="Aptos" w:hAnsi="Arial" w:cs="Arial"/>
          <w:kern w:val="2"/>
        </w:rPr>
      </w:pPr>
      <w:r>
        <w:rPr>
          <w:rFonts w:ascii="Arial" w:eastAsia="Aptos" w:hAnsi="Arial" w:cs="Arial"/>
          <w:kern w:val="2"/>
        </w:rPr>
        <w:t>None</w:t>
      </w:r>
    </w:p>
    <w:sectPr w:rsidR="00060FCA" w:rsidRPr="00506923" w:rsidSect="0074209E">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3320" w14:textId="77777777" w:rsidR="00406CB8" w:rsidRDefault="00406CB8">
      <w:r>
        <w:separator/>
      </w:r>
    </w:p>
  </w:endnote>
  <w:endnote w:type="continuationSeparator" w:id="0">
    <w:p w14:paraId="35303532" w14:textId="77777777" w:rsidR="00406CB8" w:rsidRDefault="004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D351" w14:textId="2E88CFE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A3599">
      <w:rPr>
        <w:rFonts w:ascii="Arial" w:hAnsi="Arial"/>
        <w:noProof/>
        <w:sz w:val="18"/>
      </w:rPr>
      <w:t>1269NPRR-</w:t>
    </w:r>
    <w:r w:rsidR="00D96341">
      <w:rPr>
        <w:rFonts w:ascii="Arial" w:hAnsi="Arial"/>
        <w:noProof/>
        <w:sz w:val="18"/>
      </w:rPr>
      <w:t>15</w:t>
    </w:r>
    <w:r w:rsidR="00AA3599">
      <w:rPr>
        <w:rFonts w:ascii="Arial" w:hAnsi="Arial"/>
        <w:noProof/>
        <w:sz w:val="18"/>
      </w:rPr>
      <w:t xml:space="preserve"> </w:t>
    </w:r>
    <w:r w:rsidR="005B30B2">
      <w:rPr>
        <w:rFonts w:ascii="Arial" w:hAnsi="Arial"/>
        <w:noProof/>
        <w:sz w:val="18"/>
      </w:rPr>
      <w:t>ERCOT</w:t>
    </w:r>
    <w:r w:rsidR="00AA3599">
      <w:rPr>
        <w:rFonts w:ascii="Arial" w:hAnsi="Arial"/>
        <w:noProof/>
        <w:sz w:val="18"/>
      </w:rPr>
      <w:t xml:space="preserve"> Comments 03</w:t>
    </w:r>
    <w:r w:rsidR="00D96341">
      <w:rPr>
        <w:rFonts w:ascii="Arial" w:hAnsi="Arial"/>
        <w:noProof/>
        <w:sz w:val="18"/>
      </w:rPr>
      <w:t>31</w:t>
    </w:r>
    <w:r w:rsidR="00AA3599">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2DF8F3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33D6" w14:textId="77777777" w:rsidR="00406CB8" w:rsidRDefault="00406CB8">
      <w:r>
        <w:separator/>
      </w:r>
    </w:p>
  </w:footnote>
  <w:footnote w:type="continuationSeparator" w:id="0">
    <w:p w14:paraId="2016D857" w14:textId="77777777" w:rsidR="00406CB8" w:rsidRDefault="0040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D737" w14:textId="16E6552F" w:rsidR="00EE6681" w:rsidRPr="00C35D8A" w:rsidRDefault="00EE6681" w:rsidP="00C35D8A">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C10683"/>
    <w:multiLevelType w:val="hybridMultilevel"/>
    <w:tmpl w:val="0E2E4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5C2F"/>
    <w:multiLevelType w:val="hybridMultilevel"/>
    <w:tmpl w:val="A32663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83346"/>
    <w:multiLevelType w:val="hybridMultilevel"/>
    <w:tmpl w:val="8E0A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D704D"/>
    <w:multiLevelType w:val="hybridMultilevel"/>
    <w:tmpl w:val="26061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33888"/>
    <w:multiLevelType w:val="hybridMultilevel"/>
    <w:tmpl w:val="27CE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F58E3"/>
    <w:multiLevelType w:val="hybridMultilevel"/>
    <w:tmpl w:val="6C30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45E17"/>
    <w:multiLevelType w:val="hybridMultilevel"/>
    <w:tmpl w:val="C9EC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83121"/>
    <w:multiLevelType w:val="hybridMultilevel"/>
    <w:tmpl w:val="0A8AB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12D1A"/>
    <w:multiLevelType w:val="hybridMultilevel"/>
    <w:tmpl w:val="C78257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9435C"/>
    <w:multiLevelType w:val="hybridMultilevel"/>
    <w:tmpl w:val="A9A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13738321">
    <w:abstractNumId w:val="0"/>
  </w:num>
  <w:num w:numId="2" w16cid:durableId="1641836143">
    <w:abstractNumId w:val="11"/>
  </w:num>
  <w:num w:numId="3" w16cid:durableId="2049865667">
    <w:abstractNumId w:val="5"/>
  </w:num>
  <w:num w:numId="4" w16cid:durableId="1223057859">
    <w:abstractNumId w:val="9"/>
  </w:num>
  <w:num w:numId="5" w16cid:durableId="811681506">
    <w:abstractNumId w:val="1"/>
  </w:num>
  <w:num w:numId="6" w16cid:durableId="363945048">
    <w:abstractNumId w:val="7"/>
  </w:num>
  <w:num w:numId="7" w16cid:durableId="1444423956">
    <w:abstractNumId w:val="10"/>
  </w:num>
  <w:num w:numId="8" w16cid:durableId="282461371">
    <w:abstractNumId w:val="8"/>
  </w:num>
  <w:num w:numId="9" w16cid:durableId="1975869783">
    <w:abstractNumId w:val="3"/>
  </w:num>
  <w:num w:numId="10" w16cid:durableId="476724429">
    <w:abstractNumId w:val="6"/>
  </w:num>
  <w:num w:numId="11" w16cid:durableId="1997800578">
    <w:abstractNumId w:val="4"/>
  </w:num>
  <w:num w:numId="12" w16cid:durableId="643656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5F64"/>
    <w:rsid w:val="00037668"/>
    <w:rsid w:val="000603E5"/>
    <w:rsid w:val="00060FCA"/>
    <w:rsid w:val="00075A94"/>
    <w:rsid w:val="00075C2A"/>
    <w:rsid w:val="00082660"/>
    <w:rsid w:val="000A5D9E"/>
    <w:rsid w:val="000D3201"/>
    <w:rsid w:val="0011096E"/>
    <w:rsid w:val="00132855"/>
    <w:rsid w:val="00135E76"/>
    <w:rsid w:val="0013671A"/>
    <w:rsid w:val="00137007"/>
    <w:rsid w:val="00152993"/>
    <w:rsid w:val="001536AE"/>
    <w:rsid w:val="00170297"/>
    <w:rsid w:val="001A227D"/>
    <w:rsid w:val="001A398A"/>
    <w:rsid w:val="001D0F67"/>
    <w:rsid w:val="001E2032"/>
    <w:rsid w:val="001E351C"/>
    <w:rsid w:val="001F73FE"/>
    <w:rsid w:val="00207CEB"/>
    <w:rsid w:val="002110F9"/>
    <w:rsid w:val="002511D4"/>
    <w:rsid w:val="002B76C1"/>
    <w:rsid w:val="002D265F"/>
    <w:rsid w:val="002D5FA4"/>
    <w:rsid w:val="003010C0"/>
    <w:rsid w:val="0032459E"/>
    <w:rsid w:val="00326F4A"/>
    <w:rsid w:val="00332A97"/>
    <w:rsid w:val="003358C0"/>
    <w:rsid w:val="00350C00"/>
    <w:rsid w:val="00366113"/>
    <w:rsid w:val="00385862"/>
    <w:rsid w:val="003A5775"/>
    <w:rsid w:val="003C270C"/>
    <w:rsid w:val="003D0994"/>
    <w:rsid w:val="003F66C5"/>
    <w:rsid w:val="00406CB8"/>
    <w:rsid w:val="00414232"/>
    <w:rsid w:val="00423824"/>
    <w:rsid w:val="0043002F"/>
    <w:rsid w:val="004351B4"/>
    <w:rsid w:val="0043567D"/>
    <w:rsid w:val="004B7B90"/>
    <w:rsid w:val="004E2C19"/>
    <w:rsid w:val="004E6825"/>
    <w:rsid w:val="004F7906"/>
    <w:rsid w:val="00506923"/>
    <w:rsid w:val="00557A6D"/>
    <w:rsid w:val="005908F4"/>
    <w:rsid w:val="00596A49"/>
    <w:rsid w:val="005B30B2"/>
    <w:rsid w:val="005D284C"/>
    <w:rsid w:val="00604512"/>
    <w:rsid w:val="00620C05"/>
    <w:rsid w:val="006217BC"/>
    <w:rsid w:val="00633E23"/>
    <w:rsid w:val="00660218"/>
    <w:rsid w:val="00663562"/>
    <w:rsid w:val="00673B94"/>
    <w:rsid w:val="00680AC6"/>
    <w:rsid w:val="00680E87"/>
    <w:rsid w:val="006835D8"/>
    <w:rsid w:val="00692411"/>
    <w:rsid w:val="006946B8"/>
    <w:rsid w:val="006A5212"/>
    <w:rsid w:val="006A53BE"/>
    <w:rsid w:val="006B38F0"/>
    <w:rsid w:val="006B4ACF"/>
    <w:rsid w:val="006C016F"/>
    <w:rsid w:val="006C316E"/>
    <w:rsid w:val="006D0F7C"/>
    <w:rsid w:val="00720CB9"/>
    <w:rsid w:val="007269C4"/>
    <w:rsid w:val="0074209E"/>
    <w:rsid w:val="007453E0"/>
    <w:rsid w:val="00773770"/>
    <w:rsid w:val="007755F1"/>
    <w:rsid w:val="00782503"/>
    <w:rsid w:val="0078444E"/>
    <w:rsid w:val="007E6E4C"/>
    <w:rsid w:val="007F2CA8"/>
    <w:rsid w:val="007F7161"/>
    <w:rsid w:val="00837B63"/>
    <w:rsid w:val="0085559E"/>
    <w:rsid w:val="00871ABC"/>
    <w:rsid w:val="00896B1B"/>
    <w:rsid w:val="008B5947"/>
    <w:rsid w:val="008D6009"/>
    <w:rsid w:val="008E559E"/>
    <w:rsid w:val="008F5902"/>
    <w:rsid w:val="00916080"/>
    <w:rsid w:val="00921A68"/>
    <w:rsid w:val="00946808"/>
    <w:rsid w:val="009665CD"/>
    <w:rsid w:val="009A40CB"/>
    <w:rsid w:val="009D6B05"/>
    <w:rsid w:val="00A015C4"/>
    <w:rsid w:val="00A03457"/>
    <w:rsid w:val="00A15172"/>
    <w:rsid w:val="00A90BE3"/>
    <w:rsid w:val="00AA2CB4"/>
    <w:rsid w:val="00AA3599"/>
    <w:rsid w:val="00AA3ED7"/>
    <w:rsid w:val="00AE2F9A"/>
    <w:rsid w:val="00AE7453"/>
    <w:rsid w:val="00B20E19"/>
    <w:rsid w:val="00B344C0"/>
    <w:rsid w:val="00B37C38"/>
    <w:rsid w:val="00B4597B"/>
    <w:rsid w:val="00B5080A"/>
    <w:rsid w:val="00B943AE"/>
    <w:rsid w:val="00BA6E13"/>
    <w:rsid w:val="00BB115E"/>
    <w:rsid w:val="00BD0DAB"/>
    <w:rsid w:val="00BD1E78"/>
    <w:rsid w:val="00BD7258"/>
    <w:rsid w:val="00BF5CEC"/>
    <w:rsid w:val="00C0598D"/>
    <w:rsid w:val="00C077AA"/>
    <w:rsid w:val="00C11956"/>
    <w:rsid w:val="00C35D8A"/>
    <w:rsid w:val="00C602E5"/>
    <w:rsid w:val="00C613A7"/>
    <w:rsid w:val="00C622C6"/>
    <w:rsid w:val="00C748FD"/>
    <w:rsid w:val="00C76590"/>
    <w:rsid w:val="00C77C7B"/>
    <w:rsid w:val="00C84D37"/>
    <w:rsid w:val="00C85C8C"/>
    <w:rsid w:val="00CB7558"/>
    <w:rsid w:val="00D01583"/>
    <w:rsid w:val="00D2277D"/>
    <w:rsid w:val="00D4046E"/>
    <w:rsid w:val="00D4362F"/>
    <w:rsid w:val="00D70141"/>
    <w:rsid w:val="00D92480"/>
    <w:rsid w:val="00D96341"/>
    <w:rsid w:val="00DB0D0A"/>
    <w:rsid w:val="00DD249E"/>
    <w:rsid w:val="00DD4739"/>
    <w:rsid w:val="00DE30E5"/>
    <w:rsid w:val="00DE5F33"/>
    <w:rsid w:val="00DF41A2"/>
    <w:rsid w:val="00DF48A1"/>
    <w:rsid w:val="00E03E5D"/>
    <w:rsid w:val="00E0492F"/>
    <w:rsid w:val="00E07B54"/>
    <w:rsid w:val="00E10425"/>
    <w:rsid w:val="00E11F78"/>
    <w:rsid w:val="00E621E1"/>
    <w:rsid w:val="00E72E56"/>
    <w:rsid w:val="00E74099"/>
    <w:rsid w:val="00E82CF5"/>
    <w:rsid w:val="00EA5484"/>
    <w:rsid w:val="00EC4EEF"/>
    <w:rsid w:val="00EC55B3"/>
    <w:rsid w:val="00ED2ABF"/>
    <w:rsid w:val="00EE6681"/>
    <w:rsid w:val="00EF250C"/>
    <w:rsid w:val="00EF26FF"/>
    <w:rsid w:val="00F11F49"/>
    <w:rsid w:val="00F155BD"/>
    <w:rsid w:val="00F33863"/>
    <w:rsid w:val="00F566AD"/>
    <w:rsid w:val="00F651F3"/>
    <w:rsid w:val="00F9477F"/>
    <w:rsid w:val="00F96FB2"/>
    <w:rsid w:val="00FB2B54"/>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45F86"/>
  <w15:chartTrackingRefBased/>
  <w15:docId w15:val="{169CD727-DB2D-4469-968E-8D3780F0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06923"/>
    <w:rPr>
      <w:color w:val="605E5C"/>
      <w:shd w:val="clear" w:color="auto" w:fill="E1DFDD"/>
    </w:rPr>
  </w:style>
  <w:style w:type="character" w:customStyle="1" w:styleId="HeaderChar">
    <w:name w:val="Header Char"/>
    <w:link w:val="Header"/>
    <w:rsid w:val="00060FCA"/>
    <w:rPr>
      <w:rFonts w:ascii="Arial" w:hAnsi="Arial"/>
      <w:b/>
      <w:bCs/>
      <w:sz w:val="24"/>
      <w:szCs w:val="24"/>
    </w:rPr>
  </w:style>
  <w:style w:type="paragraph" w:styleId="ListParagraph">
    <w:name w:val="List Paragraph"/>
    <w:basedOn w:val="Normal"/>
    <w:uiPriority w:val="34"/>
    <w:qFormat/>
    <w:rsid w:val="00082660"/>
    <w:pPr>
      <w:ind w:left="720"/>
      <w:contextualSpacing/>
    </w:pPr>
  </w:style>
  <w:style w:type="paragraph" w:styleId="Revision">
    <w:name w:val="Revision"/>
    <w:hidden/>
    <w:uiPriority w:val="99"/>
    <w:semiHidden/>
    <w:rsid w:val="001E3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8580">
      <w:bodyDiv w:val="1"/>
      <w:marLeft w:val="0"/>
      <w:marRight w:val="0"/>
      <w:marTop w:val="0"/>
      <w:marBottom w:val="0"/>
      <w:divBdr>
        <w:top w:val="none" w:sz="0" w:space="0" w:color="auto"/>
        <w:left w:val="none" w:sz="0" w:space="0" w:color="auto"/>
        <w:bottom w:val="none" w:sz="0" w:space="0" w:color="auto"/>
        <w:right w:val="none" w:sz="0" w:space="0" w:color="auto"/>
      </w:divBdr>
      <w:divsChild>
        <w:div w:id="816188957">
          <w:marLeft w:val="547"/>
          <w:marRight w:val="0"/>
          <w:marTop w:val="7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Maggio@erco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ith.Collins@ercot.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9"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4" ma:contentTypeDescription="Create a new document." ma:contentTypeScope="" ma:versionID="46a6d3e46b90a42565739537e3d9e81f">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262d33734eafc53139615fafd5b784c7" ns3:_="" ns4:_="">
    <xsd:import namespace="97deaf5a-01d9-4834-89d2-802f43df07d1"/>
    <xsd:import namespace="ded7f6be-006e-48d8-8435-0405bc84a9a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B7895-EA91-4B90-95D1-0C4B844A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A8AEC-5AAA-40EE-A927-6D74F227B7C7}">
  <ds:schemaRefs>
    <ds:schemaRef ds:uri="http://schemas.openxmlformats.org/officeDocument/2006/bibliography"/>
  </ds:schemaRefs>
</ds:datastoreItem>
</file>

<file path=customXml/itemProps3.xml><?xml version="1.0" encoding="utf-8"?>
<ds:datastoreItem xmlns:ds="http://schemas.openxmlformats.org/officeDocument/2006/customXml" ds:itemID="{12937F21-FF22-48ED-8D30-6A10F6C0B339}">
  <ds:schemaRefs>
    <ds:schemaRef ds:uri="http://schemas.microsoft.com/office/2006/metadata/properties"/>
    <ds:schemaRef ds:uri="http://schemas.microsoft.com/office/infopath/2007/PartnerControls"/>
    <ds:schemaRef ds:uri="97deaf5a-01d9-4834-89d2-802f43df07d1"/>
  </ds:schemaRefs>
</ds:datastoreItem>
</file>

<file path=customXml/itemProps4.xml><?xml version="1.0" encoding="utf-8"?>
<ds:datastoreItem xmlns:ds="http://schemas.openxmlformats.org/officeDocument/2006/customXml" ds:itemID="{9FE08B3C-4E8B-4A8C-A93F-200DE0A8C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9668</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11529</CharactersWithSpaces>
  <SharedDoc>false</SharedDoc>
  <HLinks>
    <vt:vector size="12" baseType="variant">
      <vt:variant>
        <vt:i4>2686991</vt:i4>
      </vt:variant>
      <vt:variant>
        <vt:i4>3</vt:i4>
      </vt:variant>
      <vt:variant>
        <vt:i4>0</vt:i4>
      </vt:variant>
      <vt:variant>
        <vt:i4>5</vt:i4>
      </vt:variant>
      <vt:variant>
        <vt:lpwstr>mailto:areimers@potomaceconomics.com</vt:lpwstr>
      </vt:variant>
      <vt:variant>
        <vt:lpwstr/>
      </vt:variant>
      <vt:variant>
        <vt:i4>4784252</vt:i4>
      </vt:variant>
      <vt:variant>
        <vt:i4>0</vt:i4>
      </vt:variant>
      <vt:variant>
        <vt:i4>0</vt:i4>
      </vt:variant>
      <vt:variant>
        <vt:i4>5</vt:i4>
      </vt:variant>
      <vt:variant>
        <vt:lpwstr>mailto:jmcdonald@potomaceconomics.com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2025-04-01T01:15:00Z</dcterms:created>
  <dcterms:modified xsi:type="dcterms:W3CDTF">2025-04-01T01:15:00Z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2025-03-11T19:38:57Z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92da7cd6-b635-47db-8a4d-88c4f361c73d</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