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641F" w14:textId="77777777" w:rsidR="00767A4B" w:rsidRDefault="00767A4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767A4B" w14:paraId="69726FAA" w14:textId="77777777">
        <w:tc>
          <w:tcPr>
            <w:tcW w:w="1620" w:type="dxa"/>
            <w:tcBorders>
              <w:bottom w:val="single" w:sz="4" w:space="0" w:color="000000"/>
            </w:tcBorders>
            <w:shd w:val="clear" w:color="auto" w:fill="FFFFFF"/>
            <w:vAlign w:val="center"/>
          </w:tcPr>
          <w:p w14:paraId="0E26EF47" w14:textId="77777777" w:rsidR="00767A4B" w:rsidRDefault="00957885">
            <w:pPr>
              <w:pBdr>
                <w:top w:val="nil"/>
                <w:left w:val="nil"/>
                <w:bottom w:val="nil"/>
                <w:right w:val="nil"/>
                <w:between w:val="nil"/>
              </w:pBdr>
              <w:tabs>
                <w:tab w:val="center" w:pos="4320"/>
                <w:tab w:val="right" w:pos="8640"/>
              </w:tabs>
              <w:spacing w:before="120" w:after="120" w:line="240" w:lineRule="auto"/>
              <w:ind w:left="0" w:hanging="2"/>
              <w:rPr>
                <w:rFonts w:ascii="Verdana" w:eastAsia="Verdana" w:hAnsi="Verdana" w:cs="Verdana"/>
                <w:b/>
                <w:color w:val="000000"/>
                <w:sz w:val="22"/>
                <w:szCs w:val="22"/>
              </w:rPr>
            </w:pPr>
            <w:r>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06B62D7F" w14:textId="77777777" w:rsidR="00767A4B" w:rsidRDefault="00957885">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hyperlink r:id="rId9">
              <w:r>
                <w:rPr>
                  <w:rFonts w:ascii="Arial" w:eastAsia="Arial" w:hAnsi="Arial" w:cs="Arial"/>
                  <w:b/>
                  <w:color w:val="0000FF"/>
                  <w:u w:val="single"/>
                </w:rPr>
                <w:t>1264</w:t>
              </w:r>
            </w:hyperlink>
          </w:p>
        </w:tc>
        <w:tc>
          <w:tcPr>
            <w:tcW w:w="900" w:type="dxa"/>
            <w:tcBorders>
              <w:bottom w:val="single" w:sz="4" w:space="0" w:color="000000"/>
            </w:tcBorders>
            <w:shd w:val="clear" w:color="auto" w:fill="FFFFFF"/>
            <w:vAlign w:val="center"/>
          </w:tcPr>
          <w:p w14:paraId="15FC052E"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005F775A"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Creation of a New Energy Attribute Certificate Program</w:t>
            </w:r>
          </w:p>
        </w:tc>
      </w:tr>
      <w:tr w:rsidR="00767A4B" w14:paraId="767266CB" w14:textId="77777777">
        <w:trPr>
          <w:trHeight w:val="413"/>
        </w:trPr>
        <w:tc>
          <w:tcPr>
            <w:tcW w:w="2880" w:type="dxa"/>
            <w:gridSpan w:val="2"/>
            <w:tcBorders>
              <w:top w:val="nil"/>
              <w:left w:val="nil"/>
              <w:bottom w:val="single" w:sz="4" w:space="0" w:color="000000"/>
              <w:right w:val="nil"/>
            </w:tcBorders>
            <w:vAlign w:val="center"/>
          </w:tcPr>
          <w:p w14:paraId="6632C0E5"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single" w:sz="4" w:space="0" w:color="000000"/>
              <w:left w:val="nil"/>
              <w:bottom w:val="nil"/>
              <w:right w:val="nil"/>
            </w:tcBorders>
            <w:vAlign w:val="center"/>
          </w:tcPr>
          <w:p w14:paraId="441F0E3F"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c>
      </w:tr>
      <w:tr w:rsidR="00767A4B" w14:paraId="7E70AF86"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DDE66C5"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Date</w:t>
            </w:r>
          </w:p>
        </w:tc>
        <w:tc>
          <w:tcPr>
            <w:tcW w:w="7560" w:type="dxa"/>
            <w:gridSpan w:val="2"/>
            <w:tcBorders>
              <w:top w:val="single" w:sz="4" w:space="0" w:color="000000"/>
              <w:left w:val="single" w:sz="4" w:space="0" w:color="000000"/>
              <w:bottom w:val="single" w:sz="4" w:space="0" w:color="000000"/>
              <w:right w:val="single" w:sz="4" w:space="0" w:color="000000"/>
            </w:tcBorders>
            <w:vAlign w:val="center"/>
          </w:tcPr>
          <w:p w14:paraId="78195221" w14:textId="10107708" w:rsidR="00767A4B" w:rsidRDefault="0095788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Apr</w:t>
            </w:r>
            <w:r w:rsidR="00716FD7">
              <w:rPr>
                <w:rFonts w:ascii="Arial" w:eastAsia="Arial" w:hAnsi="Arial" w:cs="Arial"/>
              </w:rPr>
              <w:t>il</w:t>
            </w:r>
            <w:r>
              <w:rPr>
                <w:rFonts w:ascii="Arial" w:eastAsia="Arial" w:hAnsi="Arial" w:cs="Arial"/>
              </w:rPr>
              <w:t xml:space="preserve"> 8</w:t>
            </w:r>
            <w:r>
              <w:rPr>
                <w:rFonts w:ascii="Arial" w:eastAsia="Arial" w:hAnsi="Arial" w:cs="Arial"/>
              </w:rPr>
              <w:t>, 2025</w:t>
            </w:r>
          </w:p>
        </w:tc>
      </w:tr>
      <w:tr w:rsidR="00767A4B" w14:paraId="78F8F1F0" w14:textId="77777777">
        <w:trPr>
          <w:trHeight w:val="467"/>
        </w:trPr>
        <w:tc>
          <w:tcPr>
            <w:tcW w:w="2880" w:type="dxa"/>
            <w:gridSpan w:val="2"/>
            <w:tcBorders>
              <w:top w:val="single" w:sz="4" w:space="0" w:color="000000"/>
              <w:left w:val="nil"/>
              <w:bottom w:val="nil"/>
              <w:right w:val="nil"/>
            </w:tcBorders>
            <w:shd w:val="clear" w:color="auto" w:fill="FFFFFF"/>
            <w:vAlign w:val="center"/>
          </w:tcPr>
          <w:p w14:paraId="440AAB7B"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nil"/>
              <w:left w:val="nil"/>
              <w:bottom w:val="nil"/>
              <w:right w:val="nil"/>
            </w:tcBorders>
            <w:vAlign w:val="center"/>
          </w:tcPr>
          <w:p w14:paraId="686154A3"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c>
      </w:tr>
      <w:tr w:rsidR="00767A4B" w14:paraId="5547FE32" w14:textId="77777777">
        <w:trPr>
          <w:trHeight w:val="440"/>
        </w:trPr>
        <w:tc>
          <w:tcPr>
            <w:tcW w:w="10440" w:type="dxa"/>
            <w:gridSpan w:val="4"/>
            <w:tcBorders>
              <w:top w:val="single" w:sz="4" w:space="0" w:color="000000"/>
            </w:tcBorders>
            <w:shd w:val="clear" w:color="auto" w:fill="FFFFFF"/>
            <w:vAlign w:val="center"/>
          </w:tcPr>
          <w:p w14:paraId="016686A4" w14:textId="77777777" w:rsidR="00767A4B" w:rsidRDefault="00957885">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Submitter’s Information</w:t>
            </w:r>
          </w:p>
        </w:tc>
      </w:tr>
      <w:tr w:rsidR="00767A4B" w14:paraId="6EA7F9D2" w14:textId="77777777">
        <w:trPr>
          <w:trHeight w:val="350"/>
        </w:trPr>
        <w:tc>
          <w:tcPr>
            <w:tcW w:w="2880" w:type="dxa"/>
            <w:gridSpan w:val="2"/>
            <w:shd w:val="clear" w:color="auto" w:fill="FFFFFF"/>
            <w:vAlign w:val="center"/>
          </w:tcPr>
          <w:p w14:paraId="45EF9BFB"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Name</w:t>
            </w:r>
          </w:p>
        </w:tc>
        <w:tc>
          <w:tcPr>
            <w:tcW w:w="7560" w:type="dxa"/>
            <w:gridSpan w:val="2"/>
            <w:vAlign w:val="center"/>
          </w:tcPr>
          <w:p w14:paraId="143FCCFE" w14:textId="77777777" w:rsidR="00767A4B" w:rsidRDefault="0095788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Chris Matos</w:t>
            </w:r>
          </w:p>
        </w:tc>
      </w:tr>
      <w:tr w:rsidR="00767A4B" w14:paraId="0D4560A8" w14:textId="77777777">
        <w:trPr>
          <w:trHeight w:val="350"/>
        </w:trPr>
        <w:tc>
          <w:tcPr>
            <w:tcW w:w="2880" w:type="dxa"/>
            <w:gridSpan w:val="2"/>
            <w:shd w:val="clear" w:color="auto" w:fill="FFFFFF"/>
            <w:vAlign w:val="center"/>
          </w:tcPr>
          <w:p w14:paraId="3D27ED6B"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E-mail Address</w:t>
            </w:r>
          </w:p>
        </w:tc>
        <w:tc>
          <w:tcPr>
            <w:tcW w:w="7560" w:type="dxa"/>
            <w:gridSpan w:val="2"/>
            <w:vAlign w:val="center"/>
          </w:tcPr>
          <w:p w14:paraId="3FCBECBA" w14:textId="6D695BC4" w:rsidR="00767A4B" w:rsidRDefault="00716FD7">
            <w:pPr>
              <w:pBdr>
                <w:top w:val="nil"/>
                <w:left w:val="nil"/>
                <w:bottom w:val="nil"/>
                <w:right w:val="nil"/>
                <w:between w:val="nil"/>
              </w:pBdr>
              <w:spacing w:line="240" w:lineRule="auto"/>
              <w:ind w:left="0" w:hanging="2"/>
              <w:rPr>
                <w:rFonts w:ascii="Arial" w:eastAsia="Arial" w:hAnsi="Arial" w:cs="Arial"/>
                <w:color w:val="000000"/>
              </w:rPr>
            </w:pPr>
            <w:hyperlink r:id="rId10" w:history="1">
              <w:r w:rsidRPr="006C29C6">
                <w:rPr>
                  <w:rStyle w:val="Hyperlink"/>
                  <w:rFonts w:ascii="Arial" w:eastAsia="Arial" w:hAnsi="Arial" w:cs="Arial"/>
                </w:rPr>
                <w:t>chrismatos@google.com</w:t>
              </w:r>
            </w:hyperlink>
            <w:r>
              <w:rPr>
                <w:rFonts w:ascii="Arial" w:eastAsia="Arial" w:hAnsi="Arial" w:cs="Arial"/>
              </w:rPr>
              <w:t xml:space="preserve"> </w:t>
            </w:r>
          </w:p>
        </w:tc>
      </w:tr>
      <w:tr w:rsidR="00767A4B" w14:paraId="7C3AC67B" w14:textId="77777777">
        <w:trPr>
          <w:trHeight w:val="350"/>
        </w:trPr>
        <w:tc>
          <w:tcPr>
            <w:tcW w:w="2880" w:type="dxa"/>
            <w:gridSpan w:val="2"/>
            <w:shd w:val="clear" w:color="auto" w:fill="FFFFFF"/>
            <w:vAlign w:val="center"/>
          </w:tcPr>
          <w:p w14:paraId="3999D2A4"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Company</w:t>
            </w:r>
          </w:p>
        </w:tc>
        <w:tc>
          <w:tcPr>
            <w:tcW w:w="7560" w:type="dxa"/>
            <w:gridSpan w:val="2"/>
            <w:vAlign w:val="center"/>
          </w:tcPr>
          <w:p w14:paraId="5D32AD9A" w14:textId="66D1B4D0" w:rsidR="00767A4B" w:rsidRDefault="0095788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Google</w:t>
            </w:r>
            <w:r>
              <w:rPr>
                <w:rFonts w:ascii="Arial" w:eastAsia="Arial" w:hAnsi="Arial" w:cs="Arial"/>
                <w:color w:val="000000"/>
              </w:rPr>
              <w:t xml:space="preserve"> </w:t>
            </w:r>
          </w:p>
        </w:tc>
      </w:tr>
      <w:tr w:rsidR="00767A4B" w14:paraId="651FA487" w14:textId="77777777">
        <w:trPr>
          <w:trHeight w:val="350"/>
        </w:trPr>
        <w:tc>
          <w:tcPr>
            <w:tcW w:w="2880" w:type="dxa"/>
            <w:gridSpan w:val="2"/>
            <w:tcBorders>
              <w:bottom w:val="single" w:sz="4" w:space="0" w:color="000000"/>
            </w:tcBorders>
            <w:shd w:val="clear" w:color="auto" w:fill="FFFFFF"/>
            <w:vAlign w:val="center"/>
          </w:tcPr>
          <w:p w14:paraId="75DD5F35"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Phone Number</w:t>
            </w:r>
          </w:p>
        </w:tc>
        <w:tc>
          <w:tcPr>
            <w:tcW w:w="7560" w:type="dxa"/>
            <w:gridSpan w:val="2"/>
            <w:tcBorders>
              <w:bottom w:val="single" w:sz="4" w:space="0" w:color="000000"/>
            </w:tcBorders>
            <w:vAlign w:val="center"/>
          </w:tcPr>
          <w:p w14:paraId="489A5E47"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c>
      </w:tr>
      <w:tr w:rsidR="00767A4B" w14:paraId="25BBC033" w14:textId="77777777">
        <w:trPr>
          <w:trHeight w:val="350"/>
        </w:trPr>
        <w:tc>
          <w:tcPr>
            <w:tcW w:w="2880" w:type="dxa"/>
            <w:gridSpan w:val="2"/>
            <w:shd w:val="clear" w:color="auto" w:fill="FFFFFF"/>
            <w:vAlign w:val="center"/>
          </w:tcPr>
          <w:p w14:paraId="09F7CDFA"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Cell Number</w:t>
            </w:r>
          </w:p>
        </w:tc>
        <w:tc>
          <w:tcPr>
            <w:tcW w:w="7560" w:type="dxa"/>
            <w:gridSpan w:val="2"/>
            <w:vAlign w:val="center"/>
          </w:tcPr>
          <w:p w14:paraId="02A597C3" w14:textId="54709CD5" w:rsidR="00767A4B" w:rsidRDefault="00402D19">
            <w:pPr>
              <w:pBdr>
                <w:top w:val="nil"/>
                <w:left w:val="nil"/>
                <w:bottom w:val="nil"/>
                <w:right w:val="nil"/>
                <w:between w:val="nil"/>
              </w:pBdr>
              <w:spacing w:line="240" w:lineRule="auto"/>
              <w:ind w:left="0" w:hanging="2"/>
              <w:rPr>
                <w:rFonts w:ascii="Arial" w:eastAsia="Arial" w:hAnsi="Arial" w:cs="Arial"/>
                <w:color w:val="000000"/>
              </w:rPr>
            </w:pPr>
            <w:r w:rsidRPr="00402D19">
              <w:rPr>
                <w:rFonts w:ascii="Arial" w:eastAsia="Arial" w:hAnsi="Arial" w:cs="Arial"/>
                <w:color w:val="000000"/>
              </w:rPr>
              <w:t>+1.650.930.6764</w:t>
            </w:r>
          </w:p>
        </w:tc>
      </w:tr>
      <w:tr w:rsidR="00767A4B" w14:paraId="24731D38" w14:textId="77777777">
        <w:trPr>
          <w:trHeight w:val="350"/>
        </w:trPr>
        <w:tc>
          <w:tcPr>
            <w:tcW w:w="2880" w:type="dxa"/>
            <w:gridSpan w:val="2"/>
            <w:tcBorders>
              <w:bottom w:val="single" w:sz="4" w:space="0" w:color="000000"/>
            </w:tcBorders>
            <w:shd w:val="clear" w:color="auto" w:fill="FFFFFF"/>
            <w:vAlign w:val="center"/>
          </w:tcPr>
          <w:p w14:paraId="2EC92C63" w14:textId="77777777" w:rsidR="00767A4B" w:rsidRDefault="00957885">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Market Segment</w:t>
            </w:r>
          </w:p>
        </w:tc>
        <w:tc>
          <w:tcPr>
            <w:tcW w:w="7560" w:type="dxa"/>
            <w:gridSpan w:val="2"/>
            <w:tcBorders>
              <w:bottom w:val="single" w:sz="4" w:space="0" w:color="000000"/>
            </w:tcBorders>
            <w:vAlign w:val="center"/>
          </w:tcPr>
          <w:p w14:paraId="76B8A3DC" w14:textId="1BC8482B" w:rsidR="00767A4B" w:rsidRDefault="0095788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Consumer, Industrial</w:t>
            </w:r>
            <w:r w:rsidR="00402D19">
              <w:rPr>
                <w:rFonts w:ascii="Arial" w:eastAsia="Arial" w:hAnsi="Arial" w:cs="Arial"/>
              </w:rPr>
              <w:t xml:space="preserve"> Segment</w:t>
            </w:r>
          </w:p>
        </w:tc>
      </w:tr>
    </w:tbl>
    <w:p w14:paraId="6F34AF34" w14:textId="77777777" w:rsidR="00767A4B" w:rsidRDefault="00767A4B">
      <w:pPr>
        <w:pBdr>
          <w:top w:val="nil"/>
          <w:left w:val="nil"/>
          <w:bottom w:val="nil"/>
          <w:right w:val="nil"/>
          <w:between w:val="nil"/>
        </w:pBdr>
        <w:spacing w:line="240" w:lineRule="auto"/>
        <w:ind w:left="0" w:hanging="2"/>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67A4B" w14:paraId="4C5F46EA" w14:textId="77777777">
        <w:trPr>
          <w:trHeight w:val="422"/>
          <w:jc w:val="center"/>
        </w:trPr>
        <w:tc>
          <w:tcPr>
            <w:tcW w:w="10440" w:type="dxa"/>
            <w:vAlign w:val="center"/>
          </w:tcPr>
          <w:p w14:paraId="53325121" w14:textId="77777777" w:rsidR="00767A4B" w:rsidRDefault="00957885">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Comments</w:t>
            </w:r>
          </w:p>
        </w:tc>
      </w:tr>
    </w:tbl>
    <w:p w14:paraId="1F6E72C6" w14:textId="1EB00DA0" w:rsidR="00767A4B" w:rsidRDefault="00957885" w:rsidP="00716FD7">
      <w:pPr>
        <w:spacing w:before="240" w:after="240"/>
        <w:ind w:leftChars="0" w:left="0" w:firstLineChars="0" w:firstLine="0"/>
        <w:rPr>
          <w:rFonts w:ascii="Arial" w:eastAsia="Arial" w:hAnsi="Arial" w:cs="Arial"/>
        </w:rPr>
      </w:pPr>
      <w:r>
        <w:rPr>
          <w:rFonts w:ascii="Arial" w:eastAsia="Arial" w:hAnsi="Arial" w:cs="Arial"/>
        </w:rPr>
        <w:t xml:space="preserve">Google appreciates the continued discussion on </w:t>
      </w:r>
      <w:r w:rsidR="00485184">
        <w:rPr>
          <w:rFonts w:ascii="Arial" w:eastAsia="Arial" w:hAnsi="Arial" w:cs="Arial"/>
        </w:rPr>
        <w:t>Nodal Protocol Revision Request (</w:t>
      </w:r>
      <w:r>
        <w:rPr>
          <w:rFonts w:ascii="Arial" w:eastAsia="Arial" w:hAnsi="Arial" w:cs="Arial"/>
        </w:rPr>
        <w:t>NPRR</w:t>
      </w:r>
      <w:r w:rsidR="00485184">
        <w:rPr>
          <w:rFonts w:ascii="Arial" w:eastAsia="Arial" w:hAnsi="Arial" w:cs="Arial"/>
        </w:rPr>
        <w:t xml:space="preserve">) </w:t>
      </w:r>
      <w:r>
        <w:rPr>
          <w:rFonts w:ascii="Arial" w:eastAsia="Arial" w:hAnsi="Arial" w:cs="Arial"/>
        </w:rPr>
        <w:t xml:space="preserve">1264 and submits these comments in response to ERCOT’s questions dated March 11th.  </w:t>
      </w:r>
    </w:p>
    <w:p w14:paraId="6B35DDEF" w14:textId="77777777" w:rsidR="00767A4B" w:rsidRDefault="00957885">
      <w:pPr>
        <w:numPr>
          <w:ilvl w:val="0"/>
          <w:numId w:val="1"/>
        </w:numPr>
        <w:spacing w:after="240"/>
        <w:ind w:left="0" w:hanging="2"/>
        <w:rPr>
          <w:rFonts w:ascii="Arial" w:eastAsia="Arial" w:hAnsi="Arial" w:cs="Arial"/>
        </w:rPr>
      </w:pPr>
      <w:r>
        <w:rPr>
          <w:rFonts w:ascii="Arial" w:eastAsia="Arial" w:hAnsi="Arial" w:cs="Arial"/>
        </w:rPr>
        <w:t>“</w:t>
      </w:r>
      <w:r>
        <w:rPr>
          <w:rFonts w:ascii="Arial" w:eastAsia="Arial" w:hAnsi="Arial" w:cs="Arial"/>
        </w:rPr>
        <w:t xml:space="preserve">What public policy purposes are served by requiring ERCOT to develop an EAC trading program when customers already </w:t>
      </w:r>
      <w:proofErr w:type="gramStart"/>
      <w:r>
        <w:rPr>
          <w:rFonts w:ascii="Arial" w:eastAsia="Arial" w:hAnsi="Arial" w:cs="Arial"/>
        </w:rPr>
        <w:t>have the ability to</w:t>
      </w:r>
      <w:proofErr w:type="gramEnd"/>
      <w:r>
        <w:rPr>
          <w:rFonts w:ascii="Arial" w:eastAsia="Arial" w:hAnsi="Arial" w:cs="Arial"/>
        </w:rPr>
        <w:t xml:space="preserve"> contract for desirable generation attributes?  What specific benefits would such a program create that are not currently available?  Is the primary purpose of NPRR1264 to align with the requirements of the federal clean hydrogen production tax credit regulations?</w:t>
      </w:r>
      <w:r>
        <w:rPr>
          <w:rFonts w:ascii="Arial" w:eastAsia="Arial" w:hAnsi="Arial" w:cs="Arial"/>
        </w:rPr>
        <w:t>”</w:t>
      </w:r>
    </w:p>
    <w:p w14:paraId="0C900905" w14:textId="46F44307" w:rsidR="00767A4B" w:rsidRDefault="00957885">
      <w:pPr>
        <w:spacing w:after="240"/>
        <w:ind w:left="0" w:hanging="2"/>
        <w:rPr>
          <w:rFonts w:ascii="Arial" w:eastAsia="Arial" w:hAnsi="Arial" w:cs="Arial"/>
        </w:rPr>
      </w:pPr>
      <w:r>
        <w:rPr>
          <w:rFonts w:ascii="Arial" w:eastAsia="Arial" w:hAnsi="Arial" w:cs="Arial"/>
        </w:rPr>
        <w:t xml:space="preserve">The purpose of an hourly </w:t>
      </w:r>
      <w:r w:rsidR="00B25CDC">
        <w:rPr>
          <w:rFonts w:ascii="Arial" w:eastAsia="Arial" w:hAnsi="Arial" w:cs="Arial"/>
        </w:rPr>
        <w:t>E</w:t>
      </w:r>
      <w:r w:rsidR="00B25CDC">
        <w:rPr>
          <w:rFonts w:ascii="Arial" w:eastAsia="Arial" w:hAnsi="Arial" w:cs="Arial"/>
        </w:rPr>
        <w:t xml:space="preserve">nergy </w:t>
      </w:r>
      <w:r w:rsidR="00B25CDC">
        <w:rPr>
          <w:rFonts w:ascii="Arial" w:eastAsia="Arial" w:hAnsi="Arial" w:cs="Arial"/>
        </w:rPr>
        <w:t>A</w:t>
      </w:r>
      <w:r w:rsidR="00B25CDC">
        <w:rPr>
          <w:rFonts w:ascii="Arial" w:eastAsia="Arial" w:hAnsi="Arial" w:cs="Arial"/>
        </w:rPr>
        <w:t xml:space="preserve">ttribute </w:t>
      </w:r>
      <w:r w:rsidR="00B25CDC">
        <w:rPr>
          <w:rFonts w:ascii="Arial" w:eastAsia="Arial" w:hAnsi="Arial" w:cs="Arial"/>
        </w:rPr>
        <w:t>C</w:t>
      </w:r>
      <w:r w:rsidR="00B25CDC">
        <w:rPr>
          <w:rFonts w:ascii="Arial" w:eastAsia="Arial" w:hAnsi="Arial" w:cs="Arial"/>
        </w:rPr>
        <w:t xml:space="preserve">ertificate </w:t>
      </w:r>
      <w:r>
        <w:rPr>
          <w:rFonts w:ascii="Arial" w:eastAsia="Arial" w:hAnsi="Arial" w:cs="Arial"/>
        </w:rPr>
        <w:t>(EAC) program extends well beyond a singular public policy outcome.</w:t>
      </w:r>
      <w:r>
        <w:rPr>
          <w:rFonts w:ascii="Arial" w:eastAsia="Arial" w:hAnsi="Arial" w:cs="Arial"/>
        </w:rPr>
        <w:br/>
      </w:r>
      <w:r>
        <w:rPr>
          <w:rFonts w:ascii="Arial" w:eastAsia="Arial" w:hAnsi="Arial" w:cs="Arial"/>
        </w:rPr>
        <w:br/>
        <w:t xml:space="preserve">As Oxy notes in their comments, while these would be helpful for hydrogen production, the driver for them is not exclusive to it. </w:t>
      </w:r>
      <w:r w:rsidR="00B25CDC">
        <w:rPr>
          <w:rFonts w:ascii="Arial" w:eastAsia="Arial" w:hAnsi="Arial" w:cs="Arial"/>
        </w:rPr>
        <w:t xml:space="preserve"> </w:t>
      </w:r>
      <w:r>
        <w:rPr>
          <w:rFonts w:ascii="Arial" w:eastAsia="Arial" w:hAnsi="Arial" w:cs="Arial"/>
        </w:rPr>
        <w:t>For example, the “Deploying a Wor</w:t>
      </w:r>
      <w:r w:rsidR="00B25CDC">
        <w:rPr>
          <w:rFonts w:ascii="Arial" w:eastAsia="Arial" w:hAnsi="Arial" w:cs="Arial"/>
        </w:rPr>
        <w:t>l</w:t>
      </w:r>
      <w:r>
        <w:rPr>
          <w:rFonts w:ascii="Arial" w:eastAsia="Arial" w:hAnsi="Arial" w:cs="Arial"/>
        </w:rPr>
        <w:t>d-Renowned Advanced Nuclear Industry in Texas” report</w:t>
      </w:r>
      <w:r>
        <w:rPr>
          <w:rFonts w:ascii="Arial" w:eastAsia="Arial" w:hAnsi="Arial" w:cs="Arial"/>
        </w:rPr>
        <w:t xml:space="preserve"> noted that the implementation of an hourly tracking mechanism could bring additional value to future nuclear energy expansion in Texas. </w:t>
      </w:r>
    </w:p>
    <w:p w14:paraId="0CB6CD93" w14:textId="6A2F6E43" w:rsidR="00767A4B" w:rsidRDefault="00957885">
      <w:pPr>
        <w:spacing w:after="240"/>
        <w:ind w:left="0" w:hanging="2"/>
        <w:rPr>
          <w:rFonts w:ascii="Arial" w:eastAsia="Arial" w:hAnsi="Arial" w:cs="Arial"/>
        </w:rPr>
      </w:pPr>
      <w:r>
        <w:rPr>
          <w:rFonts w:ascii="Arial" w:eastAsia="Arial" w:hAnsi="Arial" w:cs="Arial"/>
        </w:rPr>
        <w:t xml:space="preserve">ERCOT should also consider Texas’ role as a global exporter of goods and energy products. </w:t>
      </w:r>
      <w:r w:rsidR="00B25CDC">
        <w:rPr>
          <w:rFonts w:ascii="Arial" w:eastAsia="Arial" w:hAnsi="Arial" w:cs="Arial"/>
        </w:rPr>
        <w:t xml:space="preserve"> </w:t>
      </w:r>
      <w:r>
        <w:rPr>
          <w:rFonts w:ascii="Arial" w:eastAsia="Arial" w:hAnsi="Arial" w:cs="Arial"/>
        </w:rPr>
        <w:t xml:space="preserve">Many foreign countries have energy standards for products being imported which require attestations and data. </w:t>
      </w:r>
      <w:r w:rsidR="00B25CDC">
        <w:rPr>
          <w:rFonts w:ascii="Arial" w:eastAsia="Arial" w:hAnsi="Arial" w:cs="Arial"/>
        </w:rPr>
        <w:t xml:space="preserve"> </w:t>
      </w:r>
      <w:r>
        <w:rPr>
          <w:rFonts w:ascii="Arial" w:eastAsia="Arial" w:hAnsi="Arial" w:cs="Arial"/>
        </w:rPr>
        <w:t xml:space="preserve">For example, the European Union’s Carbon Border Adjustment Mechanism accounts for the carbon emissions impact of goods coming into the Eurozone. </w:t>
      </w:r>
      <w:r w:rsidR="00B25CDC">
        <w:rPr>
          <w:rFonts w:ascii="Arial" w:eastAsia="Arial" w:hAnsi="Arial" w:cs="Arial"/>
        </w:rPr>
        <w:t xml:space="preserve"> </w:t>
      </w:r>
      <w:r>
        <w:rPr>
          <w:rFonts w:ascii="Arial" w:eastAsia="Arial" w:hAnsi="Arial" w:cs="Arial"/>
        </w:rPr>
        <w:t xml:space="preserve">An hourly tracking mechanism could be used for compliance with these standards, enhance trade, increase value, and mitigate costs. </w:t>
      </w:r>
    </w:p>
    <w:p w14:paraId="5BF94230" w14:textId="3B2FDBA8" w:rsidR="00767A4B" w:rsidRDefault="00957885">
      <w:pPr>
        <w:spacing w:after="240"/>
        <w:ind w:left="0" w:hanging="2"/>
        <w:rPr>
          <w:rFonts w:ascii="Arial" w:eastAsia="Arial" w:hAnsi="Arial" w:cs="Arial"/>
        </w:rPr>
      </w:pPr>
      <w:r>
        <w:rPr>
          <w:rFonts w:ascii="Arial" w:eastAsia="Arial" w:hAnsi="Arial" w:cs="Arial"/>
        </w:rPr>
        <w:lastRenderedPageBreak/>
        <w:t xml:space="preserve">Although ERCOT mentions that parties can address these issues independently, using multiple verification methods negatively impacts market efficiency and transparency. </w:t>
      </w:r>
      <w:r w:rsidR="00B25CDC">
        <w:rPr>
          <w:rFonts w:ascii="Arial" w:eastAsia="Arial" w:hAnsi="Arial" w:cs="Arial"/>
        </w:rPr>
        <w:t xml:space="preserve"> </w:t>
      </w:r>
      <w:r>
        <w:rPr>
          <w:rFonts w:ascii="Arial" w:eastAsia="Arial" w:hAnsi="Arial" w:cs="Arial"/>
        </w:rPr>
        <w:t xml:space="preserve">An independent attribute tracking system with ERCOT oversight is a critical element to hourly energy attributes because it ensures transparency through independent verification from a single source of truth. </w:t>
      </w:r>
      <w:r w:rsidR="00B25CDC">
        <w:rPr>
          <w:rFonts w:ascii="Arial" w:eastAsia="Arial" w:hAnsi="Arial" w:cs="Arial"/>
        </w:rPr>
        <w:t xml:space="preserve"> </w:t>
      </w:r>
      <w:r>
        <w:rPr>
          <w:rFonts w:ascii="Arial" w:eastAsia="Arial" w:hAnsi="Arial" w:cs="Arial"/>
        </w:rPr>
        <w:t xml:space="preserve">Additionally, a central platform would be administratively easier for many different types of entities to engage in. </w:t>
      </w:r>
      <w:r w:rsidR="00B25CDC">
        <w:rPr>
          <w:rFonts w:ascii="Arial" w:eastAsia="Arial" w:hAnsi="Arial" w:cs="Arial"/>
        </w:rPr>
        <w:t xml:space="preserve"> </w:t>
      </w:r>
      <w:r>
        <w:rPr>
          <w:rFonts w:ascii="Arial" w:eastAsia="Arial" w:hAnsi="Arial" w:cs="Arial"/>
        </w:rPr>
        <w:t xml:space="preserve">For example, a small industrial consumer with a power contract may not have the time or resources to independently verify hourly production because it would need to extract the data from MIS. </w:t>
      </w:r>
      <w:r w:rsidR="00B25CDC">
        <w:rPr>
          <w:rFonts w:ascii="Arial" w:eastAsia="Arial" w:hAnsi="Arial" w:cs="Arial"/>
        </w:rPr>
        <w:t xml:space="preserve"> </w:t>
      </w:r>
      <w:r>
        <w:rPr>
          <w:rFonts w:ascii="Arial" w:eastAsia="Arial" w:hAnsi="Arial" w:cs="Arial"/>
        </w:rPr>
        <w:t>A central, easy to use</w:t>
      </w:r>
      <w:r>
        <w:rPr>
          <w:rFonts w:ascii="Arial" w:eastAsia="Arial" w:hAnsi="Arial" w:cs="Arial"/>
        </w:rPr>
        <w:t xml:space="preserve"> platform would enable a dynamic market that would have many more active participants than just traditional energy producers. </w:t>
      </w:r>
    </w:p>
    <w:p w14:paraId="046D17B6" w14:textId="77777777" w:rsidR="00767A4B" w:rsidRDefault="00957885">
      <w:pPr>
        <w:numPr>
          <w:ilvl w:val="0"/>
          <w:numId w:val="1"/>
        </w:numPr>
        <w:spacing w:after="240"/>
        <w:ind w:left="0" w:hanging="2"/>
        <w:rPr>
          <w:rFonts w:ascii="Arial" w:eastAsia="Arial" w:hAnsi="Arial" w:cs="Arial"/>
        </w:rPr>
      </w:pPr>
      <w:r>
        <w:rPr>
          <w:rFonts w:ascii="Arial" w:eastAsia="Arial" w:hAnsi="Arial" w:cs="Arial"/>
        </w:rPr>
        <w:t>“</w:t>
      </w:r>
      <w:r>
        <w:rPr>
          <w:rFonts w:ascii="Arial" w:eastAsia="Arial" w:hAnsi="Arial" w:cs="Arial"/>
        </w:rPr>
        <w:t>Which of ERCOT’s core regulatory functions under Section 39.151(a) of Public Utility Regulatory Act (PURA) does NPRR1264 serve?  Could the parties that desire to use this trading program enlist some entity other than ERCOT to create and administer the program?</w:t>
      </w:r>
      <w:r>
        <w:rPr>
          <w:rFonts w:ascii="Arial" w:eastAsia="Arial" w:hAnsi="Arial" w:cs="Arial"/>
        </w:rPr>
        <w:t>”</w:t>
      </w:r>
    </w:p>
    <w:p w14:paraId="3D9DE44E" w14:textId="3FA94886" w:rsidR="00E60FA0" w:rsidRPr="00E60FA0" w:rsidRDefault="00957885" w:rsidP="00E60FA0">
      <w:pPr>
        <w:spacing w:after="240"/>
        <w:ind w:left="0" w:hanging="2"/>
        <w:rPr>
          <w:rFonts w:ascii="Arial" w:eastAsia="Arial" w:hAnsi="Arial" w:cs="Arial"/>
        </w:rPr>
      </w:pPr>
      <w:r>
        <w:rPr>
          <w:rFonts w:ascii="Arial" w:eastAsia="Arial" w:hAnsi="Arial" w:cs="Arial"/>
        </w:rPr>
        <w:t xml:space="preserve">Section 39.151(a) states the independent organization shall perform the following as part of its core functions: </w:t>
      </w:r>
    </w:p>
    <w:p w14:paraId="2A84A1B2" w14:textId="25ABD72F" w:rsidR="00E60FA0" w:rsidRDefault="00957885" w:rsidP="00E60FA0">
      <w:pPr>
        <w:spacing w:before="120" w:after="120" w:line="360" w:lineRule="auto"/>
        <w:ind w:left="0" w:hanging="2"/>
        <w:rPr>
          <w:rFonts w:ascii="Courier New" w:eastAsia="Courier New" w:hAnsi="Courier New" w:cs="Courier New"/>
        </w:rPr>
      </w:pPr>
      <w:r>
        <w:rPr>
          <w:rFonts w:ascii="Courier New" w:eastAsia="Courier New" w:hAnsi="Courier New" w:cs="Courier New"/>
        </w:rPr>
        <w:t>(4)  ensure that electricity production and delivery are accurately accounted for among the generators and wholesale buyers and sellers in the region.</w:t>
      </w:r>
    </w:p>
    <w:p w14:paraId="7147DFDD" w14:textId="77777777" w:rsidR="00767A4B" w:rsidRDefault="00957885" w:rsidP="00E60FA0">
      <w:pPr>
        <w:spacing w:before="240" w:after="240"/>
        <w:ind w:left="0" w:hanging="2"/>
        <w:rPr>
          <w:rFonts w:ascii="Arial" w:eastAsia="Arial" w:hAnsi="Arial" w:cs="Arial"/>
        </w:rPr>
      </w:pPr>
      <w:r>
        <w:rPr>
          <w:rFonts w:ascii="Arial" w:eastAsia="Arial" w:hAnsi="Arial" w:cs="Arial"/>
        </w:rPr>
        <w:t xml:space="preserve">Consequently, it is Google’s view that the development and deployment of an hourly energy attribute tracking and trading system is well within ERCOT’s primary regulatory function. </w:t>
      </w:r>
    </w:p>
    <w:p w14:paraId="35B046CC" w14:textId="3B17F305" w:rsidR="00767A4B" w:rsidRDefault="00957885" w:rsidP="00402D19">
      <w:pPr>
        <w:spacing w:after="240"/>
        <w:ind w:left="0" w:hanging="2"/>
        <w:rPr>
          <w:rFonts w:ascii="Arial" w:eastAsia="Arial" w:hAnsi="Arial" w:cs="Arial"/>
        </w:rPr>
      </w:pPr>
      <w:sdt>
        <w:sdtPr>
          <w:tag w:val="goog_rdk_0"/>
          <w:id w:val="-385954438"/>
        </w:sdtPr>
        <w:sdtEndPr/>
        <w:sdtContent>
          <w:r>
            <w:rPr>
              <w:rFonts w:ascii="Arial Unicode MS" w:eastAsia="Arial Unicode MS" w:hAnsi="Arial Unicode MS" w:cs="Arial Unicode MS"/>
            </w:rPr>
            <w:t xml:space="preserve">In terms of implementation, Google is ultimately agnostic on whether ERCOT develops and deploys a platform internally or contracts to a third-party </w:t>
          </w:r>
          <w:r>
            <w:rPr>
              <w:rFonts w:ascii="Arial Unicode MS" w:eastAsia="Arial Unicode MS" w:hAnsi="Arial Unicode MS" w:cs="Arial Unicode MS"/>
            </w:rPr>
            <w:t>－</w:t>
          </w:r>
          <w:r>
            <w:rPr>
              <w:rFonts w:ascii="Arial Unicode MS" w:eastAsia="Arial Unicode MS" w:hAnsi="Arial Unicode MS" w:cs="Arial Unicode MS"/>
            </w:rPr>
            <w:t xml:space="preserve">provided ERCOT has ultimate oversight. </w:t>
          </w:r>
          <w:r w:rsidR="00402D19">
            <w:rPr>
              <w:rFonts w:ascii="Arial Unicode MS" w:eastAsia="Arial Unicode MS" w:hAnsi="Arial Unicode MS" w:cs="Arial Unicode MS"/>
            </w:rPr>
            <w:t xml:space="preserve"> </w:t>
          </w:r>
          <w:r>
            <w:rPr>
              <w:rFonts w:ascii="Arial Unicode MS" w:eastAsia="Arial Unicode MS" w:hAnsi="Arial Unicode MS" w:cs="Arial Unicode MS"/>
            </w:rPr>
            <w:t xml:space="preserve">That said, Google supports </w:t>
          </w:r>
          <w:proofErr w:type="spellStart"/>
          <w:r>
            <w:rPr>
              <w:rFonts w:ascii="Arial Unicode MS" w:eastAsia="Arial Unicode MS" w:hAnsi="Arial Unicode MS" w:cs="Arial Unicode MS"/>
            </w:rPr>
            <w:t>Oxy’s</w:t>
          </w:r>
          <w:proofErr w:type="spellEnd"/>
          <w:r>
            <w:rPr>
              <w:rFonts w:ascii="Arial Unicode MS" w:eastAsia="Arial Unicode MS" w:hAnsi="Arial Unicode MS" w:cs="Arial Unicode MS"/>
            </w:rPr>
            <w:t xml:space="preserve"> long-term vision for real-time trading optionality and would suggest ERCOT and stakeholders select a path that enables that function in the long-term. </w:t>
          </w:r>
          <w:r w:rsidR="00402D19">
            <w:rPr>
              <w:rFonts w:ascii="Arial Unicode MS" w:eastAsia="Arial Unicode MS" w:hAnsi="Arial Unicode MS" w:cs="Arial Unicode MS"/>
            </w:rPr>
            <w:t xml:space="preserve"> </w:t>
          </w:r>
          <w:r>
            <w:rPr>
              <w:rFonts w:ascii="Arial Unicode MS" w:eastAsia="Arial Unicode MS" w:hAnsi="Arial Unicode MS" w:cs="Arial Unicode MS"/>
            </w:rPr>
            <w:t xml:space="preserve">To that end, Google suggests ERCOT issue a Request for Information (RFI), or engage with third-party providers, subsequently presenting the findings of its inquiry to stakeholders. </w:t>
          </w:r>
          <w:r w:rsidR="00402D19">
            <w:rPr>
              <w:rFonts w:ascii="Arial Unicode MS" w:eastAsia="Arial Unicode MS" w:hAnsi="Arial Unicode MS" w:cs="Arial Unicode MS"/>
            </w:rPr>
            <w:t xml:space="preserve"> </w:t>
          </w:r>
          <w:r>
            <w:rPr>
              <w:rFonts w:ascii="Arial Unicode MS" w:eastAsia="Arial Unicode MS" w:hAnsi="Arial Unicode MS" w:cs="Arial Unicode MS"/>
            </w:rPr>
            <w:t xml:space="preserve">Alternatively, ERCOT could invite stakeholders to present their insights during a dedicated workshop. </w:t>
          </w:r>
          <w:r w:rsidR="00402D19">
            <w:rPr>
              <w:rFonts w:ascii="Arial Unicode MS" w:eastAsia="Arial Unicode MS" w:hAnsi="Arial Unicode MS" w:cs="Arial Unicode MS"/>
            </w:rPr>
            <w:t xml:space="preserve"> </w:t>
          </w:r>
          <w:r>
            <w:rPr>
              <w:rFonts w:ascii="Arial Unicode MS" w:eastAsia="Arial Unicode MS" w:hAnsi="Arial Unicode MS" w:cs="Arial Unicode MS"/>
            </w:rPr>
            <w:t>We believe this approach represents the most effective means of informing implementation.</w:t>
          </w:r>
          <w:r w:rsidR="00402D19" w:rsidDel="00402D19">
            <w:rPr>
              <w:rFonts w:ascii="Arial Unicode MS" w:eastAsia="Arial Unicode MS" w:hAnsi="Arial Unicode MS" w:cs="Arial Unicode MS"/>
            </w:rPr>
            <w:t xml:space="preserve"> </w:t>
          </w:r>
        </w:sdtContent>
      </w:sdt>
    </w:p>
    <w:tbl>
      <w:tblPr>
        <w:tblStyle w:val="a1"/>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67A4B" w14:paraId="6D5BFA13" w14:textId="77777777">
        <w:trPr>
          <w:trHeight w:val="350"/>
        </w:trPr>
        <w:tc>
          <w:tcPr>
            <w:tcW w:w="10440" w:type="dxa"/>
            <w:tcBorders>
              <w:bottom w:val="single" w:sz="4" w:space="0" w:color="000000"/>
            </w:tcBorders>
            <w:shd w:val="clear" w:color="auto" w:fill="FFFFFF"/>
            <w:vAlign w:val="center"/>
          </w:tcPr>
          <w:p w14:paraId="4698C21F" w14:textId="77777777" w:rsidR="00767A4B" w:rsidRDefault="00957885">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Revised Cover Page Language</w:t>
            </w:r>
          </w:p>
        </w:tc>
      </w:tr>
    </w:tbl>
    <w:p w14:paraId="7C958A6F" w14:textId="77777777" w:rsidR="00767A4B" w:rsidRDefault="0095788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None</w:t>
      </w:r>
    </w:p>
    <w:tbl>
      <w:tblPr>
        <w:tblStyle w:val="a2"/>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67A4B" w14:paraId="06E65BB1" w14:textId="77777777">
        <w:trPr>
          <w:trHeight w:val="350"/>
        </w:trPr>
        <w:tc>
          <w:tcPr>
            <w:tcW w:w="10440" w:type="dxa"/>
            <w:tcBorders>
              <w:bottom w:val="single" w:sz="4" w:space="0" w:color="000000"/>
            </w:tcBorders>
            <w:shd w:val="clear" w:color="auto" w:fill="FFFFFF"/>
            <w:vAlign w:val="center"/>
          </w:tcPr>
          <w:p w14:paraId="0FECB4F2" w14:textId="77777777" w:rsidR="00767A4B" w:rsidRDefault="00957885">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Revised Proposed Protocol Language</w:t>
            </w:r>
          </w:p>
        </w:tc>
      </w:tr>
    </w:tbl>
    <w:p w14:paraId="4E585C7B" w14:textId="77777777" w:rsidR="00767A4B" w:rsidRDefault="0095788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None</w:t>
      </w:r>
    </w:p>
    <w:p w14:paraId="2EE0C9F4" w14:textId="77777777" w:rsidR="00767A4B" w:rsidRDefault="00767A4B">
      <w:pPr>
        <w:spacing w:after="240"/>
        <w:ind w:left="0" w:hanging="2"/>
      </w:pPr>
    </w:p>
    <w:sectPr w:rsidR="00767A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B3BA" w14:textId="77777777" w:rsidR="00957885" w:rsidRDefault="00957885">
      <w:pPr>
        <w:spacing w:line="240" w:lineRule="auto"/>
        <w:ind w:left="0" w:hanging="2"/>
      </w:pPr>
      <w:r>
        <w:separator/>
      </w:r>
    </w:p>
  </w:endnote>
  <w:endnote w:type="continuationSeparator" w:id="0">
    <w:p w14:paraId="2F7EA9F4" w14:textId="77777777" w:rsidR="00957885" w:rsidRDefault="009578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82E7" w14:textId="77777777" w:rsidR="00716FD7" w:rsidRDefault="00716FD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1AAD" w14:textId="6BC1F9C1" w:rsidR="00767A4B" w:rsidRDefault="00957885">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1264NPRR-</w:t>
    </w:r>
    <w:r>
      <w:rPr>
        <w:rFonts w:ascii="Arial" w:eastAsia="Arial" w:hAnsi="Arial" w:cs="Arial"/>
        <w:sz w:val="18"/>
        <w:szCs w:val="18"/>
      </w:rPr>
      <w:t>24</w:t>
    </w:r>
    <w:r w:rsidR="00716FD7">
      <w:rPr>
        <w:rFonts w:ascii="Arial" w:eastAsia="Arial" w:hAnsi="Arial" w:cs="Arial"/>
        <w:color w:val="000000"/>
        <w:sz w:val="18"/>
        <w:szCs w:val="18"/>
      </w:rPr>
      <w:t xml:space="preserve"> </w:t>
    </w:r>
    <w:r>
      <w:rPr>
        <w:rFonts w:ascii="Arial" w:eastAsia="Arial" w:hAnsi="Arial" w:cs="Arial"/>
        <w:sz w:val="18"/>
        <w:szCs w:val="18"/>
      </w:rPr>
      <w:t>Google</w:t>
    </w:r>
    <w:r>
      <w:rPr>
        <w:rFonts w:ascii="Arial" w:eastAsia="Arial" w:hAnsi="Arial" w:cs="Arial"/>
        <w:color w:val="000000"/>
        <w:sz w:val="18"/>
        <w:szCs w:val="18"/>
      </w:rPr>
      <w:t xml:space="preserve"> Comments </w:t>
    </w:r>
    <w:r w:rsidR="00716FD7">
      <w:rPr>
        <w:rFonts w:ascii="Arial" w:eastAsia="Arial" w:hAnsi="Arial" w:cs="Arial"/>
        <w:sz w:val="18"/>
        <w:szCs w:val="18"/>
      </w:rPr>
      <w:t>04</w:t>
    </w:r>
    <w:r>
      <w:rPr>
        <w:rFonts w:ascii="Arial" w:eastAsia="Arial" w:hAnsi="Arial" w:cs="Arial"/>
        <w:sz w:val="18"/>
        <w:szCs w:val="18"/>
      </w:rPr>
      <w:t>08</w:t>
    </w:r>
    <w:r w:rsidR="00716FD7">
      <w:rPr>
        <w:rFonts w:ascii="Arial" w:eastAsia="Arial" w:hAnsi="Arial" w:cs="Arial"/>
        <w:sz w:val="18"/>
        <w:szCs w:val="18"/>
      </w:rPr>
      <w:t>25</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44C60">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44C60">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043443C8" w14:textId="77777777" w:rsidR="00767A4B" w:rsidRDefault="00957885">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EC6D" w14:textId="77777777" w:rsidR="00716FD7" w:rsidRDefault="00716F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84D1" w14:textId="77777777" w:rsidR="00957885" w:rsidRDefault="00957885">
      <w:pPr>
        <w:spacing w:line="240" w:lineRule="auto"/>
        <w:ind w:left="0" w:hanging="2"/>
      </w:pPr>
      <w:r>
        <w:separator/>
      </w:r>
    </w:p>
  </w:footnote>
  <w:footnote w:type="continuationSeparator" w:id="0">
    <w:p w14:paraId="19DA4122" w14:textId="77777777" w:rsidR="00957885" w:rsidRDefault="009578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74D5" w14:textId="77777777" w:rsidR="00716FD7" w:rsidRDefault="00716FD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575E" w14:textId="77777777" w:rsidR="00767A4B" w:rsidRDefault="00957885">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NPRR Comments</w:t>
    </w:r>
  </w:p>
  <w:p w14:paraId="55FD70D6" w14:textId="77777777" w:rsidR="00767A4B" w:rsidRDefault="00767A4B">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6D54" w14:textId="77777777" w:rsidR="00716FD7" w:rsidRDefault="00716FD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B14AF"/>
    <w:multiLevelType w:val="multilevel"/>
    <w:tmpl w:val="84647A4C"/>
    <w:lvl w:ilvl="0">
      <w:start w:val="1"/>
      <w:numFmt w:val="decimal"/>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pStyle w:val="Heading4"/>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5CF03FD"/>
    <w:multiLevelType w:val="multilevel"/>
    <w:tmpl w:val="3C169A4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5716168">
    <w:abstractNumId w:val="0"/>
  </w:num>
  <w:num w:numId="2" w16cid:durableId="306594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4B"/>
    <w:rsid w:val="00402D19"/>
    <w:rsid w:val="00485184"/>
    <w:rsid w:val="004A1704"/>
    <w:rsid w:val="00716FD7"/>
    <w:rsid w:val="00767A4B"/>
    <w:rsid w:val="007C1506"/>
    <w:rsid w:val="00957885"/>
    <w:rsid w:val="009C6AFC"/>
    <w:rsid w:val="00B25CDC"/>
    <w:rsid w:val="00B44C60"/>
    <w:rsid w:val="00E6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E8FF"/>
  <w15:docId w15:val="{C296C0AB-3E7D-4EE6-852B-E49CC3B4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0">
    <w:name w:val="heading 1"/>
    <w:basedOn w:val="Normal"/>
    <w:next w:val="Normal"/>
    <w:uiPriority w:val="9"/>
    <w:qFormat/>
    <w:pPr>
      <w:keepNext/>
      <w:keepLines/>
      <w:spacing w:before="480" w:after="120"/>
    </w:pPr>
    <w:rPr>
      <w:b/>
      <w:sz w:val="48"/>
      <w:szCs w:val="48"/>
    </w:rPr>
  </w:style>
  <w:style w:type="paragraph" w:styleId="Heading20">
    <w:name w:val="heading 2"/>
    <w:basedOn w:val="Normal"/>
    <w:next w:val="Normal"/>
    <w:uiPriority w:val="9"/>
    <w:semiHidden/>
    <w:unhideWhenUsed/>
    <w:qFormat/>
    <w:pPr>
      <w:keepNext/>
      <w:keepLines/>
      <w:spacing w:before="360" w:after="80"/>
      <w:outlineLvl w:val="1"/>
    </w:pPr>
    <w:rPr>
      <w:b/>
      <w:sz w:val="36"/>
      <w:szCs w:val="36"/>
    </w:rPr>
  </w:style>
  <w:style w:type="paragraph" w:styleId="Heading30">
    <w:name w:val="heading 3"/>
    <w:basedOn w:val="Normal"/>
    <w:next w:val="Normal"/>
    <w:uiPriority w:val="9"/>
    <w:semiHidden/>
    <w:unhideWhenUsed/>
    <w:qFormat/>
    <w:pPr>
      <w:keepNext/>
      <w:keepLines/>
      <w:spacing w:before="280" w:after="80"/>
      <w:outlineLvl w:val="2"/>
    </w:pPr>
    <w:rPr>
      <w:b/>
      <w:sz w:val="28"/>
      <w:szCs w:val="28"/>
    </w:rPr>
  </w:style>
  <w:style w:type="paragraph" w:styleId="Heading40">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Cs w:val="20"/>
    </w:rPr>
  </w:style>
  <w:style w:type="paragraph" w:styleId="Heading8">
    <w:name w:val="heading 8"/>
    <w:basedOn w:val="Normal"/>
    <w:next w:val="Normal"/>
    <w:pPr>
      <w:spacing w:before="240" w:after="60"/>
      <w:outlineLvl w:val="7"/>
    </w:pPr>
    <w:rPr>
      <w:i/>
      <w:szCs w:val="20"/>
    </w:rPr>
  </w:style>
  <w:style w:type="paragraph" w:styleId="Heading9">
    <w:name w:val="heading 9"/>
    <w:basedOn w:val="Normal"/>
    <w:next w:val="Normal"/>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
    <w:name w:val="heading 1"/>
    <w:aliases w:val="h1"/>
    <w:basedOn w:val="Normal"/>
    <w:next w:val="Normal"/>
    <w:pPr>
      <w:keepNext/>
      <w:numPr>
        <w:numId w:val="1"/>
      </w:numPr>
      <w:spacing w:after="240"/>
      <w:ind w:left="-1" w:hanging="1"/>
    </w:pPr>
    <w:rPr>
      <w:b/>
      <w:caps/>
      <w:szCs w:val="20"/>
    </w:rPr>
  </w:style>
  <w:style w:type="paragraph" w:customStyle="1" w:styleId="Heading2">
    <w:name w:val="heading 2"/>
    <w:aliases w:val="h2"/>
    <w:basedOn w:val="Normal"/>
    <w:next w:val="Normal"/>
    <w:pPr>
      <w:keepNext/>
      <w:numPr>
        <w:ilvl w:val="1"/>
        <w:numId w:val="1"/>
      </w:numPr>
      <w:spacing w:before="240" w:after="240"/>
      <w:ind w:left="-1" w:hanging="1"/>
      <w:outlineLvl w:val="1"/>
    </w:pPr>
    <w:rPr>
      <w:b/>
      <w:szCs w:val="20"/>
    </w:rPr>
  </w:style>
  <w:style w:type="paragraph" w:customStyle="1" w:styleId="Heading3">
    <w:name w:val="heading 3"/>
    <w:aliases w:val="h3"/>
    <w:basedOn w:val="Normal"/>
    <w:next w:val="Normal"/>
    <w:pPr>
      <w:keepNext/>
      <w:numPr>
        <w:ilvl w:val="2"/>
        <w:numId w:val="1"/>
      </w:numPr>
      <w:spacing w:before="120" w:after="120"/>
      <w:ind w:left="-1" w:hanging="1"/>
      <w:outlineLvl w:val="2"/>
    </w:pPr>
    <w:rPr>
      <w:b/>
      <w:bCs/>
      <w:i/>
      <w:iCs/>
      <w:szCs w:val="20"/>
    </w:rPr>
  </w:style>
  <w:style w:type="paragraph" w:customStyle="1" w:styleId="Heading4">
    <w:name w:val="heading 4"/>
    <w:aliases w:val="h4"/>
    <w:basedOn w:val="Normal"/>
    <w:next w:val="Normal"/>
    <w:pPr>
      <w:keepNext/>
      <w:widowControl w:val="0"/>
      <w:numPr>
        <w:ilvl w:val="3"/>
        <w:numId w:val="1"/>
      </w:numPr>
      <w:spacing w:before="360" w:after="240"/>
      <w:ind w:left="-1" w:hanging="1"/>
      <w:outlineLvl w:val="3"/>
    </w:pPr>
    <w:rPr>
      <w:b/>
      <w:bCs/>
      <w:snapToGrid w:val="0"/>
      <w:szCs w:val="20"/>
    </w:rPr>
  </w:style>
  <w:style w:type="paragraph" w:customStyle="1" w:styleId="Heading50">
    <w:name w:val="heading 5"/>
    <w:aliases w:val="h5"/>
    <w:basedOn w:val="Normal"/>
    <w:next w:val="Normal"/>
    <w:pPr>
      <w:spacing w:before="240" w:after="60"/>
      <w:outlineLvl w:val="4"/>
    </w:pPr>
    <w:rPr>
      <w:b/>
      <w:i/>
      <w:sz w:val="26"/>
      <w:szCs w:val="20"/>
    </w:rPr>
  </w:style>
  <w:style w:type="paragraph" w:customStyle="1" w:styleId="Heading60">
    <w:name w:val="heading 6"/>
    <w:aliases w:val="h6"/>
    <w:basedOn w:val="Normal"/>
    <w:next w:val="Normal"/>
    <w:pPr>
      <w:spacing w:before="240" w:after="60"/>
      <w:outlineLvl w:val="5"/>
    </w:pPr>
    <w:rPr>
      <w:b/>
      <w:sz w:val="22"/>
      <w:szCs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rPr>
  </w:style>
  <w:style w:type="paragraph" w:customStyle="1" w:styleId="TXUHeader">
    <w:name w:val="TXUHeader"/>
    <w:basedOn w:val="TXUNormal"/>
    <w:pPr>
      <w:tabs>
        <w:tab w:val="right" w:pos="9360"/>
      </w:tabs>
      <w:spacing w:after="0"/>
    </w:pPr>
    <w:rPr>
      <w:noProof/>
      <w:sz w:val="16"/>
      <w:lang/>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ind w:left="-1" w:hanging="1"/>
    </w:pPr>
    <w:rPr>
      <w:szCs w:val="20"/>
    </w:rPr>
  </w:style>
  <w:style w:type="paragraph" w:styleId="BalloonText">
    <w:name w:val="Balloon Text"/>
    <w:basedOn w:val="Normal"/>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FootnoteText">
    <w:name w:val="footnote text"/>
    <w:basedOn w:val="Normal"/>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character" w:customStyle="1" w:styleId="HeaderChar">
    <w:name w:val="Header Char"/>
    <w:rPr>
      <w:rFonts w:ascii="Arial" w:hAnsi="Arial"/>
      <w:b/>
      <w:bCs/>
      <w:w w:val="100"/>
      <w:position w:val="-1"/>
      <w:sz w:val="24"/>
      <w:szCs w:val="24"/>
      <w:effect w:val="none"/>
      <w:vertAlign w:val="baseline"/>
      <w:cs w:val="0"/>
      <w:em w:val="none"/>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hrismatos@google.com" TargetMode="External"/><Relationship Id="rId4" Type="http://schemas.openxmlformats.org/officeDocument/2006/relationships/styles" Target="styles.xml"/><Relationship Id="rId9" Type="http://schemas.openxmlformats.org/officeDocument/2006/relationships/hyperlink" Target="https://www.ercot.com/mktrules/issues/NPRR126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p3Zn0jFMN8PwHy5Kek6QS7kBw==">CgMxLjAaJAoBMBIfCh0IB0IZCgVBcmlhbBIQQXJpYWwgVW5pY29kZSBNUzgAciExV0RGSFFOOTFxSWFJa19FNlVoNXJuMnZveU04eWxVRnk=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2296EFE-0E9D-462D-8E91-A4C6754E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Jordan Troublefield</cp:lastModifiedBy>
  <cp:revision>3</cp:revision>
  <dcterms:created xsi:type="dcterms:W3CDTF">2025-04-08T16:32:00Z</dcterms:created>
  <dcterms:modified xsi:type="dcterms:W3CDTF">2025-04-08T16:32:00Z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2025-04-08T15:47:30Z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37ae61d2-8431-467c-b166-3b494274e722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